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840"/>
        <w:spacing w:after="0"/>
        <w:rPr>
          <w:sz w:val="20"/>
          <w:szCs w:val="20"/>
          <w:color w:val="auto"/>
        </w:rPr>
      </w:pPr>
      <w:r>
        <w:rPr>
          <w:rFonts w:ascii="Arial" w:cs="Arial" w:eastAsia="Arial" w:hAnsi="Arial"/>
          <w:sz w:val="13"/>
          <w:szCs w:val="13"/>
          <w:b w:val="1"/>
          <w:bCs w:val="1"/>
          <w:color w:val="auto"/>
        </w:rPr>
        <w:t>As filed with the Securities and Exchange Commission on August 26, 2020.</w:t>
      </w:r>
    </w:p>
    <w:p>
      <w:pPr>
        <w:spacing w:after="0" w:line="2" w:lineRule="exact"/>
        <w:rPr>
          <w:sz w:val="24"/>
          <w:szCs w:val="24"/>
          <w:color w:val="auto"/>
        </w:rPr>
      </w:pPr>
    </w:p>
    <w:p>
      <w:pPr>
        <w:ind w:left="968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53340</wp:posOffset>
            </wp:positionV>
            <wp:extent cx="19545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37" w:lineRule="exact"/>
        <w:rPr>
          <w:sz w:val="24"/>
          <w:szCs w:val="24"/>
          <w:color w:val="auto"/>
        </w:rPr>
      </w:pPr>
    </w:p>
    <w:p>
      <w:pPr>
        <w:jc w:val="center"/>
        <w:ind w:right="-19"/>
        <w:spacing w:after="0" w:line="311" w:lineRule="exact"/>
        <w:rPr>
          <w:sz w:val="20"/>
          <w:szCs w:val="20"/>
          <w:color w:val="auto"/>
        </w:rPr>
      </w:pPr>
      <w:r>
        <w:rPr>
          <w:rFonts w:ascii="Arial" w:cs="Arial" w:eastAsia="Arial" w:hAnsi="Arial"/>
          <w:sz w:val="27"/>
          <w:szCs w:val="27"/>
          <w:b w:val="1"/>
          <w:bCs w:val="1"/>
          <w:color w:val="auto"/>
        </w:rPr>
        <w:t>FORM S</w:t>
      </w:r>
      <w:r>
        <w:rPr>
          <w:rFonts w:ascii="MS PGothic" w:cs="MS PGothic" w:eastAsia="MS PGothic" w:hAnsi="MS PGothic"/>
          <w:sz w:val="27"/>
          <w:szCs w:val="27"/>
          <w:b w:val="1"/>
          <w:bCs w:val="1"/>
          <w:color w:val="auto"/>
        </w:rPr>
        <w:t>‑</w:t>
      </w:r>
      <w:r>
        <w:rPr>
          <w:rFonts w:ascii="Arial" w:cs="Arial" w:eastAsia="Arial" w:hAnsi="Arial"/>
          <w:sz w:val="27"/>
          <w:szCs w:val="27"/>
          <w:b w:val="1"/>
          <w:bCs w:val="1"/>
          <w:color w:val="auto"/>
        </w:rPr>
        <w:t>1</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REGISTRATION STATEMENT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Under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36195</wp:posOffset>
            </wp:positionV>
            <wp:extent cx="19545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ATHIRA PHARMA,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62230</wp:posOffset>
            </wp:positionV>
            <wp:extent cx="1954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186" w:lineRule="exact"/>
        <w:rPr>
          <w:sz w:val="24"/>
          <w:szCs w:val="24"/>
          <w:color w:val="auto"/>
        </w:rPr>
      </w:pPr>
    </w:p>
    <w:tbl>
      <w:tblPr>
        <w:tblLayout w:type="fixed"/>
        <w:tblInd w:w="860" w:type="dxa"/>
        <w:tblCellMar>
          <w:top w:w="0" w:type="dxa"/>
          <w:left w:w="0" w:type="dxa"/>
          <w:bottom w:w="0" w:type="dxa"/>
          <w:right w:w="0" w:type="dxa"/>
        </w:tblCellMar>
      </w:tblPr>
      <w:tr>
        <w:trPr>
          <w:trHeight w:val="162"/>
        </w:trPr>
        <w:tc>
          <w:tcPr>
            <w:tcW w:w="2160" w:type="dxa"/>
            <w:vAlign w:val="bottom"/>
          </w:tcPr>
          <w:p>
            <w:pPr>
              <w:jc w:val="center"/>
              <w:ind w:right="751"/>
              <w:spacing w:after="0"/>
              <w:rPr>
                <w:sz w:val="20"/>
                <w:szCs w:val="20"/>
                <w:color w:val="auto"/>
              </w:rPr>
            </w:pPr>
            <w:r>
              <w:rPr>
                <w:rFonts w:ascii="Arial" w:cs="Arial" w:eastAsia="Arial" w:hAnsi="Arial"/>
                <w:sz w:val="14"/>
                <w:szCs w:val="14"/>
                <w:b w:val="1"/>
                <w:bCs w:val="1"/>
                <w:color w:val="auto"/>
              </w:rPr>
              <w:t>Delaware</w:t>
            </w:r>
          </w:p>
        </w:tc>
        <w:tc>
          <w:tcPr>
            <w:tcW w:w="4140" w:type="dxa"/>
            <w:vAlign w:val="bottom"/>
            <w:gridSpan w:val="2"/>
          </w:tcPr>
          <w:p>
            <w:pPr>
              <w:jc w:val="right"/>
              <w:ind w:right="1312"/>
              <w:spacing w:after="0"/>
              <w:rPr>
                <w:sz w:val="20"/>
                <w:szCs w:val="20"/>
                <w:color w:val="auto"/>
              </w:rPr>
            </w:pPr>
            <w:r>
              <w:rPr>
                <w:rFonts w:ascii="Arial" w:cs="Arial" w:eastAsia="Arial" w:hAnsi="Arial"/>
                <w:sz w:val="14"/>
                <w:szCs w:val="14"/>
                <w:b w:val="1"/>
                <w:bCs w:val="1"/>
                <w:color w:val="auto"/>
              </w:rPr>
              <w:t>2836</w:t>
            </w:r>
          </w:p>
        </w:tc>
        <w:tc>
          <w:tcPr>
            <w:tcW w:w="1120" w:type="dxa"/>
            <w:vAlign w:val="bottom"/>
          </w:tcPr>
          <w:p>
            <w:pPr>
              <w:spacing w:after="0"/>
              <w:rPr>
                <w:sz w:val="14"/>
                <w:szCs w:val="14"/>
                <w:color w:val="auto"/>
              </w:rPr>
            </w:pPr>
          </w:p>
        </w:tc>
        <w:tc>
          <w:tcPr>
            <w:tcW w:w="2280" w:type="dxa"/>
            <w:vAlign w:val="bottom"/>
          </w:tcPr>
          <w:p>
            <w:pPr>
              <w:jc w:val="center"/>
              <w:ind w:left="532"/>
              <w:spacing w:after="0"/>
              <w:rPr>
                <w:sz w:val="20"/>
                <w:szCs w:val="20"/>
                <w:color w:val="auto"/>
              </w:rPr>
            </w:pPr>
            <w:r>
              <w:rPr>
                <w:rFonts w:ascii="Arial" w:cs="Arial" w:eastAsia="Arial" w:hAnsi="Arial"/>
                <w:sz w:val="14"/>
                <w:szCs w:val="14"/>
                <w:b w:val="1"/>
                <w:bCs w:val="1"/>
                <w:color w:val="auto"/>
              </w:rPr>
              <w:t>45-3368487</w:t>
            </w:r>
          </w:p>
        </w:tc>
        <w:tc>
          <w:tcPr>
            <w:tcW w:w="0" w:type="dxa"/>
            <w:vAlign w:val="bottom"/>
          </w:tcPr>
          <w:p>
            <w:pPr>
              <w:spacing w:after="0"/>
              <w:rPr>
                <w:sz w:val="1"/>
                <w:szCs w:val="1"/>
                <w:color w:val="auto"/>
              </w:rPr>
            </w:pPr>
          </w:p>
        </w:tc>
      </w:tr>
      <w:tr>
        <w:trPr>
          <w:trHeight w:val="122"/>
        </w:trPr>
        <w:tc>
          <w:tcPr>
            <w:tcW w:w="2160" w:type="dxa"/>
            <w:vAlign w:val="bottom"/>
          </w:tcPr>
          <w:p>
            <w:pPr>
              <w:jc w:val="center"/>
              <w:ind w:right="771"/>
              <w:spacing w:after="0" w:line="122" w:lineRule="exact"/>
              <w:rPr>
                <w:sz w:val="20"/>
                <w:szCs w:val="20"/>
                <w:color w:val="auto"/>
              </w:rPr>
            </w:pPr>
            <w:r>
              <w:rPr>
                <w:rFonts w:ascii="Arial" w:cs="Arial" w:eastAsia="Arial" w:hAnsi="Arial"/>
                <w:sz w:val="11"/>
                <w:szCs w:val="11"/>
                <w:b w:val="1"/>
                <w:bCs w:val="1"/>
                <w:color w:val="auto"/>
                <w:w w:val="84"/>
              </w:rPr>
              <w:t>(State or other jurisdiction of</w:t>
            </w:r>
          </w:p>
        </w:tc>
        <w:tc>
          <w:tcPr>
            <w:tcW w:w="1060" w:type="dxa"/>
            <w:vAlign w:val="bottom"/>
          </w:tcPr>
          <w:p>
            <w:pPr>
              <w:spacing w:after="0"/>
              <w:rPr>
                <w:sz w:val="10"/>
                <w:szCs w:val="10"/>
                <w:color w:val="auto"/>
              </w:rPr>
            </w:pPr>
          </w:p>
        </w:tc>
        <w:tc>
          <w:tcPr>
            <w:tcW w:w="4200" w:type="dxa"/>
            <w:vAlign w:val="bottom"/>
            <w:gridSpan w:val="2"/>
          </w:tcPr>
          <w:p>
            <w:pPr>
              <w:jc w:val="center"/>
              <w:ind w:right="1140"/>
              <w:spacing w:after="0" w:line="122" w:lineRule="exact"/>
              <w:rPr>
                <w:sz w:val="20"/>
                <w:szCs w:val="20"/>
                <w:color w:val="auto"/>
              </w:rPr>
            </w:pPr>
            <w:r>
              <w:rPr>
                <w:rFonts w:ascii="Arial" w:cs="Arial" w:eastAsia="Arial" w:hAnsi="Arial"/>
                <w:sz w:val="11"/>
                <w:szCs w:val="11"/>
                <w:b w:val="1"/>
                <w:bCs w:val="1"/>
                <w:color w:val="auto"/>
                <w:w w:val="90"/>
              </w:rPr>
              <w:t>(Primary Standard Industrial</w:t>
            </w:r>
          </w:p>
        </w:tc>
        <w:tc>
          <w:tcPr>
            <w:tcW w:w="2280" w:type="dxa"/>
            <w:vAlign w:val="bottom"/>
          </w:tcPr>
          <w:p>
            <w:pPr>
              <w:jc w:val="center"/>
              <w:ind w:left="512"/>
              <w:spacing w:after="0" w:line="122" w:lineRule="exact"/>
              <w:rPr>
                <w:sz w:val="20"/>
                <w:szCs w:val="20"/>
                <w:color w:val="auto"/>
              </w:rPr>
            </w:pPr>
            <w:r>
              <w:rPr>
                <w:rFonts w:ascii="Arial" w:cs="Arial" w:eastAsia="Arial" w:hAnsi="Arial"/>
                <w:sz w:val="11"/>
                <w:szCs w:val="11"/>
                <w:b w:val="1"/>
                <w:bCs w:val="1"/>
                <w:color w:val="auto"/>
                <w:w w:val="87"/>
              </w:rPr>
              <w:t>(I.R.S. Employer</w:t>
            </w:r>
          </w:p>
        </w:tc>
        <w:tc>
          <w:tcPr>
            <w:tcW w:w="0" w:type="dxa"/>
            <w:vAlign w:val="bottom"/>
          </w:tcPr>
          <w:p>
            <w:pPr>
              <w:spacing w:after="0"/>
              <w:rPr>
                <w:sz w:val="1"/>
                <w:szCs w:val="1"/>
                <w:color w:val="auto"/>
              </w:rPr>
            </w:pPr>
          </w:p>
        </w:tc>
      </w:tr>
      <w:tr>
        <w:trPr>
          <w:trHeight w:val="140"/>
        </w:trPr>
        <w:tc>
          <w:tcPr>
            <w:tcW w:w="2160" w:type="dxa"/>
            <w:vAlign w:val="bottom"/>
          </w:tcPr>
          <w:p>
            <w:pPr>
              <w:jc w:val="center"/>
              <w:ind w:right="731"/>
              <w:spacing w:after="0"/>
              <w:rPr>
                <w:sz w:val="20"/>
                <w:szCs w:val="20"/>
                <w:color w:val="auto"/>
              </w:rPr>
            </w:pPr>
            <w:r>
              <w:rPr>
                <w:rFonts w:ascii="Arial" w:cs="Arial" w:eastAsia="Arial" w:hAnsi="Arial"/>
                <w:sz w:val="11"/>
                <w:szCs w:val="11"/>
                <w:b w:val="1"/>
                <w:bCs w:val="1"/>
                <w:color w:val="auto"/>
                <w:w w:val="86"/>
              </w:rPr>
              <w:t>incorporation or organization)</w:t>
            </w:r>
          </w:p>
        </w:tc>
        <w:tc>
          <w:tcPr>
            <w:tcW w:w="1060" w:type="dxa"/>
            <w:vAlign w:val="bottom"/>
          </w:tcPr>
          <w:p>
            <w:pPr>
              <w:spacing w:after="0"/>
              <w:rPr>
                <w:sz w:val="12"/>
                <w:szCs w:val="12"/>
                <w:color w:val="auto"/>
              </w:rPr>
            </w:pPr>
          </w:p>
        </w:tc>
        <w:tc>
          <w:tcPr>
            <w:tcW w:w="4200" w:type="dxa"/>
            <w:vAlign w:val="bottom"/>
            <w:gridSpan w:val="2"/>
          </w:tcPr>
          <w:p>
            <w:pPr>
              <w:jc w:val="center"/>
              <w:ind w:right="1100"/>
              <w:spacing w:after="0"/>
              <w:rPr>
                <w:sz w:val="20"/>
                <w:szCs w:val="20"/>
                <w:color w:val="auto"/>
              </w:rPr>
            </w:pPr>
            <w:r>
              <w:rPr>
                <w:rFonts w:ascii="Arial" w:cs="Arial" w:eastAsia="Arial" w:hAnsi="Arial"/>
                <w:sz w:val="11"/>
                <w:szCs w:val="11"/>
                <w:b w:val="1"/>
                <w:bCs w:val="1"/>
                <w:color w:val="auto"/>
                <w:w w:val="86"/>
              </w:rPr>
              <w:t>Classification Code Number)</w:t>
            </w:r>
          </w:p>
        </w:tc>
        <w:tc>
          <w:tcPr>
            <w:tcW w:w="2280" w:type="dxa"/>
            <w:vAlign w:val="bottom"/>
          </w:tcPr>
          <w:p>
            <w:pPr>
              <w:jc w:val="center"/>
              <w:ind w:left="532"/>
              <w:spacing w:after="0"/>
              <w:rPr>
                <w:sz w:val="20"/>
                <w:szCs w:val="20"/>
                <w:color w:val="auto"/>
              </w:rPr>
            </w:pPr>
            <w:r>
              <w:rPr>
                <w:rFonts w:ascii="Arial" w:cs="Arial" w:eastAsia="Arial" w:hAnsi="Arial"/>
                <w:sz w:val="11"/>
                <w:szCs w:val="11"/>
                <w:b w:val="1"/>
                <w:bCs w:val="1"/>
                <w:color w:val="auto"/>
                <w:w w:val="89"/>
              </w:rPr>
              <w:t>Identification Number)</w:t>
            </w:r>
          </w:p>
        </w:tc>
        <w:tc>
          <w:tcPr>
            <w:tcW w:w="0" w:type="dxa"/>
            <w:vAlign w:val="bottom"/>
          </w:tcPr>
          <w:p>
            <w:pPr>
              <w:spacing w:after="0"/>
              <w:rPr>
                <w:sz w:val="1"/>
                <w:szCs w:val="1"/>
                <w:color w:val="auto"/>
              </w:rPr>
            </w:pPr>
          </w:p>
        </w:tc>
      </w:tr>
      <w:tr>
        <w:trPr>
          <w:trHeight w:val="387"/>
        </w:trPr>
        <w:tc>
          <w:tcPr>
            <w:tcW w:w="2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rPr>
              <w:t>4000 Mason Road, Suite 300</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rPr>
              <w:t>Seattle, WA 98195</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4140" w:type="dxa"/>
            <w:vAlign w:val="bottom"/>
            <w:gridSpan w:val="2"/>
          </w:tcPr>
          <w:p>
            <w:pPr>
              <w:jc w:val="right"/>
              <w:ind w:right="992"/>
              <w:spacing w:after="0"/>
              <w:rPr>
                <w:sz w:val="20"/>
                <w:szCs w:val="20"/>
                <w:color w:val="auto"/>
              </w:rPr>
            </w:pPr>
            <w:r>
              <w:rPr>
                <w:rFonts w:ascii="Arial" w:cs="Arial" w:eastAsia="Arial" w:hAnsi="Arial"/>
                <w:sz w:val="14"/>
                <w:szCs w:val="14"/>
                <w:b w:val="1"/>
                <w:bCs w:val="1"/>
                <w:color w:val="auto"/>
              </w:rPr>
              <w:t>(206) 221-8112</w:t>
            </w:r>
          </w:p>
        </w:tc>
        <w:tc>
          <w:tcPr>
            <w:tcW w:w="1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160" w:type="dxa"/>
            <w:vAlign w:val="bottom"/>
          </w:tcPr>
          <w:p>
            <w:pPr>
              <w:spacing w:after="0"/>
              <w:rPr>
                <w:sz w:val="12"/>
                <w:szCs w:val="12"/>
                <w:color w:val="auto"/>
              </w:rPr>
            </w:pPr>
          </w:p>
        </w:tc>
        <w:tc>
          <w:tcPr>
            <w:tcW w:w="5260" w:type="dxa"/>
            <w:vAlign w:val="bottom"/>
            <w:gridSpan w:val="3"/>
          </w:tcPr>
          <w:p>
            <w:pPr>
              <w:ind w:left="40"/>
              <w:spacing w:after="0"/>
              <w:rPr>
                <w:sz w:val="20"/>
                <w:szCs w:val="20"/>
                <w:color w:val="auto"/>
              </w:rPr>
            </w:pPr>
            <w:r>
              <w:rPr>
                <w:rFonts w:ascii="Arial" w:cs="Arial" w:eastAsia="Arial" w:hAnsi="Arial"/>
                <w:sz w:val="11"/>
                <w:szCs w:val="11"/>
                <w:b w:val="1"/>
                <w:bCs w:val="1"/>
                <w:color w:val="auto"/>
                <w:w w:val="85"/>
              </w:rPr>
              <w:t>(Address, including zip code, and telephone number, including area code, of Registrant’s principal executive offices)</w:t>
            </w: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080" w:type="dxa"/>
            <w:vAlign w:val="bottom"/>
            <w:tcBorders>
              <w:bottom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9"/>
              </w:rPr>
              <w:t>Leen Kawas, Ph.D.</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rPr>
              <w:t>President and Chief Executive Officer</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rPr>
              <w:t>Athira Pharma, Inc.</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rPr>
              <w:t>4000 Mason Road, Suite 300</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rPr>
              <w:t>Seattle, WA 98195</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4140" w:type="dxa"/>
            <w:vAlign w:val="bottom"/>
            <w:gridSpan w:val="2"/>
          </w:tcPr>
          <w:p>
            <w:pPr>
              <w:jc w:val="center"/>
              <w:ind w:left="955"/>
              <w:spacing w:after="0"/>
              <w:rPr>
                <w:sz w:val="20"/>
                <w:szCs w:val="20"/>
                <w:color w:val="auto"/>
              </w:rPr>
            </w:pPr>
            <w:r>
              <w:rPr>
                <w:rFonts w:ascii="Arial" w:cs="Arial" w:eastAsia="Arial" w:hAnsi="Arial"/>
                <w:sz w:val="14"/>
                <w:szCs w:val="14"/>
                <w:b w:val="1"/>
                <w:bCs w:val="1"/>
                <w:color w:val="auto"/>
              </w:rPr>
              <w:t>(206) 221-8112</w:t>
            </w:r>
          </w:p>
        </w:tc>
        <w:tc>
          <w:tcPr>
            <w:tcW w:w="1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160" w:type="dxa"/>
            <w:vAlign w:val="bottom"/>
          </w:tcPr>
          <w:p>
            <w:pPr>
              <w:spacing w:after="0"/>
              <w:rPr>
                <w:sz w:val="12"/>
                <w:szCs w:val="12"/>
                <w:color w:val="auto"/>
              </w:rPr>
            </w:pPr>
          </w:p>
        </w:tc>
        <w:tc>
          <w:tcPr>
            <w:tcW w:w="5260" w:type="dxa"/>
            <w:vAlign w:val="bottom"/>
            <w:gridSpan w:val="3"/>
          </w:tcPr>
          <w:p>
            <w:pPr>
              <w:ind w:left="760"/>
              <w:spacing w:after="0"/>
              <w:rPr>
                <w:sz w:val="20"/>
                <w:szCs w:val="20"/>
                <w:color w:val="auto"/>
              </w:rPr>
            </w:pPr>
            <w:r>
              <w:rPr>
                <w:rFonts w:ascii="Arial" w:cs="Arial" w:eastAsia="Arial" w:hAnsi="Arial"/>
                <w:sz w:val="11"/>
                <w:szCs w:val="11"/>
                <w:b w:val="1"/>
                <w:bCs w:val="1"/>
                <w:color w:val="auto"/>
                <w:w w:val="84"/>
              </w:rPr>
              <w:t>(Name, address, including zip code, and telephone number, including area code, of agent for service)</w:t>
            </w: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080" w:type="dxa"/>
            <w:vAlign w:val="bottom"/>
            <w:tcBorders>
              <w:bottom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2160" w:type="dxa"/>
            <w:vAlign w:val="bottom"/>
            <w:vMerge w:val="restart"/>
          </w:tcPr>
          <w:p>
            <w:pPr>
              <w:jc w:val="center"/>
              <w:ind w:left="111"/>
              <w:spacing w:after="0"/>
              <w:rPr>
                <w:sz w:val="20"/>
                <w:szCs w:val="20"/>
                <w:color w:val="auto"/>
              </w:rPr>
            </w:pPr>
            <w:r>
              <w:rPr>
                <w:rFonts w:ascii="Arial" w:cs="Arial" w:eastAsia="Arial" w:hAnsi="Arial"/>
                <w:sz w:val="14"/>
                <w:szCs w:val="14"/>
                <w:b w:val="1"/>
                <w:bCs w:val="1"/>
                <w:color w:val="auto"/>
              </w:rPr>
              <w:t>Michael Nordtvedt</w:t>
            </w:r>
          </w:p>
        </w:tc>
        <w:tc>
          <w:tcPr>
            <w:tcW w:w="1060" w:type="dxa"/>
            <w:vAlign w:val="bottom"/>
          </w:tcPr>
          <w:p>
            <w:pPr>
              <w:spacing w:after="0"/>
              <w:rPr>
                <w:sz w:val="24"/>
                <w:szCs w:val="24"/>
                <w:color w:val="auto"/>
              </w:rPr>
            </w:pPr>
          </w:p>
        </w:tc>
        <w:tc>
          <w:tcPr>
            <w:tcW w:w="4200" w:type="dxa"/>
            <w:vAlign w:val="bottom"/>
            <w:gridSpan w:val="2"/>
          </w:tcPr>
          <w:p>
            <w:pPr>
              <w:ind w:left="1260"/>
              <w:spacing w:after="0"/>
              <w:rPr>
                <w:sz w:val="20"/>
                <w:szCs w:val="20"/>
                <w:color w:val="auto"/>
              </w:rPr>
            </w:pPr>
            <w:r>
              <w:rPr>
                <w:rFonts w:ascii="Arial" w:cs="Arial" w:eastAsia="Arial" w:hAnsi="Arial"/>
                <w:sz w:val="14"/>
                <w:szCs w:val="14"/>
                <w:b w:val="1"/>
                <w:bCs w:val="1"/>
                <w:i w:val="1"/>
                <w:iCs w:val="1"/>
                <w:color w:val="auto"/>
              </w:rPr>
              <w:t>Copies to:</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Charles S. Kim</w:t>
            </w:r>
          </w:p>
        </w:tc>
        <w:tc>
          <w:tcPr>
            <w:tcW w:w="0" w:type="dxa"/>
            <w:vAlign w:val="bottom"/>
          </w:tcPr>
          <w:p>
            <w:pPr>
              <w:spacing w:after="0"/>
              <w:rPr>
                <w:sz w:val="1"/>
                <w:szCs w:val="1"/>
                <w:color w:val="auto"/>
              </w:rPr>
            </w:pPr>
          </w:p>
        </w:tc>
      </w:tr>
      <w:tr>
        <w:trPr>
          <w:trHeight w:val="53"/>
        </w:trPr>
        <w:tc>
          <w:tcPr>
            <w:tcW w:w="21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160" w:type="dxa"/>
            <w:vAlign w:val="bottom"/>
          </w:tcPr>
          <w:p>
            <w:pPr>
              <w:jc w:val="center"/>
              <w:ind w:left="111"/>
              <w:spacing w:after="0"/>
              <w:rPr>
                <w:sz w:val="20"/>
                <w:szCs w:val="20"/>
                <w:color w:val="auto"/>
              </w:rPr>
            </w:pPr>
            <w:r>
              <w:rPr>
                <w:rFonts w:ascii="Arial" w:cs="Arial" w:eastAsia="Arial" w:hAnsi="Arial"/>
                <w:sz w:val="14"/>
                <w:szCs w:val="14"/>
                <w:b w:val="1"/>
                <w:bCs w:val="1"/>
                <w:color w:val="auto"/>
              </w:rPr>
              <w:t>Bryan D. King</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Alan D. Hambelton</w:t>
            </w:r>
          </w:p>
        </w:tc>
        <w:tc>
          <w:tcPr>
            <w:tcW w:w="0" w:type="dxa"/>
            <w:vAlign w:val="bottom"/>
          </w:tcPr>
          <w:p>
            <w:pPr>
              <w:spacing w:after="0"/>
              <w:rPr>
                <w:sz w:val="1"/>
                <w:szCs w:val="1"/>
                <w:color w:val="auto"/>
              </w:rPr>
            </w:pPr>
          </w:p>
        </w:tc>
      </w:tr>
      <w:tr>
        <w:trPr>
          <w:trHeight w:val="162"/>
        </w:trPr>
        <w:tc>
          <w:tcPr>
            <w:tcW w:w="2160" w:type="dxa"/>
            <w:vAlign w:val="bottom"/>
          </w:tcPr>
          <w:p>
            <w:pPr>
              <w:jc w:val="center"/>
              <w:ind w:left="111"/>
              <w:spacing w:after="0"/>
              <w:rPr>
                <w:sz w:val="20"/>
                <w:szCs w:val="20"/>
                <w:color w:val="auto"/>
              </w:rPr>
            </w:pPr>
            <w:r>
              <w:rPr>
                <w:rFonts w:ascii="Arial" w:cs="Arial" w:eastAsia="Arial" w:hAnsi="Arial"/>
                <w:sz w:val="14"/>
                <w:szCs w:val="14"/>
                <w:b w:val="1"/>
                <w:bCs w:val="1"/>
                <w:color w:val="auto"/>
              </w:rPr>
              <w:t>Donna Petkanics</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9"/>
              </w:rPr>
              <w:t>David Peinsipp</w:t>
            </w:r>
          </w:p>
        </w:tc>
        <w:tc>
          <w:tcPr>
            <w:tcW w:w="0" w:type="dxa"/>
            <w:vAlign w:val="bottom"/>
          </w:tcPr>
          <w:p>
            <w:pPr>
              <w:spacing w:after="0"/>
              <w:rPr>
                <w:sz w:val="1"/>
                <w:szCs w:val="1"/>
                <w:color w:val="auto"/>
              </w:rPr>
            </w:pPr>
          </w:p>
        </w:tc>
      </w:tr>
      <w:tr>
        <w:trPr>
          <w:trHeight w:val="162"/>
        </w:trPr>
        <w:tc>
          <w:tcPr>
            <w:tcW w:w="7420" w:type="dxa"/>
            <w:vAlign w:val="bottom"/>
            <w:gridSpan w:val="4"/>
          </w:tcPr>
          <w:p>
            <w:pPr>
              <w:jc w:val="center"/>
              <w:ind w:right="5100"/>
              <w:spacing w:after="0"/>
              <w:rPr>
                <w:sz w:val="20"/>
                <w:szCs w:val="20"/>
                <w:color w:val="auto"/>
              </w:rPr>
            </w:pPr>
            <w:r>
              <w:rPr>
                <w:rFonts w:ascii="Arial" w:cs="Arial" w:eastAsia="Arial" w:hAnsi="Arial"/>
                <w:sz w:val="14"/>
                <w:szCs w:val="14"/>
                <w:b w:val="1"/>
                <w:bCs w:val="1"/>
                <w:color w:val="auto"/>
              </w:rPr>
              <w:t>Wilson Sonsini Goodrich &amp; Rosati,</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Cooley LLP</w:t>
            </w:r>
          </w:p>
        </w:tc>
        <w:tc>
          <w:tcPr>
            <w:tcW w:w="0" w:type="dxa"/>
            <w:vAlign w:val="bottom"/>
          </w:tcPr>
          <w:p>
            <w:pPr>
              <w:spacing w:after="0"/>
              <w:rPr>
                <w:sz w:val="1"/>
                <w:szCs w:val="1"/>
                <w:color w:val="auto"/>
              </w:rPr>
            </w:pPr>
          </w:p>
        </w:tc>
      </w:tr>
      <w:tr>
        <w:trPr>
          <w:trHeight w:val="162"/>
        </w:trPr>
        <w:tc>
          <w:tcPr>
            <w:tcW w:w="2160" w:type="dxa"/>
            <w:vAlign w:val="bottom"/>
          </w:tcPr>
          <w:p>
            <w:pPr>
              <w:jc w:val="center"/>
              <w:ind w:left="91"/>
              <w:spacing w:after="0"/>
              <w:rPr>
                <w:sz w:val="20"/>
                <w:szCs w:val="20"/>
                <w:color w:val="auto"/>
              </w:rPr>
            </w:pPr>
            <w:r>
              <w:rPr>
                <w:rFonts w:ascii="Arial" w:cs="Arial" w:eastAsia="Arial" w:hAnsi="Arial"/>
                <w:sz w:val="14"/>
                <w:szCs w:val="14"/>
                <w:b w:val="1"/>
                <w:bCs w:val="1"/>
                <w:color w:val="auto"/>
                <w:w w:val="99"/>
              </w:rPr>
              <w:t>Professional Corporation</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1700 Seventh Avenue, Suite 1900</w:t>
            </w:r>
          </w:p>
        </w:tc>
        <w:tc>
          <w:tcPr>
            <w:tcW w:w="0" w:type="dxa"/>
            <w:vAlign w:val="bottom"/>
          </w:tcPr>
          <w:p>
            <w:pPr>
              <w:spacing w:after="0"/>
              <w:rPr>
                <w:sz w:val="1"/>
                <w:szCs w:val="1"/>
                <w:color w:val="auto"/>
              </w:rPr>
            </w:pPr>
          </w:p>
        </w:tc>
      </w:tr>
      <w:tr>
        <w:trPr>
          <w:trHeight w:val="162"/>
        </w:trPr>
        <w:tc>
          <w:tcPr>
            <w:tcW w:w="2160" w:type="dxa"/>
            <w:vAlign w:val="bottom"/>
          </w:tcPr>
          <w:p>
            <w:pPr>
              <w:jc w:val="center"/>
              <w:ind w:left="111"/>
              <w:spacing w:after="0"/>
              <w:rPr>
                <w:sz w:val="20"/>
                <w:szCs w:val="20"/>
                <w:color w:val="auto"/>
              </w:rPr>
            </w:pPr>
            <w:r>
              <w:rPr>
                <w:rFonts w:ascii="Arial" w:cs="Arial" w:eastAsia="Arial" w:hAnsi="Arial"/>
                <w:sz w:val="14"/>
                <w:szCs w:val="14"/>
                <w:b w:val="1"/>
                <w:bCs w:val="1"/>
                <w:color w:val="auto"/>
              </w:rPr>
              <w:t>701 Fifth Avenue, Suite 5100</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Seattle, WA 98101</w:t>
            </w:r>
          </w:p>
        </w:tc>
        <w:tc>
          <w:tcPr>
            <w:tcW w:w="0" w:type="dxa"/>
            <w:vAlign w:val="bottom"/>
          </w:tcPr>
          <w:p>
            <w:pPr>
              <w:spacing w:after="0"/>
              <w:rPr>
                <w:sz w:val="1"/>
                <w:szCs w:val="1"/>
                <w:color w:val="auto"/>
              </w:rPr>
            </w:pPr>
          </w:p>
        </w:tc>
      </w:tr>
      <w:tr>
        <w:trPr>
          <w:trHeight w:val="162"/>
        </w:trPr>
        <w:tc>
          <w:tcPr>
            <w:tcW w:w="2160" w:type="dxa"/>
            <w:vAlign w:val="bottom"/>
          </w:tcPr>
          <w:p>
            <w:pPr>
              <w:jc w:val="center"/>
              <w:ind w:left="111"/>
              <w:spacing w:after="0"/>
              <w:rPr>
                <w:sz w:val="20"/>
                <w:szCs w:val="20"/>
                <w:color w:val="auto"/>
              </w:rPr>
            </w:pPr>
            <w:r>
              <w:rPr>
                <w:rFonts w:ascii="Arial" w:cs="Arial" w:eastAsia="Arial" w:hAnsi="Arial"/>
                <w:sz w:val="14"/>
                <w:szCs w:val="14"/>
                <w:b w:val="1"/>
                <w:bCs w:val="1"/>
                <w:color w:val="auto"/>
                <w:w w:val="98"/>
              </w:rPr>
              <w:t>Seattle, WA 98104</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(206) 452-8700</w:t>
            </w:r>
          </w:p>
        </w:tc>
        <w:tc>
          <w:tcPr>
            <w:tcW w:w="0" w:type="dxa"/>
            <w:vAlign w:val="bottom"/>
          </w:tcPr>
          <w:p>
            <w:pPr>
              <w:spacing w:after="0"/>
              <w:rPr>
                <w:sz w:val="1"/>
                <w:szCs w:val="1"/>
                <w:color w:val="auto"/>
              </w:rPr>
            </w:pPr>
          </w:p>
        </w:tc>
      </w:tr>
      <w:tr>
        <w:trPr>
          <w:trHeight w:val="190"/>
        </w:trPr>
        <w:tc>
          <w:tcPr>
            <w:tcW w:w="2160" w:type="dxa"/>
            <w:vAlign w:val="bottom"/>
          </w:tcPr>
          <w:p>
            <w:pPr>
              <w:jc w:val="center"/>
              <w:ind w:left="91"/>
              <w:spacing w:after="0"/>
              <w:rPr>
                <w:sz w:val="20"/>
                <w:szCs w:val="20"/>
                <w:color w:val="auto"/>
              </w:rPr>
            </w:pPr>
            <w:r>
              <w:rPr>
                <w:rFonts w:ascii="Arial" w:cs="Arial" w:eastAsia="Arial" w:hAnsi="Arial"/>
                <w:sz w:val="14"/>
                <w:szCs w:val="14"/>
                <w:b w:val="1"/>
                <w:bCs w:val="1"/>
                <w:color w:val="auto"/>
              </w:rPr>
              <w:t>(206) 883-2500</w:t>
            </w:r>
          </w:p>
        </w:tc>
        <w:tc>
          <w:tcPr>
            <w:tcW w:w="10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50165</wp:posOffset>
            </wp:positionV>
            <wp:extent cx="1954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119" w:lineRule="exact"/>
        <w:rPr>
          <w:sz w:val="24"/>
          <w:szCs w:val="24"/>
          <w:color w:val="auto"/>
        </w:rPr>
      </w:pPr>
    </w:p>
    <w:p>
      <w:pPr>
        <w:ind w:left="52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23" w:lineRule="exact"/>
        <w:rPr>
          <w:sz w:val="24"/>
          <w:szCs w:val="24"/>
          <w:color w:val="auto"/>
        </w:rPr>
      </w:pPr>
    </w:p>
    <w:p>
      <w:pPr>
        <w:ind w:left="52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59" w:lineRule="exact"/>
        <w:rPr>
          <w:sz w:val="24"/>
          <w:szCs w:val="24"/>
          <w:color w:val="auto"/>
        </w:rPr>
      </w:pPr>
    </w:p>
    <w:p>
      <w:pPr>
        <w:ind w:right="120" w:firstLine="510"/>
        <w:spacing w:after="0" w:line="156"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right="360" w:firstLine="510"/>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0" w:lineRule="exact"/>
        <w:rPr>
          <w:sz w:val="24"/>
          <w:szCs w:val="24"/>
          <w:color w:val="auto"/>
        </w:rPr>
      </w:pPr>
    </w:p>
    <w:p>
      <w:pPr>
        <w:ind w:right="360" w:firstLine="510"/>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0" w:lineRule="exact"/>
        <w:rPr>
          <w:sz w:val="24"/>
          <w:szCs w:val="24"/>
          <w:color w:val="auto"/>
        </w:rPr>
      </w:pPr>
    </w:p>
    <w:p>
      <w:pPr>
        <w:ind w:right="20" w:firstLine="510"/>
        <w:spacing w:after="0" w:line="23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20"/>
                <w:szCs w:val="20"/>
                <w:color w:val="auto"/>
              </w:rPr>
            </w:pPr>
            <w:r>
              <w:rPr>
                <w:rFonts w:ascii="Arial" w:cs="Arial" w:eastAsia="Arial" w:hAnsi="Arial"/>
                <w:sz w:val="13"/>
                <w:szCs w:val="13"/>
                <w:b w:val="1"/>
                <w:bCs w:val="1"/>
                <w:color w:val="auto"/>
              </w:rPr>
              <w:t>Large accelerated filer</w:t>
            </w:r>
          </w:p>
        </w:tc>
        <w:tc>
          <w:tcPr>
            <w:tcW w:w="2980" w:type="dxa"/>
            <w:vAlign w:val="bottom"/>
          </w:tcPr>
          <w:p>
            <w:pPr>
              <w:ind w:left="940"/>
              <w:spacing w:after="0" w:line="131" w:lineRule="exact"/>
              <w:rPr>
                <w:sz w:val="20"/>
                <w:szCs w:val="20"/>
                <w:color w:val="auto"/>
              </w:rPr>
            </w:pPr>
            <w:r>
              <w:rPr>
                <w:rFonts w:ascii="MS PGothic" w:cs="MS PGothic" w:eastAsia="MS PGothic" w:hAnsi="MS PGothic"/>
                <w:sz w:val="13"/>
                <w:szCs w:val="13"/>
                <w:color w:val="auto"/>
              </w:rPr>
              <w:t>☐</w:t>
            </w:r>
          </w:p>
        </w:tc>
        <w:tc>
          <w:tcPr>
            <w:tcW w:w="4480" w:type="dxa"/>
            <w:vAlign w:val="bottom"/>
          </w:tcPr>
          <w:p>
            <w:pPr>
              <w:ind w:left="1960"/>
              <w:spacing w:after="0"/>
              <w:rPr>
                <w:sz w:val="20"/>
                <w:szCs w:val="20"/>
                <w:color w:val="auto"/>
              </w:rPr>
            </w:pPr>
            <w:r>
              <w:rPr>
                <w:rFonts w:ascii="Arial" w:cs="Arial" w:eastAsia="Arial" w:hAnsi="Arial"/>
                <w:sz w:val="13"/>
                <w:szCs w:val="13"/>
                <w:b w:val="1"/>
                <w:bCs w:val="1"/>
                <w:color w:val="auto"/>
              </w:rPr>
              <w:t>Accelerated filer</w:t>
            </w:r>
          </w:p>
        </w:tc>
        <w:tc>
          <w:tcPr>
            <w:tcW w:w="1040" w:type="dxa"/>
            <w:vAlign w:val="bottom"/>
          </w:tcPr>
          <w:p>
            <w:pPr>
              <w:ind w:left="9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48"/>
        </w:trPr>
        <w:tc>
          <w:tcPr>
            <w:tcW w:w="2540" w:type="dxa"/>
            <w:vAlign w:val="bottom"/>
          </w:tcPr>
          <w:p>
            <w:pPr>
              <w:spacing w:after="0"/>
              <w:rPr>
                <w:sz w:val="20"/>
                <w:szCs w:val="20"/>
                <w:color w:val="auto"/>
              </w:rPr>
            </w:pPr>
            <w:r>
              <w:rPr>
                <w:rFonts w:ascii="Arial" w:cs="Arial" w:eastAsia="Arial" w:hAnsi="Arial"/>
                <w:sz w:val="13"/>
                <w:szCs w:val="13"/>
                <w:b w:val="1"/>
                <w:bCs w:val="1"/>
                <w:color w:val="auto"/>
              </w:rPr>
              <w:t>Non-accelerated filer</w:t>
            </w:r>
          </w:p>
        </w:tc>
        <w:tc>
          <w:tcPr>
            <w:tcW w:w="2980" w:type="dxa"/>
            <w:vAlign w:val="bottom"/>
          </w:tcPr>
          <w:p>
            <w:pPr>
              <w:ind w:left="940"/>
              <w:spacing w:after="0" w:line="131" w:lineRule="exact"/>
              <w:rPr>
                <w:sz w:val="20"/>
                <w:szCs w:val="20"/>
                <w:color w:val="auto"/>
              </w:rPr>
            </w:pPr>
            <w:r>
              <w:rPr>
                <w:rFonts w:ascii="MS PGothic" w:cs="MS PGothic" w:eastAsia="MS PGothic" w:hAnsi="MS PGothic"/>
                <w:sz w:val="13"/>
                <w:szCs w:val="13"/>
                <w:color w:val="auto"/>
              </w:rPr>
              <w:t>☒</w:t>
            </w:r>
          </w:p>
        </w:tc>
        <w:tc>
          <w:tcPr>
            <w:tcW w:w="4480" w:type="dxa"/>
            <w:vAlign w:val="bottom"/>
          </w:tcPr>
          <w:p>
            <w:pPr>
              <w:ind w:left="1960"/>
              <w:spacing w:after="0"/>
              <w:rPr>
                <w:sz w:val="20"/>
                <w:szCs w:val="20"/>
                <w:color w:val="auto"/>
              </w:rPr>
            </w:pPr>
            <w:r>
              <w:rPr>
                <w:rFonts w:ascii="Arial" w:cs="Arial" w:eastAsia="Arial" w:hAnsi="Arial"/>
                <w:sz w:val="13"/>
                <w:szCs w:val="13"/>
                <w:b w:val="1"/>
                <w:bCs w:val="1"/>
                <w:color w:val="auto"/>
              </w:rPr>
              <w:t>Smaller reporting company</w:t>
            </w:r>
          </w:p>
        </w:tc>
        <w:tc>
          <w:tcPr>
            <w:tcW w:w="1040" w:type="dxa"/>
            <w:vAlign w:val="bottom"/>
          </w:tcPr>
          <w:p>
            <w:pPr>
              <w:ind w:left="9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99"/>
        </w:trPr>
        <w:tc>
          <w:tcPr>
            <w:tcW w:w="2540" w:type="dxa"/>
            <w:vAlign w:val="bottom"/>
          </w:tcPr>
          <w:p>
            <w:pPr>
              <w:spacing w:after="0"/>
              <w:rPr>
                <w:sz w:val="20"/>
                <w:szCs w:val="20"/>
                <w:color w:val="auto"/>
              </w:rPr>
            </w:pPr>
            <w:r>
              <w:rPr>
                <w:rFonts w:ascii="Arial" w:cs="Arial" w:eastAsia="Arial" w:hAnsi="Arial"/>
                <w:sz w:val="13"/>
                <w:szCs w:val="13"/>
                <w:b w:val="1"/>
                <w:bCs w:val="1"/>
                <w:color w:val="auto"/>
              </w:rPr>
              <w:t>Emerging growth company</w:t>
            </w:r>
          </w:p>
        </w:tc>
        <w:tc>
          <w:tcPr>
            <w:tcW w:w="2980" w:type="dxa"/>
            <w:vAlign w:val="bottom"/>
          </w:tcPr>
          <w:p>
            <w:pPr>
              <w:ind w:left="940"/>
              <w:spacing w:after="0" w:line="131" w:lineRule="exact"/>
              <w:rPr>
                <w:sz w:val="20"/>
                <w:szCs w:val="20"/>
                <w:color w:val="auto"/>
              </w:rPr>
            </w:pPr>
            <w:r>
              <w:rPr>
                <w:rFonts w:ascii="MS PGothic" w:cs="MS PGothic" w:eastAsia="MS PGothic" w:hAnsi="MS PGothic"/>
                <w:sz w:val="13"/>
                <w:szCs w:val="13"/>
                <w:color w:val="auto"/>
              </w:rPr>
              <w:t>☒</w:t>
            </w:r>
          </w:p>
        </w:tc>
        <w:tc>
          <w:tcPr>
            <w:tcW w:w="448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2211705</wp:posOffset>
            </wp:positionH>
            <wp:positionV relativeFrom="paragraph">
              <wp:posOffset>-282575</wp:posOffset>
            </wp:positionV>
            <wp:extent cx="60960" cy="61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960" cy="61595"/>
                    </a:xfrm>
                    <a:prstGeom prst="rect">
                      <a:avLst/>
                    </a:prstGeom>
                    <a:noFill/>
                  </pic:spPr>
                </pic:pic>
              </a:graphicData>
            </a:graphic>
          </wp:anchor>
        </w:drawing>
        <w:drawing>
          <wp:anchor simplePos="0" relativeHeight="251657728" behindDoc="1" locked="0" layoutInCell="0" allowOverlap="1">
            <wp:simplePos x="0" y="0"/>
            <wp:positionH relativeFrom="column">
              <wp:posOffset>6948170</wp:posOffset>
            </wp:positionH>
            <wp:positionV relativeFrom="paragraph">
              <wp:posOffset>-282575</wp:posOffset>
            </wp:positionV>
            <wp:extent cx="60960" cy="61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960" cy="61595"/>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-188595</wp:posOffset>
            </wp:positionV>
            <wp:extent cx="60960" cy="61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960" cy="61595"/>
                    </a:xfrm>
                    <a:prstGeom prst="rect">
                      <a:avLst/>
                    </a:prstGeom>
                    <a:noFill/>
                  </pic:spPr>
                </pic:pic>
              </a:graphicData>
            </a:graphic>
          </wp:anchor>
        </w:drawing>
        <w:drawing>
          <wp:anchor simplePos="0" relativeHeight="251657728" behindDoc="1" locked="0" layoutInCell="0" allowOverlap="1">
            <wp:simplePos x="0" y="0"/>
            <wp:positionH relativeFrom="column">
              <wp:posOffset>6948170</wp:posOffset>
            </wp:positionH>
            <wp:positionV relativeFrom="paragraph">
              <wp:posOffset>-188595</wp:posOffset>
            </wp:positionV>
            <wp:extent cx="60960" cy="61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960" cy="61595"/>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-93980</wp:posOffset>
            </wp:positionV>
            <wp:extent cx="60960" cy="61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960" cy="61595"/>
                    </a:xfrm>
                    <a:prstGeom prst="rect">
                      <a:avLst/>
                    </a:prstGeom>
                    <a:noFill/>
                  </pic:spPr>
                </pic:pic>
              </a:graphicData>
            </a:graphic>
          </wp:anchor>
        </w:drawing>
      </w:r>
    </w:p>
    <w:p>
      <w:pPr>
        <w:spacing w:after="0" w:line="41" w:lineRule="exact"/>
        <w:rPr>
          <w:sz w:val="24"/>
          <w:szCs w:val="24"/>
          <w:color w:val="auto"/>
        </w:rPr>
      </w:pPr>
    </w:p>
    <w:p>
      <w:pPr>
        <w:ind w:right="420" w:firstLine="51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40640</wp:posOffset>
            </wp:positionV>
            <wp:extent cx="1954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CALCULATION OF REGISTRATION FEE</w:t>
      </w:r>
    </w:p>
    <w:tbl>
      <w:tblPr>
        <w:tblLayout w:type="fixed"/>
        <w:tblInd w:w="0" w:type="dxa"/>
        <w:tblCellMar>
          <w:top w:w="0" w:type="dxa"/>
          <w:left w:w="0" w:type="dxa"/>
          <w:bottom w:w="0" w:type="dxa"/>
          <w:right w:w="0" w:type="dxa"/>
        </w:tblCellMar>
      </w:tblPr>
      <w:tr>
        <w:trPr>
          <w:trHeight w:val="248"/>
        </w:trPr>
        <w:tc>
          <w:tcPr>
            <w:tcW w:w="4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Title of Each Class of</w:t>
            </w:r>
          </w:p>
        </w:tc>
        <w:tc>
          <w:tcPr>
            <w:tcW w:w="3480" w:type="dxa"/>
            <w:vAlign w:val="bottom"/>
            <w:tcBorders>
              <w:top w:val="single" w:sz="8" w:color="auto"/>
              <w:right w:val="single" w:sz="8" w:color="auto"/>
            </w:tcBorders>
          </w:tcPr>
          <w:p>
            <w:pPr>
              <w:jc w:val="center"/>
              <w:ind w:left="26"/>
              <w:spacing w:after="0"/>
              <w:rPr>
                <w:sz w:val="20"/>
                <w:szCs w:val="20"/>
                <w:color w:val="auto"/>
              </w:rPr>
            </w:pPr>
            <w:r>
              <w:rPr>
                <w:rFonts w:ascii="Arial" w:cs="Arial" w:eastAsia="Arial" w:hAnsi="Arial"/>
                <w:sz w:val="11"/>
                <w:szCs w:val="11"/>
                <w:b w:val="1"/>
                <w:bCs w:val="1"/>
                <w:color w:val="auto"/>
                <w:w w:val="95"/>
              </w:rPr>
              <w:t>Proposed Maximum</w:t>
            </w:r>
          </w:p>
        </w:tc>
        <w:tc>
          <w:tcPr>
            <w:tcW w:w="3660" w:type="dxa"/>
            <w:vAlign w:val="bottom"/>
            <w:tcBorders>
              <w:top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4"/>
              </w:rPr>
              <w:t>Amount of</w:t>
            </w:r>
          </w:p>
        </w:tc>
      </w:tr>
      <w:tr>
        <w:trPr>
          <w:trHeight w:val="142"/>
        </w:trPr>
        <w:tc>
          <w:tcPr>
            <w:tcW w:w="41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Securities to Be Registered</w:t>
            </w:r>
          </w:p>
        </w:tc>
        <w:tc>
          <w:tcPr>
            <w:tcW w:w="3480" w:type="dxa"/>
            <w:vAlign w:val="bottom"/>
            <w:tcBorders>
              <w:right w:val="single" w:sz="8" w:color="auto"/>
            </w:tcBorders>
          </w:tcPr>
          <w:p>
            <w:pPr>
              <w:jc w:val="center"/>
              <w:ind w:left="26"/>
              <w:spacing w:after="0"/>
              <w:rPr>
                <w:sz w:val="20"/>
                <w:szCs w:val="20"/>
                <w:color w:val="auto"/>
              </w:rPr>
            </w:pPr>
            <w:r>
              <w:rPr>
                <w:rFonts w:ascii="Arial" w:cs="Arial" w:eastAsia="Arial" w:hAnsi="Arial"/>
                <w:sz w:val="11"/>
                <w:szCs w:val="11"/>
                <w:b w:val="1"/>
                <w:bCs w:val="1"/>
                <w:color w:val="auto"/>
                <w:w w:val="94"/>
              </w:rPr>
              <w:t>Aggregate Offering Price</w:t>
            </w:r>
            <w:r>
              <w:rPr>
                <w:rFonts w:ascii="Arial" w:cs="Arial" w:eastAsia="Arial" w:hAnsi="Arial"/>
                <w:sz w:val="9"/>
                <w:szCs w:val="9"/>
                <w:b w:val="1"/>
                <w:bCs w:val="1"/>
                <w:color w:val="auto"/>
                <w:w w:val="94"/>
              </w:rPr>
              <w:t>(1)(2)</w:t>
            </w:r>
          </w:p>
        </w:tc>
        <w:tc>
          <w:tcPr>
            <w:tcW w:w="3660" w:type="dxa"/>
            <w:vAlign w:val="bottom"/>
          </w:tcPr>
          <w:p>
            <w:pPr>
              <w:jc w:val="center"/>
              <w:ind w:left="206"/>
              <w:spacing w:after="0"/>
              <w:rPr>
                <w:sz w:val="20"/>
                <w:szCs w:val="20"/>
                <w:color w:val="auto"/>
              </w:rPr>
            </w:pPr>
            <w:r>
              <w:rPr>
                <w:rFonts w:ascii="Arial" w:cs="Arial" w:eastAsia="Arial" w:hAnsi="Arial"/>
                <w:sz w:val="11"/>
                <w:szCs w:val="11"/>
                <w:b w:val="1"/>
                <w:bCs w:val="1"/>
                <w:color w:val="auto"/>
                <w:w w:val="92"/>
              </w:rPr>
              <w:t>Registration Fee</w:t>
            </w:r>
          </w:p>
        </w:tc>
      </w:tr>
      <w:tr>
        <w:trPr>
          <w:trHeight w:val="116"/>
        </w:trPr>
        <w:tc>
          <w:tcPr>
            <w:tcW w:w="4100" w:type="dxa"/>
            <w:vAlign w:val="bottom"/>
            <w:tcBorders>
              <w:bottom w:val="single" w:sz="8" w:color="auto"/>
              <w:right w:val="single" w:sz="8" w:color="auto"/>
            </w:tcBorders>
          </w:tcPr>
          <w:p>
            <w:pPr>
              <w:spacing w:after="0"/>
              <w:rPr>
                <w:sz w:val="10"/>
                <w:szCs w:val="10"/>
                <w:color w:val="auto"/>
              </w:rPr>
            </w:pPr>
          </w:p>
        </w:tc>
        <w:tc>
          <w:tcPr>
            <w:tcW w:w="3480" w:type="dxa"/>
            <w:vAlign w:val="bottom"/>
            <w:tcBorders>
              <w:bottom w:val="single" w:sz="8" w:color="auto"/>
              <w:right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r>
      <w:tr>
        <w:trPr>
          <w:trHeight w:val="242"/>
        </w:trPr>
        <w:tc>
          <w:tcPr>
            <w:tcW w:w="41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Common Stock, $0.0001 par value</w:t>
            </w:r>
          </w:p>
        </w:tc>
        <w:tc>
          <w:tcPr>
            <w:tcW w:w="3480" w:type="dxa"/>
            <w:vAlign w:val="bottom"/>
            <w:tcBorders>
              <w:right w:val="single" w:sz="8" w:color="auto"/>
            </w:tcBorders>
          </w:tcPr>
          <w:p>
            <w:pPr>
              <w:jc w:val="right"/>
              <w:ind w:right="2686"/>
              <w:spacing w:after="0"/>
              <w:rPr>
                <w:sz w:val="20"/>
                <w:szCs w:val="20"/>
                <w:color w:val="auto"/>
              </w:rPr>
            </w:pPr>
            <w:r>
              <w:rPr>
                <w:rFonts w:ascii="Arial" w:cs="Arial" w:eastAsia="Arial" w:hAnsi="Arial"/>
                <w:sz w:val="11"/>
                <w:szCs w:val="11"/>
                <w:color w:val="auto"/>
              </w:rPr>
              <w:t>$100,000,000</w:t>
            </w:r>
          </w:p>
        </w:tc>
        <w:tc>
          <w:tcPr>
            <w:tcW w:w="3660" w:type="dxa"/>
            <w:vAlign w:val="bottom"/>
          </w:tcPr>
          <w:p>
            <w:pPr>
              <w:jc w:val="right"/>
              <w:ind w:right="2966"/>
              <w:spacing w:after="0"/>
              <w:rPr>
                <w:sz w:val="20"/>
                <w:szCs w:val="20"/>
                <w:color w:val="auto"/>
              </w:rPr>
            </w:pPr>
            <w:r>
              <w:rPr>
                <w:rFonts w:ascii="Arial" w:cs="Arial" w:eastAsia="Arial" w:hAnsi="Arial"/>
                <w:sz w:val="11"/>
                <w:szCs w:val="11"/>
                <w:color w:val="auto"/>
              </w:rPr>
              <w:t>$12,980</w:t>
            </w:r>
          </w:p>
        </w:tc>
      </w:tr>
      <w:tr>
        <w:trPr>
          <w:trHeight w:val="116"/>
        </w:trPr>
        <w:tc>
          <w:tcPr>
            <w:tcW w:w="4100" w:type="dxa"/>
            <w:vAlign w:val="bottom"/>
            <w:tcBorders>
              <w:bottom w:val="single" w:sz="8" w:color="auto"/>
              <w:right w:val="single" w:sz="8" w:color="auto"/>
            </w:tcBorders>
          </w:tcPr>
          <w:p>
            <w:pPr>
              <w:spacing w:after="0"/>
              <w:rPr>
                <w:sz w:val="10"/>
                <w:szCs w:val="10"/>
                <w:color w:val="auto"/>
              </w:rPr>
            </w:pPr>
          </w:p>
        </w:tc>
        <w:tc>
          <w:tcPr>
            <w:tcW w:w="3480" w:type="dxa"/>
            <w:vAlign w:val="bottom"/>
            <w:tcBorders>
              <w:bottom w:val="single" w:sz="8" w:color="auto"/>
              <w:right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bl>
    <w:p>
      <w:pPr>
        <w:spacing w:after="0" w:line="75"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proposed maximum aggregate offering price includes the offering price of additional shares that the underwriters have the option to purchase.</w:t>
      </w:r>
    </w:p>
    <w:p>
      <w:pPr>
        <w:spacing w:after="0" w:line="26" w:lineRule="exact"/>
        <w:rPr>
          <w:rFonts w:ascii="Arial" w:cs="Arial" w:eastAsia="Arial" w:hAnsi="Arial"/>
          <w:sz w:val="13"/>
          <w:szCs w:val="13"/>
          <w:color w:val="auto"/>
        </w:rPr>
      </w:pPr>
    </w:p>
    <w:p>
      <w:pPr>
        <w:ind w:left="500" w:hanging="492"/>
        <w:spacing w:after="0"/>
        <w:tabs>
          <w:tab w:leader="none" w:pos="50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computing the amount of the registration fee pursuant to Rule 457(o) under the Securities Act of 1933, as amended.</w:t>
      </w:r>
    </w:p>
    <w:p>
      <w:pPr>
        <w:spacing w:after="0" w:line="51" w:lineRule="exact"/>
        <w:rPr>
          <w:sz w:val="24"/>
          <w:szCs w:val="24"/>
          <w:color w:val="auto"/>
        </w:rPr>
      </w:pPr>
    </w:p>
    <w:p>
      <w:pPr>
        <w:ind w:right="60" w:firstLine="510"/>
        <w:spacing w:after="0" w:line="234"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ind w:right="40"/>
        <w:spacing w:after="0" w:line="219" w:lineRule="auto"/>
        <w:rPr>
          <w:sz w:val="20"/>
          <w:szCs w:val="20"/>
          <w:color w:val="auto"/>
        </w:rPr>
      </w:pPr>
      <w:r>
        <w:rPr>
          <w:rFonts w:ascii="Arial" w:cs="Arial" w:eastAsia="Arial" w:hAnsi="Arial"/>
          <w:sz w:val="18"/>
          <w:szCs w:val="18"/>
          <w:color w:val="C00000"/>
        </w:rPr>
        <w:t>The information contained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C00000"/>
        </w:rPr>
        <w:t>Subject to Completion, Dated August 26, 2020</w:t>
      </w:r>
    </w:p>
    <w:p>
      <w:pPr>
        <w:spacing w:after="0" w:line="146" w:lineRule="exact"/>
        <w:rPr>
          <w:sz w:val="20"/>
          <w:szCs w:val="20"/>
          <w:color w:val="auto"/>
        </w:rPr>
      </w:pPr>
    </w:p>
    <w:p>
      <w:pPr>
        <w:ind w:left="586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90805</wp:posOffset>
            </wp:positionV>
            <wp:extent cx="2717165" cy="1345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17165"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1" w:lineRule="exact"/>
        <w:rPr>
          <w:sz w:val="20"/>
          <w:szCs w:val="20"/>
          <w:color w:val="auto"/>
        </w:rPr>
      </w:pPr>
    </w:p>
    <w:p>
      <w:pPr>
        <w:ind w:left="540"/>
        <w:spacing w:after="0"/>
        <w:tabs>
          <w:tab w:leader="none" w:pos="8840" w:val="left"/>
        </w:tabs>
        <w:rPr>
          <w:sz w:val="20"/>
          <w:szCs w:val="20"/>
          <w:color w:val="auto"/>
        </w:rPr>
      </w:pPr>
      <w:r>
        <w:rPr>
          <w:rFonts w:ascii="Arial" w:cs="Arial" w:eastAsia="Arial" w:hAnsi="Arial"/>
          <w:sz w:val="18"/>
          <w:szCs w:val="18"/>
          <w:color w:val="auto"/>
        </w:rPr>
        <w:t>This is the initial public offering of shares of common stock of Athira Pharma, Inc. We are offering</w:t>
      </w:r>
      <w:r>
        <w:rPr>
          <w:sz w:val="20"/>
          <w:szCs w:val="20"/>
          <w:color w:val="auto"/>
        </w:rPr>
        <w:tab/>
      </w:r>
      <w:r>
        <w:rPr>
          <w:rFonts w:ascii="Arial" w:cs="Arial" w:eastAsia="Arial" w:hAnsi="Arial"/>
          <w:sz w:val="17"/>
          <w:szCs w:val="17"/>
          <w:color w:val="auto"/>
        </w:rPr>
        <w:t>shares of common stock.</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Prior to this offering, there has been no public market for our common stock. It is currently estimated that the initial public offering price</w:t>
      </w:r>
    </w:p>
    <w:p>
      <w:pPr>
        <w:spacing w:after="0"/>
        <w:tabs>
          <w:tab w:leader="none" w:pos="1860" w:val="left"/>
          <w:tab w:leader="none" w:pos="2860" w:val="left"/>
        </w:tabs>
        <w:rPr>
          <w:sz w:val="20"/>
          <w:szCs w:val="20"/>
          <w:color w:val="auto"/>
        </w:rPr>
      </w:pPr>
      <w:r>
        <w:rPr>
          <w:rFonts w:ascii="Arial" w:cs="Arial" w:eastAsia="Arial" w:hAnsi="Arial"/>
          <w:sz w:val="18"/>
          <w:szCs w:val="18"/>
          <w:color w:val="auto"/>
        </w:rPr>
        <w:t>will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8"/>
          <w:szCs w:val="18"/>
          <w:color w:val="auto"/>
        </w:rPr>
        <w:t>per share.</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have applied to list our common stock on the Nasdaq Global Market under the symbol “ATHA.”</w:t>
      </w:r>
    </w:p>
    <w:p>
      <w:pPr>
        <w:spacing w:after="0" w:line="212" w:lineRule="exact"/>
        <w:rPr>
          <w:sz w:val="20"/>
          <w:szCs w:val="20"/>
          <w:color w:val="auto"/>
        </w:rPr>
      </w:pPr>
    </w:p>
    <w:p>
      <w:pPr>
        <w:ind w:right="120" w:firstLine="535"/>
        <w:spacing w:after="0" w:line="246" w:lineRule="auto"/>
        <w:rPr>
          <w:sz w:val="20"/>
          <w:szCs w:val="20"/>
          <w:color w:val="auto"/>
        </w:rPr>
      </w:pPr>
      <w:r>
        <w:rPr>
          <w:rFonts w:ascii="Arial" w:cs="Arial" w:eastAsia="Arial" w:hAnsi="Arial"/>
          <w:sz w:val="18"/>
          <w:szCs w:val="18"/>
          <w:color w:val="auto"/>
        </w:rPr>
        <w:t>We are an “emerging growth company” as defined under the federal securities laws and, as such, have elected to comply with certain reduced public company reporting requirements in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3" w:lineRule="exact"/>
        <w:rPr>
          <w:sz w:val="20"/>
          <w:szCs w:val="20"/>
          <w:color w:val="auto"/>
        </w:rPr>
      </w:pPr>
    </w:p>
    <w:p>
      <w:pPr>
        <w:ind w:right="560" w:firstLine="535"/>
        <w:spacing w:after="0" w:line="267" w:lineRule="auto"/>
        <w:rPr>
          <w:sz w:val="20"/>
          <w:szCs w:val="20"/>
          <w:color w:val="auto"/>
        </w:rPr>
      </w:pPr>
      <w:r>
        <w:rPr>
          <w:rFonts w:ascii="Arial" w:cs="Arial" w:eastAsia="Arial" w:hAnsi="Arial"/>
          <w:sz w:val="18"/>
          <w:szCs w:val="18"/>
          <w:i w:val="1"/>
          <w:iCs w:val="1"/>
          <w:color w:val="auto"/>
        </w:rPr>
        <w:t>See the section titled “</w:t>
      </w:r>
      <w:r>
        <w:rPr>
          <w:rFonts w:ascii="Arial" w:cs="Arial" w:eastAsia="Arial" w:hAnsi="Arial"/>
          <w:sz w:val="18"/>
          <w:szCs w:val="18"/>
          <w:i w:val="1"/>
          <w:iCs w:val="1"/>
          <w:u w:val="single" w:color="auto"/>
          <w:color w:val="auto"/>
        </w:rPr>
        <w:t>Risk Factors</w:t>
      </w:r>
      <w:r>
        <w:rPr>
          <w:rFonts w:ascii="Arial" w:cs="Arial" w:eastAsia="Arial" w:hAnsi="Arial"/>
          <w:sz w:val="18"/>
          <w:szCs w:val="18"/>
          <w:i w:val="1"/>
          <w:iCs w:val="1"/>
          <w:color w:val="auto"/>
        </w:rPr>
        <w:t>” beginning on page 16 to read about factors you should consider before deciding to invest in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jc w:val="both"/>
        <w:ind w:right="500" w:firstLine="535"/>
        <w:spacing w:after="0" w:line="253"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00" w:type="dxa"/>
            <w:vAlign w:val="bottom"/>
          </w:tcPr>
          <w:p>
            <w:pPr>
              <w:spacing w:after="0"/>
              <w:rPr>
                <w:sz w:val="18"/>
                <w:szCs w:val="18"/>
                <w:color w:val="auto"/>
              </w:rPr>
            </w:pPr>
          </w:p>
        </w:tc>
        <w:tc>
          <w:tcPr>
            <w:tcW w:w="1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Per Share</w:t>
            </w: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Total</w:t>
            </w:r>
          </w:p>
        </w:tc>
      </w:tr>
      <w:tr>
        <w:trPr>
          <w:trHeight w:val="209"/>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Initial public offering price</w:t>
            </w:r>
          </w:p>
        </w:tc>
        <w:tc>
          <w:tcPr>
            <w:tcW w:w="1580" w:type="dxa"/>
            <w:vAlign w:val="bottom"/>
            <w:shd w:val="clear" w:color="auto" w:fill="CFF0FC"/>
          </w:tcPr>
          <w:p>
            <w:pPr>
              <w:jc w:val="right"/>
              <w:ind w:right="139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1350"/>
              <w:spacing w:after="0"/>
              <w:rPr>
                <w:sz w:val="20"/>
                <w:szCs w:val="20"/>
                <w:color w:val="auto"/>
              </w:rPr>
            </w:pPr>
            <w:r>
              <w:rPr>
                <w:rFonts w:ascii="Arial" w:cs="Arial" w:eastAsia="Arial" w:hAnsi="Arial"/>
                <w:sz w:val="18"/>
                <w:szCs w:val="18"/>
                <w:color w:val="auto"/>
                <w:w w:val="79"/>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1580" w:type="dxa"/>
            <w:vAlign w:val="bottom"/>
          </w:tcPr>
          <w:p>
            <w:pPr>
              <w:jc w:val="right"/>
              <w:ind w:right="139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35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Proceeds, before expenses, to Athira Pharma, Inc.</w:t>
            </w:r>
          </w:p>
        </w:tc>
        <w:tc>
          <w:tcPr>
            <w:tcW w:w="1580" w:type="dxa"/>
            <w:vAlign w:val="bottom"/>
            <w:shd w:val="clear" w:color="auto" w:fill="CFF0FC"/>
          </w:tcPr>
          <w:p>
            <w:pPr>
              <w:jc w:val="right"/>
              <w:ind w:right="139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FF0FC"/>
          </w:tcPr>
          <w:p>
            <w:pPr>
              <w:jc w:val="right"/>
              <w:ind w:right="135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198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pacing w:after="0" w:line="174"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the section titled “Underwriting” for a description of the compensation payable to the underwriters.</w:t>
      </w:r>
    </w:p>
    <w:p>
      <w:pPr>
        <w:spacing w:after="0" w:line="144" w:lineRule="exact"/>
        <w:rPr>
          <w:sz w:val="20"/>
          <w:szCs w:val="20"/>
          <w:color w:val="auto"/>
        </w:rPr>
      </w:pPr>
    </w:p>
    <w:p>
      <w:pPr>
        <w:ind w:right="200" w:firstLine="535"/>
        <w:spacing w:after="0" w:line="246" w:lineRule="auto"/>
        <w:rPr>
          <w:sz w:val="20"/>
          <w:szCs w:val="20"/>
          <w:color w:val="auto"/>
        </w:rPr>
      </w:pPr>
      <w:r>
        <w:rPr>
          <w:rFonts w:ascii="Arial" w:cs="Arial" w:eastAsia="Arial" w:hAnsi="Arial"/>
          <w:sz w:val="18"/>
          <w:szCs w:val="18"/>
          <w:color w:val="auto"/>
        </w:rPr>
        <w:t>To the extent that the underwriters sell more than shares of common stock, the underwriters have an option to purchase up to an additional shares from us at the initial public offering price, less the underwriting discounts and commissions.</w:t>
      </w:r>
    </w:p>
    <w:p>
      <w:pPr>
        <w:sectPr>
          <w:pgSz w:w="11900" w:h="16838" w:orient="portrait"/>
          <w:cols w:equalWidth="0" w:num="1">
            <w:col w:w="11260"/>
          </w:cols>
          <w:pgMar w:left="320" w:top="125" w:right="319" w:bottom="1440" w:gutter="0" w:footer="0" w:header="0"/>
        </w:sectPr>
      </w:pPr>
    </w:p>
    <w:p>
      <w:pPr>
        <w:spacing w:after="0" w:line="12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underwriters expect to deliver the shares against payment in New York, New York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 2020.</w:t>
      </w:r>
    </w:p>
    <w:p>
      <w:pPr>
        <w:spacing w:after="0" w:line="193" w:lineRule="exact"/>
        <w:rPr>
          <w:sz w:val="20"/>
          <w:szCs w:val="20"/>
          <w:color w:val="auto"/>
        </w:rPr>
      </w:pPr>
    </w:p>
    <w:p>
      <w:pPr>
        <w:sectPr>
          <w:pgSz w:w="11900" w:h="16838" w:orient="portrait"/>
          <w:cols w:equalWidth="0" w:num="2">
            <w:col w:w="7640" w:space="400"/>
            <w:col w:w="3220"/>
          </w:cols>
          <w:pgMar w:left="32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336"/>
        </w:trPr>
        <w:tc>
          <w:tcPr>
            <w:tcW w:w="3760" w:type="dxa"/>
            <w:vAlign w:val="bottom"/>
          </w:tcPr>
          <w:p>
            <w:pPr>
              <w:spacing w:after="0"/>
              <w:rPr>
                <w:sz w:val="20"/>
                <w:szCs w:val="20"/>
                <w:color w:val="auto"/>
              </w:rPr>
            </w:pPr>
            <w:r>
              <w:rPr>
                <w:rFonts w:ascii="Arial" w:cs="Arial" w:eastAsia="Arial" w:hAnsi="Arial"/>
                <w:sz w:val="25"/>
                <w:szCs w:val="25"/>
                <w:b w:val="1"/>
                <w:bCs w:val="1"/>
                <w:color w:val="auto"/>
              </w:rPr>
              <w:t>Goldman Sachs &amp; Co. LLC</w:t>
            </w:r>
          </w:p>
        </w:tc>
        <w:tc>
          <w:tcPr>
            <w:tcW w:w="2660" w:type="dxa"/>
            <w:vAlign w:val="bottom"/>
          </w:tcPr>
          <w:p>
            <w:pPr>
              <w:jc w:val="center"/>
              <w:ind w:left="972"/>
              <w:spacing w:after="0"/>
              <w:rPr>
                <w:sz w:val="20"/>
                <w:szCs w:val="20"/>
                <w:color w:val="auto"/>
              </w:rPr>
            </w:pPr>
            <w:r>
              <w:rPr>
                <w:rFonts w:ascii="Arial" w:cs="Arial" w:eastAsia="Arial" w:hAnsi="Arial"/>
                <w:sz w:val="25"/>
                <w:szCs w:val="25"/>
                <w:b w:val="1"/>
                <w:bCs w:val="1"/>
                <w:color w:val="auto"/>
                <w:w w:val="99"/>
              </w:rPr>
              <w:t>Jefferies</w:t>
            </w:r>
          </w:p>
        </w:tc>
        <w:tc>
          <w:tcPr>
            <w:tcW w:w="4840" w:type="dxa"/>
            <w:vAlign w:val="bottom"/>
          </w:tcPr>
          <w:p>
            <w:pPr>
              <w:jc w:val="right"/>
              <w:spacing w:after="0"/>
              <w:rPr>
                <w:sz w:val="20"/>
                <w:szCs w:val="20"/>
                <w:color w:val="auto"/>
              </w:rPr>
            </w:pPr>
            <w:r>
              <w:rPr>
                <w:rFonts w:ascii="Arial" w:cs="Arial" w:eastAsia="Arial" w:hAnsi="Arial"/>
                <w:sz w:val="25"/>
                <w:szCs w:val="25"/>
                <w:b w:val="1"/>
                <w:bCs w:val="1"/>
                <w:color w:val="auto"/>
              </w:rPr>
              <w:t>Stifel</w:t>
            </w:r>
          </w:p>
        </w:tc>
      </w:tr>
      <w:tr>
        <w:trPr>
          <w:trHeight w:val="339"/>
        </w:trPr>
        <w:tc>
          <w:tcPr>
            <w:tcW w:w="3760" w:type="dxa"/>
            <w:vAlign w:val="bottom"/>
          </w:tcPr>
          <w:p>
            <w:pPr>
              <w:spacing w:after="0"/>
              <w:rPr>
                <w:sz w:val="24"/>
                <w:szCs w:val="24"/>
                <w:color w:val="auto"/>
              </w:rPr>
            </w:pPr>
          </w:p>
        </w:tc>
        <w:tc>
          <w:tcPr>
            <w:tcW w:w="2660" w:type="dxa"/>
            <w:vAlign w:val="bottom"/>
          </w:tcPr>
          <w:p>
            <w:pPr>
              <w:jc w:val="center"/>
              <w:ind w:left="972"/>
              <w:spacing w:after="0"/>
              <w:rPr>
                <w:sz w:val="20"/>
                <w:szCs w:val="20"/>
                <w:color w:val="auto"/>
              </w:rPr>
            </w:pPr>
            <w:r>
              <w:rPr>
                <w:rFonts w:ascii="Arial" w:cs="Arial" w:eastAsia="Arial" w:hAnsi="Arial"/>
                <w:sz w:val="22"/>
                <w:szCs w:val="22"/>
                <w:b w:val="1"/>
                <w:bCs w:val="1"/>
                <w:color w:val="auto"/>
                <w:w w:val="98"/>
              </w:rPr>
              <w:t>JMP Securities</w:t>
            </w:r>
          </w:p>
        </w:tc>
        <w:tc>
          <w:tcPr>
            <w:tcW w:w="4840" w:type="dxa"/>
            <w:vAlign w:val="bottom"/>
          </w:tcPr>
          <w:p>
            <w:pPr>
              <w:spacing w:after="0"/>
              <w:rPr>
                <w:sz w:val="24"/>
                <w:szCs w:val="24"/>
                <w:color w:val="auto"/>
              </w:rPr>
            </w:pPr>
          </w:p>
        </w:tc>
      </w:tr>
      <w:tr>
        <w:trPr>
          <w:trHeight w:val="463"/>
        </w:trPr>
        <w:tc>
          <w:tcPr>
            <w:tcW w:w="3760" w:type="dxa"/>
            <w:vAlign w:val="bottom"/>
          </w:tcPr>
          <w:p>
            <w:pPr>
              <w:spacing w:after="0"/>
              <w:rPr>
                <w:sz w:val="24"/>
                <w:szCs w:val="24"/>
                <w:color w:val="auto"/>
              </w:rPr>
            </w:pPr>
          </w:p>
        </w:tc>
        <w:tc>
          <w:tcPr>
            <w:tcW w:w="2660" w:type="dxa"/>
            <w:vAlign w:val="bottom"/>
          </w:tcPr>
          <w:p>
            <w:pPr>
              <w:ind w:left="560"/>
              <w:spacing w:after="0"/>
              <w:rPr>
                <w:sz w:val="20"/>
                <w:szCs w:val="20"/>
                <w:color w:val="auto"/>
              </w:rPr>
            </w:pPr>
            <w:r>
              <w:rPr>
                <w:rFonts w:ascii="Arial" w:cs="Arial" w:eastAsia="Arial" w:hAnsi="Arial"/>
                <w:sz w:val="18"/>
                <w:szCs w:val="18"/>
                <w:color w:val="auto"/>
              </w:rPr>
              <w:t>Prospectus dated</w:t>
            </w:r>
          </w:p>
        </w:tc>
        <w:tc>
          <w:tcPr>
            <w:tcW w:w="4840" w:type="dxa"/>
            <w:vAlign w:val="bottom"/>
          </w:tcPr>
          <w:p>
            <w:pPr>
              <w:jc w:val="right"/>
              <w:ind w:right="4232"/>
              <w:spacing w:after="0"/>
              <w:rPr>
                <w:sz w:val="20"/>
                <w:szCs w:val="20"/>
                <w:color w:val="auto"/>
              </w:rPr>
            </w:pPr>
            <w:r>
              <w:rPr>
                <w:rFonts w:ascii="Arial" w:cs="Arial" w:eastAsia="Arial" w:hAnsi="Arial"/>
                <w:sz w:val="18"/>
                <w:szCs w:val="18"/>
                <w:color w:val="auto"/>
                <w:w w:val="95"/>
              </w:rPr>
              <w:t>, 2020</w:t>
            </w:r>
          </w:p>
        </w:tc>
      </w:tr>
      <w:tr>
        <w:trPr>
          <w:trHeight w:val="952"/>
        </w:trPr>
        <w:tc>
          <w:tcPr>
            <w:tcW w:w="37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4360" w:type="dxa"/>
            <w:vAlign w:val="bottom"/>
          </w:tcPr>
          <w:p>
            <w:pPr>
              <w:spacing w:after="0"/>
              <w:rPr>
                <w:sz w:val="20"/>
                <w:szCs w:val="20"/>
                <w:color w:val="auto"/>
              </w:rPr>
            </w:pPr>
          </w:p>
        </w:tc>
        <w:tc>
          <w:tcPr>
            <w:tcW w:w="5940" w:type="dxa"/>
            <w:vAlign w:val="bottom"/>
            <w:gridSpan w:val="2"/>
          </w:tcPr>
          <w:p>
            <w:pPr>
              <w:ind w:left="300"/>
              <w:spacing w:after="0"/>
              <w:rPr>
                <w:sz w:val="20"/>
                <w:szCs w:val="20"/>
                <w:color w:val="auto"/>
              </w:rPr>
            </w:pPr>
            <w:r>
              <w:rPr>
                <w:rFonts w:ascii="Arial" w:cs="Arial" w:eastAsia="Arial" w:hAnsi="Arial"/>
                <w:sz w:val="18"/>
                <w:szCs w:val="18"/>
                <w:b w:val="1"/>
                <w:bCs w:val="1"/>
                <w:color w:val="auto"/>
              </w:rPr>
              <w:t>TABLE OF CONTENTS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0300" w:type="dxa"/>
            <w:vAlign w:val="bottom"/>
            <w:gridSpan w:val="3"/>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Summary</w:t>
              </w:r>
            </w:hyperlink>
          </w:p>
        </w:tc>
        <w:tc>
          <w:tcPr>
            <w:tcW w:w="9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10300" w:type="dxa"/>
            <w:vAlign w:val="bottom"/>
            <w:gridSpan w:val="3"/>
            <w:vMerge w:val="continue"/>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Risk Factors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Special Note Regarding Forward-Looking Statements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Market, Industry and Other Data</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Use of Proceeds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Dividend Policy</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Capitalization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Dilution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Selected Financial Data</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Management’s Discussion and Analysis of Financial Condition and Results of Operations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Business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Management</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Executive Compensation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80">
              <w:r>
                <w:rPr>
                  <w:rFonts w:ascii="Arial" w:cs="Arial" w:eastAsia="Arial" w:hAnsi="Arial"/>
                  <w:sz w:val="18"/>
                  <w:szCs w:val="18"/>
                  <w:u w:val="single" w:color="auto"/>
                  <w:color w:val="0000EE"/>
                </w:rPr>
                <w:t>Certain Relationships and Related Party Transactions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Principal Stockholders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Description of Capital Stock</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92">
              <w:r>
                <w:rPr>
                  <w:rFonts w:ascii="Arial" w:cs="Arial" w:eastAsia="Arial" w:hAnsi="Arial"/>
                  <w:sz w:val="18"/>
                  <w:szCs w:val="18"/>
                  <w:u w:val="single" w:color="auto"/>
                  <w:color w:val="0000EE"/>
                </w:rPr>
                <w:t>Shares Eligible for Future Sale</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Material U.S. Federal Income and Estate Tax Consequences for Non-U.S. Holders of Common Stock</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Underwriting</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Legal Matters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Experts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Where You Can Find Additional Information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10300" w:type="dxa"/>
            <w:vAlign w:val="bottom"/>
            <w:gridSpan w:val="3"/>
          </w:tcPr>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Index to Financial Statements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40" w:firstLine="501"/>
        <w:spacing w:after="0" w:line="253" w:lineRule="auto"/>
        <w:rPr>
          <w:sz w:val="20"/>
          <w:szCs w:val="20"/>
          <w:color w:val="auto"/>
        </w:rPr>
      </w:pPr>
      <w:r>
        <w:rPr>
          <w:rFonts w:ascii="Arial" w:cs="Arial" w:eastAsia="Arial" w:hAnsi="Arial"/>
          <w:sz w:val="18"/>
          <w:szCs w:val="18"/>
          <w:b w:val="1"/>
          <w:bCs w:val="1"/>
          <w:color w:val="auto"/>
        </w:rPr>
        <w:t>Through and including , 2020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91" w:lineRule="exact"/>
        <w:rPr>
          <w:sz w:val="20"/>
          <w:szCs w:val="20"/>
          <w:color w:val="auto"/>
        </w:rPr>
      </w:pPr>
    </w:p>
    <w:p>
      <w:pPr>
        <w:ind w:right="140" w:firstLine="501"/>
        <w:spacing w:after="0" w:line="237" w:lineRule="auto"/>
        <w:rPr>
          <w:sz w:val="20"/>
          <w:szCs w:val="20"/>
          <w:color w:val="auto"/>
        </w:rPr>
      </w:pPr>
      <w:r>
        <w:rPr>
          <w:rFonts w:ascii="Arial" w:cs="Arial" w:eastAsia="Arial" w:hAnsi="Arial"/>
          <w:sz w:val="18"/>
          <w:szCs w:val="18"/>
          <w:color w:val="auto"/>
        </w:rPr>
        <w:t>You should rely only on the information contained in this prospectus and any free writing prospectus prepared by or on behalf of us or to which we have referred you. Neither we nor any of the underwriters have authorized anyone to provide you with information that is different. This prospectus is an offer to sell only the securities offered hereby and only under circumstances and in jurisdictions where it is lawful to do so. The information contained in this prospectus is accurate only as of the date of this prospectus, regardless of the time of delivery of this prospectus or of any sale of the securities offered hereby. Our business, financial condition, results of operations and prospects may have changed since that date.</w:t>
      </w:r>
    </w:p>
    <w:p>
      <w:pPr>
        <w:spacing w:after="0" w:line="205" w:lineRule="exact"/>
        <w:rPr>
          <w:sz w:val="20"/>
          <w:szCs w:val="20"/>
          <w:color w:val="auto"/>
        </w:rPr>
      </w:pPr>
    </w:p>
    <w:p>
      <w:pPr>
        <w:ind w:right="560" w:firstLine="602"/>
        <w:spacing w:after="0" w:line="238" w:lineRule="auto"/>
        <w:rPr>
          <w:sz w:val="20"/>
          <w:szCs w:val="20"/>
          <w:color w:val="auto"/>
        </w:rPr>
      </w:pPr>
      <w:r>
        <w:rPr>
          <w:rFonts w:ascii="Arial" w:cs="Arial" w:eastAsia="Arial" w:hAnsi="Arial"/>
          <w:sz w:val="18"/>
          <w:szCs w:val="18"/>
          <w:color w:val="auto"/>
        </w:rPr>
        <w:t>Neither we nor any of the underwriters have taken any action that would permit this offering or possession or distribution of this prospectus in any jurisdiction where action for that purpose is required, other than in the United States. Persons who have come into possession of this prospectus in a jurisdiction outside the United States are required to inform themselves about and to observe any restrictions relating to this offering and the distribution of this prospectus.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4771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7477125"/>
                    </a:xfrm>
                    <a:prstGeom prst="rect">
                      <a:avLst/>
                    </a:prstGeom>
                    <a:noFill/>
                  </pic:spPr>
                </pic:pic>
              </a:graphicData>
            </a:graphic>
          </wp:anchor>
        </w:drawing>
        <w:t>PROSPECTUS SUMMARY</w:t>
      </w:r>
    </w:p>
    <w:p>
      <w:pPr>
        <w:spacing w:after="0" w:line="206" w:lineRule="exact"/>
        <w:rPr>
          <w:sz w:val="20"/>
          <w:szCs w:val="20"/>
          <w:color w:val="auto"/>
        </w:rPr>
      </w:pPr>
    </w:p>
    <w:p>
      <w:pPr>
        <w:ind w:firstLine="486"/>
        <w:spacing w:after="0" w:line="231" w:lineRule="auto"/>
        <w:rPr>
          <w:sz w:val="20"/>
          <w:szCs w:val="20"/>
          <w:color w:val="auto"/>
        </w:rPr>
      </w:pPr>
      <w:r>
        <w:rPr>
          <w:rFonts w:ascii="Arial" w:cs="Arial" w:eastAsia="Arial" w:hAnsi="Arial"/>
          <w:sz w:val="20"/>
          <w:szCs w:val="20"/>
          <w:i w:val="1"/>
          <w:iCs w:val="1"/>
          <w:color w:val="auto"/>
          <w:highlight w:val="white"/>
        </w:rPr>
        <w:t>The following summary highlights information contained elsewhere in this prospectus. It may not contain all the information that may be important to you. You should read this entire prospectus carefully, including the sections of this prospectus titled “Risk Factors” and “Management’s Discussion and Analysis of Financial Condition and Results of Operations,” and our financial statements and related notes included elsewhere in this prospectus, before making an investment decision. In this prospectus, unless the context requires otherwise, all references to “we,” “our,” “us,” “Athira,” and the “Company” refer to Athira Pharma, Inc.</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3" w:lineRule="exact"/>
        <w:rPr>
          <w:sz w:val="20"/>
          <w:szCs w:val="20"/>
          <w:color w:val="auto"/>
        </w:rPr>
      </w:pPr>
    </w:p>
    <w:p>
      <w:pPr>
        <w:ind w:firstLine="486"/>
        <w:spacing w:after="0" w:line="238" w:lineRule="auto"/>
        <w:rPr>
          <w:sz w:val="20"/>
          <w:szCs w:val="20"/>
          <w:color w:val="auto"/>
        </w:rPr>
      </w:pPr>
      <w:r>
        <w:rPr>
          <w:rFonts w:ascii="Arial" w:cs="Arial" w:eastAsia="Arial" w:hAnsi="Arial"/>
          <w:sz w:val="19"/>
          <w:szCs w:val="19"/>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the HGF/MET, a naturally occurring regenerative system. We believe enhancing HGF/MET signaling has the potential to protect existing neurons from damage, reduce inflammation, promote regeneration, and positively modulate brain 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 Our lead candidate, ATH-1017, is a subcutaneous administered, BBB-penetrating, small molecule HGF/MET activator. In our Phase 1a and Phase 1b clinical trials, ATH-1017 for the treatment of Alzheimer’s disease, or AD, was well tolerated with no serious adverse events. These clinical trials recruited 88 subjects, including 11 subjects with mild-to-moderate AD. Nonclinical studies and Phase 1 clinical trials with ATH-1017 demonstrated improvements in brain network activity indicating potentially positive effects on brain function. In the AD subjects, multiple dosing of ATH-1017 significantly improved brain activity as measured by P300 latency, a functional measure that is highly correlated with cognition. By the end of 2020, we plan to initiate LIFT-AD, a Phase 2/3 clinical trial for ATH-1017 that may provide pivotal data in support of registration, for the treatment of mild-to-moderate AD with topline results expected by the end of 2022. By the end of 2020, we also plan to initiate a P300 Phase 2 clinical trial in mild-to-moderate AD to better understand the overall effects of ATH-1017 on working memory processing speed and cognitive measures, with topline results expected by early 2022.</w:t>
      </w:r>
    </w:p>
    <w:p>
      <w:pPr>
        <w:spacing w:after="0" w:line="202" w:lineRule="exact"/>
        <w:rPr>
          <w:sz w:val="20"/>
          <w:szCs w:val="20"/>
          <w:color w:val="auto"/>
        </w:rPr>
      </w:pPr>
    </w:p>
    <w:p>
      <w:pPr>
        <w:ind w:firstLine="486"/>
        <w:spacing w:after="0" w:line="227" w:lineRule="auto"/>
        <w:rPr>
          <w:sz w:val="20"/>
          <w:szCs w:val="20"/>
          <w:color w:val="auto"/>
        </w:rPr>
      </w:pPr>
      <w:r>
        <w:rPr>
          <w:rFonts w:ascii="Arial" w:cs="Arial" w:eastAsia="Arial" w:hAnsi="Arial"/>
          <w:sz w:val="20"/>
          <w:szCs w:val="20"/>
          <w:color w:val="auto"/>
        </w:rPr>
        <w:t>The primary focus of our Phase 1a and Phase 1b clinical trials of ATH-1017 for the treatment of AD was to establish safety and drug exposure levels. ATH-1017 was well tolerated at all tested doses, produced predictable pharmacokinetics with dose-linear exposures, and did not accumulate over the course of treatment. Pharmacodynamic measures evaluating brain penetration, target engagement, and brain function with electroencephalogram, or EEG, methods produced a strong suite of data, justifying further investigation of ATH-1017 in future clinical trials. Individuals with AD typically experience a general slowing of EEG, including a reduction in higher frequency waves, such as gamma. Gamma power is typically associated with learning, memory, and cognitive function. Administration of ATH-1017 increased high frequency gamma power activity with a single dose in both young healthy volunteers and elderly healthy volunteers. Gamma power also improved in AD subjects. P300 latency, a functional measure of working memory processing speed and executive function that highly correlates with cognition, was also substantially improved. After a single dose of ATH-1017, all AD subjects tested had improved P300 latency, and by the end of an 8-day treatment cycle, average latency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043" w:right="1219" w:bottom="1440" w:gutter="0" w:footer="0" w:header="0"/>
        </w:sectPr>
      </w:pPr>
    </w:p>
    <w:bookmarkStart w:id="4" w:name="page5"/>
    <w:bookmarkEnd w:id="4"/>
    <w:p>
      <w:pPr>
        <w:ind w:right="300"/>
        <w:spacing w:after="0" w:line="232"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9545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6954520"/>
                    </a:xfrm>
                    <a:prstGeom prst="rect">
                      <a:avLst/>
                    </a:prstGeom>
                    <a:noFill/>
                  </pic:spPr>
                </pic:pic>
              </a:graphicData>
            </a:graphic>
          </wp:anchor>
        </w:drawing>
        <w:t>across the AD treatment group had returned to levels close to those observed in healthy elderly subjects. Taken together, these results suggest that ATH-1017 has the potential to substantially improve synaptic connectivity and brain function in AD subjects.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firstLine="486"/>
        <w:spacing w:after="0" w:line="228" w:lineRule="auto"/>
        <w:rPr>
          <w:sz w:val="20"/>
          <w:szCs w:val="20"/>
          <w:color w:val="auto"/>
        </w:rPr>
      </w:pPr>
      <w:r>
        <w:rPr>
          <w:rFonts w:ascii="Arial" w:cs="Arial" w:eastAsia="Arial" w:hAnsi="Arial"/>
          <w:sz w:val="20"/>
          <w:szCs w:val="20"/>
          <w:color w:val="auto"/>
        </w:rPr>
        <w:t>AD is a significant unmet medical need with as many as 35 million cases estimated worldwide and no treatments that can significantly reduce the burden on people impacted by the disease. Failures of approaches targeting specific hypotheses of underlying AD pathology highlight the need for novel strategies to address the disease. Regardless of the underlying pathology, it has been established that the loss of synaptic density and breakdown of the neuronal network leads to cognitive impairment in subjects with AD and other forms of dementia. We believe the activation of the HGF/MET growth factor in the brain will lead to increased synaptic density, network recovery, and information transmission in the brain, which could ultimately result in cognitive improvement and clinical benefit.</w:t>
      </w:r>
    </w:p>
    <w:p>
      <w:pPr>
        <w:spacing w:after="0" w:line="196" w:lineRule="exact"/>
        <w:rPr>
          <w:sz w:val="20"/>
          <w:szCs w:val="20"/>
          <w:color w:val="auto"/>
        </w:rPr>
      </w:pPr>
    </w:p>
    <w:p>
      <w:pPr>
        <w:ind w:firstLine="486"/>
        <w:spacing w:after="0" w:line="227" w:lineRule="auto"/>
        <w:rPr>
          <w:sz w:val="20"/>
          <w:szCs w:val="20"/>
          <w:color w:val="auto"/>
        </w:rPr>
      </w:pPr>
      <w:r>
        <w:rPr>
          <w:rFonts w:ascii="Arial" w:cs="Arial" w:eastAsia="Arial" w:hAnsi="Arial"/>
          <w:sz w:val="20"/>
          <w:szCs w:val="20"/>
          <w:color w:val="auto"/>
        </w:rPr>
        <w:t>We are pioneering the use of small molecules to promote the hepatocyte growth factor/MET, or HGF/MET, a naturally occurring regenerative system, in neurological disorders. While discovered in the liver, HGF is a critical growth factor across multiple organs, including in the brain. HGF/MET has long been known as a promising therapeutic target for CNS disorders however, delivery of large proteins or gene therapy to the CNS to augment HGF/MET is challenging due to the invasive methods needed for them to bypass the BBB and the risk of potential adverse immune response. Our novel BBB-penetrating small molecules are designed to overcome many of these hurdles, allowing us to efficiently tap into the regenerative potential of HGF/MET. For therapeutic applications in CNS disorders, particularly AD, treatments that target neuronal growth factors can potentially accomplish several therapeutic goals, including rapid cognitive improvement and sustained neuroprotective effects.</w:t>
      </w:r>
    </w:p>
    <w:p>
      <w:pPr>
        <w:spacing w:after="0" w:line="201" w:lineRule="exact"/>
        <w:rPr>
          <w:sz w:val="20"/>
          <w:szCs w:val="20"/>
          <w:color w:val="auto"/>
        </w:rPr>
      </w:pPr>
    </w:p>
    <w:p>
      <w:pPr>
        <w:ind w:right="80" w:firstLine="486"/>
        <w:spacing w:after="0" w:line="227" w:lineRule="auto"/>
        <w:rPr>
          <w:sz w:val="20"/>
          <w:szCs w:val="20"/>
          <w:color w:val="auto"/>
        </w:rPr>
      </w:pPr>
      <w:r>
        <w:rPr>
          <w:rFonts w:ascii="Arial" w:cs="Arial" w:eastAsia="Arial" w:hAnsi="Arial"/>
          <w:sz w:val="20"/>
          <w:szCs w:val="20"/>
          <w:color w:val="auto"/>
        </w:rPr>
        <w:t>We believe that our ability to enhance the body’s repair mechanism of HGF/MET through our ATH platform has the potential to address a wide range of clinical applications ranging from CNS disorders, such as AD, Parkinson’s disease dementia, or PDD, multiple sclerosis, or MS, and amyotrophic lateral sclerosis, or ALS, to more peripheral conditions such as neuropathy. In addition, we believe that HGF/MET biology plays a role in neuropsychiatric disorders such as depression and anxiety. We are planning to initiate a Phase 2 clinical trial for ATH-1017 for the treatment of PDD by the end of 2021. Currently we have two preclinical candidates for non-AD indications: ATH-1019, which is being advanced to address depression, and ATH-1018, which is being advanced to address peripheral neuropathy. Our ATH platform allows us the flexibility to engineer compounds that are BBB-penetrating or that generate specific activity in the periphery and molecules for subcutaneous or oral route of administration.</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Pipeline and ATH Platform</w:t>
      </w:r>
    </w:p>
    <w:p>
      <w:pPr>
        <w:spacing w:after="0" w:line="118" w:lineRule="exact"/>
        <w:rPr>
          <w:sz w:val="20"/>
          <w:szCs w:val="20"/>
          <w:color w:val="auto"/>
        </w:rPr>
      </w:pPr>
    </w:p>
    <w:p>
      <w:pPr>
        <w:jc w:val="both"/>
        <w:ind w:right="180" w:firstLine="486"/>
        <w:spacing w:after="0" w:line="232" w:lineRule="auto"/>
        <w:rPr>
          <w:sz w:val="20"/>
          <w:szCs w:val="20"/>
          <w:color w:val="auto"/>
        </w:rPr>
      </w:pPr>
      <w:r>
        <w:rPr>
          <w:rFonts w:ascii="Arial" w:cs="Arial" w:eastAsia="Arial" w:hAnsi="Arial"/>
          <w:sz w:val="20"/>
          <w:szCs w:val="20"/>
          <w:color w:val="auto"/>
        </w:rPr>
        <w:t>The following figure illustrates the current development stages of our ATH compounds and discovery and development programs. In addition, we are expanding our ATH platform to additional indications in the CNS and peripheral nervous system as we aim to improve neuronal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80"/>
          </w:cols>
          <w:pgMar w:left="1220" w:top="1283" w:right="1199" w:bottom="1440" w:gutter="0" w:footer="0" w:header="0"/>
        </w:sectPr>
      </w:pPr>
    </w:p>
    <w:bookmarkStart w:id="5" w:name="page6"/>
    <w:bookmarkEnd w:id="5"/>
    <w:p>
      <w:pPr>
        <w:ind w:right="720"/>
        <w:spacing w:after="0" w:line="23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8025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8025765"/>
                    </a:xfrm>
                    <a:prstGeom prst="rect">
                      <a:avLst/>
                    </a:prstGeom>
                    <a:noFill/>
                  </pic:spPr>
                </pic:pic>
              </a:graphicData>
            </a:graphic>
          </wp:anchor>
        </w:drawing>
        <w:t>health in multiple disorders. Our drug discovery efforts are focused on exploring the potential of ATH technology to promote HGF/MET activity for a variety of clinical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 w:hanging="358"/>
        <w:spacing w:after="0"/>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RoA: route of administration; SC: subcutaneous; PO: oral.</w:t>
      </w:r>
    </w:p>
    <w:p>
      <w:pPr>
        <w:spacing w:after="0" w:line="41" w:lineRule="exact"/>
        <w:rPr>
          <w:rFonts w:ascii="Arial" w:cs="Arial" w:eastAsia="Arial" w:hAnsi="Arial"/>
          <w:sz w:val="14"/>
          <w:szCs w:val="14"/>
          <w:color w:val="auto"/>
        </w:rPr>
      </w:pPr>
    </w:p>
    <w:p>
      <w:pPr>
        <w:ind w:left="360" w:right="580" w:hanging="358"/>
        <w:spacing w:after="0" w:line="258" w:lineRule="auto"/>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ATH-1017 for AD is moving from Phase 1b to a Phase 2/3 clinical trial that may provide pivotal data in support of registration based on discussions with FDA.</w:t>
      </w:r>
    </w:p>
    <w:p>
      <w:pPr>
        <w:spacing w:after="0" w:line="18" w:lineRule="exact"/>
        <w:rPr>
          <w:rFonts w:ascii="Arial" w:cs="Arial" w:eastAsia="Arial" w:hAnsi="Arial"/>
          <w:sz w:val="14"/>
          <w:szCs w:val="14"/>
          <w:color w:val="auto"/>
        </w:rPr>
      </w:pPr>
    </w:p>
    <w:p>
      <w:pPr>
        <w:ind w:left="360" w:right="60" w:hanging="358"/>
        <w:spacing w:after="0" w:line="249" w:lineRule="auto"/>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plan to initiate a Phase 2 clinical trial in PDD based on results from Phase 1a and 1b clinical trials in AD with ATH-1017. A second IND for PDD can cross-reference the already active IND for AD. It is not required that we repeat any studies or trials that are applicable across the two indications for the second IND for PDD, including a Phase 1 clinical trial.</w:t>
      </w:r>
    </w:p>
    <w:p>
      <w:pPr>
        <w:spacing w:after="0" w:line="233" w:lineRule="exact"/>
        <w:rPr>
          <w:sz w:val="20"/>
          <w:szCs w:val="20"/>
          <w:color w:val="auto"/>
        </w:rPr>
      </w:pPr>
    </w:p>
    <w:p>
      <w:pPr>
        <w:ind w:right="180" w:firstLine="486"/>
        <w:spacing w:after="0" w:line="247" w:lineRule="auto"/>
        <w:rPr>
          <w:sz w:val="20"/>
          <w:szCs w:val="20"/>
          <w:color w:val="auto"/>
        </w:rPr>
      </w:pPr>
      <w:r>
        <w:rPr>
          <w:rFonts w:ascii="Arial" w:cs="Arial" w:eastAsia="Arial" w:hAnsi="Arial"/>
          <w:sz w:val="19"/>
          <w:szCs w:val="19"/>
          <w:color w:val="auto"/>
        </w:rPr>
        <w:t>Our ATH platform utilizes proprietary technology to target and enhance the activity of a vital neuronal growth factor that promotes neuronal health and regeneration. We believe that our ATH platform has multiple advantages compared to previous strategies that have targeted growth factors, including:</w:t>
      </w:r>
    </w:p>
    <w:p>
      <w:pPr>
        <w:spacing w:after="0" w:line="81" w:lineRule="exact"/>
        <w:rPr>
          <w:sz w:val="20"/>
          <w:szCs w:val="20"/>
          <w:color w:val="auto"/>
        </w:rPr>
      </w:pPr>
    </w:p>
    <w:p>
      <w:pPr>
        <w:ind w:left="1060" w:hanging="343"/>
        <w:spacing w:after="0"/>
        <w:tabs>
          <w:tab w:leader="none" w:pos="1060" w:val="left"/>
        </w:tabs>
        <w:numPr>
          <w:ilvl w:val="0"/>
          <w:numId w:val="4"/>
        </w:numPr>
        <w:rPr>
          <w:rFonts w:ascii="Arial" w:cs="Arial" w:eastAsia="Arial" w:hAnsi="Arial"/>
          <w:sz w:val="20"/>
          <w:szCs w:val="20"/>
          <w:color w:val="auto"/>
        </w:rPr>
      </w:pPr>
      <w:r>
        <w:rPr>
          <w:rFonts w:ascii="Arial" w:cs="Arial" w:eastAsia="Arial" w:hAnsi="Arial"/>
          <w:sz w:val="20"/>
          <w:szCs w:val="20"/>
          <w:color w:val="auto"/>
        </w:rPr>
        <w:t>small molecule focus;</w:t>
      </w:r>
    </w:p>
    <w:p>
      <w:pPr>
        <w:spacing w:after="0" w:line="107" w:lineRule="exact"/>
        <w:rPr>
          <w:rFonts w:ascii="Arial" w:cs="Arial" w:eastAsia="Arial" w:hAnsi="Arial"/>
          <w:sz w:val="20"/>
          <w:szCs w:val="20"/>
          <w:color w:val="auto"/>
        </w:rPr>
      </w:pPr>
    </w:p>
    <w:p>
      <w:pPr>
        <w:ind w:left="1060" w:hanging="343"/>
        <w:spacing w:after="0"/>
        <w:tabs>
          <w:tab w:leader="none" w:pos="1060" w:val="left"/>
        </w:tabs>
        <w:numPr>
          <w:ilvl w:val="0"/>
          <w:numId w:val="4"/>
        </w:numPr>
        <w:rPr>
          <w:rFonts w:ascii="Arial" w:cs="Arial" w:eastAsia="Arial" w:hAnsi="Arial"/>
          <w:sz w:val="20"/>
          <w:szCs w:val="20"/>
          <w:color w:val="auto"/>
        </w:rPr>
      </w:pPr>
      <w:r>
        <w:rPr>
          <w:rFonts w:ascii="Arial" w:cs="Arial" w:eastAsia="Arial" w:hAnsi="Arial"/>
          <w:sz w:val="20"/>
          <w:szCs w:val="20"/>
          <w:color w:val="auto"/>
        </w:rPr>
        <w:t>efficient and scalable manufacturing process; and</w:t>
      </w:r>
    </w:p>
    <w:p>
      <w:pPr>
        <w:spacing w:after="0" w:line="107" w:lineRule="exact"/>
        <w:rPr>
          <w:rFonts w:ascii="Arial" w:cs="Arial" w:eastAsia="Arial" w:hAnsi="Arial"/>
          <w:sz w:val="20"/>
          <w:szCs w:val="20"/>
          <w:color w:val="auto"/>
        </w:rPr>
      </w:pPr>
    </w:p>
    <w:p>
      <w:pPr>
        <w:ind w:left="1060" w:hanging="343"/>
        <w:spacing w:after="0"/>
        <w:tabs>
          <w:tab w:leader="none" w:pos="1060" w:val="left"/>
        </w:tabs>
        <w:numPr>
          <w:ilvl w:val="0"/>
          <w:numId w:val="4"/>
        </w:numPr>
        <w:rPr>
          <w:rFonts w:ascii="Arial" w:cs="Arial" w:eastAsia="Arial" w:hAnsi="Arial"/>
          <w:sz w:val="20"/>
          <w:szCs w:val="20"/>
          <w:color w:val="auto"/>
        </w:rPr>
      </w:pPr>
      <w:r>
        <w:rPr>
          <w:rFonts w:ascii="Arial" w:cs="Arial" w:eastAsia="Arial" w:hAnsi="Arial"/>
          <w:sz w:val="20"/>
          <w:szCs w:val="20"/>
          <w:color w:val="auto"/>
        </w:rPr>
        <w:t>avoids alteration of target system regulation.</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ATH-1017 for the Potential Treatment of AD</w:t>
      </w:r>
    </w:p>
    <w:p>
      <w:pPr>
        <w:spacing w:after="0" w:line="118" w:lineRule="exact"/>
        <w:rPr>
          <w:sz w:val="20"/>
          <w:szCs w:val="20"/>
          <w:color w:val="auto"/>
        </w:rPr>
      </w:pPr>
    </w:p>
    <w:p>
      <w:pPr>
        <w:ind w:firstLine="486"/>
        <w:spacing w:after="0" w:line="229" w:lineRule="auto"/>
        <w:rPr>
          <w:sz w:val="20"/>
          <w:szCs w:val="20"/>
          <w:color w:val="auto"/>
        </w:rPr>
      </w:pPr>
      <w:r>
        <w:rPr>
          <w:rFonts w:ascii="Arial" w:cs="Arial" w:eastAsia="Arial" w:hAnsi="Arial"/>
          <w:sz w:val="20"/>
          <w:szCs w:val="20"/>
          <w:color w:val="auto"/>
        </w:rPr>
        <w:t>We are developing our lead product candidate, ATH-1017, for the treatment of neurodegenerative disorders, with an initial focus on AD. ATH-1017 is designed to improve neuronal health and promote regeneration, thereby improving symptoms in cognitively impaired subjects. As we continue to develop ATH-1017, we will plan to assess additional functional and behavioral benefits. In our Phase 1a and Phase 1b clinical trials, ATH-1017:</w:t>
      </w:r>
    </w:p>
    <w:p>
      <w:pPr>
        <w:spacing w:after="0" w:line="91" w:lineRule="exact"/>
        <w:rPr>
          <w:sz w:val="20"/>
          <w:szCs w:val="20"/>
          <w:color w:val="auto"/>
        </w:rPr>
      </w:pPr>
    </w:p>
    <w:p>
      <w:pPr>
        <w:ind w:left="1060" w:hanging="343"/>
        <w:spacing w:after="0" w:line="236" w:lineRule="auto"/>
        <w:tabs>
          <w:tab w:leader="none" w:pos="1060" w:val="left"/>
        </w:tabs>
        <w:numPr>
          <w:ilvl w:val="0"/>
          <w:numId w:val="5"/>
        </w:numPr>
        <w:rPr>
          <w:rFonts w:ascii="Arial" w:cs="Arial" w:eastAsia="Arial" w:hAnsi="Arial"/>
          <w:sz w:val="20"/>
          <w:szCs w:val="20"/>
          <w:color w:val="auto"/>
        </w:rPr>
      </w:pPr>
      <w:r>
        <w:rPr>
          <w:rFonts w:ascii="Arial" w:cs="Arial" w:eastAsia="Arial" w:hAnsi="Arial"/>
          <w:sz w:val="20"/>
          <w:szCs w:val="20"/>
          <w:color w:val="auto"/>
        </w:rPr>
        <w:t>was well tolerated with no serious adverse events across 88 subjects, including 11 subjects with mild-to-moderate AD;</w:t>
      </w:r>
    </w:p>
    <w:p>
      <w:pPr>
        <w:spacing w:after="0" w:line="87" w:lineRule="exact"/>
        <w:rPr>
          <w:rFonts w:ascii="Arial" w:cs="Arial" w:eastAsia="Arial" w:hAnsi="Arial"/>
          <w:sz w:val="20"/>
          <w:szCs w:val="20"/>
          <w:color w:val="auto"/>
        </w:rPr>
      </w:pPr>
    </w:p>
    <w:p>
      <w:pPr>
        <w:ind w:left="1060" w:right="200" w:hanging="343"/>
        <w:spacing w:after="0" w:line="236" w:lineRule="auto"/>
        <w:tabs>
          <w:tab w:leader="none" w:pos="1060" w:val="left"/>
        </w:tabs>
        <w:numPr>
          <w:ilvl w:val="0"/>
          <w:numId w:val="5"/>
        </w:numPr>
        <w:rPr>
          <w:rFonts w:ascii="Arial" w:cs="Arial" w:eastAsia="Arial" w:hAnsi="Arial"/>
          <w:sz w:val="20"/>
          <w:szCs w:val="20"/>
          <w:color w:val="auto"/>
        </w:rPr>
      </w:pPr>
      <w:r>
        <w:rPr>
          <w:rFonts w:ascii="Arial" w:cs="Arial" w:eastAsia="Arial" w:hAnsi="Arial"/>
          <w:sz w:val="20"/>
          <w:szCs w:val="20"/>
          <w:color w:val="auto"/>
        </w:rPr>
        <w:t>led to improvements in brain network activity that indicated potentially positive effects on brain function;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175" w:right="1219" w:bottom="1440" w:gutter="0" w:footer="0" w:header="0"/>
        </w:sectPr>
      </w:pPr>
    </w:p>
    <w:bookmarkStart w:id="6" w:name="page7"/>
    <w:bookmarkEnd w:id="6"/>
    <w:p>
      <w:pPr>
        <w:ind w:left="1060" w:right="340" w:hanging="343"/>
        <w:spacing w:after="0" w:line="257" w:lineRule="auto"/>
        <w:tabs>
          <w:tab w:leader="none" w:pos="1060" w:val="left"/>
        </w:tabs>
        <w:numPr>
          <w:ilvl w:val="0"/>
          <w:numId w:val="6"/>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3056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7305675"/>
                    </a:xfrm>
                    <a:prstGeom prst="rect">
                      <a:avLst/>
                    </a:prstGeom>
                    <a:noFill/>
                  </pic:spPr>
                </pic:pic>
              </a:graphicData>
            </a:graphic>
          </wp:anchor>
        </w:drawing>
        <w:t>demonstrated significantly improved brain activity in the AD subjects with multiple dosing as measured by P300 latency, a functional measure that is highly correlated with cognition.</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from Our Phase 1b Clinical Trial</w:t>
      </w:r>
    </w:p>
    <w:p>
      <w:pPr>
        <w:spacing w:after="0" w:line="118" w:lineRule="exact"/>
        <w:rPr>
          <w:sz w:val="20"/>
          <w:szCs w:val="20"/>
          <w:color w:val="auto"/>
        </w:rPr>
      </w:pPr>
    </w:p>
    <w:p>
      <w:pPr>
        <w:ind w:firstLine="486"/>
        <w:spacing w:after="0" w:line="226" w:lineRule="auto"/>
        <w:rPr>
          <w:sz w:val="20"/>
          <w:szCs w:val="20"/>
          <w:color w:val="auto"/>
        </w:rPr>
      </w:pPr>
      <w:r>
        <w:rPr>
          <w:rFonts w:ascii="Arial" w:cs="Arial" w:eastAsia="Arial" w:hAnsi="Arial"/>
          <w:sz w:val="20"/>
          <w:szCs w:val="20"/>
          <w:color w:val="auto"/>
        </w:rPr>
        <w:t>In our Phase 1b clinical trial, event-related potential, or ERP, P300 recordings were collected from the multiple ascending dose, or MAD, healthy elderly and AD subjects. Analysis of these P300 data demonstrated that one daily dose of ATH-1017 improved P300 latency over an 8-day dosing period in AD subjects, as shown in the figures below. P300 latency, a functional measure of working memory processing speed and executive function that highly correlates with cognition, was dramatically improved. All AD subjects tested had improved P300 latency after a single dose of ATH-1017 and average latency across the AD treatment group had returned to levels close to those observed in healthy elderly subjects by the end of an 8-day treatment cycle. The acute effect observed on Day 1 is likely the result of the rapid augmentation of N-methyl-D-aspartate, or NMDA, neurotransmitter receptor. The sustained effects on P300 latency observed in the pre-dose recordings on subsequent testing days (the arrows in the figure below show the average P300 latency value from the ATH-1017 group as a heat map) most likely reflect the long-term regeneration of neuronal connections and the improvement in brain function, since at these time points, which are 24 hours after the last dose, ATH-1017 was measured and shown to be completely cleared from the plasma. These data indicate ATH-1017 treatment potentially recovered disruptions to brain function and network connectivity, which we believe are likely through several components of the mechanism, including NMDA receptor modulation, increased connectivity through recovery of synaptic density, and overall improvement in neuronal health and function.</w:t>
      </w:r>
    </w:p>
    <w:p>
      <w:pPr>
        <w:spacing w:after="0" w:line="186" w:lineRule="exact"/>
        <w:rPr>
          <w:sz w:val="20"/>
          <w:szCs w:val="20"/>
          <w:color w:val="auto"/>
        </w:rPr>
      </w:pPr>
    </w:p>
    <w:p>
      <w:pPr>
        <w:ind w:left="480"/>
        <w:spacing w:after="0"/>
        <w:rPr>
          <w:sz w:val="20"/>
          <w:szCs w:val="20"/>
          <w:color w:val="auto"/>
        </w:rPr>
      </w:pPr>
      <w:r>
        <w:rPr>
          <w:rFonts w:ascii="Arial" w:cs="Arial" w:eastAsia="Arial" w:hAnsi="Arial"/>
          <w:sz w:val="20"/>
          <w:szCs w:val="20"/>
          <w:i w:val="1"/>
          <w:iCs w:val="1"/>
          <w:color w:val="auto"/>
        </w:rPr>
        <w:t>ATH-1017 Treatment Led to Continued and Sustained Improvement in P300 Latency in AD Subjects.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The arrows highlight the sustained P300 latency benefit due to ATH-1017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20" w:firstLine="486"/>
        <w:spacing w:after="0" w:line="253" w:lineRule="auto"/>
        <w:rPr>
          <w:sz w:val="20"/>
          <w:szCs w:val="20"/>
          <w:color w:val="auto"/>
        </w:rPr>
      </w:pPr>
      <w:r>
        <w:rPr>
          <w:rFonts w:ascii="Arial" w:cs="Arial" w:eastAsia="Arial" w:hAnsi="Arial"/>
          <w:sz w:val="20"/>
          <w:szCs w:val="20"/>
          <w:i w:val="1"/>
          <w:iCs w:val="1"/>
          <w:color w:val="auto"/>
        </w:rPr>
        <w:t xml:space="preserve">Quantification of the Change in P300 Latency from Baseline, ATH-1017 Significantly Reduced P300 Latency Compared to the Placebo Group on Day 8 Recordings. </w:t>
      </w:r>
      <w:r>
        <w:rPr>
          <w:rFonts w:ascii="Arial" w:cs="Arial" w:eastAsia="Arial" w:hAnsi="Arial"/>
          <w:sz w:val="20"/>
          <w:szCs w:val="20"/>
          <w:color w:val="auto"/>
        </w:rPr>
        <w:t>Data show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20"/>
          </w:cols>
          <w:pgMar w:left="1220" w:top="1175" w:right="1259" w:bottom="1440" w:gutter="0" w:footer="0" w:header="0"/>
        </w:sectPr>
      </w:pPr>
    </w:p>
    <w:bookmarkStart w:id="7" w:name="page8"/>
    <w:bookmarkEnd w:id="7"/>
    <w:p>
      <w:pPr>
        <w:ind w:right="420"/>
        <w:spacing w:after="0" w:line="23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65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7657465"/>
                    </a:xfrm>
                    <a:prstGeom prst="rect">
                      <a:avLst/>
                    </a:prstGeom>
                    <a:noFill/>
                  </pic:spPr>
                </pic:pic>
              </a:graphicData>
            </a:graphic>
          </wp:anchor>
        </w:drawing>
        <w:t>average of P300 latency values of 7 AD subjects treated with ATH-1017 vs. 4 AD subjects on placebo * p≤0.05.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Development Strategy</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LIFT-AD Trial: A 26-Week Phase 2/3 Clinical Trial in Mild-to-Moderate AD Subjects</w:t>
      </w:r>
    </w:p>
    <w:p>
      <w:pPr>
        <w:spacing w:after="0" w:line="114" w:lineRule="exact"/>
        <w:rPr>
          <w:sz w:val="20"/>
          <w:szCs w:val="20"/>
          <w:color w:val="auto"/>
        </w:rPr>
      </w:pPr>
    </w:p>
    <w:p>
      <w:pPr>
        <w:ind w:right="40" w:firstLine="486"/>
        <w:spacing w:after="0" w:line="228" w:lineRule="auto"/>
        <w:rPr>
          <w:sz w:val="20"/>
          <w:szCs w:val="20"/>
          <w:color w:val="auto"/>
        </w:rPr>
      </w:pPr>
      <w:r>
        <w:rPr>
          <w:rFonts w:ascii="Arial" w:cs="Arial" w:eastAsia="Arial" w:hAnsi="Arial"/>
          <w:sz w:val="20"/>
          <w:szCs w:val="20"/>
          <w:color w:val="auto"/>
        </w:rPr>
        <w:t>Based on the safety and translational Phase 1a and Phase 1b clinical trial results, including AD subjects, we plan to initiate LIFT-AD, a Phase 2/3 randomized, double-blind, placebo-controlled clinical trial. This clinical trial is designed to assess the efficacy, safety, and tolerability of two dose levels of ATH-1017 (low and high) in subjects with mild-to-moderate AD compared to placebo. The clinical trial is intended to enroll approximately 240 to 300 AD subjects. We plan to initiate the LIFT-AD trial by the end of 2020, with topline results expected by the end of 2022. These topline results may provide pivotal data in support of registration, but the FDA or other regulators may still require additional trials even if results from the LIFT-AD trial are positive.</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P300 Trial: A 26-Week Phase 2 Clinical Trial in Mild-to-Moderate AD Subjects</w:t>
      </w:r>
    </w:p>
    <w:p>
      <w:pPr>
        <w:spacing w:after="0" w:line="114" w:lineRule="exact"/>
        <w:rPr>
          <w:sz w:val="20"/>
          <w:szCs w:val="20"/>
          <w:color w:val="auto"/>
        </w:rPr>
      </w:pPr>
    </w:p>
    <w:p>
      <w:pPr>
        <w:ind w:firstLine="486"/>
        <w:spacing w:after="0" w:line="229" w:lineRule="auto"/>
        <w:rPr>
          <w:sz w:val="20"/>
          <w:szCs w:val="20"/>
          <w:color w:val="auto"/>
        </w:rPr>
      </w:pPr>
      <w:r>
        <w:rPr>
          <w:rFonts w:ascii="Arial" w:cs="Arial" w:eastAsia="Arial" w:hAnsi="Arial"/>
          <w:sz w:val="20"/>
          <w:szCs w:val="20"/>
          <w:color w:val="auto"/>
        </w:rPr>
        <w:t>In addition to LIFT-AD, we are planning a randomized, placebo-controlled clinical trial that will be initiated in parallel. This clinical trial is designed to test the same dose levels of ATH-1017 (low and high) in subjects with mild-to-moderate AD compared to placebo. We intend to enroll approximately 60 to 75 mild-to-moderate AD subjects. By the end of 2020, we plan to initiate this P300 Phase 2 clinical trial in mild-to-moderate AD to better understand the overall effects of ATH-1017 on working memory processing speed and cognitive measures, with topline results expected by early 2022.</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Strategy</w:t>
      </w:r>
    </w:p>
    <w:p>
      <w:pPr>
        <w:spacing w:after="0" w:line="118" w:lineRule="exact"/>
        <w:rPr>
          <w:sz w:val="20"/>
          <w:szCs w:val="20"/>
          <w:color w:val="auto"/>
        </w:rPr>
      </w:pPr>
    </w:p>
    <w:p>
      <w:pPr>
        <w:ind w:right="180" w:firstLine="486"/>
        <w:spacing w:after="0" w:line="232" w:lineRule="auto"/>
        <w:rPr>
          <w:sz w:val="20"/>
          <w:szCs w:val="20"/>
          <w:color w:val="auto"/>
        </w:rPr>
      </w:pPr>
      <w:r>
        <w:rPr>
          <w:rFonts w:ascii="Arial" w:cs="Arial" w:eastAsia="Arial" w:hAnsi="Arial"/>
          <w:sz w:val="20"/>
          <w:szCs w:val="20"/>
          <w:color w:val="auto"/>
        </w:rPr>
        <w:t>We intend to create, develop, and commercialize therapeutics with the potential to transform lives by repairing, restoring, and reversing the damage to nerve cells throughout the body. Key aspects of our business strategy to achieve these goals are to:</w:t>
      </w:r>
    </w:p>
    <w:p>
      <w:pPr>
        <w:spacing w:after="0" w:line="89" w:lineRule="exact"/>
        <w:rPr>
          <w:sz w:val="20"/>
          <w:szCs w:val="20"/>
          <w:color w:val="auto"/>
        </w:rPr>
      </w:pPr>
    </w:p>
    <w:p>
      <w:pPr>
        <w:ind w:left="1060" w:hanging="343"/>
        <w:spacing w:after="0"/>
        <w:tabs>
          <w:tab w:leader="none" w:pos="10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advance ATH-1017 through clinical development for AD;</w:t>
      </w:r>
    </w:p>
    <w:p>
      <w:pPr>
        <w:spacing w:after="0" w:line="107" w:lineRule="exact"/>
        <w:rPr>
          <w:rFonts w:ascii="Arial" w:cs="Arial" w:eastAsia="Arial" w:hAnsi="Arial"/>
          <w:sz w:val="20"/>
          <w:szCs w:val="20"/>
          <w:color w:val="auto"/>
        </w:rPr>
      </w:pPr>
    </w:p>
    <w:p>
      <w:pPr>
        <w:ind w:left="1060" w:hanging="343"/>
        <w:spacing w:after="0"/>
        <w:tabs>
          <w:tab w:leader="none" w:pos="1060" w:val="left"/>
        </w:tabs>
        <w:numPr>
          <w:ilvl w:val="0"/>
          <w:numId w:val="7"/>
        </w:numPr>
        <w:rPr>
          <w:rFonts w:ascii="Arial" w:cs="Arial" w:eastAsia="Arial" w:hAnsi="Arial"/>
          <w:sz w:val="20"/>
          <w:szCs w:val="20"/>
          <w:color w:val="auto"/>
        </w:rPr>
      </w:pPr>
      <w:r>
        <w:rPr>
          <w:rFonts w:ascii="Arial" w:cs="Arial" w:eastAsia="Arial" w:hAnsi="Arial"/>
          <w:sz w:val="20"/>
          <w:szCs w:val="20"/>
          <w:color w:val="auto"/>
        </w:rPr>
        <w:t>expand the development of ATH-1017 to include additional indications and delivery methods;</w:t>
      </w:r>
    </w:p>
    <w:p>
      <w:pPr>
        <w:spacing w:after="0" w:line="107" w:lineRule="exact"/>
        <w:rPr>
          <w:rFonts w:ascii="Arial" w:cs="Arial" w:eastAsia="Arial" w:hAnsi="Arial"/>
          <w:sz w:val="20"/>
          <w:szCs w:val="20"/>
          <w:color w:val="auto"/>
        </w:rPr>
      </w:pPr>
    </w:p>
    <w:p>
      <w:pPr>
        <w:ind w:left="1060" w:hanging="343"/>
        <w:spacing w:after="0"/>
        <w:tabs>
          <w:tab w:leader="none" w:pos="1060" w:val="left"/>
        </w:tabs>
        <w:numPr>
          <w:ilvl w:val="0"/>
          <w:numId w:val="7"/>
        </w:numPr>
        <w:rPr>
          <w:rFonts w:ascii="Arial" w:cs="Arial" w:eastAsia="Arial" w:hAnsi="Arial"/>
          <w:sz w:val="20"/>
          <w:szCs w:val="20"/>
          <w:color w:val="auto"/>
        </w:rPr>
      </w:pPr>
      <w:r>
        <w:rPr>
          <w:rFonts w:ascii="Arial" w:cs="Arial" w:eastAsia="Arial" w:hAnsi="Arial"/>
          <w:sz w:val="20"/>
          <w:szCs w:val="20"/>
          <w:color w:val="auto"/>
        </w:rPr>
        <w:t>focus on translational and functional endpoints to efficiently develop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40"/>
          </w:cols>
          <w:pgMar w:left="1220" w:top="1108" w:right="1239" w:bottom="1440" w:gutter="0" w:footer="0" w:header="0"/>
        </w:sectPr>
      </w:pPr>
    </w:p>
    <w:bookmarkStart w:id="8" w:name="page9"/>
    <w:bookmarkEnd w:id="8"/>
    <w:p>
      <w:pPr>
        <w:ind w:left="1060" w:right="260" w:hanging="343"/>
        <w:spacing w:after="0" w:line="236" w:lineRule="auto"/>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7000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7700010"/>
                    </a:xfrm>
                    <a:prstGeom prst="rect">
                      <a:avLst/>
                    </a:prstGeom>
                    <a:noFill/>
                  </pic:spPr>
                </pic:pic>
              </a:graphicData>
            </a:graphic>
          </wp:anchor>
        </w:drawing>
        <w:t>continue developing additional pipeline programs and utilize our ATH platform for further drug discovery; and</w:t>
      </w:r>
    </w:p>
    <w:p>
      <w:pPr>
        <w:spacing w:after="0" w:line="87" w:lineRule="exact"/>
        <w:rPr>
          <w:rFonts w:ascii="Arial" w:cs="Arial" w:eastAsia="Arial" w:hAnsi="Arial"/>
          <w:sz w:val="20"/>
          <w:szCs w:val="20"/>
          <w:color w:val="auto"/>
        </w:rPr>
      </w:pPr>
    </w:p>
    <w:p>
      <w:pPr>
        <w:ind w:left="1060" w:hanging="343"/>
        <w:spacing w:after="0"/>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optimize the value of ATH-1017 and other candidates in major markets.</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Scientific Data Support HGF/MET’s Role in Maintaining Neuronal Health and Function</w:t>
      </w:r>
    </w:p>
    <w:p>
      <w:pPr>
        <w:spacing w:after="0" w:line="118" w:lineRule="exact"/>
        <w:rPr>
          <w:sz w:val="20"/>
          <w:szCs w:val="20"/>
          <w:color w:val="auto"/>
        </w:rPr>
      </w:pPr>
    </w:p>
    <w:p>
      <w:pPr>
        <w:ind w:right="200" w:firstLine="486"/>
        <w:spacing w:after="0" w:line="230" w:lineRule="auto"/>
        <w:rPr>
          <w:sz w:val="20"/>
          <w:szCs w:val="20"/>
          <w:color w:val="auto"/>
        </w:rPr>
      </w:pPr>
      <w:r>
        <w:rPr>
          <w:rFonts w:ascii="Arial" w:cs="Arial" w:eastAsia="Arial" w:hAnsi="Arial"/>
          <w:sz w:val="20"/>
          <w:szCs w:val="20"/>
          <w:color w:val="auto"/>
        </w:rPr>
        <w:t>Growing evidence suggests that complex CNS disorders, such as AD, are unlikely to be caused by a single route of pathology. Modulation of a neuronal growth factor has gained considerable attention for the potential treatment of neurodegenerative disorders. Promoting the HGF/MET system has been shown to have multiple beneficial downstream effects that are relevant to AD:</w:t>
      </w:r>
    </w:p>
    <w:p>
      <w:pPr>
        <w:spacing w:after="0" w:line="90" w:lineRule="exact"/>
        <w:rPr>
          <w:sz w:val="20"/>
          <w:szCs w:val="20"/>
          <w:color w:val="auto"/>
        </w:rPr>
      </w:pPr>
    </w:p>
    <w:p>
      <w:pPr>
        <w:ind w:left="1060" w:right="340" w:hanging="343"/>
        <w:spacing w:after="0" w:line="236" w:lineRule="auto"/>
        <w:tabs>
          <w:tab w:leader="none" w:pos="1060" w:val="left"/>
        </w:tabs>
        <w:numPr>
          <w:ilvl w:val="0"/>
          <w:numId w:val="9"/>
        </w:numPr>
        <w:rPr>
          <w:rFonts w:ascii="Arial" w:cs="Arial" w:eastAsia="Arial" w:hAnsi="Arial"/>
          <w:sz w:val="20"/>
          <w:szCs w:val="20"/>
          <w:color w:val="auto"/>
        </w:rPr>
      </w:pPr>
      <w:r>
        <w:rPr>
          <w:rFonts w:ascii="Arial" w:cs="Arial" w:eastAsia="Arial" w:hAnsi="Arial"/>
          <w:sz w:val="20"/>
          <w:szCs w:val="20"/>
          <w:color w:val="auto"/>
        </w:rPr>
        <w:t>HGF/MET is a critical neurotrophic factor for normative brain function and it is reduced in AD subjects;</w:t>
      </w:r>
    </w:p>
    <w:p>
      <w:pPr>
        <w:spacing w:after="0" w:line="87" w:lineRule="exact"/>
        <w:rPr>
          <w:rFonts w:ascii="Arial" w:cs="Arial" w:eastAsia="Arial" w:hAnsi="Arial"/>
          <w:sz w:val="20"/>
          <w:szCs w:val="20"/>
          <w:color w:val="auto"/>
        </w:rPr>
      </w:pPr>
    </w:p>
    <w:p>
      <w:pPr>
        <w:ind w:left="1060" w:right="80" w:hanging="343"/>
        <w:spacing w:after="0" w:line="232" w:lineRule="auto"/>
        <w:tabs>
          <w:tab w:leader="none" w:pos="1060" w:val="left"/>
        </w:tabs>
        <w:numPr>
          <w:ilvl w:val="0"/>
          <w:numId w:val="9"/>
        </w:numPr>
        <w:rPr>
          <w:rFonts w:ascii="Arial" w:cs="Arial" w:eastAsia="Arial" w:hAnsi="Arial"/>
          <w:sz w:val="20"/>
          <w:szCs w:val="20"/>
          <w:color w:val="auto"/>
        </w:rPr>
      </w:pPr>
      <w:r>
        <w:rPr>
          <w:rFonts w:ascii="Arial" w:cs="Arial" w:eastAsia="Arial" w:hAnsi="Arial"/>
          <w:sz w:val="20"/>
          <w:szCs w:val="20"/>
          <w:color w:val="auto"/>
        </w:rPr>
        <w:t>promotion of the HGF/MET system has shown in several animal models the potential to directly halt neurodegeneration and induce regeneration, improve cerebral blood flow, and reduce inflammation; and</w:t>
      </w:r>
    </w:p>
    <w:p>
      <w:pPr>
        <w:spacing w:after="0" w:line="89" w:lineRule="exact"/>
        <w:rPr>
          <w:rFonts w:ascii="Arial" w:cs="Arial" w:eastAsia="Arial" w:hAnsi="Arial"/>
          <w:sz w:val="20"/>
          <w:szCs w:val="20"/>
          <w:color w:val="auto"/>
        </w:rPr>
      </w:pPr>
    </w:p>
    <w:p>
      <w:pPr>
        <w:ind w:left="1060" w:right="340" w:hanging="343"/>
        <w:spacing w:after="0" w:line="236" w:lineRule="auto"/>
        <w:tabs>
          <w:tab w:leader="none" w:pos="1060" w:val="left"/>
        </w:tabs>
        <w:numPr>
          <w:ilvl w:val="0"/>
          <w:numId w:val="9"/>
        </w:numPr>
        <w:rPr>
          <w:rFonts w:ascii="Arial" w:cs="Arial" w:eastAsia="Arial" w:hAnsi="Arial"/>
          <w:sz w:val="20"/>
          <w:szCs w:val="20"/>
          <w:color w:val="auto"/>
        </w:rPr>
      </w:pPr>
      <w:r>
        <w:rPr>
          <w:rFonts w:ascii="Arial" w:cs="Arial" w:eastAsia="Arial" w:hAnsi="Arial"/>
          <w:sz w:val="20"/>
          <w:szCs w:val="20"/>
          <w:color w:val="auto"/>
        </w:rPr>
        <w:t>we expect HGF/MET system activation to improve P300 latency, as observed in AD subjects after ATH-1017 treatment in our Phase 1a and Phase 1b clinical trials.</w:t>
      </w:r>
    </w:p>
    <w:p>
      <w:pPr>
        <w:spacing w:after="0" w:line="196" w:lineRule="exact"/>
        <w:rPr>
          <w:sz w:val="20"/>
          <w:szCs w:val="20"/>
          <w:color w:val="auto"/>
        </w:rPr>
      </w:pPr>
    </w:p>
    <w:p>
      <w:pPr>
        <w:ind w:right="280" w:firstLine="486"/>
        <w:spacing w:after="0" w:line="229" w:lineRule="auto"/>
        <w:rPr>
          <w:sz w:val="20"/>
          <w:szCs w:val="20"/>
          <w:color w:val="auto"/>
        </w:rPr>
      </w:pPr>
      <w:r>
        <w:rPr>
          <w:rFonts w:ascii="Arial" w:cs="Arial" w:eastAsia="Arial" w:hAnsi="Arial"/>
          <w:sz w:val="20"/>
          <w:szCs w:val="20"/>
          <w:color w:val="auto"/>
        </w:rPr>
        <w:t>Multiple third-party studies have documented the regenerative impact of HGF/MET promotion in models of AD, PDD, MS, and ALS. Notably, promotion of the HGF/MET system improved memory in AD and PDD models and improvement in neuronal survival was reported in various disease models including MS and ALS. These studies support the HGF/MET system as a therapeutic target in a diverse array of nervous system disorders.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Challenges with Approved and Traditional Neuronal and AD Therapy Approaches</w:t>
      </w:r>
    </w:p>
    <w:p>
      <w:pPr>
        <w:spacing w:after="0" w:line="118" w:lineRule="exact"/>
        <w:rPr>
          <w:sz w:val="20"/>
          <w:szCs w:val="20"/>
          <w:color w:val="auto"/>
        </w:rPr>
      </w:pPr>
    </w:p>
    <w:p>
      <w:pPr>
        <w:ind w:right="40" w:firstLine="486"/>
        <w:spacing w:after="0" w:line="229" w:lineRule="auto"/>
        <w:rPr>
          <w:sz w:val="20"/>
          <w:szCs w:val="20"/>
          <w:color w:val="auto"/>
        </w:rPr>
      </w:pPr>
      <w:r>
        <w:rPr>
          <w:rFonts w:ascii="Arial" w:cs="Arial" w:eastAsia="Arial" w:hAnsi="Arial"/>
          <w:sz w:val="20"/>
          <w:szCs w:val="20"/>
          <w:color w:val="auto"/>
        </w:rPr>
        <w:t>The development of neuronal therapies presents unique challenges including: an imperfect understanding of the biology, the presence of the BBB that restricts the flow of drugs to the brain, and a lack of translatability of preclinical study results in human trials. Currently approved neuronal therapies have limited efficacy, poor side effect profiles, and minimal impact on quality of life. There remains an urgent need for new and novel approaches to address most neuronal disorders including progressive and severe conditions such as AD, PDD, MS, and others.</w:t>
      </w:r>
    </w:p>
    <w:p>
      <w:pPr>
        <w:spacing w:after="0" w:line="195" w:lineRule="exact"/>
        <w:rPr>
          <w:sz w:val="20"/>
          <w:szCs w:val="20"/>
          <w:color w:val="auto"/>
        </w:rPr>
      </w:pPr>
    </w:p>
    <w:p>
      <w:pPr>
        <w:ind w:firstLine="486"/>
        <w:spacing w:after="0" w:line="228" w:lineRule="auto"/>
        <w:rPr>
          <w:sz w:val="20"/>
          <w:szCs w:val="20"/>
          <w:color w:val="auto"/>
        </w:rPr>
      </w:pPr>
      <w:r>
        <w:rPr>
          <w:rFonts w:ascii="Arial" w:cs="Arial" w:eastAsia="Arial" w:hAnsi="Arial"/>
          <w:sz w:val="20"/>
          <w:szCs w:val="20"/>
          <w:color w:val="auto"/>
        </w:rPr>
        <w:t>Specific to AD, each of the currently approved therapies only works on a single neurotransmitter target with limited and transient effects on cognition and low tolerability, which negatively impacts compliance and minimally reduces the caregiver burden. Other therapies in development that target a slowdown in disease progression have a marginal benefit on clinical decline and are mainly focused on mild cognitive impairment, or MCI, and early-mild AD, and lack any immediate benefit in reducing the burden on people impacted by the disease. These approaches rely on the body’s repair mechanisms, which may be damaged, and do not promote additional activation of regenerative pathways, and hence can lead to variability of treatment outcomes and longer clinical development timelines.</w:t>
      </w:r>
    </w:p>
    <w:p>
      <w:pPr>
        <w:spacing w:after="0" w:line="196" w:lineRule="exact"/>
        <w:rPr>
          <w:sz w:val="20"/>
          <w:szCs w:val="20"/>
          <w:color w:val="auto"/>
        </w:rPr>
      </w:pPr>
    </w:p>
    <w:p>
      <w:pPr>
        <w:ind w:right="200" w:firstLine="486"/>
        <w:spacing w:after="0" w:line="230" w:lineRule="auto"/>
        <w:rPr>
          <w:sz w:val="20"/>
          <w:szCs w:val="20"/>
          <w:color w:val="auto"/>
        </w:rPr>
      </w:pPr>
      <w:r>
        <w:rPr>
          <w:rFonts w:ascii="Arial" w:cs="Arial" w:eastAsia="Arial" w:hAnsi="Arial"/>
          <w:sz w:val="20"/>
          <w:szCs w:val="20"/>
          <w:color w:val="auto"/>
        </w:rPr>
        <w:t>Further complicating drug development in AD has been the lack of utilization of biomarkers and measures that are able to detect early signs of efficacy and find promising candidates to take forward into larger trials. These methods have revolutionized clinical research in oncology and other therapeutic areas, but traditionally not in AD. Traditionally, AD testing in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80"/>
          </w:cols>
          <w:pgMar w:left="1220" w:top="1175" w:right="1199" w:bottom="1440" w:gutter="0" w:footer="0" w:header="0"/>
        </w:sectPr>
      </w:pPr>
    </w:p>
    <w:bookmarkStart w:id="9" w:name="page10"/>
    <w:bookmarkEnd w:id="9"/>
    <w:p>
      <w:pPr>
        <w:ind w:right="60"/>
        <w:spacing w:after="0" w:line="232"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486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7486015"/>
                    </a:xfrm>
                    <a:prstGeom prst="rect">
                      <a:avLst/>
                    </a:prstGeom>
                    <a:noFill/>
                  </pic:spPr>
                </pic:pic>
              </a:graphicData>
            </a:graphic>
          </wp:anchor>
        </w:drawing>
        <w:t>has relied heavily on imaging techniques to assess changes in amyloid PET scans over several years, creating enormous costs and elongated timelines for the development process while not showing any direct correlation to cognitive functional improvement.</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Differentiated Approach</w:t>
      </w:r>
    </w:p>
    <w:p>
      <w:pPr>
        <w:spacing w:after="0" w:line="118" w:lineRule="exact"/>
        <w:rPr>
          <w:sz w:val="20"/>
          <w:szCs w:val="20"/>
          <w:color w:val="auto"/>
        </w:rPr>
      </w:pPr>
    </w:p>
    <w:p>
      <w:pPr>
        <w:ind w:right="360" w:firstLine="486"/>
        <w:spacing w:after="0" w:line="230" w:lineRule="auto"/>
        <w:rPr>
          <w:sz w:val="20"/>
          <w:szCs w:val="20"/>
          <w:color w:val="auto"/>
        </w:rPr>
      </w:pPr>
      <w:r>
        <w:rPr>
          <w:rFonts w:ascii="Arial" w:cs="Arial" w:eastAsia="Arial" w:hAnsi="Arial"/>
          <w:sz w:val="20"/>
          <w:szCs w:val="20"/>
          <w:color w:val="auto"/>
        </w:rPr>
        <w:t>We believe our ATH platform of small molecules will promote neuronal health and function through stimulating the HGF/MET system. Our small molecules are BBB-penetrating, can be delivered non-invasively, have very low risk of an immune reaction and are more cost efficient to manufacture and distribute. Boosting the HGF/MET system leads to the following primary downstream effects:</w:t>
      </w:r>
    </w:p>
    <w:p>
      <w:pPr>
        <w:spacing w:after="0" w:line="70" w:lineRule="exact"/>
        <w:rPr>
          <w:sz w:val="20"/>
          <w:szCs w:val="20"/>
          <w:color w:val="auto"/>
        </w:rPr>
      </w:pPr>
    </w:p>
    <w:p>
      <w:pPr>
        <w:ind w:left="1060" w:right="40" w:hanging="343"/>
        <w:spacing w:after="0" w:line="233" w:lineRule="auto"/>
        <w:tabs>
          <w:tab w:leader="none" w:pos="1060" w:val="left"/>
        </w:tabs>
        <w:numPr>
          <w:ilvl w:val="0"/>
          <w:numId w:val="10"/>
        </w:numPr>
        <w:rPr>
          <w:rFonts w:ascii="Arial" w:cs="Arial" w:eastAsia="Arial" w:hAnsi="Arial"/>
          <w:sz w:val="20"/>
          <w:szCs w:val="20"/>
          <w:color w:val="auto"/>
        </w:rPr>
      </w:pPr>
      <w:r>
        <w:rPr>
          <w:rFonts w:ascii="Arial" w:cs="Arial" w:eastAsia="Arial" w:hAnsi="Arial"/>
          <w:sz w:val="20"/>
          <w:szCs w:val="20"/>
          <w:i w:val="1"/>
          <w:iCs w:val="1"/>
          <w:color w:val="auto"/>
        </w:rPr>
        <w:t>Modulation of NMDA neurotransmitter system by enhancing synaptic localization and signaling</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leading to a rapid increase in brain network function. The NMDA receptor plays a key role in memory and learning. Other approaches work directly on the NMDA receptors and lack the specificity to modulate the NMDA receptor to the synaptic cleft, which is required to increase transmission of brain signals.</w:t>
      </w:r>
    </w:p>
    <w:p>
      <w:pPr>
        <w:spacing w:after="0" w:line="179" w:lineRule="exact"/>
        <w:rPr>
          <w:rFonts w:ascii="Arial" w:cs="Arial" w:eastAsia="Arial" w:hAnsi="Arial"/>
          <w:sz w:val="20"/>
          <w:szCs w:val="20"/>
          <w:color w:val="auto"/>
        </w:rPr>
      </w:pPr>
    </w:p>
    <w:p>
      <w:pPr>
        <w:ind w:left="1060" w:right="200" w:hanging="343"/>
        <w:spacing w:after="0" w:line="236" w:lineRule="auto"/>
        <w:tabs>
          <w:tab w:leader="none" w:pos="1060" w:val="left"/>
        </w:tabs>
        <w:numPr>
          <w:ilvl w:val="0"/>
          <w:numId w:val="10"/>
        </w:numPr>
        <w:rPr>
          <w:rFonts w:ascii="Arial" w:cs="Arial" w:eastAsia="Arial" w:hAnsi="Arial"/>
          <w:sz w:val="20"/>
          <w:szCs w:val="20"/>
          <w:color w:val="auto"/>
        </w:rPr>
      </w:pPr>
      <w:r>
        <w:rPr>
          <w:rFonts w:ascii="Arial" w:cs="Arial" w:eastAsia="Arial" w:hAnsi="Arial"/>
          <w:sz w:val="20"/>
          <w:szCs w:val="20"/>
          <w:i w:val="1"/>
          <w:iCs w:val="1"/>
          <w:color w:val="auto"/>
        </w:rPr>
        <w:t xml:space="preserve">Restoration of traditional neuronal growth factor pathways </w:t>
      </w:r>
      <w:r>
        <w:rPr>
          <w:rFonts w:ascii="Arial" w:cs="Arial" w:eastAsia="Arial" w:hAnsi="Arial"/>
          <w:sz w:val="20"/>
          <w:szCs w:val="20"/>
          <w:color w:val="auto"/>
        </w:rPr>
        <w:t>that are critical to neuronal survival</w:t>
      </w:r>
      <w:r>
        <w:rPr>
          <w:rFonts w:ascii="Arial" w:cs="Arial" w:eastAsia="Arial" w:hAnsi="Arial"/>
          <w:sz w:val="20"/>
          <w:szCs w:val="20"/>
          <w:i w:val="1"/>
          <w:iCs w:val="1"/>
          <w:color w:val="auto"/>
        </w:rPr>
        <w:t xml:space="preserve"> </w:t>
      </w:r>
      <w:r>
        <w:rPr>
          <w:rFonts w:ascii="Arial" w:cs="Arial" w:eastAsia="Arial" w:hAnsi="Arial"/>
          <w:sz w:val="20"/>
          <w:szCs w:val="20"/>
          <w:color w:val="auto"/>
        </w:rPr>
        <w:t>and activate brain systems that reduce oxidative stress, which is expected to reduce damage and slow down disease progression and improve network activity. Many therapies in development are focused only on slowing disease progression.</w:t>
      </w:r>
    </w:p>
    <w:p>
      <w:pPr>
        <w:spacing w:after="0" w:line="175" w:lineRule="exact"/>
        <w:rPr>
          <w:rFonts w:ascii="Arial" w:cs="Arial" w:eastAsia="Arial" w:hAnsi="Arial"/>
          <w:sz w:val="20"/>
          <w:szCs w:val="20"/>
          <w:color w:val="auto"/>
        </w:rPr>
      </w:pPr>
    </w:p>
    <w:p>
      <w:pPr>
        <w:ind w:left="1060" w:right="140" w:hanging="343"/>
        <w:spacing w:after="0" w:line="239" w:lineRule="auto"/>
        <w:tabs>
          <w:tab w:leader="none" w:pos="1060" w:val="left"/>
        </w:tabs>
        <w:numPr>
          <w:ilvl w:val="0"/>
          <w:numId w:val="10"/>
        </w:numPr>
        <w:rPr>
          <w:rFonts w:ascii="Arial" w:cs="Arial" w:eastAsia="Arial" w:hAnsi="Arial"/>
          <w:sz w:val="20"/>
          <w:szCs w:val="20"/>
          <w:color w:val="auto"/>
        </w:rPr>
      </w:pPr>
      <w:r>
        <w:rPr>
          <w:rFonts w:ascii="Arial" w:cs="Arial" w:eastAsia="Arial" w:hAnsi="Arial"/>
          <w:sz w:val="20"/>
          <w:szCs w:val="20"/>
          <w:i w:val="1"/>
          <w:iCs w:val="1"/>
          <w:color w:val="auto"/>
        </w:rPr>
        <w:t xml:space="preserve">Improvement in cerebral blood flow, as well as reducing inflammation </w:t>
      </w:r>
      <w:r>
        <w:rPr>
          <w:rFonts w:ascii="Arial" w:cs="Arial" w:eastAsia="Arial" w:hAnsi="Arial"/>
          <w:sz w:val="20"/>
          <w:szCs w:val="20"/>
          <w:color w:val="auto"/>
        </w:rPr>
        <w:t>by modulating</w:t>
      </w:r>
      <w:r>
        <w:rPr>
          <w:rFonts w:ascii="Arial" w:cs="Arial" w:eastAsia="Arial" w:hAnsi="Arial"/>
          <w:sz w:val="20"/>
          <w:szCs w:val="20"/>
          <w:i w:val="1"/>
          <w:iCs w:val="1"/>
          <w:color w:val="auto"/>
        </w:rPr>
        <w:t xml:space="preserve"> </w:t>
      </w:r>
      <w:r>
        <w:rPr>
          <w:rFonts w:ascii="Arial" w:cs="Arial" w:eastAsia="Arial" w:hAnsi="Arial"/>
          <w:sz w:val="20"/>
          <w:szCs w:val="20"/>
          <w:color w:val="auto"/>
        </w:rPr>
        <w:t>inflammatory cytokine expression from the glia. Many other therapies only have a single mode of activity.</w:t>
      </w:r>
    </w:p>
    <w:p>
      <w:pPr>
        <w:spacing w:after="0" w:line="305" w:lineRule="exact"/>
        <w:rPr>
          <w:sz w:val="20"/>
          <w:szCs w:val="20"/>
          <w:color w:val="auto"/>
        </w:rPr>
      </w:pPr>
    </w:p>
    <w:p>
      <w:pPr>
        <w:ind w:right="400" w:firstLine="486"/>
        <w:spacing w:after="0" w:line="247" w:lineRule="auto"/>
        <w:rPr>
          <w:sz w:val="20"/>
          <w:szCs w:val="20"/>
          <w:color w:val="auto"/>
        </w:rPr>
      </w:pPr>
      <w:r>
        <w:rPr>
          <w:rFonts w:ascii="Arial" w:cs="Arial" w:eastAsia="Arial" w:hAnsi="Arial"/>
          <w:sz w:val="19"/>
          <w:szCs w:val="19"/>
          <w:color w:val="auto"/>
        </w:rPr>
        <w:t>These factors positively impact neuronal health and function, not only by slowing down disease progression, but also by improving brain network activity and function. We believe these effects position Athira, and initially ATH-1017, to address the complex pathology in neurodegenerative diseases.</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Use of Highly Translatable and Predictive Measures to Guide Clinical Development</w:t>
      </w:r>
    </w:p>
    <w:p>
      <w:pPr>
        <w:spacing w:after="0" w:line="118" w:lineRule="exact"/>
        <w:rPr>
          <w:sz w:val="20"/>
          <w:szCs w:val="20"/>
          <w:color w:val="auto"/>
        </w:rPr>
      </w:pPr>
    </w:p>
    <w:p>
      <w:pPr>
        <w:ind w:firstLine="486"/>
        <w:spacing w:after="0" w:line="229" w:lineRule="auto"/>
        <w:rPr>
          <w:sz w:val="20"/>
          <w:szCs w:val="20"/>
          <w:color w:val="auto"/>
        </w:rPr>
      </w:pPr>
      <w:r>
        <w:rPr>
          <w:rFonts w:ascii="Arial" w:cs="Arial" w:eastAsia="Arial" w:hAnsi="Arial"/>
          <w:sz w:val="20"/>
          <w:szCs w:val="20"/>
          <w:color w:val="auto"/>
        </w:rPr>
        <w:t>We believe EEG and ERP have the potential to revolutionize the paradigm in AD clinical trials. EEG and ERP methods are highly translatable and predictive measures that can guide clinical dose decisions and provide predictable measures of potential clinical benefit. These methods focus on changes in cognition and function, can result in more efficient and cost-effective clinical trials, and potentially provide an accelerated development path compared to traditional AD drug development programs.</w:t>
      </w:r>
    </w:p>
    <w:p>
      <w:pPr>
        <w:spacing w:after="0" w:line="199" w:lineRule="exact"/>
        <w:rPr>
          <w:sz w:val="20"/>
          <w:szCs w:val="20"/>
          <w:color w:val="auto"/>
        </w:rPr>
      </w:pPr>
    </w:p>
    <w:p>
      <w:pPr>
        <w:ind w:right="80" w:firstLine="486"/>
        <w:spacing w:after="0" w:line="228" w:lineRule="auto"/>
        <w:rPr>
          <w:sz w:val="20"/>
          <w:szCs w:val="20"/>
          <w:color w:val="auto"/>
        </w:rPr>
      </w:pPr>
      <w:r>
        <w:rPr>
          <w:rFonts w:ascii="Arial" w:cs="Arial" w:eastAsia="Arial" w:hAnsi="Arial"/>
          <w:sz w:val="20"/>
          <w:szCs w:val="20"/>
          <w:color w:val="auto"/>
        </w:rPr>
        <w:t>Our focused drug development approach aims to understand the potential clinical benefit of a product candidate at early stages of clinical development by utilizing EEG and ERP methods. Commonly used in clinical research and clinical practice, EEG and ERP methods provide valuable insight into cognitive function, but have been largely overlooked in AD clinical trials. At Athira, we are innovatively using these non-invasive methods to gain early insight into potential therapeutic effects. Improvement in the brain network, as well as changes in neurotransmitter activity, can be captured in the electrical activity of the brain. By focusing on these direct measures of brain activity and cognition, we believe we will be able to more efficiently develop ATH-1017 for treatment of AD and broader dementia.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40"/>
          </w:cols>
          <w:pgMar w:left="1220" w:top="1283" w:right="12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64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7640320"/>
                    </a:xfrm>
                    <a:prstGeom prst="rect">
                      <a:avLst/>
                    </a:prstGeom>
                    <a:noFill/>
                  </pic:spPr>
                </pic:pic>
              </a:graphicData>
            </a:graphic>
          </wp:anchor>
        </w:drawing>
        <w:t>Insights from Approved Therapies and Applications to Our ATH Platform</w:t>
      </w:r>
    </w:p>
    <w:p>
      <w:pPr>
        <w:spacing w:after="0" w:line="118" w:lineRule="exact"/>
        <w:rPr>
          <w:sz w:val="20"/>
          <w:szCs w:val="20"/>
          <w:color w:val="auto"/>
        </w:rPr>
      </w:pPr>
    </w:p>
    <w:p>
      <w:pPr>
        <w:ind w:right="40" w:firstLine="486"/>
        <w:spacing w:after="0" w:line="229" w:lineRule="auto"/>
        <w:rPr>
          <w:sz w:val="20"/>
          <w:szCs w:val="20"/>
          <w:color w:val="auto"/>
        </w:rPr>
      </w:pPr>
      <w:r>
        <w:rPr>
          <w:rFonts w:ascii="Arial" w:cs="Arial" w:eastAsia="Arial" w:hAnsi="Arial"/>
          <w:sz w:val="20"/>
          <w:szCs w:val="20"/>
          <w:color w:val="auto"/>
        </w:rPr>
        <w:t>Companies with approved therapies have demonstrated parallel improvement in P300 latency and cognition as assessed by the Alzheimer’s Disease Assessment Scale-Cognitive Subscale, or ADAS-cog, as shown in the table below. ADAS-cog is a neuropsychological assessment used to assess the severity of cognitive symptoms of dementia. While these changes induced by acetylcholinesterase inhibitors are modest and often transient, these previously published results support the correlation of P300 latency and cognition in AD subjects.</w:t>
      </w:r>
    </w:p>
    <w:p>
      <w:pPr>
        <w:spacing w:after="0" w:line="283" w:lineRule="exact"/>
        <w:rPr>
          <w:sz w:val="20"/>
          <w:szCs w:val="20"/>
          <w:color w:val="auto"/>
        </w:rPr>
      </w:pPr>
    </w:p>
    <w:p>
      <w:pPr>
        <w:ind w:left="480"/>
        <w:spacing w:after="0"/>
        <w:rPr>
          <w:sz w:val="20"/>
          <w:szCs w:val="20"/>
          <w:color w:val="auto"/>
        </w:rPr>
      </w:pPr>
      <w:r>
        <w:rPr>
          <w:rFonts w:ascii="Arial" w:cs="Arial" w:eastAsia="Arial" w:hAnsi="Arial"/>
          <w:sz w:val="20"/>
          <w:szCs w:val="20"/>
          <w:i w:val="1"/>
          <w:iCs w:val="1"/>
          <w:color w:val="auto"/>
        </w:rPr>
        <w:t>Studies Suggest Changes in P300 Latency Have Been Predictive of Changes in 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60"/>
        <w:spacing w:after="0" w:line="279" w:lineRule="auto"/>
        <w:rPr>
          <w:sz w:val="20"/>
          <w:szCs w:val="20"/>
          <w:color w:val="auto"/>
        </w:rPr>
      </w:pPr>
      <w:r>
        <w:rPr>
          <w:rFonts w:ascii="Arial" w:cs="Arial" w:eastAsia="Arial" w:hAnsi="Arial"/>
          <w:sz w:val="14"/>
          <w:szCs w:val="14"/>
          <w:i w:val="1"/>
          <w:iCs w:val="1"/>
          <w:color w:val="auto"/>
        </w:rPr>
        <w:t>Source: Results for donepezil and rivastigmine adapted from Thomas et al., 2001; results for memantine adapted from Sallach et al., 2011, and results for scopolamine adapted from Potter et al., 2000.</w:t>
      </w:r>
    </w:p>
    <w:p>
      <w:pPr>
        <w:spacing w:after="0" w:line="171" w:lineRule="exact"/>
        <w:rPr>
          <w:sz w:val="20"/>
          <w:szCs w:val="20"/>
          <w:color w:val="auto"/>
        </w:rPr>
      </w:pPr>
    </w:p>
    <w:p>
      <w:pPr>
        <w:ind w:right="100" w:firstLine="486"/>
        <w:spacing w:after="0" w:line="241" w:lineRule="auto"/>
        <w:rPr>
          <w:sz w:val="20"/>
          <w:szCs w:val="20"/>
          <w:color w:val="auto"/>
        </w:rPr>
      </w:pPr>
      <w:r>
        <w:rPr>
          <w:rFonts w:ascii="Arial" w:cs="Arial" w:eastAsia="Arial" w:hAnsi="Arial"/>
          <w:sz w:val="19"/>
          <w:szCs w:val="19"/>
          <w:color w:val="auto"/>
        </w:rPr>
        <w:t>In CNS disorders, fluid or imaging biomarkers have been extensively used in drug development. However, these can be invasive and expensive, and the connection of these biomarkers to cognition is not clear. We sought to develop a translational strategy for ATH that was highly correlated to brain function and cognition which led us to use EEG/ERP for the clinical development of ATH-1017. Positive changes in EEG and ERP P300 latency potentially indicate a positive cognitive effect of ATH treatment, which increases our confidence that these effects may translate to clinical benefit in later-stage clinical trials.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Team and Investors</w:t>
      </w:r>
    </w:p>
    <w:p>
      <w:pPr>
        <w:spacing w:after="0" w:line="118" w:lineRule="exact"/>
        <w:rPr>
          <w:sz w:val="20"/>
          <w:szCs w:val="20"/>
          <w:color w:val="auto"/>
        </w:rPr>
      </w:pPr>
    </w:p>
    <w:p>
      <w:pPr>
        <w:ind w:firstLine="486"/>
        <w:spacing w:after="0" w:line="228" w:lineRule="auto"/>
        <w:rPr>
          <w:sz w:val="20"/>
          <w:szCs w:val="20"/>
          <w:color w:val="auto"/>
        </w:rPr>
      </w:pPr>
      <w:r>
        <w:rPr>
          <w:rFonts w:ascii="Arial" w:cs="Arial" w:eastAsia="Arial" w:hAnsi="Arial"/>
          <w:sz w:val="20"/>
          <w:szCs w:val="20"/>
          <w:color w:val="auto"/>
        </w:rPr>
        <w:t>Our leadership team includes experienced neuroscience biotech executives who have both developed and commercialized CNS drugs and founded successful companies. Dr. Leen Kawas, our founder and chief executive officer, has been essential in creating our innovative translational development strategy. Dr. Hans Moebius, our chief medical officer, is a pioneer in the AD space and led the effort in getting Namenda, among other CNS drugs, approved. Dr. Mark Litton, our chief operating officer, is one of the co-founders and builders of Alder BioPharmaceuticals, which was acquired by Lundbeck A/S in October 2019. Dr. Kevin Church, our vice president of discovery, has over 10 years of research and management experience in the biotech space and is an expert in HGF biology.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367" w:right="1219" w:bottom="1440" w:gutter="0" w:footer="0" w:header="0"/>
        </w:sectPr>
      </w:pPr>
    </w:p>
    <w:bookmarkStart w:id="11" w:name="page12"/>
    <w:bookmarkEnd w:id="11"/>
    <w:p>
      <w:pPr>
        <w:ind w:firstLine="486"/>
        <w:spacing w:after="0" w:line="229"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571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7571740"/>
                    </a:xfrm>
                    <a:prstGeom prst="rect">
                      <a:avLst/>
                    </a:prstGeom>
                    <a:noFill/>
                  </pic:spPr>
                </pic:pic>
              </a:graphicData>
            </a:graphic>
          </wp:anchor>
        </w:drawing>
        <w:t>Our advisory board is a world class team of leaders in the neuroregenerative, drug development and neurophysiology fields, including Dr. Larry Ereshefsky and Dr. Marwan Sabbagh. Dr. Ereshefsky is a pioneer in the application of translational drug development tools, including neurocircuitry/biomarker-based strategies such as quantitative EEG, or qEEG, ERP P300 latency, and cognitive and behavioral paradigms. Dr. Sabbagh, the director of Cleveland Clinic Lou Ruvo Center for Brain Health, is considered to be one of the leading experts in AD and dementia.</w:t>
      </w:r>
    </w:p>
    <w:p>
      <w:pPr>
        <w:spacing w:after="0" w:line="195" w:lineRule="exact"/>
        <w:rPr>
          <w:sz w:val="20"/>
          <w:szCs w:val="20"/>
          <w:color w:val="auto"/>
        </w:rPr>
      </w:pPr>
    </w:p>
    <w:p>
      <w:pPr>
        <w:ind w:right="60" w:firstLine="486"/>
        <w:spacing w:after="0" w:line="229" w:lineRule="auto"/>
        <w:rPr>
          <w:sz w:val="20"/>
          <w:szCs w:val="20"/>
          <w:color w:val="auto"/>
        </w:rPr>
      </w:pPr>
      <w:r>
        <w:rPr>
          <w:rFonts w:ascii="Arial" w:cs="Arial" w:eastAsia="Arial" w:hAnsi="Arial"/>
          <w:sz w:val="20"/>
          <w:szCs w:val="20"/>
          <w:color w:val="auto"/>
        </w:rPr>
        <w:t>Our team is further supported by a group of investors that share our vision, mission, and commitment to develop innovative therapies for neurodegeneration. Our key investors include Perceptive Advisors, RTW Investments, Viking Global Investors, Venrock Healthcare Capital Partners, Franklin Templeton, Rock Springs Capital, LifeSci Venture Partners, Surveyor Capital (a Citadel company), Highside Capital Management, Logos Capital, funds managed by Janus Henderson Investors, Sofinnova Investments, and Avidity Partners.</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Associated with Our Business</w:t>
      </w:r>
    </w:p>
    <w:p>
      <w:pPr>
        <w:spacing w:after="0" w:line="118" w:lineRule="exact"/>
        <w:rPr>
          <w:sz w:val="20"/>
          <w:szCs w:val="20"/>
          <w:color w:val="auto"/>
        </w:rPr>
      </w:pPr>
    </w:p>
    <w:p>
      <w:pPr>
        <w:jc w:val="both"/>
        <w:ind w:right="120" w:firstLine="486"/>
        <w:spacing w:after="0" w:line="232" w:lineRule="auto"/>
        <w:rPr>
          <w:sz w:val="20"/>
          <w:szCs w:val="20"/>
          <w:color w:val="auto"/>
        </w:rPr>
      </w:pPr>
      <w:r>
        <w:rPr>
          <w:rFonts w:ascii="Arial" w:cs="Arial" w:eastAsia="Arial" w:hAnsi="Arial"/>
          <w:sz w:val="20"/>
          <w:szCs w:val="20"/>
          <w:color w:val="auto"/>
        </w:rPr>
        <w:t>Our business is subject to numerous risks and uncertainties that you should consider before investing in our company. These risks are described more fully in the section titled “Risk Factors” in this prospectus. These risks include, but are not limited to, the following:</w:t>
      </w:r>
    </w:p>
    <w:p>
      <w:pPr>
        <w:spacing w:after="0" w:line="89" w:lineRule="exact"/>
        <w:rPr>
          <w:sz w:val="20"/>
          <w:szCs w:val="20"/>
          <w:color w:val="auto"/>
        </w:rPr>
      </w:pPr>
    </w:p>
    <w:p>
      <w:pPr>
        <w:ind w:left="1060" w:hanging="343"/>
        <w:spacing w:after="0"/>
        <w:tabs>
          <w:tab w:leader="none" w:pos="10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We have a limited operating history.</w:t>
      </w:r>
    </w:p>
    <w:p>
      <w:pPr>
        <w:spacing w:after="0" w:line="107" w:lineRule="exact"/>
        <w:rPr>
          <w:rFonts w:ascii="Arial" w:cs="Arial" w:eastAsia="Arial" w:hAnsi="Arial"/>
          <w:sz w:val="20"/>
          <w:szCs w:val="20"/>
          <w:color w:val="auto"/>
        </w:rPr>
      </w:pPr>
    </w:p>
    <w:p>
      <w:pPr>
        <w:ind w:left="1060" w:right="280" w:hanging="343"/>
        <w:spacing w:after="0" w:line="236" w:lineRule="auto"/>
        <w:tabs>
          <w:tab w:leader="none" w:pos="10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We have incurred significant losses since our inception and anticipate that we will continue to incur significant losses for the foreseeable future.</w:t>
      </w:r>
    </w:p>
    <w:p>
      <w:pPr>
        <w:spacing w:after="0" w:line="87" w:lineRule="exact"/>
        <w:rPr>
          <w:rFonts w:ascii="Arial" w:cs="Arial" w:eastAsia="Arial" w:hAnsi="Arial"/>
          <w:sz w:val="20"/>
          <w:szCs w:val="20"/>
          <w:color w:val="auto"/>
        </w:rPr>
      </w:pPr>
    </w:p>
    <w:p>
      <w:pPr>
        <w:ind w:left="1060" w:right="120" w:hanging="343"/>
        <w:spacing w:after="0" w:line="244" w:lineRule="auto"/>
        <w:tabs>
          <w:tab w:leader="none" w:pos="10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Even if this offering is successful, we will require substantial additional funding to finance our operations, complete the development and commercialization of ATH-1017, and evaluate other and future product candidates. If we are unable to raise this funding when needed, we may be forced to delay, reduce, or eliminate our product development programs or other operations.</w:t>
      </w:r>
    </w:p>
    <w:p>
      <w:pPr>
        <w:spacing w:after="0" w:line="83" w:lineRule="exact"/>
        <w:rPr>
          <w:rFonts w:ascii="Arial" w:cs="Arial" w:eastAsia="Arial" w:hAnsi="Arial"/>
          <w:sz w:val="19"/>
          <w:szCs w:val="19"/>
          <w:color w:val="auto"/>
        </w:rPr>
      </w:pPr>
    </w:p>
    <w:p>
      <w:pPr>
        <w:ind w:left="1060" w:right="280" w:hanging="343"/>
        <w:spacing w:after="0" w:line="236" w:lineRule="auto"/>
        <w:tabs>
          <w:tab w:leader="none" w:pos="10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Our ability to generate revenue and achieve profitability depends significantly on our ability to achieve a number of objectives.</w:t>
      </w:r>
    </w:p>
    <w:p>
      <w:pPr>
        <w:spacing w:after="0" w:line="87" w:lineRule="exact"/>
        <w:rPr>
          <w:rFonts w:ascii="Arial" w:cs="Arial" w:eastAsia="Arial" w:hAnsi="Arial"/>
          <w:sz w:val="20"/>
          <w:szCs w:val="20"/>
          <w:color w:val="auto"/>
        </w:rPr>
      </w:pPr>
    </w:p>
    <w:p>
      <w:pPr>
        <w:ind w:left="1060" w:hanging="343"/>
        <w:spacing w:after="0"/>
        <w:tabs>
          <w:tab w:leader="none" w:pos="10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Our development of ATH-1017 may never lead to a marketable product.</w:t>
      </w:r>
    </w:p>
    <w:p>
      <w:pPr>
        <w:spacing w:after="0" w:line="107" w:lineRule="exact"/>
        <w:rPr>
          <w:rFonts w:ascii="Arial" w:cs="Arial" w:eastAsia="Arial" w:hAnsi="Arial"/>
          <w:sz w:val="20"/>
          <w:szCs w:val="20"/>
          <w:color w:val="auto"/>
        </w:rPr>
      </w:pPr>
    </w:p>
    <w:p>
      <w:pPr>
        <w:ind w:left="1060" w:right="20" w:hanging="343"/>
        <w:spacing w:after="0" w:line="236" w:lineRule="auto"/>
        <w:tabs>
          <w:tab w:leader="none" w:pos="10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Our approach to targeting brain growth factors through the use of small molecules is based on a novel therapeutic approach, which exposes us to unforeseen risks.</w:t>
      </w:r>
    </w:p>
    <w:p>
      <w:pPr>
        <w:spacing w:after="0" w:line="87" w:lineRule="exact"/>
        <w:rPr>
          <w:rFonts w:ascii="Arial" w:cs="Arial" w:eastAsia="Arial" w:hAnsi="Arial"/>
          <w:sz w:val="20"/>
          <w:szCs w:val="20"/>
          <w:color w:val="auto"/>
        </w:rPr>
      </w:pPr>
    </w:p>
    <w:p>
      <w:pPr>
        <w:ind w:left="1060" w:right="520" w:hanging="343"/>
        <w:spacing w:after="0" w:line="229" w:lineRule="auto"/>
        <w:tabs>
          <w:tab w:leader="none" w:pos="10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We have concentrated our research and development efforts on the treatment of CNS and peripheral degenerative disorders, a field that has seen very limited success in product development. Further, our product candidates are based on new approaches and novel technology, which makes it difficult to predict the time and cost of product candidate development and the regulatory approval process.</w:t>
      </w:r>
    </w:p>
    <w:p>
      <w:pPr>
        <w:spacing w:after="0" w:line="90" w:lineRule="exact"/>
        <w:rPr>
          <w:rFonts w:ascii="Arial" w:cs="Arial" w:eastAsia="Arial" w:hAnsi="Arial"/>
          <w:sz w:val="20"/>
          <w:szCs w:val="20"/>
          <w:color w:val="auto"/>
        </w:rPr>
      </w:pPr>
    </w:p>
    <w:p>
      <w:pPr>
        <w:ind w:left="1060" w:right="40" w:hanging="343"/>
        <w:spacing w:after="0" w:line="230" w:lineRule="auto"/>
        <w:tabs>
          <w:tab w:leader="none" w:pos="10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Clinical development involves a lengthy and expensive process with an uncertain outcome, and results of earlier studies and clinical trials may not be predictive of future clinical trial results. We may encounter substantial delays in clinical trials, or may not be able to conduct or complete clinical trials on the expected timelines, if at all.</w:t>
      </w:r>
    </w:p>
    <w:p>
      <w:pPr>
        <w:spacing w:after="0" w:line="90" w:lineRule="exact"/>
        <w:rPr>
          <w:rFonts w:ascii="Arial" w:cs="Arial" w:eastAsia="Arial" w:hAnsi="Arial"/>
          <w:sz w:val="20"/>
          <w:szCs w:val="20"/>
          <w:color w:val="auto"/>
        </w:rPr>
      </w:pPr>
    </w:p>
    <w:p>
      <w:pPr>
        <w:ind w:left="1060" w:right="860" w:hanging="343"/>
        <w:spacing w:after="0" w:line="236" w:lineRule="auto"/>
        <w:tabs>
          <w:tab w:leader="none" w:pos="10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outbreak of the novel coronavirus disease, COVID-19, could adversely impact our business, including our nonclinical studies and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80"/>
          </w:cols>
          <w:pgMar w:left="1220" w:top="1283" w:right="1199" w:bottom="1440" w:gutter="0" w:footer="0" w:header="0"/>
        </w:sectPr>
      </w:pPr>
    </w:p>
    <w:bookmarkStart w:id="12" w:name="page13"/>
    <w:bookmarkEnd w:id="12"/>
    <w:p>
      <w:pPr>
        <w:ind w:left="1060" w:right="220" w:hanging="343"/>
        <w:spacing w:after="0" w:line="247" w:lineRule="auto"/>
        <w:tabs>
          <w:tab w:leader="none" w:pos="1060" w:val="left"/>
        </w:tabs>
        <w:numPr>
          <w:ilvl w:val="0"/>
          <w:numId w:val="12"/>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5971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7597140"/>
                    </a:xfrm>
                    <a:prstGeom prst="rect">
                      <a:avLst/>
                    </a:prstGeom>
                    <a:noFill/>
                  </pic:spPr>
                </pic:pic>
              </a:graphicData>
            </a:graphic>
          </wp:anchor>
        </w:drawing>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81" w:lineRule="exact"/>
        <w:rPr>
          <w:rFonts w:ascii="Arial" w:cs="Arial" w:eastAsia="Arial" w:hAnsi="Arial"/>
          <w:sz w:val="19"/>
          <w:szCs w:val="19"/>
          <w:color w:val="auto"/>
        </w:rPr>
      </w:pPr>
    </w:p>
    <w:p>
      <w:pPr>
        <w:ind w:left="1060" w:hanging="343"/>
        <w:spacing w:after="0" w:line="230" w:lineRule="auto"/>
        <w:tabs>
          <w:tab w:leader="none" w:pos="10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We plan to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90" w:lineRule="exact"/>
        <w:rPr>
          <w:rFonts w:ascii="Arial" w:cs="Arial" w:eastAsia="Arial" w:hAnsi="Arial"/>
          <w:sz w:val="20"/>
          <w:szCs w:val="20"/>
          <w:color w:val="auto"/>
        </w:rPr>
      </w:pPr>
    </w:p>
    <w:p>
      <w:pPr>
        <w:ind w:left="1060" w:right="540" w:hanging="343"/>
        <w:spacing w:after="0" w:line="236" w:lineRule="auto"/>
        <w:tabs>
          <w:tab w:leader="none" w:pos="10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Our success depends on our ability to protect our intellectual property and our proprietary technologies.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Information</w:t>
      </w:r>
    </w:p>
    <w:p>
      <w:pPr>
        <w:spacing w:after="0" w:line="121" w:lineRule="exact"/>
        <w:rPr>
          <w:sz w:val="20"/>
          <w:szCs w:val="20"/>
          <w:color w:val="auto"/>
        </w:rPr>
      </w:pPr>
    </w:p>
    <w:p>
      <w:pPr>
        <w:ind w:right="40" w:firstLine="486"/>
        <w:spacing w:after="0" w:line="237" w:lineRule="auto"/>
        <w:rPr>
          <w:sz w:val="20"/>
          <w:szCs w:val="20"/>
          <w:color w:val="auto"/>
        </w:rPr>
      </w:pPr>
      <w:r>
        <w:rPr>
          <w:rFonts w:ascii="Arial" w:cs="Arial" w:eastAsia="Arial" w:hAnsi="Arial"/>
          <w:sz w:val="18"/>
          <w:szCs w:val="18"/>
          <w:color w:val="auto"/>
        </w:rPr>
        <w:t>We were incorporated in Washington as a corporation in March 2011 under the name M3 Biotechnology, Inc. In October 2015, we converted to a Delaware corporation and subsequently changed our name to “Athira Pharma, Inc.” Our principal executive office is located at 4000 Mason Road, Suite 300, Seattle, Washington 98195. Our telephone number is (206) 221-8112. Our website is www.athira.com. Information contained in, or that can be accessed through, our website is not a part of, and is not incorporated into, this prospectus, and the inclusion of our website address in this prospectus is an inactive textual reference only.</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Trademarks and Service Marks</w:t>
      </w:r>
    </w:p>
    <w:p>
      <w:pPr>
        <w:spacing w:after="0" w:line="121" w:lineRule="exact"/>
        <w:rPr>
          <w:sz w:val="20"/>
          <w:szCs w:val="20"/>
          <w:color w:val="auto"/>
        </w:rPr>
      </w:pPr>
    </w:p>
    <w:p>
      <w:pPr>
        <w:ind w:right="40" w:firstLine="486"/>
        <w:spacing w:after="0" w:line="237" w:lineRule="auto"/>
        <w:rPr>
          <w:sz w:val="20"/>
          <w:szCs w:val="20"/>
          <w:color w:val="auto"/>
        </w:rPr>
      </w:pPr>
      <w:r>
        <w:rPr>
          <w:rFonts w:ascii="Arial" w:cs="Arial" w:eastAsia="Arial" w:hAnsi="Arial"/>
          <w:sz w:val="18"/>
          <w:szCs w:val="18"/>
          <w:color w:val="auto"/>
        </w:rPr>
        <w:t xml:space="preserve">We use Athira, Athira Pharma, the Athira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TM</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Implications of Being an Emerging Growth Company</w:t>
      </w:r>
    </w:p>
    <w:p>
      <w:pPr>
        <w:spacing w:after="0" w:line="118" w:lineRule="exact"/>
        <w:rPr>
          <w:sz w:val="20"/>
          <w:szCs w:val="20"/>
          <w:color w:val="auto"/>
        </w:rPr>
      </w:pPr>
    </w:p>
    <w:p>
      <w:pPr>
        <w:jc w:val="both"/>
        <w:ind w:right="420" w:firstLine="486"/>
        <w:spacing w:after="0" w:line="232" w:lineRule="auto"/>
        <w:rPr>
          <w:sz w:val="20"/>
          <w:szCs w:val="20"/>
          <w:color w:val="auto"/>
        </w:rPr>
      </w:pPr>
      <w:r>
        <w:rPr>
          <w:rFonts w:ascii="Arial" w:cs="Arial" w:eastAsia="Arial" w:hAnsi="Arial"/>
          <w:sz w:val="20"/>
          <w:szCs w:val="20"/>
          <w:color w:val="auto"/>
          <w:highlight w:val="white"/>
        </w:rPr>
        <w:t>We are an “emerging growth company” as defined in the Jumpstart Our Business Startups Act of 2012, as amended, or the JOBS Act. As such, we may take advantage of reduced disclosure and other requirements otherwise generally applicable to public companies, including:</w:t>
      </w:r>
    </w:p>
    <w:p>
      <w:pPr>
        <w:spacing w:after="0" w:line="89" w:lineRule="exact"/>
        <w:rPr>
          <w:sz w:val="20"/>
          <w:szCs w:val="20"/>
          <w:color w:val="auto"/>
        </w:rPr>
      </w:pPr>
    </w:p>
    <w:p>
      <w:pPr>
        <w:ind w:left="1060" w:hanging="343"/>
        <w:spacing w:after="0"/>
        <w:tabs>
          <w:tab w:leader="none" w:pos="10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presentation of only two years of audited financial statements and related financial disclosure;</w:t>
      </w:r>
    </w:p>
    <w:p>
      <w:pPr>
        <w:spacing w:after="0" w:line="107" w:lineRule="exact"/>
        <w:rPr>
          <w:rFonts w:ascii="Arial" w:cs="Arial" w:eastAsia="Arial" w:hAnsi="Arial"/>
          <w:sz w:val="20"/>
          <w:szCs w:val="20"/>
          <w:color w:val="auto"/>
        </w:rPr>
      </w:pPr>
    </w:p>
    <w:p>
      <w:pPr>
        <w:ind w:left="1060" w:right="20" w:hanging="343"/>
        <w:spacing w:after="0" w:line="236" w:lineRule="auto"/>
        <w:tabs>
          <w:tab w:leader="none" w:pos="10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exemption from requirement to have our registered independent public accounting firm attest to management's assessment of our internal control over financial reporting;</w:t>
      </w:r>
    </w:p>
    <w:p>
      <w:pPr>
        <w:spacing w:after="0" w:line="87" w:lineRule="exact"/>
        <w:rPr>
          <w:rFonts w:ascii="Arial" w:cs="Arial" w:eastAsia="Arial" w:hAnsi="Arial"/>
          <w:sz w:val="20"/>
          <w:szCs w:val="20"/>
          <w:color w:val="auto"/>
        </w:rPr>
      </w:pPr>
    </w:p>
    <w:p>
      <w:pPr>
        <w:ind w:left="1060" w:hanging="343"/>
        <w:spacing w:after="0"/>
        <w:tabs>
          <w:tab w:leader="none" w:pos="10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reduced disclosure about our executive compensation arrangements; and</w:t>
      </w:r>
    </w:p>
    <w:p>
      <w:pPr>
        <w:spacing w:after="0" w:line="107" w:lineRule="exact"/>
        <w:rPr>
          <w:rFonts w:ascii="Arial" w:cs="Arial" w:eastAsia="Arial" w:hAnsi="Arial"/>
          <w:sz w:val="20"/>
          <w:szCs w:val="20"/>
          <w:color w:val="auto"/>
        </w:rPr>
      </w:pPr>
    </w:p>
    <w:p>
      <w:pPr>
        <w:ind w:left="1060" w:right="140" w:hanging="343"/>
        <w:spacing w:after="0" w:line="236" w:lineRule="auto"/>
        <w:tabs>
          <w:tab w:leader="none" w:pos="10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exemption from requirement to hold non-binding advisory votes on executive compensation or golden parachute arrangements.</w:t>
      </w:r>
    </w:p>
    <w:p>
      <w:pPr>
        <w:spacing w:after="0" w:line="196" w:lineRule="exact"/>
        <w:rPr>
          <w:sz w:val="20"/>
          <w:szCs w:val="20"/>
          <w:color w:val="auto"/>
        </w:rPr>
      </w:pPr>
    </w:p>
    <w:p>
      <w:pPr>
        <w:jc w:val="both"/>
        <w:ind w:right="40" w:firstLine="486"/>
        <w:spacing w:after="0" w:line="230" w:lineRule="auto"/>
        <w:rPr>
          <w:sz w:val="20"/>
          <w:szCs w:val="20"/>
          <w:color w:val="auto"/>
        </w:rPr>
      </w:pPr>
      <w:r>
        <w:rPr>
          <w:rFonts w:ascii="Arial" w:cs="Arial" w:eastAsia="Arial" w:hAnsi="Arial"/>
          <w:sz w:val="20"/>
          <w:szCs w:val="20"/>
          <w:color w:val="auto"/>
          <w:highlight w:val="white"/>
        </w:rPr>
        <w:t>We will remain an emerging growth company until the earliest to occur of: (1) the last day of the fiscal year in which we have at least $1.07 billion in annual revenue; (2) the last day of the fiscal year in which we are deemed to be a “large accelerated filer,” as defined in Rule 12b-2 under the Securities Exchange Act of 1934, as amended, or the Exchange Act, which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20"/>
          </w:cols>
          <w:pgMar w:left="1220" w:top="1175" w:right="1259" w:bottom="1440" w:gutter="0" w:footer="0" w:header="0"/>
        </w:sectPr>
      </w:pPr>
    </w:p>
    <w:bookmarkStart w:id="13" w:name="page14"/>
    <w:bookmarkEnd w:id="13"/>
    <w:p>
      <w:pPr>
        <w:ind w:right="280"/>
        <w:spacing w:after="0" w:line="230" w:lineRule="auto"/>
        <w:rPr>
          <w:sz w:val="20"/>
          <w:szCs w:val="20"/>
          <w:color w:val="auto"/>
        </w:rPr>
      </w:pPr>
      <w:r>
        <w:rPr>
          <w:rFonts w:ascii="Arial" w:cs="Arial" w:eastAsia="Arial" w:hAnsi="Arial"/>
          <w:sz w:val="20"/>
          <w:szCs w:val="20"/>
          <w:color w:val="auto"/>
          <w:highlight w:val="whit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57200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275" cy="5720080"/>
                    </a:xfrm>
                    <a:prstGeom prst="rect">
                      <a:avLst/>
                    </a:prstGeom>
                    <a:noFill/>
                  </pic:spPr>
                </pic:pic>
              </a:graphicData>
            </a:graphic>
          </wp:anchor>
        </w:drawing>
        <w:t>occur if the market value of our common stock held by non-affiliates exceeded $ 700 million as of the last business day of the second fiscal quarter of such year; (3) the date on which we have issued more than $1.0 billion in non-convertible debt securities during the prior three-year period; and (4) the last day of the fiscal year ending after the fifth anniversary of our initial public offering.</w:t>
      </w:r>
    </w:p>
    <w:p>
      <w:pPr>
        <w:spacing w:after="0" w:line="198" w:lineRule="exact"/>
        <w:rPr>
          <w:sz w:val="20"/>
          <w:szCs w:val="20"/>
          <w:color w:val="auto"/>
        </w:rPr>
      </w:pPr>
    </w:p>
    <w:p>
      <w:pPr>
        <w:ind w:firstLine="486"/>
        <w:spacing w:after="0" w:line="239" w:lineRule="auto"/>
        <w:rPr>
          <w:sz w:val="20"/>
          <w:szCs w:val="20"/>
          <w:color w:val="auto"/>
        </w:rPr>
      </w:pPr>
      <w:r>
        <w:rPr>
          <w:rFonts w:ascii="Arial" w:cs="Arial" w:eastAsia="Arial" w:hAnsi="Arial"/>
          <w:sz w:val="19"/>
          <w:szCs w:val="19"/>
          <w:color w:val="auto"/>
          <w:highlight w:val="white"/>
        </w:rPr>
        <w:t>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financial statements and have not included all of the executive compensation-related information that would be required if we were not an emerging growth company. 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for complying with new or revised accounting standards that have different effective dates for public and private companies until the earlier of the date that we are no longer an emerging growth company or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96" w:lineRule="exact"/>
        <w:rPr>
          <w:sz w:val="20"/>
          <w:szCs w:val="20"/>
          <w:color w:val="auto"/>
        </w:rPr>
      </w:pPr>
    </w:p>
    <w:p>
      <w:pPr>
        <w:ind w:right="40" w:firstLine="486"/>
        <w:spacing w:after="0" w:line="239" w:lineRule="auto"/>
        <w:rPr>
          <w:sz w:val="20"/>
          <w:szCs w:val="20"/>
          <w:color w:val="auto"/>
        </w:rPr>
      </w:pPr>
      <w:r>
        <w:rPr>
          <w:rFonts w:ascii="Arial" w:cs="Arial" w:eastAsia="Arial" w:hAnsi="Arial"/>
          <w:sz w:val="19"/>
          <w:szCs w:val="19"/>
          <w:color w:val="auto"/>
        </w:rPr>
        <w:t>In addition, we are also a “smaller reporting company” because the market value of our stock held by non-affiliates plus the proposed aggregate amount of gross proceeds to us as a result of this offering is less than $700 million as of June 30, 2019 and our annual revenue was less than $100 million during the fiscal year ended December 31, 2019. We may continue to be a smaller reporting company after this offering in any given year if either (1) the market value of our stock held by non-affiliates is less than $250 million as of June 30 in the most recently completed fiscal year or (2) our annual revenue is less than $100 million during the most recently completed fiscal year and the market value of our stock held by non-affiliates is less than $700 million as of June 30 in the most recently completed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80"/>
          </w:cols>
          <w:pgMar w:left="1220" w:top="1283" w:right="11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9"/>
        </w:trPr>
        <w:tc>
          <w:tcPr>
            <w:tcW w:w="3560" w:type="dxa"/>
            <w:vAlign w:val="bottom"/>
          </w:tcPr>
          <w:p>
            <w:pPr>
              <w:spacing w:after="0"/>
              <w:rPr>
                <w:sz w:val="20"/>
                <w:szCs w:val="20"/>
                <w:color w:val="auto"/>
              </w:rPr>
            </w:pPr>
          </w:p>
        </w:tc>
        <w:tc>
          <w:tcPr>
            <w:tcW w:w="2600" w:type="dxa"/>
            <w:vAlign w:val="bottom"/>
            <w:gridSpan w:val="2"/>
          </w:tcPr>
          <w:p>
            <w:pPr>
              <w:ind w:left="640"/>
              <w:spacing w:after="0"/>
              <w:rPr>
                <w:sz w:val="20"/>
                <w:szCs w:val="20"/>
                <w:color w:val="auto"/>
              </w:rPr>
            </w:pPr>
            <w:r>
              <w:rPr>
                <w:rFonts w:ascii="Arial" w:cs="Arial" w:eastAsia="Arial" w:hAnsi="Arial"/>
                <w:sz w:val="18"/>
                <w:szCs w:val="18"/>
                <w:b w:val="1"/>
                <w:bCs w:val="1"/>
                <w:color w:val="auto"/>
              </w:rPr>
              <w:t>The Offering</w:t>
            </w:r>
          </w:p>
        </w:tc>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45"/>
        </w:trPr>
        <w:tc>
          <w:tcPr>
            <w:tcW w:w="356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1340" w:type="dxa"/>
            <w:vAlign w:val="bottom"/>
          </w:tcPr>
          <w:p>
            <w:pPr>
              <w:spacing w:after="0"/>
              <w:rPr>
                <w:sz w:val="24"/>
                <w:szCs w:val="24"/>
                <w:color w:val="auto"/>
              </w:rPr>
            </w:pPr>
          </w:p>
        </w:tc>
        <w:tc>
          <w:tcPr>
            <w:tcW w:w="1260" w:type="dxa"/>
            <w:vAlign w:val="bottom"/>
          </w:tcPr>
          <w:p>
            <w:pPr>
              <w:ind w:left="220"/>
              <w:spacing w:after="0"/>
              <w:rPr>
                <w:sz w:val="20"/>
                <w:szCs w:val="20"/>
                <w:color w:val="auto"/>
              </w:rPr>
            </w:pPr>
            <w:r>
              <w:rPr>
                <w:rFonts w:ascii="Arial" w:cs="Arial" w:eastAsia="Arial" w:hAnsi="Arial"/>
                <w:sz w:val="18"/>
                <w:szCs w:val="18"/>
                <w:color w:val="auto"/>
              </w:rPr>
              <w:t>shares.</w:t>
            </w:r>
          </w:p>
        </w:tc>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31"/>
        </w:trPr>
        <w:tc>
          <w:tcPr>
            <w:tcW w:w="3560" w:type="dxa"/>
            <w:vAlign w:val="bottom"/>
          </w:tcPr>
          <w:p>
            <w:pPr>
              <w:spacing w:after="0"/>
              <w:rPr>
                <w:sz w:val="20"/>
                <w:szCs w:val="20"/>
                <w:color w:val="auto"/>
              </w:rPr>
            </w:pPr>
            <w:r>
              <w:rPr>
                <w:rFonts w:ascii="Arial" w:cs="Arial" w:eastAsia="Arial" w:hAnsi="Arial"/>
                <w:sz w:val="18"/>
                <w:szCs w:val="18"/>
                <w:color w:val="auto"/>
              </w:rPr>
              <w:t>Option to purchase additional shares</w:t>
            </w:r>
          </w:p>
        </w:tc>
        <w:tc>
          <w:tcPr>
            <w:tcW w:w="5900" w:type="dxa"/>
            <w:vAlign w:val="bottom"/>
            <w:gridSpan w:val="5"/>
          </w:tcPr>
          <w:p>
            <w:pPr>
              <w:ind w:left="1000"/>
              <w:spacing w:after="0"/>
              <w:rPr>
                <w:sz w:val="20"/>
                <w:szCs w:val="20"/>
                <w:color w:val="auto"/>
              </w:rPr>
            </w:pPr>
            <w:r>
              <w:rPr>
                <w:rFonts w:ascii="Arial" w:cs="Arial" w:eastAsia="Arial" w:hAnsi="Arial"/>
                <w:sz w:val="18"/>
                <w:szCs w:val="18"/>
                <w:color w:val="auto"/>
              </w:rPr>
              <w:t>We have granted the underwriters an option to purchase up</w:t>
            </w:r>
          </w:p>
        </w:tc>
      </w:tr>
      <w:tr>
        <w:trPr>
          <w:trHeight w:val="203"/>
        </w:trPr>
        <w:tc>
          <w:tcPr>
            <w:tcW w:w="3560" w:type="dxa"/>
            <w:vAlign w:val="bottom"/>
          </w:tcPr>
          <w:p>
            <w:pPr>
              <w:spacing w:after="0"/>
              <w:rPr>
                <w:sz w:val="17"/>
                <w:szCs w:val="17"/>
                <w:color w:val="auto"/>
              </w:rPr>
            </w:pPr>
          </w:p>
        </w:tc>
        <w:tc>
          <w:tcPr>
            <w:tcW w:w="1340" w:type="dxa"/>
            <w:vAlign w:val="bottom"/>
          </w:tcPr>
          <w:p>
            <w:pPr>
              <w:ind w:left="1000"/>
              <w:spacing w:after="0" w:line="202" w:lineRule="exact"/>
              <w:rPr>
                <w:sz w:val="20"/>
                <w:szCs w:val="20"/>
                <w:color w:val="auto"/>
              </w:rPr>
            </w:pPr>
            <w:r>
              <w:rPr>
                <w:rFonts w:ascii="Arial" w:cs="Arial" w:eastAsia="Arial" w:hAnsi="Arial"/>
                <w:sz w:val="18"/>
                <w:szCs w:val="18"/>
                <w:color w:val="auto"/>
              </w:rPr>
              <w:t>to</w:t>
            </w:r>
          </w:p>
        </w:tc>
        <w:tc>
          <w:tcPr>
            <w:tcW w:w="456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additional shares of common stock from us. The</w:t>
            </w:r>
          </w:p>
        </w:tc>
      </w:tr>
      <w:tr>
        <w:trPr>
          <w:trHeight w:val="203"/>
        </w:trPr>
        <w:tc>
          <w:tcPr>
            <w:tcW w:w="3560" w:type="dxa"/>
            <w:vAlign w:val="bottom"/>
          </w:tcPr>
          <w:p>
            <w:pPr>
              <w:spacing w:after="0"/>
              <w:rPr>
                <w:sz w:val="17"/>
                <w:szCs w:val="17"/>
                <w:color w:val="auto"/>
              </w:rPr>
            </w:pPr>
          </w:p>
        </w:tc>
        <w:tc>
          <w:tcPr>
            <w:tcW w:w="5900" w:type="dxa"/>
            <w:vAlign w:val="bottom"/>
            <w:gridSpan w:val="5"/>
          </w:tcPr>
          <w:p>
            <w:pPr>
              <w:ind w:left="1000"/>
              <w:spacing w:after="0" w:line="202" w:lineRule="exact"/>
              <w:rPr>
                <w:sz w:val="20"/>
                <w:szCs w:val="20"/>
                <w:color w:val="auto"/>
              </w:rPr>
            </w:pPr>
            <w:r>
              <w:rPr>
                <w:rFonts w:ascii="Arial" w:cs="Arial" w:eastAsia="Arial" w:hAnsi="Arial"/>
                <w:sz w:val="18"/>
                <w:szCs w:val="18"/>
                <w:color w:val="auto"/>
              </w:rPr>
              <w:t>underwriters can exercise this option at any time within 30</w:t>
            </w:r>
          </w:p>
        </w:tc>
      </w:tr>
      <w:tr>
        <w:trPr>
          <w:trHeight w:val="217"/>
        </w:trPr>
        <w:tc>
          <w:tcPr>
            <w:tcW w:w="3560" w:type="dxa"/>
            <w:vAlign w:val="bottom"/>
          </w:tcPr>
          <w:p>
            <w:pPr>
              <w:spacing w:after="0"/>
              <w:rPr>
                <w:sz w:val="18"/>
                <w:szCs w:val="18"/>
                <w:color w:val="auto"/>
              </w:rPr>
            </w:pPr>
          </w:p>
        </w:tc>
        <w:tc>
          <w:tcPr>
            <w:tcW w:w="4160" w:type="dxa"/>
            <w:vAlign w:val="bottom"/>
            <w:gridSpan w:val="3"/>
          </w:tcPr>
          <w:p>
            <w:pPr>
              <w:ind w:left="1000"/>
              <w:spacing w:after="0"/>
              <w:rPr>
                <w:sz w:val="20"/>
                <w:szCs w:val="20"/>
                <w:color w:val="auto"/>
              </w:rPr>
            </w:pPr>
            <w:r>
              <w:rPr>
                <w:rFonts w:ascii="Arial" w:cs="Arial" w:eastAsia="Arial" w:hAnsi="Arial"/>
                <w:sz w:val="18"/>
                <w:szCs w:val="18"/>
                <w:color w:val="auto"/>
              </w:rPr>
              <w:t>days from the date of this prospectus.</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431"/>
        </w:trPr>
        <w:tc>
          <w:tcPr>
            <w:tcW w:w="3560" w:type="dxa"/>
            <w:vAlign w:val="bottom"/>
          </w:tcPr>
          <w:p>
            <w:pPr>
              <w:spacing w:after="0"/>
              <w:rPr>
                <w:sz w:val="20"/>
                <w:szCs w:val="20"/>
                <w:color w:val="auto"/>
              </w:rPr>
            </w:pPr>
            <w:r>
              <w:rPr>
                <w:rFonts w:ascii="Arial" w:cs="Arial" w:eastAsia="Arial" w:hAnsi="Arial"/>
                <w:sz w:val="18"/>
                <w:szCs w:val="18"/>
                <w:color w:val="auto"/>
              </w:rPr>
              <w:t>Common stock to be outstanding</w:t>
            </w:r>
          </w:p>
        </w:tc>
        <w:tc>
          <w:tcPr>
            <w:tcW w:w="1340" w:type="dxa"/>
            <w:vAlign w:val="bottom"/>
          </w:tcPr>
          <w:p>
            <w:pPr>
              <w:spacing w:after="0"/>
              <w:rPr>
                <w:sz w:val="24"/>
                <w:szCs w:val="24"/>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shares (or</w:t>
            </w:r>
          </w:p>
        </w:tc>
        <w:tc>
          <w:tcPr>
            <w:tcW w:w="3300" w:type="dxa"/>
            <w:vAlign w:val="bottom"/>
            <w:gridSpan w:val="3"/>
          </w:tcPr>
          <w:p>
            <w:pPr>
              <w:ind w:left="220"/>
              <w:spacing w:after="0"/>
              <w:rPr>
                <w:sz w:val="20"/>
                <w:szCs w:val="20"/>
                <w:color w:val="auto"/>
              </w:rPr>
            </w:pPr>
            <w:r>
              <w:rPr>
                <w:rFonts w:ascii="Arial" w:cs="Arial" w:eastAsia="Arial" w:hAnsi="Arial"/>
                <w:sz w:val="18"/>
                <w:szCs w:val="18"/>
                <w:color w:val="auto"/>
              </w:rPr>
              <w:t>shares if the underwriters exercise in</w:t>
            </w:r>
          </w:p>
        </w:tc>
      </w:tr>
      <w:tr>
        <w:trPr>
          <w:trHeight w:val="217"/>
        </w:trPr>
        <w:tc>
          <w:tcPr>
            <w:tcW w:w="3560" w:type="dxa"/>
            <w:vAlign w:val="bottom"/>
          </w:tcPr>
          <w:p>
            <w:pPr>
              <w:spacing w:after="0"/>
              <w:rPr>
                <w:sz w:val="20"/>
                <w:szCs w:val="20"/>
                <w:color w:val="auto"/>
              </w:rPr>
            </w:pPr>
            <w:r>
              <w:rPr>
                <w:rFonts w:ascii="Arial" w:cs="Arial" w:eastAsia="Arial" w:hAnsi="Arial"/>
                <w:sz w:val="18"/>
                <w:szCs w:val="18"/>
                <w:color w:val="auto"/>
              </w:rPr>
              <w:t>after the offering</w:t>
            </w:r>
          </w:p>
        </w:tc>
        <w:tc>
          <w:tcPr>
            <w:tcW w:w="5160" w:type="dxa"/>
            <w:vAlign w:val="bottom"/>
            <w:gridSpan w:val="4"/>
          </w:tcPr>
          <w:p>
            <w:pPr>
              <w:ind w:left="1000"/>
              <w:spacing w:after="0"/>
              <w:rPr>
                <w:sz w:val="20"/>
                <w:szCs w:val="20"/>
                <w:color w:val="auto"/>
              </w:rPr>
            </w:pPr>
            <w:r>
              <w:rPr>
                <w:rFonts w:ascii="Arial" w:cs="Arial" w:eastAsia="Arial" w:hAnsi="Arial"/>
                <w:sz w:val="18"/>
                <w:szCs w:val="18"/>
                <w:color w:val="auto"/>
              </w:rPr>
              <w:t>full their option to purchase additional shares).</w:t>
            </w:r>
          </w:p>
        </w:tc>
        <w:tc>
          <w:tcPr>
            <w:tcW w:w="740" w:type="dxa"/>
            <w:vAlign w:val="bottom"/>
          </w:tcPr>
          <w:p>
            <w:pPr>
              <w:spacing w:after="0"/>
              <w:rPr>
                <w:sz w:val="18"/>
                <w:szCs w:val="18"/>
                <w:color w:val="auto"/>
              </w:rPr>
            </w:pPr>
          </w:p>
        </w:tc>
      </w:tr>
      <w:tr>
        <w:trPr>
          <w:trHeight w:val="431"/>
        </w:trPr>
        <w:tc>
          <w:tcPr>
            <w:tcW w:w="3560" w:type="dxa"/>
            <w:vAlign w:val="bottom"/>
          </w:tcPr>
          <w:p>
            <w:pPr>
              <w:spacing w:after="0"/>
              <w:rPr>
                <w:sz w:val="20"/>
                <w:szCs w:val="20"/>
                <w:color w:val="auto"/>
              </w:rPr>
            </w:pPr>
            <w:r>
              <w:rPr>
                <w:rFonts w:ascii="Arial" w:cs="Arial" w:eastAsia="Arial" w:hAnsi="Arial"/>
                <w:sz w:val="18"/>
                <w:szCs w:val="18"/>
                <w:color w:val="auto"/>
              </w:rPr>
              <w:t>Use of proceeds</w:t>
            </w:r>
          </w:p>
        </w:tc>
        <w:tc>
          <w:tcPr>
            <w:tcW w:w="5900" w:type="dxa"/>
            <w:vAlign w:val="bottom"/>
            <w:gridSpan w:val="5"/>
          </w:tcPr>
          <w:p>
            <w:pPr>
              <w:ind w:left="1000"/>
              <w:spacing w:after="0"/>
              <w:rPr>
                <w:sz w:val="20"/>
                <w:szCs w:val="20"/>
                <w:color w:val="auto"/>
              </w:rPr>
            </w:pPr>
            <w:r>
              <w:rPr>
                <w:rFonts w:ascii="Arial" w:cs="Arial" w:eastAsia="Arial" w:hAnsi="Arial"/>
                <w:sz w:val="18"/>
                <w:szCs w:val="18"/>
                <w:color w:val="auto"/>
              </w:rPr>
              <w:t>We estimate that the net proceeds from this offering will be</w:t>
            </w:r>
          </w:p>
        </w:tc>
      </w:tr>
      <w:tr>
        <w:trPr>
          <w:trHeight w:val="203"/>
        </w:trPr>
        <w:tc>
          <w:tcPr>
            <w:tcW w:w="3560" w:type="dxa"/>
            <w:vAlign w:val="bottom"/>
          </w:tcPr>
          <w:p>
            <w:pPr>
              <w:spacing w:after="0"/>
              <w:rPr>
                <w:sz w:val="17"/>
                <w:szCs w:val="17"/>
                <w:color w:val="auto"/>
              </w:rPr>
            </w:pPr>
          </w:p>
        </w:tc>
        <w:tc>
          <w:tcPr>
            <w:tcW w:w="260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approximately $</w:t>
            </w:r>
          </w:p>
        </w:tc>
        <w:tc>
          <w:tcPr>
            <w:tcW w:w="1560" w:type="dxa"/>
            <w:vAlign w:val="bottom"/>
          </w:tcPr>
          <w:p>
            <w:pPr>
              <w:ind w:left="220"/>
              <w:spacing w:after="0" w:line="202" w:lineRule="exact"/>
              <w:rPr>
                <w:sz w:val="20"/>
                <w:szCs w:val="20"/>
                <w:color w:val="auto"/>
              </w:rPr>
            </w:pPr>
            <w:r>
              <w:rPr>
                <w:rFonts w:ascii="Arial" w:cs="Arial" w:eastAsia="Arial" w:hAnsi="Arial"/>
                <w:sz w:val="18"/>
                <w:szCs w:val="18"/>
                <w:color w:val="auto"/>
              </w:rPr>
              <w:t>million, or $</w:t>
            </w:r>
          </w:p>
        </w:tc>
        <w:tc>
          <w:tcPr>
            <w:tcW w:w="17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million if the</w:t>
            </w:r>
          </w:p>
        </w:tc>
      </w:tr>
      <w:tr>
        <w:trPr>
          <w:trHeight w:val="203"/>
        </w:trPr>
        <w:tc>
          <w:tcPr>
            <w:tcW w:w="3560" w:type="dxa"/>
            <w:vAlign w:val="bottom"/>
          </w:tcPr>
          <w:p>
            <w:pPr>
              <w:spacing w:after="0"/>
              <w:rPr>
                <w:sz w:val="17"/>
                <w:szCs w:val="17"/>
                <w:color w:val="auto"/>
              </w:rPr>
            </w:pPr>
          </w:p>
        </w:tc>
        <w:tc>
          <w:tcPr>
            <w:tcW w:w="5160" w:type="dxa"/>
            <w:vAlign w:val="bottom"/>
            <w:gridSpan w:val="4"/>
          </w:tcPr>
          <w:p>
            <w:pPr>
              <w:ind w:left="1000"/>
              <w:spacing w:after="0" w:line="202" w:lineRule="exact"/>
              <w:rPr>
                <w:sz w:val="20"/>
                <w:szCs w:val="20"/>
                <w:color w:val="auto"/>
              </w:rPr>
            </w:pPr>
            <w:r>
              <w:rPr>
                <w:rFonts w:ascii="Arial" w:cs="Arial" w:eastAsia="Arial" w:hAnsi="Arial"/>
                <w:sz w:val="18"/>
                <w:szCs w:val="18"/>
                <w:color w:val="auto"/>
              </w:rPr>
              <w:t>underwriters exercise in full their option to purchase</w:t>
            </w:r>
          </w:p>
        </w:tc>
        <w:tc>
          <w:tcPr>
            <w:tcW w:w="740" w:type="dxa"/>
            <w:vAlign w:val="bottom"/>
          </w:tcPr>
          <w:p>
            <w:pPr>
              <w:spacing w:after="0"/>
              <w:rPr>
                <w:sz w:val="17"/>
                <w:szCs w:val="17"/>
                <w:color w:val="auto"/>
              </w:rPr>
            </w:pPr>
          </w:p>
        </w:tc>
      </w:tr>
      <w:tr>
        <w:trPr>
          <w:trHeight w:val="203"/>
        </w:trPr>
        <w:tc>
          <w:tcPr>
            <w:tcW w:w="3560" w:type="dxa"/>
            <w:vAlign w:val="bottom"/>
          </w:tcPr>
          <w:p>
            <w:pPr>
              <w:spacing w:after="0"/>
              <w:rPr>
                <w:sz w:val="17"/>
                <w:szCs w:val="17"/>
                <w:color w:val="auto"/>
              </w:rPr>
            </w:pPr>
          </w:p>
        </w:tc>
        <w:tc>
          <w:tcPr>
            <w:tcW w:w="5900" w:type="dxa"/>
            <w:vAlign w:val="bottom"/>
            <w:gridSpan w:val="5"/>
          </w:tcPr>
          <w:p>
            <w:pPr>
              <w:ind w:left="1000"/>
              <w:spacing w:after="0" w:line="202" w:lineRule="exact"/>
              <w:rPr>
                <w:sz w:val="20"/>
                <w:szCs w:val="20"/>
                <w:color w:val="auto"/>
              </w:rPr>
            </w:pPr>
            <w:r>
              <w:rPr>
                <w:rFonts w:ascii="Arial" w:cs="Arial" w:eastAsia="Arial" w:hAnsi="Arial"/>
                <w:sz w:val="18"/>
                <w:szCs w:val="18"/>
                <w:color w:val="auto"/>
              </w:rPr>
              <w:t>additional shares of common stock, assuming an initial public</w:t>
            </w:r>
          </w:p>
        </w:tc>
      </w:tr>
      <w:tr>
        <w:trPr>
          <w:trHeight w:val="203"/>
        </w:trPr>
        <w:tc>
          <w:tcPr>
            <w:tcW w:w="3560" w:type="dxa"/>
            <w:vAlign w:val="bottom"/>
          </w:tcPr>
          <w:p>
            <w:pPr>
              <w:spacing w:after="0"/>
              <w:rPr>
                <w:sz w:val="17"/>
                <w:szCs w:val="17"/>
                <w:color w:val="auto"/>
              </w:rPr>
            </w:pPr>
          </w:p>
        </w:tc>
        <w:tc>
          <w:tcPr>
            <w:tcW w:w="260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offering price of $</w:t>
            </w:r>
          </w:p>
        </w:tc>
        <w:tc>
          <w:tcPr>
            <w:tcW w:w="330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per share, which is the midpoint of</w:t>
            </w:r>
          </w:p>
        </w:tc>
      </w:tr>
      <w:tr>
        <w:trPr>
          <w:trHeight w:val="203"/>
        </w:trPr>
        <w:tc>
          <w:tcPr>
            <w:tcW w:w="3560" w:type="dxa"/>
            <w:vAlign w:val="bottom"/>
          </w:tcPr>
          <w:p>
            <w:pPr>
              <w:spacing w:after="0"/>
              <w:rPr>
                <w:sz w:val="17"/>
                <w:szCs w:val="17"/>
                <w:color w:val="auto"/>
              </w:rPr>
            </w:pPr>
          </w:p>
        </w:tc>
        <w:tc>
          <w:tcPr>
            <w:tcW w:w="5160" w:type="dxa"/>
            <w:vAlign w:val="bottom"/>
            <w:gridSpan w:val="4"/>
          </w:tcPr>
          <w:p>
            <w:pPr>
              <w:ind w:left="1000"/>
              <w:spacing w:after="0" w:line="202" w:lineRule="exact"/>
              <w:rPr>
                <w:sz w:val="20"/>
                <w:szCs w:val="20"/>
                <w:color w:val="auto"/>
              </w:rPr>
            </w:pPr>
            <w:r>
              <w:rPr>
                <w:rFonts w:ascii="Arial" w:cs="Arial" w:eastAsia="Arial" w:hAnsi="Arial"/>
                <w:sz w:val="18"/>
                <w:szCs w:val="18"/>
                <w:color w:val="auto"/>
              </w:rPr>
              <w:t>the price range set forth on the cover page of this</w:t>
            </w:r>
          </w:p>
        </w:tc>
        <w:tc>
          <w:tcPr>
            <w:tcW w:w="740" w:type="dxa"/>
            <w:vAlign w:val="bottom"/>
          </w:tcPr>
          <w:p>
            <w:pPr>
              <w:spacing w:after="0"/>
              <w:rPr>
                <w:sz w:val="17"/>
                <w:szCs w:val="17"/>
                <w:color w:val="auto"/>
              </w:rPr>
            </w:pPr>
          </w:p>
        </w:tc>
      </w:tr>
      <w:tr>
        <w:trPr>
          <w:trHeight w:val="203"/>
        </w:trPr>
        <w:tc>
          <w:tcPr>
            <w:tcW w:w="3560" w:type="dxa"/>
            <w:vAlign w:val="bottom"/>
          </w:tcPr>
          <w:p>
            <w:pPr>
              <w:spacing w:after="0"/>
              <w:rPr>
                <w:sz w:val="17"/>
                <w:szCs w:val="17"/>
                <w:color w:val="auto"/>
              </w:rPr>
            </w:pPr>
          </w:p>
        </w:tc>
        <w:tc>
          <w:tcPr>
            <w:tcW w:w="5900" w:type="dxa"/>
            <w:vAlign w:val="bottom"/>
            <w:gridSpan w:val="5"/>
          </w:tcPr>
          <w:p>
            <w:pPr>
              <w:ind w:left="1000"/>
              <w:spacing w:after="0" w:line="202" w:lineRule="exact"/>
              <w:rPr>
                <w:sz w:val="20"/>
                <w:szCs w:val="20"/>
                <w:color w:val="auto"/>
              </w:rPr>
            </w:pPr>
            <w:r>
              <w:rPr>
                <w:rFonts w:ascii="Arial" w:cs="Arial" w:eastAsia="Arial" w:hAnsi="Arial"/>
                <w:sz w:val="18"/>
                <w:szCs w:val="18"/>
                <w:color w:val="auto"/>
              </w:rPr>
              <w:t>prospectus, and after deducting underwriting discounts and</w:t>
            </w:r>
          </w:p>
        </w:tc>
      </w:tr>
      <w:tr>
        <w:trPr>
          <w:trHeight w:val="217"/>
        </w:trPr>
        <w:tc>
          <w:tcPr>
            <w:tcW w:w="3560" w:type="dxa"/>
            <w:vAlign w:val="bottom"/>
          </w:tcPr>
          <w:p>
            <w:pPr>
              <w:spacing w:after="0"/>
              <w:rPr>
                <w:sz w:val="18"/>
                <w:szCs w:val="18"/>
                <w:color w:val="auto"/>
              </w:rPr>
            </w:pPr>
          </w:p>
        </w:tc>
        <w:tc>
          <w:tcPr>
            <w:tcW w:w="5900" w:type="dxa"/>
            <w:vAlign w:val="bottom"/>
            <w:gridSpan w:val="5"/>
          </w:tcPr>
          <w:p>
            <w:pPr>
              <w:ind w:left="1000"/>
              <w:spacing w:after="0"/>
              <w:rPr>
                <w:sz w:val="20"/>
                <w:szCs w:val="20"/>
                <w:color w:val="auto"/>
              </w:rPr>
            </w:pPr>
            <w:r>
              <w:rPr>
                <w:rFonts w:ascii="Arial" w:cs="Arial" w:eastAsia="Arial" w:hAnsi="Arial"/>
                <w:sz w:val="18"/>
                <w:szCs w:val="18"/>
                <w:color w:val="auto"/>
                <w:w w:val="99"/>
              </w:rPr>
              <w:t>commissions and estimated offering expenses payable by us.</w:t>
            </w:r>
          </w:p>
        </w:tc>
      </w:tr>
      <w:tr>
        <w:trPr>
          <w:trHeight w:val="377"/>
        </w:trPr>
        <w:tc>
          <w:tcPr>
            <w:tcW w:w="3560" w:type="dxa"/>
            <w:vAlign w:val="bottom"/>
          </w:tcPr>
          <w:p>
            <w:pPr>
              <w:spacing w:after="0"/>
              <w:rPr>
                <w:sz w:val="24"/>
                <w:szCs w:val="24"/>
                <w:color w:val="auto"/>
              </w:rPr>
            </w:pPr>
          </w:p>
        </w:tc>
        <w:tc>
          <w:tcPr>
            <w:tcW w:w="5900" w:type="dxa"/>
            <w:vAlign w:val="bottom"/>
            <w:gridSpan w:val="5"/>
          </w:tcPr>
          <w:p>
            <w:pPr>
              <w:ind w:left="1000"/>
              <w:spacing w:after="0"/>
              <w:rPr>
                <w:sz w:val="20"/>
                <w:szCs w:val="20"/>
                <w:color w:val="auto"/>
              </w:rPr>
            </w:pPr>
            <w:r>
              <w:rPr>
                <w:rFonts w:ascii="Arial" w:cs="Arial" w:eastAsia="Arial" w:hAnsi="Arial"/>
                <w:sz w:val="18"/>
                <w:szCs w:val="18"/>
                <w:color w:val="auto"/>
              </w:rPr>
              <w:t>We currently intend to use the net proceeds from this offering</w:t>
            </w:r>
          </w:p>
        </w:tc>
      </w:tr>
      <w:tr>
        <w:trPr>
          <w:trHeight w:val="203"/>
        </w:trPr>
        <w:tc>
          <w:tcPr>
            <w:tcW w:w="3560" w:type="dxa"/>
            <w:vAlign w:val="bottom"/>
          </w:tcPr>
          <w:p>
            <w:pPr>
              <w:spacing w:after="0"/>
              <w:rPr>
                <w:sz w:val="17"/>
                <w:szCs w:val="17"/>
                <w:color w:val="auto"/>
              </w:rPr>
            </w:pPr>
          </w:p>
        </w:tc>
        <w:tc>
          <w:tcPr>
            <w:tcW w:w="5160" w:type="dxa"/>
            <w:vAlign w:val="bottom"/>
            <w:gridSpan w:val="4"/>
          </w:tcPr>
          <w:p>
            <w:pPr>
              <w:ind w:left="1000"/>
              <w:spacing w:after="0" w:line="202" w:lineRule="exact"/>
              <w:rPr>
                <w:sz w:val="20"/>
                <w:szCs w:val="20"/>
                <w:color w:val="auto"/>
              </w:rPr>
            </w:pPr>
            <w:r>
              <w:rPr>
                <w:rFonts w:ascii="Arial" w:cs="Arial" w:eastAsia="Arial" w:hAnsi="Arial"/>
                <w:sz w:val="18"/>
                <w:szCs w:val="18"/>
                <w:color w:val="auto"/>
              </w:rPr>
              <w:t>for the following purposes: (1) approximately $</w:t>
            </w:r>
          </w:p>
        </w:tc>
        <w:tc>
          <w:tcPr>
            <w:tcW w:w="740" w:type="dxa"/>
            <w:vAlign w:val="bottom"/>
          </w:tcPr>
          <w:p>
            <w:pPr>
              <w:ind w:left="40"/>
              <w:spacing w:after="0" w:line="202" w:lineRule="exact"/>
              <w:rPr>
                <w:sz w:val="20"/>
                <w:szCs w:val="20"/>
                <w:color w:val="auto"/>
              </w:rPr>
            </w:pPr>
            <w:r>
              <w:rPr>
                <w:rFonts w:ascii="Arial" w:cs="Arial" w:eastAsia="Arial" w:hAnsi="Arial"/>
                <w:sz w:val="18"/>
                <w:szCs w:val="18"/>
                <w:color w:val="auto"/>
                <w:w w:val="95"/>
              </w:rPr>
              <w:t>million to</w:t>
            </w:r>
          </w:p>
        </w:tc>
      </w:tr>
      <w:tr>
        <w:trPr>
          <w:trHeight w:val="203"/>
        </w:trPr>
        <w:tc>
          <w:tcPr>
            <w:tcW w:w="3560" w:type="dxa"/>
            <w:vAlign w:val="bottom"/>
          </w:tcPr>
          <w:p>
            <w:pPr>
              <w:spacing w:after="0"/>
              <w:rPr>
                <w:sz w:val="17"/>
                <w:szCs w:val="17"/>
                <w:color w:val="auto"/>
              </w:rPr>
            </w:pPr>
          </w:p>
        </w:tc>
        <w:tc>
          <w:tcPr>
            <w:tcW w:w="5900" w:type="dxa"/>
            <w:vAlign w:val="bottom"/>
            <w:gridSpan w:val="5"/>
          </w:tcPr>
          <w:p>
            <w:pPr>
              <w:ind w:left="1000"/>
              <w:spacing w:after="0" w:line="202" w:lineRule="exact"/>
              <w:rPr>
                <w:sz w:val="20"/>
                <w:szCs w:val="20"/>
                <w:color w:val="auto"/>
              </w:rPr>
            </w:pPr>
            <w:r>
              <w:rPr>
                <w:rFonts w:ascii="Arial" w:cs="Arial" w:eastAsia="Arial" w:hAnsi="Arial"/>
                <w:sz w:val="18"/>
                <w:szCs w:val="18"/>
                <w:color w:val="auto"/>
              </w:rPr>
              <w:t>fund our planned LIFT-AD trial of ATH-1017 and our planned</w:t>
            </w:r>
          </w:p>
        </w:tc>
      </w:tr>
      <w:tr>
        <w:trPr>
          <w:trHeight w:val="203"/>
        </w:trPr>
        <w:tc>
          <w:tcPr>
            <w:tcW w:w="3560" w:type="dxa"/>
            <w:vAlign w:val="bottom"/>
          </w:tcPr>
          <w:p>
            <w:pPr>
              <w:spacing w:after="0"/>
              <w:rPr>
                <w:sz w:val="17"/>
                <w:szCs w:val="17"/>
                <w:color w:val="auto"/>
              </w:rPr>
            </w:pPr>
          </w:p>
        </w:tc>
        <w:tc>
          <w:tcPr>
            <w:tcW w:w="5900" w:type="dxa"/>
            <w:vAlign w:val="bottom"/>
            <w:gridSpan w:val="5"/>
          </w:tcPr>
          <w:p>
            <w:pPr>
              <w:ind w:left="1000"/>
              <w:spacing w:after="0" w:line="202" w:lineRule="exact"/>
              <w:rPr>
                <w:sz w:val="20"/>
                <w:szCs w:val="20"/>
                <w:color w:val="auto"/>
              </w:rPr>
            </w:pPr>
            <w:r>
              <w:rPr>
                <w:rFonts w:ascii="Arial" w:cs="Arial" w:eastAsia="Arial" w:hAnsi="Arial"/>
                <w:sz w:val="18"/>
                <w:szCs w:val="18"/>
                <w:color w:val="auto"/>
              </w:rPr>
              <w:t>P300 Phase 2 trial of ATH-1017, each for the treatment of</w:t>
            </w:r>
          </w:p>
        </w:tc>
      </w:tr>
      <w:tr>
        <w:trPr>
          <w:trHeight w:val="203"/>
        </w:trPr>
        <w:tc>
          <w:tcPr>
            <w:tcW w:w="3560" w:type="dxa"/>
            <w:vAlign w:val="bottom"/>
          </w:tcPr>
          <w:p>
            <w:pPr>
              <w:spacing w:after="0"/>
              <w:rPr>
                <w:sz w:val="17"/>
                <w:szCs w:val="17"/>
                <w:color w:val="auto"/>
              </w:rPr>
            </w:pPr>
          </w:p>
        </w:tc>
        <w:tc>
          <w:tcPr>
            <w:tcW w:w="5900" w:type="dxa"/>
            <w:vAlign w:val="bottom"/>
            <w:gridSpan w:val="5"/>
          </w:tcPr>
          <w:p>
            <w:pPr>
              <w:ind w:left="1000"/>
              <w:spacing w:after="0" w:line="202" w:lineRule="exact"/>
              <w:rPr>
                <w:sz w:val="20"/>
                <w:szCs w:val="20"/>
                <w:color w:val="auto"/>
              </w:rPr>
            </w:pPr>
            <w:r>
              <w:rPr>
                <w:rFonts w:ascii="Arial" w:cs="Arial" w:eastAsia="Arial" w:hAnsi="Arial"/>
                <w:sz w:val="18"/>
                <w:szCs w:val="18"/>
                <w:color w:val="auto"/>
              </w:rPr>
              <w:t>mild-to-moderate Alzheimer’s disease; (2) approximately</w:t>
            </w:r>
          </w:p>
        </w:tc>
      </w:tr>
    </w:tbl>
    <w:p>
      <w:pPr>
        <w:ind w:left="4560" w:right="80" w:firstLine="9"/>
        <w:spacing w:after="0" w:line="234" w:lineRule="auto"/>
        <w:tabs>
          <w:tab w:leader="none" w:pos="5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1569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275" cy="6156960"/>
                    </a:xfrm>
                    <a:prstGeom prst="rect">
                      <a:avLst/>
                    </a:prstGeom>
                    <a:noFill/>
                  </pic:spPr>
                </pic:pic>
              </a:graphicData>
            </a:graphic>
          </wp:anchor>
        </w:drawing>
        <w:t>million to fund our planned Phase 2 trial of ATH-1017 for the treatment of Parkinson’s disease dementia; (3)</w:t>
      </w:r>
    </w:p>
    <w:p>
      <w:pPr>
        <w:spacing w:after="0" w:line="1" w:lineRule="exact"/>
        <w:rPr>
          <w:rFonts w:ascii="Arial" w:cs="Arial" w:eastAsia="Arial" w:hAnsi="Arial"/>
          <w:sz w:val="18"/>
          <w:szCs w:val="18"/>
          <w:color w:val="auto"/>
        </w:rPr>
      </w:pPr>
    </w:p>
    <w:p>
      <w:pPr>
        <w:ind w:left="4560" w:right="260"/>
        <w:spacing w:after="0" w:line="237" w:lineRule="auto"/>
        <w:rPr>
          <w:rFonts w:ascii="Arial" w:cs="Arial" w:eastAsia="Arial" w:hAnsi="Arial"/>
          <w:sz w:val="18"/>
          <w:szCs w:val="18"/>
          <w:color w:val="auto"/>
        </w:rPr>
      </w:pPr>
      <w:r>
        <w:rPr>
          <w:rFonts w:ascii="Arial" w:cs="Arial" w:eastAsia="Arial" w:hAnsi="Arial"/>
          <w:sz w:val="18"/>
          <w:szCs w:val="18"/>
          <w:color w:val="auto"/>
        </w:rPr>
        <w:t>approximately $ million to fund our IND-enabling studies of ATH-1019 for the treatment of neuropsychiatric indications and ATH-1018 for the treatment of neuropathy; and (4) the remainder for our other research and development activities, as well as for working capital and other general corporate purposes.</w:t>
      </w:r>
    </w:p>
    <w:p>
      <w:pPr>
        <w:spacing w:after="0" w:line="16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For a more complete description of our intended use of the proceeds from this offering, see the section of this prospectus titled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048" w:right="12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20"/>
                <w:szCs w:val="20"/>
                <w:color w:val="auto"/>
              </w:rPr>
            </w:pPr>
            <w:r>
              <w:rPr>
                <w:rFonts w:ascii="Arial" w:cs="Arial" w:eastAsia="Arial" w:hAnsi="Arial"/>
                <w:sz w:val="18"/>
                <w:szCs w:val="18"/>
                <w:color w:val="auto"/>
              </w:rPr>
              <w:t>Directed share program</w:t>
            </w:r>
          </w:p>
        </w:tc>
        <w:tc>
          <w:tcPr>
            <w:tcW w:w="4560" w:type="dxa"/>
            <w:vAlign w:val="bottom"/>
          </w:tcPr>
          <w:p>
            <w:pPr>
              <w:ind w:left="360"/>
              <w:spacing w:after="0"/>
              <w:rPr>
                <w:sz w:val="20"/>
                <w:szCs w:val="20"/>
                <w:color w:val="auto"/>
              </w:rPr>
            </w:pPr>
            <w:r>
              <w:rPr>
                <w:rFonts w:ascii="Arial" w:cs="Arial" w:eastAsia="Arial" w:hAnsi="Arial"/>
                <w:sz w:val="18"/>
                <w:szCs w:val="18"/>
                <w:color w:val="auto"/>
              </w:rPr>
              <w:t>At our request, the underwriters have reserved</w:t>
            </w:r>
          </w:p>
        </w:tc>
        <w:tc>
          <w:tcPr>
            <w:tcW w:w="700" w:type="dxa"/>
            <w:vAlign w:val="bottom"/>
          </w:tcPr>
          <w:p>
            <w:pPr>
              <w:ind w:left="20"/>
              <w:spacing w:after="0"/>
              <w:rPr>
                <w:sz w:val="20"/>
                <w:szCs w:val="20"/>
                <w:color w:val="auto"/>
              </w:rPr>
            </w:pPr>
            <w:r>
              <w:rPr>
                <w:rFonts w:ascii="Arial" w:cs="Arial" w:eastAsia="Arial" w:hAnsi="Arial"/>
                <w:sz w:val="18"/>
                <w:szCs w:val="18"/>
                <w:color w:val="auto"/>
                <w:w w:val="99"/>
              </w:rPr>
              <w:t>% of the</w:t>
            </w:r>
          </w:p>
        </w:tc>
      </w:tr>
      <w:tr>
        <w:trPr>
          <w:trHeight w:val="203"/>
        </w:trPr>
        <w:tc>
          <w:tcPr>
            <w:tcW w:w="4200" w:type="dxa"/>
            <w:vAlign w:val="bottom"/>
          </w:tcPr>
          <w:p>
            <w:pPr>
              <w:spacing w:after="0"/>
              <w:rPr>
                <w:sz w:val="17"/>
                <w:szCs w:val="17"/>
                <w:color w:val="auto"/>
              </w:rPr>
            </w:pPr>
          </w:p>
        </w:tc>
        <w:tc>
          <w:tcPr>
            <w:tcW w:w="5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shares of common stock to be offered by this prospectus for</w:t>
            </w:r>
          </w:p>
        </w:tc>
      </w:tr>
      <w:tr>
        <w:trPr>
          <w:trHeight w:val="203"/>
        </w:trPr>
        <w:tc>
          <w:tcPr>
            <w:tcW w:w="4200" w:type="dxa"/>
            <w:vAlign w:val="bottom"/>
          </w:tcPr>
          <w:p>
            <w:pPr>
              <w:spacing w:after="0"/>
              <w:rPr>
                <w:sz w:val="17"/>
                <w:szCs w:val="17"/>
                <w:color w:val="auto"/>
              </w:rPr>
            </w:pPr>
          </w:p>
        </w:tc>
        <w:tc>
          <w:tcPr>
            <w:tcW w:w="5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sale, at the initial public offering price, to directors, officers,</w:t>
            </w:r>
          </w:p>
        </w:tc>
      </w:tr>
      <w:tr>
        <w:trPr>
          <w:trHeight w:val="203"/>
        </w:trPr>
        <w:tc>
          <w:tcPr>
            <w:tcW w:w="4200" w:type="dxa"/>
            <w:vAlign w:val="bottom"/>
          </w:tcPr>
          <w:p>
            <w:pPr>
              <w:spacing w:after="0"/>
              <w:rPr>
                <w:sz w:val="17"/>
                <w:szCs w:val="17"/>
                <w:color w:val="auto"/>
              </w:rPr>
            </w:pPr>
          </w:p>
        </w:tc>
        <w:tc>
          <w:tcPr>
            <w:tcW w:w="526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9"/>
              </w:rPr>
              <w:t>employees, business associates and other persons related to</w:t>
            </w:r>
          </w:p>
        </w:tc>
      </w:tr>
      <w:tr>
        <w:trPr>
          <w:trHeight w:val="203"/>
        </w:trPr>
        <w:tc>
          <w:tcPr>
            <w:tcW w:w="4200" w:type="dxa"/>
            <w:vAlign w:val="bottom"/>
          </w:tcPr>
          <w:p>
            <w:pPr>
              <w:spacing w:after="0"/>
              <w:rPr>
                <w:sz w:val="17"/>
                <w:szCs w:val="17"/>
                <w:color w:val="auto"/>
              </w:rPr>
            </w:pPr>
          </w:p>
        </w:tc>
        <w:tc>
          <w:tcPr>
            <w:tcW w:w="5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us. If purchased by these persons, these shares will not be</w:t>
            </w:r>
          </w:p>
        </w:tc>
      </w:tr>
      <w:tr>
        <w:trPr>
          <w:trHeight w:val="203"/>
        </w:trPr>
        <w:tc>
          <w:tcPr>
            <w:tcW w:w="4200" w:type="dxa"/>
            <w:vAlign w:val="bottom"/>
          </w:tcPr>
          <w:p>
            <w:pPr>
              <w:spacing w:after="0"/>
              <w:rPr>
                <w:sz w:val="17"/>
                <w:szCs w:val="17"/>
                <w:color w:val="auto"/>
              </w:rPr>
            </w:pPr>
          </w:p>
        </w:tc>
        <w:tc>
          <w:tcPr>
            <w:tcW w:w="5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subject to a lock-up restriction, except in the case of shares</w:t>
            </w:r>
          </w:p>
        </w:tc>
      </w:tr>
      <w:tr>
        <w:trPr>
          <w:trHeight w:val="203"/>
        </w:trPr>
        <w:tc>
          <w:tcPr>
            <w:tcW w:w="4200" w:type="dxa"/>
            <w:vAlign w:val="bottom"/>
          </w:tcPr>
          <w:p>
            <w:pPr>
              <w:spacing w:after="0"/>
              <w:rPr>
                <w:sz w:val="17"/>
                <w:szCs w:val="17"/>
                <w:color w:val="auto"/>
              </w:rPr>
            </w:pPr>
          </w:p>
        </w:tc>
        <w:tc>
          <w:tcPr>
            <w:tcW w:w="5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purchased by any director, executive officer or employee.</w:t>
            </w:r>
          </w:p>
        </w:tc>
      </w:tr>
      <w:tr>
        <w:trPr>
          <w:trHeight w:val="203"/>
        </w:trPr>
        <w:tc>
          <w:tcPr>
            <w:tcW w:w="4200" w:type="dxa"/>
            <w:vAlign w:val="bottom"/>
          </w:tcPr>
          <w:p>
            <w:pPr>
              <w:spacing w:after="0"/>
              <w:rPr>
                <w:sz w:val="17"/>
                <w:szCs w:val="17"/>
                <w:color w:val="auto"/>
              </w:rPr>
            </w:pPr>
          </w:p>
        </w:tc>
        <w:tc>
          <w:tcPr>
            <w:tcW w:w="5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The number of shares of common stock available for sale to</w:t>
            </w:r>
          </w:p>
        </w:tc>
      </w:tr>
      <w:tr>
        <w:trPr>
          <w:trHeight w:val="203"/>
        </w:trPr>
        <w:tc>
          <w:tcPr>
            <w:tcW w:w="4200" w:type="dxa"/>
            <w:vAlign w:val="bottom"/>
          </w:tcPr>
          <w:p>
            <w:pPr>
              <w:spacing w:after="0"/>
              <w:rPr>
                <w:sz w:val="17"/>
                <w:szCs w:val="17"/>
                <w:color w:val="auto"/>
              </w:rPr>
            </w:pPr>
          </w:p>
        </w:tc>
        <w:tc>
          <w:tcPr>
            <w:tcW w:w="5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the  general  public  will  be  reduced  to  the  extent  these</w:t>
            </w:r>
          </w:p>
        </w:tc>
      </w:tr>
      <w:tr>
        <w:trPr>
          <w:trHeight w:val="203"/>
        </w:trPr>
        <w:tc>
          <w:tcPr>
            <w:tcW w:w="4200" w:type="dxa"/>
            <w:vAlign w:val="bottom"/>
          </w:tcPr>
          <w:p>
            <w:pPr>
              <w:spacing w:after="0"/>
              <w:rPr>
                <w:sz w:val="17"/>
                <w:szCs w:val="17"/>
                <w:color w:val="auto"/>
              </w:rPr>
            </w:pPr>
          </w:p>
        </w:tc>
        <w:tc>
          <w:tcPr>
            <w:tcW w:w="5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individuals purchase such reserved shares. Any reserved</w:t>
            </w:r>
          </w:p>
        </w:tc>
      </w:tr>
      <w:tr>
        <w:trPr>
          <w:trHeight w:val="203"/>
        </w:trPr>
        <w:tc>
          <w:tcPr>
            <w:tcW w:w="4200" w:type="dxa"/>
            <w:vAlign w:val="bottom"/>
          </w:tcPr>
          <w:p>
            <w:pPr>
              <w:spacing w:after="0"/>
              <w:rPr>
                <w:sz w:val="17"/>
                <w:szCs w:val="17"/>
                <w:color w:val="auto"/>
              </w:rPr>
            </w:pPr>
          </w:p>
        </w:tc>
        <w:tc>
          <w:tcPr>
            <w:tcW w:w="4560" w:type="dxa"/>
            <w:vAlign w:val="bottom"/>
          </w:tcPr>
          <w:p>
            <w:pPr>
              <w:ind w:left="360"/>
              <w:spacing w:after="0" w:line="202" w:lineRule="exact"/>
              <w:rPr>
                <w:sz w:val="20"/>
                <w:szCs w:val="20"/>
                <w:color w:val="auto"/>
              </w:rPr>
            </w:pPr>
            <w:r>
              <w:rPr>
                <w:rFonts w:ascii="Arial" w:cs="Arial" w:eastAsia="Arial" w:hAnsi="Arial"/>
                <w:sz w:val="18"/>
                <w:szCs w:val="18"/>
                <w:color w:val="auto"/>
              </w:rPr>
              <w:t>shares that are not so purchased will be</w:t>
            </w:r>
          </w:p>
        </w:tc>
        <w:tc>
          <w:tcPr>
            <w:tcW w:w="700" w:type="dxa"/>
            <w:vAlign w:val="bottom"/>
          </w:tcPr>
          <w:p>
            <w:pPr>
              <w:spacing w:after="0"/>
              <w:rPr>
                <w:sz w:val="17"/>
                <w:szCs w:val="17"/>
                <w:color w:val="auto"/>
              </w:rPr>
            </w:pPr>
          </w:p>
        </w:tc>
      </w:tr>
      <w:tr>
        <w:trPr>
          <w:trHeight w:val="203"/>
        </w:trPr>
        <w:tc>
          <w:tcPr>
            <w:tcW w:w="4200" w:type="dxa"/>
            <w:vAlign w:val="bottom"/>
          </w:tcPr>
          <w:p>
            <w:pPr>
              <w:spacing w:after="0"/>
              <w:rPr>
                <w:sz w:val="17"/>
                <w:szCs w:val="17"/>
                <w:color w:val="auto"/>
              </w:rPr>
            </w:pPr>
          </w:p>
        </w:tc>
        <w:tc>
          <w:tcPr>
            <w:tcW w:w="5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offered by the underwriters to the general public on the same</w:t>
            </w:r>
          </w:p>
        </w:tc>
      </w:tr>
      <w:tr>
        <w:trPr>
          <w:trHeight w:val="217"/>
        </w:trPr>
        <w:tc>
          <w:tcPr>
            <w:tcW w:w="420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8"/>
                <w:szCs w:val="18"/>
                <w:color w:val="auto"/>
              </w:rPr>
              <w:t>basis as the other shares offered by this prospectus.</w:t>
            </w:r>
          </w:p>
        </w:tc>
        <w:tc>
          <w:tcPr>
            <w:tcW w:w="700" w:type="dxa"/>
            <w:vAlign w:val="bottom"/>
          </w:tcPr>
          <w:p>
            <w:pPr>
              <w:spacing w:after="0"/>
              <w:rPr>
                <w:sz w:val="18"/>
                <w:szCs w:val="18"/>
                <w:color w:val="auto"/>
              </w:rPr>
            </w:pPr>
          </w:p>
        </w:tc>
      </w:tr>
      <w:tr>
        <w:trPr>
          <w:trHeight w:val="431"/>
        </w:trPr>
        <w:tc>
          <w:tcPr>
            <w:tcW w:w="4200" w:type="dxa"/>
            <w:vAlign w:val="bottom"/>
          </w:tcPr>
          <w:p>
            <w:pPr>
              <w:spacing w:after="0"/>
              <w:rPr>
                <w:sz w:val="20"/>
                <w:szCs w:val="20"/>
                <w:color w:val="auto"/>
              </w:rPr>
            </w:pPr>
            <w:r>
              <w:rPr>
                <w:rFonts w:ascii="Arial" w:cs="Arial" w:eastAsia="Arial" w:hAnsi="Arial"/>
                <w:sz w:val="18"/>
                <w:szCs w:val="18"/>
                <w:color w:val="auto"/>
              </w:rPr>
              <w:t>Risk factors</w:t>
            </w:r>
          </w:p>
        </w:tc>
        <w:tc>
          <w:tcPr>
            <w:tcW w:w="5260" w:type="dxa"/>
            <w:vAlign w:val="bottom"/>
            <w:gridSpan w:val="2"/>
          </w:tcPr>
          <w:p>
            <w:pPr>
              <w:ind w:left="360"/>
              <w:spacing w:after="0"/>
              <w:rPr>
                <w:sz w:val="20"/>
                <w:szCs w:val="20"/>
                <w:color w:val="auto"/>
              </w:rPr>
            </w:pPr>
            <w:r>
              <w:rPr>
                <w:rFonts w:ascii="Arial" w:cs="Arial" w:eastAsia="Arial" w:hAnsi="Arial"/>
                <w:sz w:val="18"/>
                <w:szCs w:val="18"/>
                <w:color w:val="auto"/>
              </w:rPr>
              <w:t>See the section of this prospectus titled “Risk Factors”</w:t>
            </w:r>
          </w:p>
        </w:tc>
      </w:tr>
      <w:tr>
        <w:trPr>
          <w:trHeight w:val="203"/>
        </w:trPr>
        <w:tc>
          <w:tcPr>
            <w:tcW w:w="4200" w:type="dxa"/>
            <w:vAlign w:val="bottom"/>
          </w:tcPr>
          <w:p>
            <w:pPr>
              <w:spacing w:after="0"/>
              <w:rPr>
                <w:sz w:val="17"/>
                <w:szCs w:val="17"/>
                <w:color w:val="auto"/>
              </w:rPr>
            </w:pPr>
          </w:p>
        </w:tc>
        <w:tc>
          <w:tcPr>
            <w:tcW w:w="5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beginning on page 16 and other information included in this</w:t>
            </w:r>
          </w:p>
        </w:tc>
      </w:tr>
      <w:tr>
        <w:trPr>
          <w:trHeight w:val="203"/>
        </w:trPr>
        <w:tc>
          <w:tcPr>
            <w:tcW w:w="4200" w:type="dxa"/>
            <w:vAlign w:val="bottom"/>
          </w:tcPr>
          <w:p>
            <w:pPr>
              <w:spacing w:after="0"/>
              <w:rPr>
                <w:sz w:val="17"/>
                <w:szCs w:val="17"/>
                <w:color w:val="auto"/>
              </w:rPr>
            </w:pPr>
          </w:p>
        </w:tc>
        <w:tc>
          <w:tcPr>
            <w:tcW w:w="5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prospectus for a discussion of factors you should carefully</w:t>
            </w:r>
          </w:p>
        </w:tc>
      </w:tr>
      <w:tr>
        <w:trPr>
          <w:trHeight w:val="203"/>
        </w:trPr>
        <w:tc>
          <w:tcPr>
            <w:tcW w:w="4200" w:type="dxa"/>
            <w:vAlign w:val="bottom"/>
          </w:tcPr>
          <w:p>
            <w:pPr>
              <w:spacing w:after="0"/>
              <w:rPr>
                <w:sz w:val="17"/>
                <w:szCs w:val="17"/>
                <w:color w:val="auto"/>
              </w:rPr>
            </w:pPr>
          </w:p>
        </w:tc>
        <w:tc>
          <w:tcPr>
            <w:tcW w:w="5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consider before deciding to invest in shares of our common</w:t>
            </w:r>
          </w:p>
        </w:tc>
      </w:tr>
      <w:tr>
        <w:trPr>
          <w:trHeight w:val="217"/>
        </w:trPr>
        <w:tc>
          <w:tcPr>
            <w:tcW w:w="420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8"/>
                <w:szCs w:val="18"/>
                <w:color w:val="auto"/>
              </w:rPr>
              <w:t>stock.</w:t>
            </w:r>
          </w:p>
        </w:tc>
        <w:tc>
          <w:tcPr>
            <w:tcW w:w="700" w:type="dxa"/>
            <w:vAlign w:val="bottom"/>
          </w:tcPr>
          <w:p>
            <w:pPr>
              <w:spacing w:after="0"/>
              <w:rPr>
                <w:sz w:val="18"/>
                <w:szCs w:val="18"/>
                <w:color w:val="auto"/>
              </w:rPr>
            </w:pPr>
          </w:p>
        </w:tc>
      </w:tr>
      <w:tr>
        <w:trPr>
          <w:trHeight w:val="445"/>
        </w:trPr>
        <w:tc>
          <w:tcPr>
            <w:tcW w:w="4200" w:type="dxa"/>
            <w:vAlign w:val="bottom"/>
          </w:tcPr>
          <w:p>
            <w:pPr>
              <w:spacing w:after="0"/>
              <w:rPr>
                <w:sz w:val="20"/>
                <w:szCs w:val="20"/>
                <w:color w:val="auto"/>
              </w:rPr>
            </w:pPr>
            <w:r>
              <w:rPr>
                <w:rFonts w:ascii="Arial" w:cs="Arial" w:eastAsia="Arial" w:hAnsi="Arial"/>
                <w:sz w:val="18"/>
                <w:szCs w:val="18"/>
                <w:color w:val="auto"/>
              </w:rPr>
              <w:t>Proposed Nasdaq Global Market trading symbol</w:t>
            </w:r>
          </w:p>
        </w:tc>
        <w:tc>
          <w:tcPr>
            <w:tcW w:w="4560" w:type="dxa"/>
            <w:vAlign w:val="bottom"/>
          </w:tcPr>
          <w:p>
            <w:pPr>
              <w:ind w:left="360"/>
              <w:spacing w:after="0"/>
              <w:rPr>
                <w:sz w:val="20"/>
                <w:szCs w:val="20"/>
                <w:color w:val="auto"/>
              </w:rPr>
            </w:pPr>
            <w:r>
              <w:rPr>
                <w:rFonts w:ascii="Arial" w:cs="Arial" w:eastAsia="Arial" w:hAnsi="Arial"/>
                <w:sz w:val="18"/>
                <w:szCs w:val="18"/>
                <w:color w:val="auto"/>
              </w:rPr>
              <w:t>“ATHA”</w:t>
            </w:r>
          </w:p>
        </w:tc>
        <w:tc>
          <w:tcPr>
            <w:tcW w:w="700" w:type="dxa"/>
            <w:vAlign w:val="bottom"/>
          </w:tcPr>
          <w:p>
            <w:pPr>
              <w:spacing w:after="0"/>
              <w:rPr>
                <w:sz w:val="24"/>
                <w:szCs w:val="24"/>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9663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9663430"/>
                    </a:xfrm>
                    <a:prstGeom prst="rect">
                      <a:avLst/>
                    </a:prstGeom>
                    <a:noFill/>
                  </pic:spPr>
                </pic:pic>
              </a:graphicData>
            </a:graphic>
          </wp:anchor>
        </w:drawing>
      </w:r>
    </w:p>
    <w:p>
      <w:pPr>
        <w:ind w:right="220" w:firstLine="486"/>
        <w:spacing w:after="0"/>
        <w:rPr>
          <w:sz w:val="20"/>
          <w:szCs w:val="20"/>
          <w:color w:val="auto"/>
        </w:rPr>
      </w:pPr>
      <w:r>
        <w:rPr>
          <w:rFonts w:ascii="Arial" w:cs="Arial" w:eastAsia="Arial" w:hAnsi="Arial"/>
          <w:sz w:val="18"/>
          <w:szCs w:val="18"/>
          <w:color w:val="auto"/>
        </w:rPr>
        <w:t>The number of shares of our common stock outstanding after this offering is based on 135,690,810 shares of common stock outstanding as of June 30, 2020 (including our convertible preferred stock on an as-converted basis), and excludes:</w:t>
      </w:r>
    </w:p>
    <w:p>
      <w:pPr>
        <w:spacing w:after="0" w:line="95" w:lineRule="exact"/>
        <w:rPr>
          <w:sz w:val="20"/>
          <w:szCs w:val="20"/>
          <w:color w:val="auto"/>
        </w:rPr>
      </w:pPr>
    </w:p>
    <w:p>
      <w:pPr>
        <w:ind w:left="1060" w:right="420" w:hanging="343"/>
        <w:spacing w:after="0" w:line="246"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9,982,500 shares of common stock issuable upon the exercise of outstanding options as of June 30, 2020 with a weighted-average exercise price of $0.13 per share;</w:t>
      </w:r>
    </w:p>
    <w:p>
      <w:pPr>
        <w:spacing w:after="0" w:line="196" w:lineRule="exact"/>
        <w:rPr>
          <w:rFonts w:ascii="Arial" w:cs="Arial" w:eastAsia="Arial" w:hAnsi="Arial"/>
          <w:sz w:val="18"/>
          <w:szCs w:val="18"/>
          <w:color w:val="auto"/>
        </w:rPr>
      </w:pPr>
    </w:p>
    <w:p>
      <w:pPr>
        <w:ind w:left="1060" w:right="60" w:hanging="343"/>
        <w:spacing w:after="0" w:line="246"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7,495,000 shares of common stock reserved for future issuance under our 2014 Equity Incentive Plan as of June 30, 2020;</w:t>
      </w:r>
    </w:p>
    <w:p>
      <w:pPr>
        <w:spacing w:after="0" w:line="196" w:lineRule="exact"/>
        <w:rPr>
          <w:rFonts w:ascii="Arial" w:cs="Arial" w:eastAsia="Arial" w:hAnsi="Arial"/>
          <w:sz w:val="18"/>
          <w:szCs w:val="18"/>
          <w:color w:val="auto"/>
        </w:rPr>
      </w:pPr>
    </w:p>
    <w:p>
      <w:pPr>
        <w:ind w:left="1060" w:right="20" w:hanging="343"/>
        <w:spacing w:after="0"/>
        <w:tabs>
          <w:tab w:leader="none" w:pos="1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2020 Equity Incentive Plan, which will become effective on the business day immediately prior to the date of effectiveness of the registration statement of which this prospectus forms a part; and</w:t>
      </w:r>
    </w:p>
    <w:p>
      <w:pPr>
        <w:spacing w:after="0" w:line="202" w:lineRule="exact"/>
        <w:rPr>
          <w:rFonts w:ascii="Arial" w:cs="Arial" w:eastAsia="Arial" w:hAnsi="Arial"/>
          <w:sz w:val="18"/>
          <w:szCs w:val="18"/>
          <w:color w:val="auto"/>
        </w:rPr>
      </w:pPr>
    </w:p>
    <w:p>
      <w:pPr>
        <w:ind w:left="1060" w:hanging="343"/>
        <w:spacing w:after="0"/>
        <w:tabs>
          <w:tab w:leader="none" w:pos="1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2020 Employee Stock Purchase Plan, which will become effective on the business day immediately prior to the date of effectiveness of the registration statement of which this prospectus forms a part.</w:t>
      </w:r>
    </w:p>
    <w:p>
      <w:pPr>
        <w:spacing w:after="0" w:line="20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Except as otherwise indicated, all information in this prospectus assumes or gives effect to the following:</w:t>
      </w:r>
    </w:p>
    <w:p>
      <w:pPr>
        <w:spacing w:after="0" w:line="212" w:lineRule="exact"/>
        <w:rPr>
          <w:sz w:val="20"/>
          <w:szCs w:val="20"/>
          <w:color w:val="auto"/>
        </w:rPr>
      </w:pPr>
    </w:p>
    <w:p>
      <w:pPr>
        <w:ind w:left="1060" w:right="80" w:hanging="343"/>
        <w:spacing w:after="0" w:line="246"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automatic conversion of our outstanding shares of convertible preferred stock as of June 30, 2020 into an aggregate of 99,151,789 shares of common stock immediately prior to the closing of this offering;</w:t>
      </w:r>
    </w:p>
    <w:p>
      <w:pPr>
        <w:spacing w:after="0" w:line="196" w:lineRule="exact"/>
        <w:rPr>
          <w:rFonts w:ascii="Arial" w:cs="Arial" w:eastAsia="Arial" w:hAnsi="Arial"/>
          <w:sz w:val="18"/>
          <w:szCs w:val="18"/>
          <w:color w:val="auto"/>
        </w:rPr>
      </w:pPr>
    </w:p>
    <w:p>
      <w:pPr>
        <w:ind w:left="1060" w:hanging="343"/>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of outstanding options described above;</w:t>
      </w:r>
    </w:p>
    <w:p>
      <w:pPr>
        <w:spacing w:after="0" w:line="212"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tcPr>
          <w:p>
            <w:pPr>
              <w:ind w:left="140"/>
              <w:spacing w:after="0"/>
              <w:rPr>
                <w:sz w:val="20"/>
                <w:szCs w:val="20"/>
                <w:color w:val="auto"/>
              </w:rPr>
            </w:pPr>
            <w:r>
              <w:rPr>
                <w:rFonts w:ascii="Arial" w:cs="Arial" w:eastAsia="Arial" w:hAnsi="Arial"/>
                <w:sz w:val="18"/>
                <w:szCs w:val="18"/>
                <w:color w:val="auto"/>
              </w:rPr>
              <w:t>the issuance of</w:t>
            </w:r>
          </w:p>
        </w:tc>
        <w:tc>
          <w:tcPr>
            <w:tcW w:w="6800" w:type="dxa"/>
            <w:vAlign w:val="bottom"/>
          </w:tcPr>
          <w:p>
            <w:pPr>
              <w:ind w:left="380"/>
              <w:spacing w:after="0"/>
              <w:rPr>
                <w:sz w:val="20"/>
                <w:szCs w:val="20"/>
                <w:color w:val="auto"/>
              </w:rPr>
            </w:pPr>
            <w:r>
              <w:rPr>
                <w:rFonts w:ascii="Arial" w:cs="Arial" w:eastAsia="Arial" w:hAnsi="Arial"/>
                <w:sz w:val="18"/>
                <w:szCs w:val="18"/>
                <w:color w:val="auto"/>
              </w:rPr>
              <w:t>shares of common stock upon the automatic exercise of an outstanding warrant</w:t>
            </w:r>
          </w:p>
        </w:tc>
      </w:tr>
      <w:tr>
        <w:trPr>
          <w:trHeight w:val="203"/>
        </w:trPr>
        <w:tc>
          <w:tcPr>
            <w:tcW w:w="200" w:type="dxa"/>
            <w:vAlign w:val="bottom"/>
          </w:tcPr>
          <w:p>
            <w:pPr>
              <w:spacing w:after="0"/>
              <w:rPr>
                <w:sz w:val="17"/>
                <w:szCs w:val="17"/>
                <w:color w:val="auto"/>
              </w:rPr>
            </w:pPr>
          </w:p>
        </w:tc>
        <w:tc>
          <w:tcPr>
            <w:tcW w:w="84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to purchase shares of our Series B convertible preferred stock immediately prior to the closing of this</w:t>
            </w:r>
          </w:p>
        </w:tc>
      </w:tr>
      <w:tr>
        <w:trPr>
          <w:trHeight w:val="217"/>
        </w:trPr>
        <w:tc>
          <w:tcPr>
            <w:tcW w:w="200" w:type="dxa"/>
            <w:vAlign w:val="bottom"/>
          </w:tcPr>
          <w:p>
            <w:pPr>
              <w:spacing w:after="0"/>
              <w:rPr>
                <w:sz w:val="18"/>
                <w:szCs w:val="18"/>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rPr>
              <w:t>offering that would otherwise expire at an exercise price of $1.15 per share;</w:t>
            </w:r>
          </w:p>
        </w:tc>
      </w:tr>
      <w:tr>
        <w:trPr>
          <w:trHeight w:val="40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tcPr>
          <w:p>
            <w:pPr>
              <w:ind w:left="140"/>
              <w:spacing w:after="0"/>
              <w:rPr>
                <w:sz w:val="20"/>
                <w:szCs w:val="20"/>
                <w:color w:val="auto"/>
              </w:rPr>
            </w:pPr>
            <w:r>
              <w:rPr>
                <w:rFonts w:ascii="Arial" w:cs="Arial" w:eastAsia="Arial" w:hAnsi="Arial"/>
                <w:sz w:val="18"/>
                <w:szCs w:val="18"/>
                <w:color w:val="auto"/>
              </w:rPr>
              <w:t>the issuance of</w:t>
            </w:r>
          </w:p>
        </w:tc>
        <w:tc>
          <w:tcPr>
            <w:tcW w:w="6800" w:type="dxa"/>
            <w:vAlign w:val="bottom"/>
          </w:tcPr>
          <w:p>
            <w:pPr>
              <w:ind w:left="380"/>
              <w:spacing w:after="0"/>
              <w:rPr>
                <w:sz w:val="20"/>
                <w:szCs w:val="20"/>
                <w:color w:val="auto"/>
              </w:rPr>
            </w:pPr>
            <w:r>
              <w:rPr>
                <w:rFonts w:ascii="Arial" w:cs="Arial" w:eastAsia="Arial" w:hAnsi="Arial"/>
                <w:sz w:val="18"/>
                <w:szCs w:val="18"/>
                <w:color w:val="auto"/>
              </w:rPr>
              <w:t>shares of common stock immediately prior to the closing of this offering issuable</w:t>
            </w:r>
          </w:p>
        </w:tc>
      </w:tr>
      <w:tr>
        <w:trPr>
          <w:trHeight w:val="203"/>
        </w:trPr>
        <w:tc>
          <w:tcPr>
            <w:tcW w:w="200" w:type="dxa"/>
            <w:vAlign w:val="bottom"/>
          </w:tcPr>
          <w:p>
            <w:pPr>
              <w:spacing w:after="0"/>
              <w:rPr>
                <w:sz w:val="17"/>
                <w:szCs w:val="17"/>
                <w:color w:val="auto"/>
              </w:rPr>
            </w:pPr>
          </w:p>
        </w:tc>
        <w:tc>
          <w:tcPr>
            <w:tcW w:w="848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99"/>
              </w:rPr>
              <w:t>upon the exercise of an outstanding warrant to purchase our common stock at an exercise price of $0.61</w:t>
            </w:r>
          </w:p>
        </w:tc>
      </w:tr>
      <w:tr>
        <w:trPr>
          <w:trHeight w:val="217"/>
        </w:trPr>
        <w:tc>
          <w:tcPr>
            <w:tcW w:w="200" w:type="dxa"/>
            <w:vAlign w:val="bottom"/>
          </w:tcPr>
          <w:p>
            <w:pPr>
              <w:spacing w:after="0"/>
              <w:rPr>
                <w:sz w:val="18"/>
                <w:szCs w:val="18"/>
                <w:color w:val="auto"/>
              </w:rPr>
            </w:pPr>
          </w:p>
        </w:tc>
        <w:tc>
          <w:tcPr>
            <w:tcW w:w="1680" w:type="dxa"/>
            <w:vAlign w:val="bottom"/>
          </w:tcPr>
          <w:p>
            <w:pPr>
              <w:ind w:left="140"/>
              <w:spacing w:after="0"/>
              <w:rPr>
                <w:sz w:val="20"/>
                <w:szCs w:val="20"/>
                <w:color w:val="auto"/>
              </w:rPr>
            </w:pPr>
            <w:r>
              <w:rPr>
                <w:rFonts w:ascii="Arial" w:cs="Arial" w:eastAsia="Arial" w:hAnsi="Arial"/>
                <w:sz w:val="18"/>
                <w:szCs w:val="18"/>
                <w:color w:val="auto"/>
              </w:rPr>
              <w:t>per share;</w:t>
            </w:r>
          </w:p>
        </w:tc>
        <w:tc>
          <w:tcPr>
            <w:tcW w:w="6800" w:type="dxa"/>
            <w:vAlign w:val="bottom"/>
          </w:tcPr>
          <w:p>
            <w:pPr>
              <w:spacing w:after="0"/>
              <w:rPr>
                <w:sz w:val="18"/>
                <w:szCs w:val="18"/>
                <w:color w:val="auto"/>
              </w:rPr>
            </w:pPr>
          </w:p>
        </w:tc>
      </w:tr>
      <w:tr>
        <w:trPr>
          <w:trHeight w:val="40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tcPr>
          <w:p>
            <w:pPr>
              <w:ind w:left="140"/>
              <w:spacing w:after="0"/>
              <w:rPr>
                <w:sz w:val="20"/>
                <w:szCs w:val="20"/>
                <w:color w:val="auto"/>
              </w:rPr>
            </w:pPr>
            <w:r>
              <w:rPr>
                <w:rFonts w:ascii="Arial" w:cs="Arial" w:eastAsia="Arial" w:hAnsi="Arial"/>
                <w:sz w:val="18"/>
                <w:szCs w:val="18"/>
                <w:color w:val="auto"/>
              </w:rPr>
              <w:t>the issuance of</w:t>
            </w:r>
          </w:p>
        </w:tc>
        <w:tc>
          <w:tcPr>
            <w:tcW w:w="6800" w:type="dxa"/>
            <w:vAlign w:val="bottom"/>
          </w:tcPr>
          <w:p>
            <w:pPr>
              <w:ind w:left="320"/>
              <w:spacing w:after="0"/>
              <w:rPr>
                <w:sz w:val="20"/>
                <w:szCs w:val="20"/>
                <w:color w:val="auto"/>
              </w:rPr>
            </w:pPr>
            <w:r>
              <w:rPr>
                <w:rFonts w:ascii="Arial" w:cs="Arial" w:eastAsia="Arial" w:hAnsi="Arial"/>
                <w:sz w:val="18"/>
                <w:szCs w:val="18"/>
                <w:color w:val="auto"/>
              </w:rPr>
              <w:t>shares of common stock upon the automatic exercise of warrants to purchase</w:t>
            </w:r>
          </w:p>
        </w:tc>
      </w:tr>
      <w:tr>
        <w:trPr>
          <w:trHeight w:val="203"/>
        </w:trPr>
        <w:tc>
          <w:tcPr>
            <w:tcW w:w="200" w:type="dxa"/>
            <w:vAlign w:val="bottom"/>
          </w:tcPr>
          <w:p>
            <w:pPr>
              <w:spacing w:after="0"/>
              <w:rPr>
                <w:sz w:val="17"/>
                <w:szCs w:val="17"/>
                <w:color w:val="auto"/>
              </w:rPr>
            </w:pPr>
          </w:p>
        </w:tc>
        <w:tc>
          <w:tcPr>
            <w:tcW w:w="84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common stock immediately prior to the closing of this offering that would otherwise expire at an exercise</w:t>
            </w:r>
          </w:p>
        </w:tc>
      </w:tr>
      <w:tr>
        <w:trPr>
          <w:trHeight w:val="217"/>
        </w:trPr>
        <w:tc>
          <w:tcPr>
            <w:tcW w:w="200" w:type="dxa"/>
            <w:vAlign w:val="bottom"/>
          </w:tcPr>
          <w:p>
            <w:pPr>
              <w:spacing w:after="0"/>
              <w:rPr>
                <w:sz w:val="18"/>
                <w:szCs w:val="18"/>
                <w:color w:val="auto"/>
              </w:rPr>
            </w:pPr>
          </w:p>
        </w:tc>
        <w:tc>
          <w:tcPr>
            <w:tcW w:w="8480" w:type="dxa"/>
            <w:vAlign w:val="bottom"/>
            <w:gridSpan w:val="2"/>
          </w:tcPr>
          <w:p>
            <w:pPr>
              <w:ind w:left="140"/>
              <w:spacing w:after="0"/>
              <w:rPr>
                <w:sz w:val="20"/>
                <w:szCs w:val="20"/>
                <w:color w:val="auto"/>
              </w:rPr>
            </w:pPr>
            <w:r>
              <w:rPr>
                <w:rFonts w:ascii="Arial" w:cs="Arial" w:eastAsia="Arial" w:hAnsi="Arial"/>
                <w:sz w:val="18"/>
                <w:szCs w:val="18"/>
                <w:color w:val="auto"/>
              </w:rPr>
              <w:t>price of $0.01 per share;</w:t>
            </w:r>
          </w:p>
        </w:tc>
      </w:tr>
    </w:tbl>
    <w:p>
      <w:pPr>
        <w:spacing w:after="0" w:line="202" w:lineRule="exact"/>
        <w:rPr>
          <w:sz w:val="20"/>
          <w:szCs w:val="20"/>
          <w:color w:val="auto"/>
        </w:rPr>
      </w:pPr>
    </w:p>
    <w:p>
      <w:pPr>
        <w:ind w:left="1060" w:right="200" w:hanging="343"/>
        <w:spacing w:after="0" w:line="246"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adoption of our amended and restated bylaws, which will occur immediately prior to the closing of this offering;</w:t>
      </w:r>
    </w:p>
    <w:p>
      <w:pPr>
        <w:spacing w:after="0" w:line="196" w:lineRule="exact"/>
        <w:rPr>
          <w:rFonts w:ascii="Arial" w:cs="Arial" w:eastAsia="Arial" w:hAnsi="Arial"/>
          <w:sz w:val="18"/>
          <w:szCs w:val="18"/>
          <w:color w:val="auto"/>
        </w:rPr>
      </w:pPr>
    </w:p>
    <w:p>
      <w:pPr>
        <w:ind w:left="1060" w:hanging="343"/>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and</w:t>
      </w:r>
    </w:p>
    <w:p>
      <w:pPr>
        <w:spacing w:after="0" w:line="212" w:lineRule="exact"/>
        <w:rPr>
          <w:sz w:val="20"/>
          <w:szCs w:val="20"/>
          <w:color w:val="auto"/>
        </w:rPr>
      </w:pPr>
    </w:p>
    <w:p>
      <w:pPr>
        <w:ind w:left="720"/>
        <w:spacing w:after="0"/>
        <w:tabs>
          <w:tab w:leader="none" w:pos="1040" w:val="left"/>
          <w:tab w:leader="none" w:pos="1700" w:val="left"/>
          <w:tab w:leader="none" w:pos="5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-for-1 reverse stock split effected as of</w:t>
      </w:r>
      <w:r>
        <w:rPr>
          <w:sz w:val="20"/>
          <w:szCs w:val="20"/>
          <w:color w:val="auto"/>
        </w:rPr>
        <w:tab/>
      </w:r>
      <w:r>
        <w:rPr>
          <w:rFonts w:ascii="Arial" w:cs="Arial" w:eastAsia="Arial" w:hAnsi="Arial"/>
          <w:sz w:val="17"/>
          <w:szCs w:val="17"/>
          <w:color w:val="auto"/>
        </w:rPr>
        <w:t>,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066" w:right="1219" w:bottom="497"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168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275" cy="7168515"/>
                    </a:xfrm>
                    <a:prstGeom prst="rect">
                      <a:avLst/>
                    </a:prstGeom>
                    <a:noFill/>
                  </pic:spPr>
                </pic:pic>
              </a:graphicData>
            </a:graphic>
          </wp:anchor>
        </w:drawing>
        <w:t>Summary Financial Data</w:t>
      </w:r>
    </w:p>
    <w:p>
      <w:pPr>
        <w:spacing w:after="0" w:line="234" w:lineRule="exact"/>
        <w:rPr>
          <w:sz w:val="20"/>
          <w:szCs w:val="20"/>
          <w:color w:val="auto"/>
        </w:rPr>
      </w:pPr>
    </w:p>
    <w:p>
      <w:pPr>
        <w:ind w:right="20" w:firstLine="486"/>
        <w:spacing w:after="0" w:line="235" w:lineRule="auto"/>
        <w:rPr>
          <w:sz w:val="20"/>
          <w:szCs w:val="20"/>
          <w:color w:val="auto"/>
        </w:rPr>
      </w:pPr>
      <w:r>
        <w:rPr>
          <w:rFonts w:ascii="Arial" w:cs="Arial" w:eastAsia="Arial" w:hAnsi="Arial"/>
          <w:sz w:val="18"/>
          <w:szCs w:val="18"/>
          <w:color w:val="auto"/>
        </w:rPr>
        <w:t>The following tables set forth a summary of our financial data. The summary statements of operations data for the years ended December 31, 2018 and 2019 are derived from our audited financial statements included elsewhere in this prospectus. The summary statements of operations data for the six months ended June 30, 2019 and 2020 and the summary balance sheet data as of June 30, 2020 are derived from our unaudited interim condensed financial statements included elsewhere in this prospectus. Our unaudited interim condensed financial statements have been prepared on a basis consistent with our audited financial statements and, in the opinion of management, reflect all adjustments, consisting solely of normal recurring adjustments, necessary for the fair presentation of the financial information in those statements. You should read this summary data together with our financial statements and related notes included elsewhere in this prospectus and the information in the sections of this prospectus titled “Selected Financial Data” and “Management’s Discussion and Analysis of Financial Condition and Results of Operations.” Our historical results are not necessarily indicative of our future results, and the results of operations for the six months ended June 30, 2020 are not necessarily indicative of the results to be expected for the full year ending December 31, 2020 or any other period. The summary financial data in this section are not intended to replace the financial statements and related notes included elsewhere in this prospectus.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ind w:left="64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60" w:type="dxa"/>
            <w:vAlign w:val="bottom"/>
            <w:gridSpan w:val="14"/>
          </w:tcPr>
          <w:p>
            <w:pPr>
              <w:ind w:left="6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Operations Data:</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3,793</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(5,449)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(2,797)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4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(5,097)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(5,161)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(2,657)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60" w:type="dxa"/>
            <w:vAlign w:val="bottom"/>
            <w:tcBorders>
              <w:top w:val="single" w:sz="8" w:color="CFF0FC"/>
            </w:tcBorders>
            <w:shd w:val="clear" w:color="auto" w:fill="CFF0FC"/>
          </w:tcPr>
          <w:p>
            <w:pPr>
              <w:spacing w:after="0" w:line="193" w:lineRule="exact"/>
              <w:rPr>
                <w:sz w:val="20"/>
                <w:szCs w:val="20"/>
                <w:color w:val="auto"/>
              </w:rPr>
            </w:pPr>
            <w:r>
              <w:rPr>
                <w:rFonts w:ascii="Arial" w:cs="Arial" w:eastAsia="Arial" w:hAnsi="Arial"/>
                <w:sz w:val="18"/>
                <w:szCs w:val="18"/>
                <w:color w:val="auto"/>
              </w:rPr>
              <w:t>Net loss per share attributable to common</w:t>
            </w:r>
          </w:p>
        </w:tc>
        <w:tc>
          <w:tcPr>
            <w:tcW w:w="4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shd w:val="clear" w:color="auto" w:fill="CFF0FC"/>
          </w:tcPr>
          <w:p>
            <w:pPr>
              <w:ind w:left="140"/>
              <w:spacing w:after="0" w:line="206" w:lineRule="exact"/>
              <w:rPr>
                <w:sz w:val="20"/>
                <w:szCs w:val="20"/>
                <w:color w:val="auto"/>
              </w:rPr>
            </w:pPr>
            <w:r>
              <w:rPr>
                <w:rFonts w:ascii="Arial" w:cs="Arial" w:eastAsia="Arial" w:hAnsi="Arial"/>
                <w:sz w:val="18"/>
                <w:szCs w:val="18"/>
                <w:color w:val="auto"/>
              </w:rPr>
              <w:t>stockholders, basic and diluted</w:t>
            </w:r>
            <w:r>
              <w:rPr>
                <w:rFonts w:ascii="Arial" w:cs="Arial" w:eastAsia="Arial" w:hAnsi="Arial"/>
                <w:sz w:val="15"/>
                <w:szCs w:val="15"/>
                <w:color w:val="auto"/>
              </w:rPr>
              <w:t>(1)</w:t>
            </w:r>
          </w:p>
        </w:tc>
        <w:tc>
          <w:tcPr>
            <w:tcW w:w="540" w:type="dxa"/>
            <w:vAlign w:val="bottom"/>
            <w:gridSpan w:val="2"/>
            <w:shd w:val="clear" w:color="auto" w:fill="CFF0FC"/>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line="206" w:lineRule="exact"/>
              <w:rPr>
                <w:sz w:val="20"/>
                <w:szCs w:val="20"/>
                <w:color w:val="auto"/>
              </w:rPr>
            </w:pPr>
            <w:r>
              <w:rPr>
                <w:rFonts w:ascii="Arial" w:cs="Arial" w:eastAsia="Arial" w:hAnsi="Arial"/>
                <w:sz w:val="18"/>
                <w:szCs w:val="18"/>
                <w:color w:val="auto"/>
              </w:rPr>
              <w:t>(0.19)</w:t>
            </w:r>
          </w:p>
        </w:tc>
        <w:tc>
          <w:tcPr>
            <w:tcW w:w="180" w:type="dxa"/>
            <w:vAlign w:val="bottom"/>
            <w:gridSpan w:val="2"/>
            <w:shd w:val="clear" w:color="auto" w:fill="CFF0FC"/>
          </w:tcPr>
          <w:p>
            <w:pPr>
              <w:jc w:val="right"/>
              <w:spacing w:after="0" w:line="20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0"/>
              <w:spacing w:after="0" w:line="206" w:lineRule="exact"/>
              <w:rPr>
                <w:sz w:val="20"/>
                <w:szCs w:val="20"/>
                <w:color w:val="auto"/>
              </w:rPr>
            </w:pPr>
            <w:r>
              <w:rPr>
                <w:rFonts w:ascii="Arial" w:cs="Arial" w:eastAsia="Arial" w:hAnsi="Arial"/>
                <w:sz w:val="18"/>
                <w:szCs w:val="18"/>
                <w:color w:val="auto"/>
              </w:rPr>
              <w:t>(0.18)</w:t>
            </w:r>
          </w:p>
        </w:tc>
        <w:tc>
          <w:tcPr>
            <w:tcW w:w="180" w:type="dxa"/>
            <w:vAlign w:val="bottom"/>
            <w:gridSpan w:val="2"/>
            <w:shd w:val="clear" w:color="auto" w:fill="CFF0FC"/>
          </w:tcPr>
          <w:p>
            <w:pPr>
              <w:jc w:val="right"/>
              <w:spacing w:after="0" w:line="20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0"/>
              <w:spacing w:after="0" w:line="206" w:lineRule="exact"/>
              <w:rPr>
                <w:sz w:val="20"/>
                <w:szCs w:val="20"/>
                <w:color w:val="auto"/>
              </w:rPr>
            </w:pPr>
            <w:r>
              <w:rPr>
                <w:rFonts w:ascii="Arial" w:cs="Arial" w:eastAsia="Arial" w:hAnsi="Arial"/>
                <w:sz w:val="18"/>
                <w:szCs w:val="18"/>
                <w:color w:val="auto"/>
              </w:rPr>
              <w:t>(0.09)</w:t>
            </w:r>
          </w:p>
        </w:tc>
        <w:tc>
          <w:tcPr>
            <w:tcW w:w="180" w:type="dxa"/>
            <w:vAlign w:val="bottom"/>
            <w:gridSpan w:val="2"/>
            <w:shd w:val="clear" w:color="auto" w:fill="CFF0FC"/>
          </w:tcPr>
          <w:p>
            <w:pPr>
              <w:jc w:val="right"/>
              <w:spacing w:after="0" w:line="20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line="206" w:lineRule="exact"/>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 used</w:t>
            </w: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60" w:type="dxa"/>
            <w:vAlign w:val="bottom"/>
          </w:tcPr>
          <w:p>
            <w:pPr>
              <w:ind w:left="140"/>
              <w:spacing w:after="0" w:line="200" w:lineRule="exact"/>
              <w:rPr>
                <w:sz w:val="20"/>
                <w:szCs w:val="20"/>
                <w:color w:val="auto"/>
              </w:rPr>
            </w:pPr>
            <w:r>
              <w:rPr>
                <w:rFonts w:ascii="Arial" w:cs="Arial" w:eastAsia="Arial" w:hAnsi="Arial"/>
                <w:sz w:val="18"/>
                <w:szCs w:val="18"/>
                <w:color w:val="auto"/>
              </w:rPr>
              <w:t>in computing net loss per share attributable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160" w:type="dxa"/>
            <w:vAlign w:val="bottom"/>
            <w:tcBorders>
              <w:bottom w:val="single" w:sz="8" w:color="CFF0FC"/>
            </w:tcBorders>
          </w:tcPr>
          <w:p>
            <w:pPr>
              <w:ind w:left="140"/>
              <w:spacing w:after="0" w:line="206" w:lineRule="exact"/>
              <w:rPr>
                <w:sz w:val="20"/>
                <w:szCs w:val="20"/>
                <w:color w:val="auto"/>
              </w:rPr>
            </w:pPr>
            <w:r>
              <w:rPr>
                <w:rFonts w:ascii="Arial" w:cs="Arial" w:eastAsia="Arial" w:hAnsi="Arial"/>
                <w:sz w:val="18"/>
                <w:szCs w:val="18"/>
                <w:color w:val="auto"/>
              </w:rPr>
              <w:t>to common stockholders, basic and diluted</w:t>
            </w:r>
            <w:r>
              <w:rPr>
                <w:rFonts w:ascii="Arial" w:cs="Arial" w:eastAsia="Arial" w:hAnsi="Arial"/>
                <w:sz w:val="15"/>
                <w:szCs w:val="15"/>
                <w:color w:val="auto"/>
              </w:rPr>
              <w:t>(1)</w:t>
            </w:r>
          </w:p>
        </w:tc>
        <w:tc>
          <w:tcPr>
            <w:tcW w:w="44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99"/>
              </w:rPr>
              <w:t>27,511,082</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99"/>
              </w:rPr>
              <w:t>28,285,902</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99"/>
              </w:rPr>
              <w:t>28,153,743</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99"/>
              </w:rPr>
              <w:t>31,225,260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Pro forma net loss per share attributable to</w:t>
            </w: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60" w:type="dxa"/>
            <w:vAlign w:val="bottom"/>
            <w:shd w:val="clear" w:color="auto" w:fill="CFF0FC"/>
          </w:tcPr>
          <w:p>
            <w:pPr>
              <w:ind w:left="140"/>
              <w:spacing w:after="0" w:line="200" w:lineRule="exact"/>
              <w:rPr>
                <w:sz w:val="20"/>
                <w:szCs w:val="20"/>
                <w:color w:val="auto"/>
              </w:rPr>
            </w:pPr>
            <w:r>
              <w:rPr>
                <w:rFonts w:ascii="Arial" w:cs="Arial" w:eastAsia="Arial" w:hAnsi="Arial"/>
                <w:sz w:val="18"/>
                <w:szCs w:val="18"/>
                <w:color w:val="auto"/>
              </w:rPr>
              <w:t>common stockholders, basic and diluted</w:t>
            </w: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shd w:val="clear" w:color="auto" w:fill="CFF0FC"/>
          </w:tcPr>
          <w:p>
            <w:pPr>
              <w:ind w:left="140"/>
              <w:spacing w:after="0" w:line="206" w:lineRule="exact"/>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(1)</w:t>
            </w: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line="20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line="20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jc w:val="right"/>
        <w:ind w:right="6440"/>
        <w:spacing w:after="0"/>
        <w:rPr>
          <w:sz w:val="20"/>
          <w:szCs w:val="20"/>
          <w:color w:val="auto"/>
        </w:rPr>
      </w:pPr>
      <w:r>
        <w:rPr>
          <w:rFonts w:ascii="Arial" w:cs="Arial" w:eastAsia="Arial" w:hAnsi="Arial"/>
          <w:sz w:val="17"/>
          <w:szCs w:val="17"/>
          <w:color w:val="auto"/>
        </w:rPr>
        <w:t>Weighted-average shares outstanding</w:t>
      </w:r>
    </w:p>
    <w:p>
      <w:pPr>
        <w:spacing w:after="0" w:line="3" w:lineRule="exact"/>
        <w:rPr>
          <w:sz w:val="20"/>
          <w:szCs w:val="20"/>
          <w:color w:val="auto"/>
        </w:rPr>
      </w:pPr>
    </w:p>
    <w:p>
      <w:pPr>
        <w:jc w:val="right"/>
        <w:ind w:right="6380"/>
        <w:spacing w:after="0"/>
        <w:rPr>
          <w:sz w:val="20"/>
          <w:szCs w:val="20"/>
          <w:color w:val="auto"/>
        </w:rPr>
      </w:pPr>
      <w:r>
        <w:rPr>
          <w:rFonts w:ascii="Arial" w:cs="Arial" w:eastAsia="Arial" w:hAnsi="Arial"/>
          <w:sz w:val="18"/>
          <w:szCs w:val="18"/>
          <w:color w:val="auto"/>
        </w:rPr>
        <w:t>used in computing pro forma net loss</w:t>
      </w:r>
    </w:p>
    <w:p>
      <w:pPr>
        <w:ind w:left="160"/>
        <w:spacing w:after="0" w:line="234" w:lineRule="auto"/>
        <w:rPr>
          <w:sz w:val="20"/>
          <w:szCs w:val="20"/>
          <w:color w:val="auto"/>
        </w:rPr>
      </w:pPr>
      <w:r>
        <w:rPr>
          <w:rFonts w:ascii="Arial" w:cs="Arial" w:eastAsia="Arial" w:hAnsi="Arial"/>
          <w:sz w:val="18"/>
          <w:szCs w:val="18"/>
          <w:color w:val="auto"/>
        </w:rPr>
        <w:t>per share attributable to common stockholders,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basic and diluted (unaudited)</w:t>
      </w:r>
      <w:r>
        <w:rPr>
          <w:rFonts w:ascii="Arial" w:cs="Arial" w:eastAsia="Arial" w:hAnsi="Arial"/>
          <w:sz w:val="15"/>
          <w:szCs w:val="15"/>
          <w:color w:val="auto"/>
        </w:rPr>
        <w:t>(1)</w:t>
      </w:r>
    </w:p>
    <w:p>
      <w:pPr>
        <w:spacing w:after="0" w:line="231" w:lineRule="exact"/>
        <w:rPr>
          <w:sz w:val="20"/>
          <w:szCs w:val="20"/>
          <w:color w:val="auto"/>
        </w:rPr>
      </w:pPr>
    </w:p>
    <w:p>
      <w:pPr>
        <w:ind w:left="400" w:right="160" w:hanging="398"/>
        <w:spacing w:after="0" w:line="247" w:lineRule="auto"/>
        <w:tabs>
          <w:tab w:leader="none" w:pos="4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See Notes 15 and 16 to our audited financial statements and Notes 12 and 13 to our unaudited interim condensed financial statements included elsewhere in this prospectus for the calculation of our basic and diluted net loss per share attributable to common stockholders and our basic and diluted pro forma net loss per share attributable to common stockholders, and the weighted-average number of shares used in computing the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80"/>
          </w:cols>
          <w:pgMar w:left="1220" w:top="1048" w:right="11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of June 30, 2020</w:t>
            </w:r>
          </w:p>
        </w:tc>
        <w:tc>
          <w:tcPr>
            <w:tcW w:w="1260" w:type="dxa"/>
            <w:vAlign w:val="bottom"/>
            <w:tcBorders>
              <w:bottom w:val="single" w:sz="8" w:color="auto"/>
            </w:tcBorders>
          </w:tcPr>
          <w:p>
            <w:pPr>
              <w:spacing w:after="0"/>
              <w:rPr>
                <w:sz w:val="15"/>
                <w:szCs w:val="15"/>
                <w:color w:val="auto"/>
              </w:rPr>
            </w:pPr>
          </w:p>
        </w:tc>
      </w:tr>
      <w:tr>
        <w:trPr>
          <w:trHeight w:val="152"/>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Pro Forma</w:t>
            </w:r>
          </w:p>
        </w:tc>
      </w:tr>
      <w:tr>
        <w:trPr>
          <w:trHeight w:val="179"/>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Actual</w:t>
            </w:r>
          </w:p>
        </w:tc>
        <w:tc>
          <w:tcPr>
            <w:tcW w:w="1400" w:type="dxa"/>
            <w:vAlign w:val="bottom"/>
            <w:tcBorders>
              <w:bottom w:val="single" w:sz="8" w:color="auto"/>
            </w:tcBorders>
          </w:tcPr>
          <w:p>
            <w:pPr>
              <w:jc w:val="center"/>
              <w:spacing w:after="0" w:line="179" w:lineRule="exact"/>
              <w:rPr>
                <w:sz w:val="20"/>
                <w:szCs w:val="20"/>
                <w:color w:val="auto"/>
              </w:rPr>
            </w:pPr>
            <w:r>
              <w:rPr>
                <w:rFonts w:ascii="Arial" w:cs="Arial" w:eastAsia="Arial" w:hAnsi="Arial"/>
                <w:sz w:val="12"/>
                <w:szCs w:val="12"/>
                <w:b w:val="1"/>
                <w:bCs w:val="1"/>
                <w:color w:val="auto"/>
              </w:rPr>
              <w:t>Pro Forma</w:t>
            </w:r>
            <w:r>
              <w:rPr>
                <w:rFonts w:ascii="Arial" w:cs="Arial" w:eastAsia="Arial" w:hAnsi="Arial"/>
                <w:sz w:val="20"/>
                <w:szCs w:val="20"/>
                <w:b w:val="1"/>
                <w:bCs w:val="1"/>
                <w:color w:val="auto"/>
                <w:vertAlign w:val="superscript"/>
              </w:rPr>
              <w:t>(1)</w:t>
            </w:r>
          </w:p>
        </w:tc>
        <w:tc>
          <w:tcPr>
            <w:tcW w:w="1260" w:type="dxa"/>
            <w:vAlign w:val="bottom"/>
            <w:tcBorders>
              <w:bottom w:val="single" w:sz="8" w:color="auto"/>
            </w:tcBorders>
          </w:tcPr>
          <w:p>
            <w:pPr>
              <w:jc w:val="center"/>
              <w:spacing w:after="0" w:line="179"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(2)</w:t>
            </w:r>
          </w:p>
        </w:tc>
      </w:tr>
      <w:tr>
        <w:trPr>
          <w:trHeight w:val="169"/>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(unaudited)</w:t>
            </w:r>
          </w:p>
        </w:tc>
        <w:tc>
          <w:tcPr>
            <w:tcW w:w="12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85,166</w:t>
            </w:r>
          </w:p>
        </w:tc>
        <w:tc>
          <w:tcPr>
            <w:tcW w:w="1400" w:type="dxa"/>
            <w:vAlign w:val="bottom"/>
          </w:tcPr>
          <w:p>
            <w:pPr>
              <w:jc w:val="right"/>
              <w:ind w:right="1106"/>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45"/>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80,961</w:t>
            </w:r>
          </w:p>
        </w:tc>
        <w:tc>
          <w:tcPr>
            <w:tcW w:w="1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86,931</w:t>
            </w: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Grant liability</w:t>
            </w: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1,047</w:t>
            </w:r>
          </w:p>
        </w:tc>
        <w:tc>
          <w:tcPr>
            <w:tcW w:w="1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6,923</w:t>
            </w: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92,537</w:t>
            </w:r>
          </w:p>
        </w:tc>
        <w:tc>
          <w:tcPr>
            <w:tcW w:w="1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29"/>
        </w:trPr>
        <w:tc>
          <w:tcPr>
            <w:tcW w:w="4120" w:type="dxa"/>
            <w:vAlign w:val="bottom"/>
            <w:gridSpan w:val="2"/>
          </w:tcPr>
          <w:p>
            <w:pPr>
              <w:spacing w:after="0"/>
              <w:rPr>
                <w:sz w:val="20"/>
                <w:szCs w:val="20"/>
                <w:color w:val="auto"/>
              </w:rPr>
            </w:pPr>
            <w:r>
              <w:rPr>
                <w:rFonts w:ascii="Arial" w:cs="Arial" w:eastAsia="Arial" w:hAnsi="Arial"/>
                <w:sz w:val="18"/>
                <w:szCs w:val="18"/>
                <w:color w:val="auto"/>
              </w:rPr>
              <w:t>Total stockholders' (deficit) equity</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(12,529)</w:t>
            </w:r>
          </w:p>
        </w:tc>
        <w:tc>
          <w:tcPr>
            <w:tcW w:w="1400" w:type="dxa"/>
            <w:vAlign w:val="bottom"/>
          </w:tcPr>
          <w:p>
            <w:pPr>
              <w:spacing w:after="0"/>
              <w:rPr>
                <w:sz w:val="19"/>
                <w:szCs w:val="19"/>
                <w:color w:val="auto"/>
              </w:rPr>
            </w:pPr>
          </w:p>
        </w:tc>
        <w:tc>
          <w:tcPr>
            <w:tcW w:w="1260" w:type="dxa"/>
            <w:vAlign w:val="bottom"/>
          </w:tcPr>
          <w:p>
            <w:pPr>
              <w:spacing w:after="0"/>
              <w:rPr>
                <w:sz w:val="19"/>
                <w:szCs w:val="19"/>
                <w:color w:val="auto"/>
              </w:rPr>
            </w:pPr>
          </w:p>
        </w:tc>
      </w:tr>
    </w:tbl>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51714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275" cy="5171440"/>
                    </a:xfrm>
                    <a:prstGeom prst="rect">
                      <a:avLst/>
                    </a:prstGeom>
                    <a:noFill/>
                  </pic:spPr>
                </pic:pic>
              </a:graphicData>
            </a:graphic>
          </wp:anchor>
        </w:drawing>
      </w:r>
    </w:p>
    <w:p>
      <w:pPr>
        <w:ind w:left="400" w:hanging="398"/>
        <w:spacing w:after="0"/>
        <w:tabs>
          <w:tab w:leader="none" w:pos="4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on a pro forma basis, (a) the automatic conversion of our convertible preferred stock into an aggregate of 99,151,789 shares of</w:t>
      </w:r>
    </w:p>
    <w:p>
      <w:pPr>
        <w:spacing w:after="0" w:line="1" w:lineRule="exact"/>
        <w:rPr>
          <w:sz w:val="20"/>
          <w:szCs w:val="20"/>
          <w:color w:val="auto"/>
        </w:rPr>
      </w:pPr>
    </w:p>
    <w:p>
      <w:pPr>
        <w:ind w:left="400" w:right="60"/>
        <w:spacing w:after="0" w:line="249" w:lineRule="auto"/>
        <w:rPr>
          <w:sz w:val="20"/>
          <w:szCs w:val="20"/>
          <w:color w:val="auto"/>
        </w:rPr>
      </w:pPr>
      <w:r>
        <w:rPr>
          <w:rFonts w:ascii="Arial" w:cs="Arial" w:eastAsia="Arial" w:hAnsi="Arial"/>
          <w:sz w:val="14"/>
          <w:szCs w:val="14"/>
          <w:color w:val="auto"/>
        </w:rPr>
        <w:t>common stock as of June 30, 2020; (b) the issuance of an aggregate of shares of our common stock upon the exercise of outstanding warrants immediately prior to the closing of this offering; (c) the repayment of $1.5 million in grant liability; and (d) the filing of our amended and restated certificate of incorporation, each of which will occur immediately prior to the closing of this offering.</w:t>
      </w:r>
    </w:p>
    <w:p>
      <w:pPr>
        <w:spacing w:after="0" w:line="25" w:lineRule="exact"/>
        <w:rPr>
          <w:sz w:val="20"/>
          <w:szCs w:val="20"/>
          <w:color w:val="auto"/>
        </w:rPr>
      </w:pPr>
    </w:p>
    <w:p>
      <w:pPr>
        <w:ind w:left="400" w:hanging="398"/>
        <w:spacing w:after="0"/>
        <w:tabs>
          <w:tab w:leader="none" w:pos="4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on a pro forma as adjusted basis, the pro forma adjustments described in footnote (1) above, as well as the sale and issuance by us</w:t>
      </w:r>
    </w:p>
    <w:p>
      <w:pPr>
        <w:spacing w:after="0" w:line="1" w:lineRule="exact"/>
        <w:rPr>
          <w:sz w:val="20"/>
          <w:szCs w:val="20"/>
          <w:color w:val="auto"/>
        </w:rPr>
      </w:pPr>
    </w:p>
    <w:p>
      <w:pPr>
        <w:ind w:left="400" w:right="40"/>
        <w:spacing w:after="0" w:line="241" w:lineRule="auto"/>
        <w:rPr>
          <w:sz w:val="20"/>
          <w:szCs w:val="20"/>
          <w:color w:val="auto"/>
        </w:rPr>
      </w:pPr>
      <w:r>
        <w:rPr>
          <w:rFonts w:ascii="Arial" w:cs="Arial" w:eastAsia="Arial" w:hAnsi="Arial"/>
          <w:sz w:val="14"/>
          <w:szCs w:val="14"/>
          <w:color w:val="auto"/>
        </w:rPr>
        <w:t>of shares of common stock in this offering at the assumed initial public offering price of $ per share, which is the midpoint of the range reflected on the cover page of this prospectus, after deducting underwriting discounts and commissions and estimated offering expenses</w:t>
      </w:r>
    </w:p>
    <w:p>
      <w:pPr>
        <w:spacing w:after="0" w:line="1" w:lineRule="exact"/>
        <w:rPr>
          <w:sz w:val="20"/>
          <w:szCs w:val="20"/>
          <w:color w:val="auto"/>
        </w:rPr>
      </w:pPr>
    </w:p>
    <w:p>
      <w:pPr>
        <w:ind w:left="400" w:right="100"/>
        <w:spacing w:after="0" w:line="241" w:lineRule="auto"/>
        <w:rPr>
          <w:sz w:val="20"/>
          <w:szCs w:val="20"/>
          <w:color w:val="auto"/>
        </w:rPr>
      </w:pPr>
      <w:r>
        <w:rPr>
          <w:rFonts w:ascii="Arial" w:cs="Arial" w:eastAsia="Arial" w:hAnsi="Arial"/>
          <w:sz w:val="14"/>
          <w:szCs w:val="14"/>
          <w:color w:val="auto"/>
        </w:rPr>
        <w:t>payable by us. Each $1.00 increase or decrease in the assumed initial public offering price of $ per share would increase or decrease, as applicable, each of our cash and cash equivalents, working capital, total assets and total stockholders’ (deficit) equity by approximately</w:t>
      </w:r>
    </w:p>
    <w:p>
      <w:pPr>
        <w:spacing w:after="0" w:line="1" w:lineRule="exact"/>
        <w:rPr>
          <w:sz w:val="20"/>
          <w:szCs w:val="20"/>
          <w:color w:val="auto"/>
        </w:rPr>
      </w:pPr>
    </w:p>
    <w:p>
      <w:pPr>
        <w:ind w:left="400" w:right="180"/>
        <w:spacing w:after="0" w:line="244" w:lineRule="auto"/>
        <w:rPr>
          <w:sz w:val="20"/>
          <w:szCs w:val="20"/>
          <w:color w:val="auto"/>
        </w:rPr>
      </w:pPr>
      <w:r>
        <w:rPr>
          <w:rFonts w:ascii="Arial" w:cs="Arial" w:eastAsia="Arial" w:hAnsi="Arial"/>
          <w:sz w:val="14"/>
          <w:szCs w:val="14"/>
          <w:color w:val="auto"/>
        </w:rPr>
        <w:t>$ million, assuming that the number of shares offered by us, as set forth on the cover page of this prospectus, remains the same, and after deducting underwriting discounts and commissions and estimated offering expenses payable by us. We may also increase or decrease the number of shares we are offering. Each increase or decrease of 1.0 million in the number of shares offered by us would increase or decrease, as applicable, each of our cash and cash equivalents, working capital, total assets and total stockholders’ (deficit) equity by $ million, assuming that the assumed initial public offering price remains the same, and after deducting the underwriting discounts and commissions and estimated offering expenses payable by us. The pro forma as adjusted information discussed above is illustrative only and will adjust based on the actual initial public offering price and other terms of this offering determined at pricing.</w:t>
      </w:r>
    </w:p>
    <w:p>
      <w:pPr>
        <w:spacing w:after="0" w:line="14" w:lineRule="exact"/>
        <w:rPr>
          <w:sz w:val="20"/>
          <w:szCs w:val="20"/>
          <w:color w:val="auto"/>
        </w:rPr>
      </w:pPr>
    </w:p>
    <w:p>
      <w:pPr>
        <w:ind w:left="400" w:right="20" w:hanging="398"/>
        <w:spacing w:after="0" w:line="279" w:lineRule="auto"/>
        <w:tabs>
          <w:tab w:leader="none" w:pos="4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Accounting Standards Codification Topic 210, </w:t>
      </w:r>
      <w:r>
        <w:rPr>
          <w:rFonts w:ascii="Arial" w:cs="Arial" w:eastAsia="Arial" w:hAnsi="Arial"/>
          <w:sz w:val="14"/>
          <w:szCs w:val="14"/>
          <w:i w:val="1"/>
          <w:iCs w:val="1"/>
          <w:color w:val="auto"/>
        </w:rPr>
        <w:t>Balance Sheet</w:t>
      </w:r>
      <w:r>
        <w:rPr>
          <w:rFonts w:ascii="Arial" w:cs="Arial" w:eastAsia="Arial" w:hAnsi="Arial"/>
          <w:sz w:val="14"/>
          <w:szCs w:val="14"/>
          <w:color w:val="auto"/>
        </w:rPr>
        <w:t>, defines working capital as current assets less current liabilities. See our financial statements and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80"/>
          </w:cols>
          <w:pgMar w:left="1220" w:top="1341" w:right="119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right="60" w:firstLine="576"/>
        <w:spacing w:after="0"/>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prospectus, including our financial statements and the related notes and the section of this prospectus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the Development of Our Product Candidates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late clinical-stage biopharmaceutical company with a limited operating history.</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Our limited operating history may make it difficult to evaluate the success of our business. Drug development is a highly uncertain undertaking and involves a substantial degree of risk. We have initiated clinical trials for our lead product candidate, ATH-1017, and have not initiated clinical trials for any of our other product candidates. To date, we have not initiated or completed a pivotal clinical trial, obtained marketing approval for any product candidate, manufactured a commercial scale product candidate, arranged for a third party to do so on our behalf, or conducted sales and marketing activities necessary for successful product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p>
    <w:p>
      <w:pPr>
        <w:spacing w:after="0" w:line="207" w:lineRule="exact"/>
        <w:rPr>
          <w:sz w:val="20"/>
          <w:szCs w:val="20"/>
          <w:color w:val="auto"/>
        </w:rPr>
      </w:pPr>
    </w:p>
    <w:p>
      <w:pPr>
        <w:ind w:right="120" w:firstLine="576"/>
        <w:spacing w:after="0" w:line="236" w:lineRule="auto"/>
        <w:rPr>
          <w:sz w:val="20"/>
          <w:szCs w:val="20"/>
          <w:color w:val="auto"/>
        </w:rPr>
      </w:pPr>
      <w:r>
        <w:rPr>
          <w:rFonts w:ascii="Arial" w:cs="Arial" w:eastAsia="Arial" w:hAnsi="Arial"/>
          <w:sz w:val="18"/>
          <w:szCs w:val="18"/>
          <w:color w:val="auto"/>
        </w:rPr>
        <w:t>We may fail to or be unable to design and execute clinical trials to support marketing approval of ATH-1017 or any of our other product candidates. We cannot be certain that our current or planned clinical trials or any other future clinical trials will be completed on time or be successful. We cannot guarantee that the U.S. Food and Drug Administration, or FDA, or foreign regulatory authorities will interpret clinical trial results as we do, and more clinical trials could be required before we are able to submit applications seeking approval of our product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293"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significant losses for the foreseeable future.</w:t>
      </w:r>
    </w:p>
    <w:p>
      <w:pPr>
        <w:spacing w:after="0" w:line="68"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We have not generated any revenue from product sales and our product candidates will require substantial additional investment before they may provide us with any revenue. We had net losses of $5.2 million and $3.8 million for year ended December 31, 2019 and the six months ended June 30, 2020, respectively, and an accumulated deficit of $24.9 million as of June 30, 2020.</w:t>
      </w:r>
    </w:p>
    <w:p>
      <w:pPr>
        <w:spacing w:after="0" w:line="203" w:lineRule="exact"/>
        <w:rPr>
          <w:sz w:val="20"/>
          <w:szCs w:val="20"/>
          <w:color w:val="auto"/>
        </w:rPr>
      </w:pPr>
    </w:p>
    <w:p>
      <w:pPr>
        <w:jc w:val="both"/>
        <w:ind w:right="340" w:firstLine="576"/>
        <w:spacing w:after="0"/>
        <w:rPr>
          <w:sz w:val="20"/>
          <w:szCs w:val="20"/>
          <w:color w:val="auto"/>
        </w:rPr>
      </w:pPr>
      <w:r>
        <w:rPr>
          <w:rFonts w:ascii="Arial" w:cs="Arial" w:eastAsia="Arial" w:hAnsi="Arial"/>
          <w:sz w:val="18"/>
          <w:szCs w:val="18"/>
          <w:color w:val="auto"/>
        </w:rPr>
        <w:t>We have devoted most of our financial resources to research and development, including our clinical and nonclinical development activities. To date, we have financed our operations primarily with proceeds from the sale and issuance of convertible preferred stock and convertible notes, and to a lesser extent from grant income and stock option exercises.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ind w:left="580"/>
        <w:spacing w:after="0"/>
        <w:rPr>
          <w:sz w:val="20"/>
          <w:szCs w:val="20"/>
          <w:color w:val="auto"/>
        </w:rPr>
      </w:pPr>
      <w:r>
        <w:rPr>
          <w:rFonts w:ascii="Arial" w:cs="Arial" w:eastAsia="Arial" w:hAnsi="Arial"/>
          <w:sz w:val="18"/>
          <w:szCs w:val="18"/>
          <w:color w:val="auto"/>
        </w:rPr>
        <w:t>We expect to incur significant expenses and increasing operating losses for the foreseeable future as we:</w:t>
      </w:r>
    </w:p>
    <w:p>
      <w:pPr>
        <w:spacing w:after="0" w:line="104" w:lineRule="exact"/>
        <w:rPr>
          <w:sz w:val="20"/>
          <w:szCs w:val="20"/>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our research and nonclinical and clinical development of our product candidates;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expand the scope of our clinical studies for our current and prospective product candidates;</w:t>
      </w:r>
    </w:p>
    <w:p>
      <w:pPr>
        <w:spacing w:after="0" w:line="225" w:lineRule="exact"/>
        <w:rPr>
          <w:rFonts w:ascii="Arial" w:cs="Arial" w:eastAsia="Arial" w:hAnsi="Arial"/>
          <w:sz w:val="18"/>
          <w:szCs w:val="18"/>
          <w:color w:val="auto"/>
        </w:rPr>
      </w:pPr>
    </w:p>
    <w:p>
      <w:pPr>
        <w:ind w:left="1300" w:right="240" w:hanging="442"/>
        <w:spacing w:after="0" w:line="246"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initiate additional nonclinical, clinical or other studies for our product candidates, including any pivotal trials with respect to ATH-1017 for the treatment of mild-to-moderate AD in addition to LIFT-AD;</w:t>
      </w:r>
    </w:p>
    <w:p>
      <w:pPr>
        <w:spacing w:after="0" w:line="196" w:lineRule="exact"/>
        <w:rPr>
          <w:rFonts w:ascii="Arial" w:cs="Arial" w:eastAsia="Arial" w:hAnsi="Arial"/>
          <w:sz w:val="18"/>
          <w:szCs w:val="18"/>
          <w:color w:val="auto"/>
        </w:rPr>
      </w:pPr>
    </w:p>
    <w:p>
      <w:pPr>
        <w:ind w:left="1300" w:right="340" w:hanging="442"/>
        <w:spacing w:after="0" w:line="246"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or add additional manufacturers or suppliers and manufacture drug supply and drug product for clinical trials and commercialization;</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trials;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attract, hire and retain additional personnel;</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relocate to our new facility and build out lab space;</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milestone or other payments under our in-license or other agreements;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225" w:lineRule="exact"/>
        <w:rPr>
          <w:rFonts w:ascii="Arial" w:cs="Arial" w:eastAsia="Arial" w:hAnsi="Arial"/>
          <w:sz w:val="18"/>
          <w:szCs w:val="18"/>
          <w:color w:val="auto"/>
        </w:rPr>
      </w:pPr>
    </w:p>
    <w:p>
      <w:pPr>
        <w:ind w:left="1300" w:right="20" w:hanging="442"/>
        <w:spacing w:after="0" w:line="246"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w:t>
      </w:r>
    </w:p>
    <w:p>
      <w:pPr>
        <w:spacing w:after="0" w:line="196"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and our product development and planned future commercialization efforts; and</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333"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Our expenses could increase beyond expectations for a variety of reasons, including if we are required by the FDA, the European Medicines Agency, or EMA, or other regulatory agencies, domestic or foreign, to perform clinical and other studies in addition to those that we currently anticipate. Our prior losses, combined with expected future losses, have had and will continue to have an adverse effect on our stockholders’ equity.</w:t>
      </w:r>
    </w:p>
    <w:p>
      <w:pPr>
        <w:spacing w:after="0" w:line="29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b w:val="1"/>
          <w:bCs w:val="1"/>
          <w:i w:val="1"/>
          <w:iCs w:val="1"/>
          <w:color w:val="auto"/>
        </w:rPr>
        <w:t>Even if this offering is successful, we will require substantial additional funding to finance our operations, complete the development and commercialization of ATH-1017, and evaluate other and future product candidates. If we are unable to raise this funding when needed, we may be forced to delay, reduce, or eliminate our product development programs or other operations.</w:t>
      </w:r>
    </w:p>
    <w:p>
      <w:pPr>
        <w:spacing w:after="0" w:line="6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Since our inception, we have used substantial amounts of cash to fund our operations, and we expect our expenses to increase substantially in the foreseeable future in connection with our ongoing activities, particularly as we continue the research and development of, initiate clinical trials of, and seek marketing approval for, ATH-1017. Developing ATH-1017 and conducting clinical trials for the treatment of Alzheimer’s disease, or AD, Parkinson’s disease dementias, or PDD, and any other indications that we may pursue in the future will require substantial amounts of capital. In addition, if we obtain marketing approval for ATH-1017 or any future product candidates, we expect to incur significant commercialization expenses related to sales, marketing, manufacturing, and distribution. Furthermore, upon the closing of this offering, we expect to incur additional costs associated with operating as a public company.</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20" w:name="page21"/>
    <w:bookmarkEnd w:id="20"/>
    <w:p>
      <w:pPr>
        <w:ind w:right="180" w:firstLine="576"/>
        <w:spacing w:after="0" w:line="234" w:lineRule="auto"/>
        <w:rPr>
          <w:sz w:val="20"/>
          <w:szCs w:val="20"/>
          <w:color w:val="auto"/>
        </w:rPr>
      </w:pPr>
      <w:r>
        <w:rPr>
          <w:rFonts w:ascii="Arial" w:cs="Arial" w:eastAsia="Arial" w:hAnsi="Arial"/>
          <w:sz w:val="18"/>
          <w:szCs w:val="18"/>
          <w:color w:val="auto"/>
        </w:rPr>
        <w:t>Accordingly, we will need to obtain substantial additional funding in connection with our continuing operations. As of June 30, 2020, we had cash and cash equivalents of $85.2 million. Based upon our current operating plan, we estimate that our existing cash and cash equivalents, together with the anticipated net proceeds from this offering, will be sufficient to fund our operating expenses and capital</w:t>
      </w:r>
    </w:p>
    <w:p>
      <w:pPr>
        <w:spacing w:after="0" w:line="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expenditure requirements for at least the next months.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205" w:lineRule="exact"/>
        <w:rPr>
          <w:sz w:val="20"/>
          <w:szCs w:val="20"/>
          <w:color w:val="auto"/>
        </w:rPr>
      </w:pPr>
    </w:p>
    <w:p>
      <w:pPr>
        <w:ind w:right="580" w:firstLine="576"/>
        <w:spacing w:after="0" w:line="246" w:lineRule="auto"/>
        <w:rPr>
          <w:sz w:val="20"/>
          <w:szCs w:val="20"/>
          <w:color w:val="auto"/>
        </w:rPr>
      </w:pPr>
      <w:r>
        <w:rPr>
          <w:rFonts w:ascii="Arial" w:cs="Arial" w:eastAsia="Arial" w:hAnsi="Arial"/>
          <w:sz w:val="18"/>
          <w:szCs w:val="18"/>
          <w:color w:val="auto"/>
        </w:rPr>
        <w:t>The amount and timing of our future funding requirements depends on many factors, some of which are outside of our control, including but not limited to:</w:t>
      </w:r>
    </w:p>
    <w:p>
      <w:pPr>
        <w:spacing w:after="0" w:line="89" w:lineRule="exact"/>
        <w:rPr>
          <w:sz w:val="20"/>
          <w:szCs w:val="20"/>
          <w:color w:val="auto"/>
        </w:rPr>
      </w:pPr>
    </w:p>
    <w:p>
      <w:pPr>
        <w:ind w:left="1300" w:right="600" w:hanging="442"/>
        <w:spacing w:after="0" w:line="246"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progress, costs, clinical trial design, results of and timing of our LIFT-AD trial and other clinical trials of ATH-1017, including for potential additional indications that we are pursuing beyond AD, such as PDD;</w:t>
      </w:r>
    </w:p>
    <w:p>
      <w:pPr>
        <w:spacing w:after="0" w:line="88"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the FDA and EMA to accept our LIFT-AD trial, as well as data from our completed and planned clinical and nonclinical studies and other work, as the basis for review and approval of ATH-1017 for AD;</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EMA and any other regulatory approvals;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our product candidates;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commercialization and manufacturing capabilities;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117" w:lineRule="exact"/>
        <w:rPr>
          <w:rFonts w:ascii="Arial" w:cs="Arial" w:eastAsia="Arial" w:hAnsi="Arial"/>
          <w:sz w:val="18"/>
          <w:szCs w:val="18"/>
          <w:color w:val="auto"/>
        </w:rPr>
      </w:pPr>
    </w:p>
    <w:p>
      <w:pPr>
        <w:ind w:left="1300" w:right="6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94"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need and ability to retain management and hire scientific, clinical and other personnel;</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and</w:t>
      </w:r>
    </w:p>
    <w:p>
      <w:pPr>
        <w:spacing w:after="0" w:line="117" w:lineRule="exact"/>
        <w:rPr>
          <w:rFonts w:ascii="Arial" w:cs="Arial" w:eastAsia="Arial" w:hAnsi="Arial"/>
          <w:sz w:val="18"/>
          <w:szCs w:val="18"/>
          <w:color w:val="auto"/>
        </w:rPr>
      </w:pPr>
    </w:p>
    <w:p>
      <w:pPr>
        <w:ind w:left="1300" w:right="300" w:hanging="442"/>
        <w:spacing w:after="0" w:line="246"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into which we may enter in the future.</w:t>
      </w:r>
    </w:p>
    <w:p>
      <w:pPr>
        <w:spacing w:after="0" w:line="197"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Additional funding may not be available to us on acceptable terms or at all. Any such funding may result in dilution to stockholders, imposition of debt covenants and repayment obligations, or other restrictions that may affect our business. If we are unable to obtain funding on a timely basis, we may be required to significantly curtail one or more of our research or development programs. We also could be required to seek funds through arrangements with collaborative partners or otherwise that may require us to relinquish rights to some of our technologies or product candidates or otherwise agree to terms unfavorable to us.</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98" w:right="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a number of objectives.</w:t>
      </w:r>
    </w:p>
    <w:p>
      <w:pPr>
        <w:spacing w:after="0" w:line="126"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Our business depends entirely on the successful discovery, development and commercialization of our product candidates. We have no products approved for commercial sale and do not anticipate generating any revenue from product sales for the next several years, if ever. Our ability to generate product revenue will depend heavily on the successful clinical development and eventual commercialization of ATH-1017 and one or more of our other future product candidates. Our ability to generate revenue and achieve profitability depends significantly on our ability to achieve a number of objectives, including:</w:t>
      </w:r>
    </w:p>
    <w:p>
      <w:pPr>
        <w:spacing w:after="0" w:line="94" w:lineRule="exact"/>
        <w:rPr>
          <w:sz w:val="20"/>
          <w:szCs w:val="20"/>
          <w:color w:val="auto"/>
        </w:rPr>
      </w:pPr>
    </w:p>
    <w:p>
      <w:pPr>
        <w:ind w:left="1300" w:right="6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and timely completion of nonclinical and clinical development of our product candidates and any future product candidates, as well as the associated costs, including any unforeseen costs we may incur as a result of nonclinical study or clinical trial delays due to the COVID-19 pandemic or other causes;</w:t>
      </w:r>
    </w:p>
    <w:p>
      <w:pPr>
        <w:spacing w:after="0" w:line="94" w:lineRule="exact"/>
        <w:rPr>
          <w:rFonts w:ascii="Arial" w:cs="Arial" w:eastAsia="Arial" w:hAnsi="Arial"/>
          <w:sz w:val="18"/>
          <w:szCs w:val="18"/>
          <w:color w:val="auto"/>
        </w:rPr>
      </w:pPr>
    </w:p>
    <w:p>
      <w:pPr>
        <w:ind w:left="1300" w:right="220" w:hanging="442"/>
        <w:spacing w:after="0" w:line="274"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establishing and maintaining relationships with contract research organizations, or CROs, and clinical sites for the clinical development, both in the United States and internationally, of our product candidates and any future product candidates;</w:t>
      </w:r>
    </w:p>
    <w:p>
      <w:pPr>
        <w:spacing w:after="0" w:line="66" w:lineRule="exact"/>
        <w:rPr>
          <w:rFonts w:ascii="Arial" w:cs="Arial" w:eastAsia="Arial" w:hAnsi="Arial"/>
          <w:sz w:val="17"/>
          <w:szCs w:val="17"/>
          <w:color w:val="auto"/>
        </w:rPr>
      </w:pPr>
    </w:p>
    <w:p>
      <w:pPr>
        <w:ind w:left="1300" w:right="700" w:hanging="442"/>
        <w:spacing w:after="0" w:line="246"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making any required post-marketing approval commitments to applicable regulatory authorities;</w:t>
      </w:r>
    </w:p>
    <w:p>
      <w:pPr>
        <w:spacing w:after="0" w:line="117"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developing an efficient and scalable manufacturing process for our product candidates, including obtaining finished products that are appropriately packaged for sale;</w:t>
      </w:r>
    </w:p>
    <w:p>
      <w:pPr>
        <w:spacing w:after="0" w:line="88" w:lineRule="exact"/>
        <w:rPr>
          <w:rFonts w:ascii="Arial" w:cs="Arial" w:eastAsia="Arial" w:hAnsi="Arial"/>
          <w:sz w:val="18"/>
          <w:szCs w:val="18"/>
          <w:color w:val="auto"/>
        </w:rPr>
      </w:pPr>
    </w:p>
    <w:p>
      <w:pPr>
        <w:jc w:val="both"/>
        <w:ind w:left="1300" w:right="10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94" w:lineRule="exact"/>
        <w:rPr>
          <w:rFonts w:ascii="Arial" w:cs="Arial" w:eastAsia="Arial" w:hAnsi="Arial"/>
          <w:sz w:val="18"/>
          <w:szCs w:val="18"/>
          <w:color w:val="auto"/>
        </w:rPr>
      </w:pPr>
    </w:p>
    <w:p>
      <w:pPr>
        <w:ind w:left="1300" w:right="120" w:hanging="442"/>
        <w:spacing w:after="0" w:line="246"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identifying, assessing and developing new product candidates;</w:t>
      </w:r>
    </w:p>
    <w:p>
      <w:pPr>
        <w:spacing w:after="0" w:line="117" w:lineRule="exact"/>
        <w:rPr>
          <w:rFonts w:ascii="Arial" w:cs="Arial" w:eastAsia="Arial" w:hAnsi="Arial"/>
          <w:sz w:val="18"/>
          <w:szCs w:val="18"/>
          <w:color w:val="auto"/>
        </w:rPr>
      </w:pPr>
    </w:p>
    <w:p>
      <w:pPr>
        <w:ind w:left="1300" w:right="20" w:hanging="442"/>
        <w:spacing w:after="0" w:line="246"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117" w:lineRule="exact"/>
        <w:rPr>
          <w:rFonts w:ascii="Arial" w:cs="Arial" w:eastAsia="Arial" w:hAnsi="Arial"/>
          <w:sz w:val="18"/>
          <w:szCs w:val="18"/>
          <w:color w:val="auto"/>
        </w:rPr>
      </w:pPr>
    </w:p>
    <w:p>
      <w:pPr>
        <w:ind w:left="1300" w:right="400" w:hanging="442"/>
        <w:spacing w:after="0" w:line="246"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that may be necessary or desirable to develop, manufacture or commercialize our product candidates;</w:t>
      </w:r>
    </w:p>
    <w:p>
      <w:pPr>
        <w:spacing w:after="0" w:line="88" w:lineRule="exact"/>
        <w:rPr>
          <w:rFonts w:ascii="Arial" w:cs="Arial" w:eastAsia="Arial" w:hAnsi="Arial"/>
          <w:sz w:val="18"/>
          <w:szCs w:val="18"/>
          <w:color w:val="auto"/>
        </w:rPr>
      </w:pPr>
    </w:p>
    <w:p>
      <w:pPr>
        <w:ind w:left="1300" w:right="240" w:hanging="442"/>
        <w:spacing w:after="0" w:line="246"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coverage and adequate reimbursement by hospitals, government and third-party payors for product candidates that we develop;</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684" w:right="439" w:bottom="1440" w:gutter="0" w:footer="0" w:header="0"/>
        </w:sectPr>
      </w:pPr>
    </w:p>
    <w:bookmarkStart w:id="22" w:name="page23"/>
    <w:bookmarkEnd w:id="22"/>
    <w:p>
      <w:pPr>
        <w:ind w:right="80" w:firstLine="576"/>
        <w:spacing w:after="0" w:line="238"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spacing w:after="0" w:line="205" w:lineRule="exact"/>
        <w:rPr>
          <w:sz w:val="20"/>
          <w:szCs w:val="20"/>
          <w:color w:val="auto"/>
        </w:rPr>
      </w:pPr>
    </w:p>
    <w:p>
      <w:pPr>
        <w:ind w:right="200" w:firstLine="576"/>
        <w:spacing w:after="0" w:line="238" w:lineRule="auto"/>
        <w:rPr>
          <w:sz w:val="20"/>
          <w:szCs w:val="20"/>
          <w:color w:val="auto"/>
        </w:rPr>
      </w:pPr>
      <w:r>
        <w:rPr>
          <w:rFonts w:ascii="Arial" w:cs="Arial" w:eastAsia="Arial" w:hAnsi="Arial"/>
          <w:sz w:val="18"/>
          <w:szCs w:val="18"/>
          <w:color w:val="auto"/>
        </w:rPr>
        <w:t>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the FDA before implementation, which could delay our clinical trials and product candidate development, and could require additional clinical trials, including bridging studies, to demonstrate consistent and continued safety and efficacy.</w:t>
      </w:r>
    </w:p>
    <w:p>
      <w:pPr>
        <w:spacing w:after="0" w:line="202"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have not previously submitted a new drug application, or NDA, to the FDA or similar approval filings to a comparable foreign regulatory authority, for any product candidate. An NDA or other relevant regulatory filing must include extensive nonclinical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development of ATH-1017 may never lead to a marketable product.</w:t>
      </w:r>
    </w:p>
    <w:p>
      <w:pPr>
        <w:spacing w:after="0" w:line="126" w:lineRule="exact"/>
        <w:rPr>
          <w:sz w:val="20"/>
          <w:szCs w:val="20"/>
          <w:color w:val="auto"/>
        </w:rPr>
      </w:pPr>
    </w:p>
    <w:p>
      <w:pPr>
        <w:ind w:right="180" w:firstLine="576"/>
        <w:spacing w:after="0" w:line="238" w:lineRule="auto"/>
        <w:rPr>
          <w:sz w:val="20"/>
          <w:szCs w:val="20"/>
          <w:color w:val="auto"/>
        </w:rPr>
      </w:pPr>
      <w:r>
        <w:rPr>
          <w:rFonts w:ascii="Arial" w:cs="Arial" w:eastAsia="Arial" w:hAnsi="Arial"/>
          <w:sz w:val="18"/>
          <w:szCs w:val="18"/>
          <w:color w:val="auto"/>
        </w:rPr>
        <w:t>We are developing ATH-1017 as a small molecule aimed at restoring neuronal health. We have not received regulatory approval for ATH-1017 and cannot be certain that our approach will lead to the development of an approvable or marketable product, alone or in combination with other therapies. We may not succeed in demonstrating safety and efficacy of ATH-1017 in our LIFT-AD trial or in other clinical trials.</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Advancing ATH-1017 as a small molecule aimed at restoring neuronal health creates significant challenges for us, including:</w:t>
      </w:r>
    </w:p>
    <w:p>
      <w:pPr>
        <w:spacing w:after="0" w:line="104" w:lineRule="exact"/>
        <w:rPr>
          <w:sz w:val="20"/>
          <w:szCs w:val="20"/>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marketing approval;</w:t>
      </w:r>
    </w:p>
    <w:p>
      <w:pPr>
        <w:spacing w:after="0" w:line="117" w:lineRule="exact"/>
        <w:rPr>
          <w:rFonts w:ascii="Arial" w:cs="Arial" w:eastAsia="Arial" w:hAnsi="Arial"/>
          <w:sz w:val="18"/>
          <w:szCs w:val="18"/>
          <w:color w:val="auto"/>
        </w:rPr>
      </w:pPr>
    </w:p>
    <w:p>
      <w:pPr>
        <w:ind w:left="1300" w:right="26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ATH-1017 is approved, educating medical personnel regarding the potential efficacy and safety benefits, as well as the challenges, of incorporating ATH-1017 into existing treatment regimens, including in combination with other treatments for AD; and</w:t>
      </w:r>
    </w:p>
    <w:p>
      <w:pPr>
        <w:spacing w:after="0" w:line="94"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establishing the sales and marketing capabilities upon obtaining any marketing approvals to gain market acceptance.</w:t>
      </w:r>
    </w:p>
    <w:p>
      <w:pPr>
        <w:spacing w:after="0" w:line="311"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Our approach to targeting brain growth factors through the use of small molecules is based on a novel therapeutic approach, which exposes us to unforeseen risks.</w:t>
      </w:r>
    </w:p>
    <w:p>
      <w:pPr>
        <w:spacing w:after="0" w:line="68" w:lineRule="exact"/>
        <w:rPr>
          <w:sz w:val="20"/>
          <w:szCs w:val="20"/>
          <w:color w:val="auto"/>
        </w:rPr>
      </w:pPr>
    </w:p>
    <w:p>
      <w:pPr>
        <w:ind w:right="360" w:firstLine="576"/>
        <w:spacing w:after="0" w:line="238" w:lineRule="auto"/>
        <w:rPr>
          <w:sz w:val="20"/>
          <w:szCs w:val="20"/>
          <w:color w:val="auto"/>
        </w:rPr>
      </w:pPr>
      <w:r>
        <w:rPr>
          <w:rFonts w:ascii="Arial" w:cs="Arial" w:eastAsia="Arial" w:hAnsi="Arial"/>
          <w:sz w:val="18"/>
          <w:szCs w:val="18"/>
          <w:color w:val="auto"/>
        </w:rPr>
        <w:t>We have discovered and are developing a platform of small molecule product candidates from which we have selected our lead product candidate, ATH-1017, which is under development to treat AD and other CNS disorders. Our product candidates target a brain growth factor which is expected to increase synaptic density, recovery in the network and information transmission in the brain, which we believe could ultimately result in improvement in cognition and clinical symptoms. The therapeutic</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23" w:name="page24"/>
    <w:bookmarkEnd w:id="23"/>
    <w:p>
      <w:pPr>
        <w:ind w:right="440"/>
        <w:spacing w:after="0" w:line="238" w:lineRule="auto"/>
        <w:rPr>
          <w:sz w:val="20"/>
          <w:szCs w:val="20"/>
          <w:color w:val="auto"/>
        </w:rPr>
      </w:pPr>
      <w:r>
        <w:rPr>
          <w:rFonts w:ascii="Arial" w:cs="Arial" w:eastAsia="Arial" w:hAnsi="Arial"/>
          <w:sz w:val="18"/>
          <w:szCs w:val="18"/>
          <w:color w:val="auto"/>
        </w:rPr>
        <w:t>promise of brain growth factors in neurodegenerative disorders had been hampered in earlier therapies by the lack of efficient and non-invasive delivery to the brain. Our small molecule product candidates are designed to penetrate the blood brain barrier and enhance the activity of a brain growth factor, but we cannot be certain that our clinical trials will provide sufficient evidence that our design approach results in the intended therapeutic effect.</w:t>
      </w:r>
    </w:p>
    <w:p>
      <w:pPr>
        <w:spacing w:after="0" w:line="205" w:lineRule="exact"/>
        <w:rPr>
          <w:sz w:val="20"/>
          <w:szCs w:val="20"/>
          <w:color w:val="auto"/>
        </w:rPr>
      </w:pPr>
    </w:p>
    <w:p>
      <w:pPr>
        <w:ind w:right="20" w:firstLine="576"/>
        <w:spacing w:after="0" w:line="235" w:lineRule="auto"/>
        <w:rPr>
          <w:sz w:val="20"/>
          <w:szCs w:val="20"/>
          <w:color w:val="auto"/>
        </w:rPr>
      </w:pPr>
      <w:r>
        <w:rPr>
          <w:rFonts w:ascii="Arial" w:cs="Arial" w:eastAsia="Arial" w:hAnsi="Arial"/>
          <w:sz w:val="18"/>
          <w:szCs w:val="18"/>
          <w:color w:val="auto"/>
        </w:rPr>
        <w:t>Based on the results of our nonclinical and clinical studies to date, we believe ATH-1017 has the potential to rapidly improve cognition and durably restore the lives of patients suffering from AD. However, these ideas and this approach are novel, and we currently have limited data based on our Phase 1a and 1b clinical trials, which enrolled 88 subjects, including only 11 patients with mild to moderate AD. Data from our Phase 1a and 1b clinical trials, while promising, were obtained from a relatively small number of subjects and we cannot be certain that future trials involving a larger number of subjects will yield similar data. Additionally, in our Phase 1a and 1b clinical trials, we used electroencephalogram, or EEG, methods to gather data that we believe provide valuable insight into cognitive function of the subjects evaluated. These EEG methods require the placement of electrodes on a subject’s scalp and, if these electrodes are not properly placed, we may be unable to obtain the data sought or the data obtained may be unreliable. In our Phase 1a and 1b clinical trials, data from certain subjects were not obtained due to problems encountered with the placement of the EEG electrodes and other technical issues, such as subject movement. While we believe the lack of data from these subjects did not impact the reliability or interpretation of the remaining data from these trials, we may in the future face similar issues with EEG methods, which could compromise future clinical trial results. We may ultimately discover that ATH-1017, or any of our other small molecules, do not possess certain properties required for therapeutic effectiveness. We have no long-term evidence regarding the efficacy, safety and tolerability of ATH-1017 or other small molecules in our product platform. We may spend substantial funds attempting to develop these product candidates and never succeed in doing so.</w:t>
      </w:r>
    </w:p>
    <w:p>
      <w:pPr>
        <w:spacing w:after="0" w:line="30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We have concentrated our research and development efforts on the treatment of CNS and peripheral degenerative disorders, a field that has seen very limited success in product development.</w:t>
      </w:r>
    </w:p>
    <w:p>
      <w:pPr>
        <w:spacing w:after="0" w:line="68"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We have focused our research and development efforts on addressing CNS and peripheral degenerative disorders. Collectively, efforts by pharmaceutical companies in the field of CNS and peripheral degenerative disorders have seen very limited successes in product development. The development of CNS therapies presents unique challenges, including an imperfect understanding of the biology, the presence of the blood brain barrier, or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and other CNS or peripheral disorders. Our future success is highly dependent on the successful development of our technology and our product candidates for treating CNS and peripheral disorders. Developing and, if approved, commercializing our product candidates for treatment of CNS and peripheral disorders subjects us to a number of challenges, including ensuring that we have selected the optimal doses, executing an appropriate clinical trial to test for efficacy and obtaining regulatory approval from the FDA and other regulatory authorities.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4" w:name="page25"/>
    <w:bookmarkEnd w:id="24"/>
    <w:p>
      <w:pPr>
        <w:ind w:right="100"/>
        <w:spacing w:after="0" w:line="253"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clinical trials may not be predictive of future clinical trial results. We may encounter substantial delays in clinical trials, or may not be able to conduct or complete clinical trials on the expected timelines, if at all.</w:t>
      </w:r>
    </w:p>
    <w:p>
      <w:pPr>
        <w:spacing w:after="0" w:line="83" w:lineRule="exact"/>
        <w:rPr>
          <w:sz w:val="20"/>
          <w:szCs w:val="20"/>
          <w:color w:val="auto"/>
        </w:rPr>
      </w:pPr>
    </w:p>
    <w:p>
      <w:pPr>
        <w:ind w:right="220" w:firstLine="576"/>
        <w:spacing w:after="0"/>
        <w:rPr>
          <w:sz w:val="20"/>
          <w:szCs w:val="20"/>
          <w:color w:val="auto"/>
        </w:rPr>
      </w:pPr>
      <w:r>
        <w:rPr>
          <w:rFonts w:ascii="Arial" w:cs="Arial" w:eastAsia="Arial" w:hAnsi="Arial"/>
          <w:sz w:val="18"/>
          <w:szCs w:val="18"/>
          <w:color w:val="auto"/>
        </w:rPr>
        <w:t>Our lead product candidate, ATH-1017, is in clinical development for the potential treatment of AD and PDD. Our remaining product candidates, including ATH-1018 and ATH-1019, are in nonclinical development. It is impossible to predict when or if any of our product candidates will prove to be effective and safe in humans or will receive regulatory approval.</w:t>
      </w:r>
    </w:p>
    <w:p>
      <w:pPr>
        <w:spacing w:after="0" w:line="203"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Before obtaining regulatory approvals for the commercial sale of our product candidates, we must demonstrate through lengthy, complex and expensive nonclinical studies and clinical trials that our product candidates are both safe and effective for each target indication. Nonclinical and clinical testing is expensive and can take many years to complete, and its outcome is inherently uncertain. Failure can occur at any time during the nonclinical study and clinical trial processes, and, because our product candidates are in an early stage of development, there is a high risk of failure and we may never succeed in developing marketable products. The results of nonclinical studies and early clinical trials of our product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Likewise, early, smaller-scale clinical trials may not be predictive of eventual safety or effectiveness in large-scale pivotal clinical trials.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For example, LIFT-AD is a trial that we expect to initiate by the end of 2020, which may provide pivotal data in support of registration. In parallel to LIFT-AD, we plan to initiate a P300 Phase 2 clinical trial to better understand the overall effects of ATH-1017 on working memory processing speed and cognitive measures, with topline results expected by early 2022. These data will help support strategic decisions around any additional pivotal trials that we may initiate in parallel to the LIFT-AD trial if the results from the P300 Phase 2 clinical trial do not meet our expectations. However, even if we receive positive data in our P300 Phase 2 clinical trial and LIFT-AD, we cannot be certain that the FDA or other regulators will find such data sufficient for approval of ATH-1017. Our ability to achieve regulatory approval for ATH-1017 is further complicated by the nature of AD, which historically has been a challenging indication for drug development.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p>
    <w:p>
      <w:pPr>
        <w:spacing w:after="0" w:line="212" w:lineRule="exact"/>
        <w:rPr>
          <w:sz w:val="20"/>
          <w:szCs w:val="20"/>
          <w:color w:val="auto"/>
        </w:rPr>
      </w:pPr>
    </w:p>
    <w:p>
      <w:pPr>
        <w:ind w:right="100" w:firstLine="576"/>
        <w:spacing w:after="0" w:line="236" w:lineRule="auto"/>
        <w:rPr>
          <w:sz w:val="20"/>
          <w:szCs w:val="20"/>
          <w:color w:val="auto"/>
        </w:rPr>
      </w:pPr>
      <w:r>
        <w:rPr>
          <w:rFonts w:ascii="Arial" w:cs="Arial" w:eastAsia="Arial" w:hAnsi="Arial"/>
          <w:sz w:val="18"/>
          <w:szCs w:val="18"/>
          <w:color w:val="auto"/>
        </w:rPr>
        <w:t>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Results of our clinical trials could reveal a high and unacceptable severity and prevalence of side effects. In such an event, our clinical trials could be suspended or terminated and the FDA or comparable foreign regulatory authorities could order us to cease further development of or deny approval of our product candidates for any or all targeted indications. Drug-related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ind w:right="60" w:firstLine="576"/>
        <w:spacing w:after="0" w:line="236" w:lineRule="auto"/>
        <w:rPr>
          <w:sz w:val="20"/>
          <w:szCs w:val="20"/>
          <w:color w:val="auto"/>
        </w:rPr>
      </w:pPr>
      <w:r>
        <w:rPr>
          <w:rFonts w:ascii="Arial" w:cs="Arial" w:eastAsia="Arial" w:hAnsi="Arial"/>
          <w:sz w:val="18"/>
          <w:szCs w:val="18"/>
          <w:color w:val="auto"/>
        </w:rPr>
        <w:t>Additionally, some of the clinical trials we conduct in the future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207"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clinical trials are being conducted, by a Data Safety Monitoring Board for such clinical trial or by the FDA or comparable foreign regulatory authorities. Clinical trials can be delayed or terminated for a variety of reasons, including delays or failures related to:</w:t>
      </w:r>
    </w:p>
    <w:p>
      <w:pPr>
        <w:spacing w:after="0" w:line="95" w:lineRule="exact"/>
        <w:rPr>
          <w:sz w:val="20"/>
          <w:szCs w:val="20"/>
          <w:color w:val="auto"/>
        </w:rPr>
      </w:pPr>
    </w:p>
    <w:p>
      <w:pPr>
        <w:ind w:left="1300" w:hanging="44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with our ATH platform development strategy;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governmental regulations or administrative actions;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our ability to commence a clinical trial;</w:t>
      </w:r>
    </w:p>
    <w:p>
      <w:pPr>
        <w:spacing w:after="0" w:line="117" w:lineRule="exact"/>
        <w:rPr>
          <w:rFonts w:ascii="Arial" w:cs="Arial" w:eastAsia="Arial" w:hAnsi="Arial"/>
          <w:sz w:val="18"/>
          <w:szCs w:val="18"/>
          <w:color w:val="auto"/>
        </w:rPr>
      </w:pPr>
    </w:p>
    <w:p>
      <w:pPr>
        <w:ind w:left="1300" w:right="100" w:hanging="442"/>
        <w:spacing w:after="0" w:line="246"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IRB approval at each clinical trial site;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recruiting an adequate number of suitable patients to participate in a clinical trial;</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having subjects complete a clinical trial or return for post-treatment follow-up;</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trial sites deviating from clinical trial protocol or dropping out of a clinical trial;</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demonstrate a benefit from using a product candidate;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addressing subject safety concerns that arise during the course of a clinical trial;</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 or</w:t>
      </w:r>
    </w:p>
    <w:p>
      <w:pPr>
        <w:spacing w:after="0" w:line="117" w:lineRule="exact"/>
        <w:rPr>
          <w:rFonts w:ascii="Arial" w:cs="Arial" w:eastAsia="Arial" w:hAnsi="Arial"/>
          <w:sz w:val="18"/>
          <w:szCs w:val="18"/>
          <w:color w:val="auto"/>
        </w:rPr>
      </w:pPr>
    </w:p>
    <w:p>
      <w:pPr>
        <w:ind w:left="1300" w:right="740" w:hanging="442"/>
        <w:spacing w:after="0" w:line="246"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sufficient product supply of product candidate for use in nonclinical studies or clinical trials from third-party suppliers.</w:t>
      </w:r>
    </w:p>
    <w:p>
      <w:pPr>
        <w:spacing w:after="0" w:line="197"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Further, conducting clinical trials in foreign countries, as we intend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205"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26" w:name="page27"/>
    <w:bookmarkEnd w:id="26"/>
    <w:p>
      <w:pPr>
        <w:spacing w:after="0" w:line="236" w:lineRule="auto"/>
        <w:rPr>
          <w:sz w:val="20"/>
          <w:szCs w:val="20"/>
          <w:color w:val="auto"/>
        </w:rPr>
      </w:pPr>
      <w:r>
        <w:rPr>
          <w:rFonts w:ascii="Arial" w:cs="Arial" w:eastAsia="Arial" w:hAnsi="Arial"/>
          <w:sz w:val="18"/>
          <w:szCs w:val="18"/>
          <w:color w:val="auto"/>
        </w:rPr>
        <w:t>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208"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If the results of our future clinical trials are inconclusive with respect to the efficacy of our product candidates, if we do not meet the clinical endpoints with statistical and clinically meaningful significance, or if there are safety concerns associated with our product candidates, we may:</w:t>
      </w:r>
    </w:p>
    <w:p>
      <w:pPr>
        <w:spacing w:after="0" w:line="95" w:lineRule="exact"/>
        <w:rPr>
          <w:sz w:val="20"/>
          <w:szCs w:val="20"/>
          <w:color w:val="auto"/>
        </w:rPr>
      </w:pPr>
    </w:p>
    <w:p>
      <w:pPr>
        <w:ind w:left="1300" w:hanging="44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delayed in or prevented from obtaining marketing approval for our product candidates;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1300" w:right="540" w:hanging="442"/>
        <w:spacing w:after="0" w:line="246"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117" w:lineRule="exact"/>
        <w:rPr>
          <w:rFonts w:ascii="Arial" w:cs="Arial" w:eastAsia="Arial" w:hAnsi="Arial"/>
          <w:sz w:val="18"/>
          <w:szCs w:val="18"/>
          <w:color w:val="auto"/>
        </w:rPr>
      </w:pPr>
    </w:p>
    <w:p>
      <w:pPr>
        <w:ind w:left="1300" w:right="800" w:hanging="442"/>
        <w:spacing w:after="0" w:line="246"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88" w:lineRule="exact"/>
        <w:rPr>
          <w:rFonts w:ascii="Arial" w:cs="Arial" w:eastAsia="Arial" w:hAnsi="Arial"/>
          <w:sz w:val="18"/>
          <w:szCs w:val="18"/>
          <w:color w:val="auto"/>
        </w:rPr>
      </w:pPr>
    </w:p>
    <w:p>
      <w:pPr>
        <w:ind w:left="1300" w:right="340" w:hanging="442"/>
        <w:spacing w:after="0" w:line="246"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modified REMS;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31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The outbreak of the novel coronavirus disease, COVID-19, could adversely impact our business, including our nonclinical studies and clinical trials.</w:t>
      </w:r>
    </w:p>
    <w:p>
      <w:pPr>
        <w:spacing w:after="0" w:line="68" w:lineRule="exact"/>
        <w:rPr>
          <w:sz w:val="20"/>
          <w:szCs w:val="20"/>
          <w:color w:val="auto"/>
        </w:rPr>
      </w:pPr>
    </w:p>
    <w:p>
      <w:pPr>
        <w:ind w:right="120" w:firstLine="576"/>
        <w:spacing w:after="0" w:line="236" w:lineRule="auto"/>
        <w:rPr>
          <w:sz w:val="20"/>
          <w:szCs w:val="20"/>
          <w:color w:val="auto"/>
        </w:rPr>
      </w:pPr>
      <w:r>
        <w:rPr>
          <w:rFonts w:ascii="Arial" w:cs="Arial" w:eastAsia="Arial" w:hAnsi="Arial"/>
          <w:sz w:val="18"/>
          <w:szCs w:val="18"/>
          <w:color w:val="auto"/>
        </w:rPr>
        <w:t>The world is in the midst of a pandemic. A novel strain of the coronavirus disease, COVID-19, has spread to a number of countries, including the United States.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closed our executive offices with our administrative employees continuing their work outside of our offices and limited the number of staff in any given research and development laboratory. While the extent of the impact of the COVID-19 pandemic on our business and financial results is uncertain, a continued and prolonged public health crisis such as the COVID-19 pandemic could have a material negative impact on our business, financial condition and operating results.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27" w:name="page28"/>
    <w:bookmarkEnd w:id="27"/>
    <w:p>
      <w:pPr>
        <w:ind w:right="240" w:firstLine="576"/>
        <w:spacing w:after="0" w:line="246" w:lineRule="auto"/>
        <w:rPr>
          <w:sz w:val="20"/>
          <w:szCs w:val="20"/>
          <w:color w:val="auto"/>
        </w:rPr>
      </w:pPr>
      <w:r>
        <w:rPr>
          <w:rFonts w:ascii="Arial" w:cs="Arial" w:eastAsia="Arial" w:hAnsi="Arial"/>
          <w:sz w:val="18"/>
          <w:szCs w:val="18"/>
          <w:color w:val="auto"/>
        </w:rPr>
        <w:t>As a result of the COVID-19 pandemic, we may experience disruptions that could severely impact our business, nonclinical studies and clinical trials, including:</w:t>
      </w:r>
    </w:p>
    <w:p>
      <w:pPr>
        <w:spacing w:after="0" w:line="89" w:lineRule="exact"/>
        <w:rPr>
          <w:sz w:val="20"/>
          <w:szCs w:val="20"/>
          <w:color w:val="auto"/>
        </w:rPr>
      </w:pPr>
    </w:p>
    <w:p>
      <w:pPr>
        <w:jc w:val="both"/>
        <w:ind w:left="1300" w:right="260" w:hanging="44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 particularly elderly subjects, who are at a higher risk of severe illness or death from COVID-19, which can be further complicated by the presence of comorbidities that are often present in AD subjects;</w:t>
      </w:r>
    </w:p>
    <w:p>
      <w:pPr>
        <w:spacing w:after="0" w:line="94" w:lineRule="exact"/>
        <w:rPr>
          <w:rFonts w:ascii="Arial" w:cs="Arial" w:eastAsia="Arial" w:hAnsi="Arial"/>
          <w:sz w:val="18"/>
          <w:szCs w:val="18"/>
          <w:color w:val="auto"/>
        </w:rPr>
      </w:pPr>
    </w:p>
    <w:p>
      <w:pPr>
        <w:ind w:left="1300" w:right="600" w:hanging="442"/>
        <w:spacing w:after="0" w:line="246"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interpreting data from our clinical trials due to the possible effects of COVID-19 on cognition of the subjects enrolled in our clinical trials that contract COVID-19;</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1300" w:right="180" w:hanging="442"/>
        <w:spacing w:after="0" w:line="246"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88" w:lineRule="exact"/>
        <w:rPr>
          <w:rFonts w:ascii="Arial" w:cs="Arial" w:eastAsia="Arial" w:hAnsi="Arial"/>
          <w:sz w:val="18"/>
          <w:szCs w:val="18"/>
          <w:color w:val="auto"/>
        </w:rPr>
      </w:pPr>
    </w:p>
    <w:p>
      <w:pPr>
        <w:ind w:left="1300" w:right="20" w:hanging="442"/>
        <w:spacing w:after="0" w:line="238"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96" w:lineRule="exact"/>
        <w:rPr>
          <w:rFonts w:ascii="Arial" w:cs="Arial" w:eastAsia="Arial" w:hAnsi="Arial"/>
          <w:sz w:val="18"/>
          <w:szCs w:val="18"/>
          <w:color w:val="auto"/>
        </w:rPr>
      </w:pPr>
    </w:p>
    <w:p>
      <w:pPr>
        <w:ind w:left="1300" w:right="360" w:hanging="442"/>
        <w:spacing w:after="0" w:line="246"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88" w:lineRule="exact"/>
        <w:rPr>
          <w:rFonts w:ascii="Arial" w:cs="Arial" w:eastAsia="Arial" w:hAnsi="Arial"/>
          <w:sz w:val="18"/>
          <w:szCs w:val="18"/>
          <w:color w:val="auto"/>
        </w:rPr>
      </w:pPr>
    </w:p>
    <w:p>
      <w:pPr>
        <w:ind w:left="1300" w:right="120" w:hanging="442"/>
        <w:spacing w:after="0" w:line="246"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interruptions in nonclinical studies due to restricted or limited operations at our laboratory facility;</w:t>
      </w:r>
    </w:p>
    <w:p>
      <w:pPr>
        <w:spacing w:after="0" w:line="117" w:lineRule="exact"/>
        <w:rPr>
          <w:rFonts w:ascii="Arial" w:cs="Arial" w:eastAsia="Arial" w:hAnsi="Arial"/>
          <w:sz w:val="18"/>
          <w:szCs w:val="18"/>
          <w:color w:val="auto"/>
        </w:rPr>
      </w:pPr>
    </w:p>
    <w:p>
      <w:pPr>
        <w:jc w:val="both"/>
        <w:ind w:left="1300" w:right="380" w:hanging="44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nonclinical studies and clinical trials, including because of sickness of employees or their families or the desire of employees to avoid contact with large groups of people;</w:t>
      </w:r>
    </w:p>
    <w:p>
      <w:pPr>
        <w:spacing w:after="0" w:line="94" w:lineRule="exact"/>
        <w:rPr>
          <w:rFonts w:ascii="Arial" w:cs="Arial" w:eastAsia="Arial" w:hAnsi="Arial"/>
          <w:sz w:val="18"/>
          <w:szCs w:val="18"/>
          <w:color w:val="auto"/>
        </w:rPr>
      </w:pPr>
    </w:p>
    <w:p>
      <w:pPr>
        <w:ind w:left="1300" w:hanging="44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 and</w:t>
      </w:r>
    </w:p>
    <w:p>
      <w:pPr>
        <w:spacing w:after="0" w:line="117" w:lineRule="exact"/>
        <w:rPr>
          <w:rFonts w:ascii="Arial" w:cs="Arial" w:eastAsia="Arial" w:hAnsi="Arial"/>
          <w:sz w:val="18"/>
          <w:szCs w:val="18"/>
          <w:color w:val="auto"/>
        </w:rPr>
      </w:pPr>
    </w:p>
    <w:p>
      <w:pPr>
        <w:ind w:left="1300" w:right="200" w:hanging="442"/>
        <w:spacing w:after="0" w:line="246"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clinical site procedures and requirements as well as regulatory requirements for conducting clinical trials during the pandemic.</w:t>
      </w:r>
    </w:p>
    <w:p>
      <w:pPr>
        <w:spacing w:after="0" w:line="197"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may be required to develop and implement additional clinical trial policies and procedures designed to help protect subjects from the COVID-19 virus.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clinical trial, and any disruption of the clinical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clinical trial. In June 2020, FDA also issued a guidance on good manufacturing practice considerations for responding to COVID-19 infection in employees in drug products manufacturing, including recommendations for manufacturing controls to prevent contamination of drugs.</w:t>
      </w:r>
    </w:p>
    <w:p>
      <w:pPr>
        <w:spacing w:after="0" w:line="205" w:lineRule="exact"/>
        <w:rPr>
          <w:sz w:val="20"/>
          <w:szCs w:val="20"/>
          <w:color w:val="auto"/>
        </w:rPr>
      </w:pPr>
    </w:p>
    <w:p>
      <w:pPr>
        <w:jc w:val="both"/>
        <w:ind w:right="20" w:firstLine="576"/>
        <w:spacing w:after="0"/>
        <w:rPr>
          <w:sz w:val="20"/>
          <w:szCs w:val="20"/>
          <w:color w:val="auto"/>
        </w:rPr>
      </w:pPr>
      <w:r>
        <w:rPr>
          <w:rFonts w:ascii="Arial" w:cs="Arial" w:eastAsia="Arial" w:hAnsi="Arial"/>
          <w:sz w:val="18"/>
          <w:szCs w:val="18"/>
          <w:color w:val="auto"/>
        </w:rPr>
        <w:t>The COVID-19 pandemic continues to develop rapidly, with the status of operations and government restrictions evolving weekly. The extent to which the outbreak impacts our business, nonclinical studies and clinical trials will depend on future developments, which are highly uncertain and</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28" w:name="page29"/>
    <w:bookmarkEnd w:id="28"/>
    <w:p>
      <w:pPr>
        <w:jc w:val="both"/>
        <w:ind w:right="140"/>
        <w:spacing w:after="0"/>
        <w:rPr>
          <w:sz w:val="20"/>
          <w:szCs w:val="20"/>
          <w:color w:val="auto"/>
        </w:rPr>
      </w:pPr>
      <w:r>
        <w:rPr>
          <w:rFonts w:ascii="Arial" w:cs="Arial" w:eastAsia="Arial" w:hAnsi="Arial"/>
          <w:sz w:val="18"/>
          <w:szCs w:val="18"/>
          <w:color w:val="auto"/>
        </w:rPr>
        <w:t>cannot be predicted with confidence, such as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203"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trading prices for shares of other biopharmaceutical companies have been highly volatile as a result of the COVID-19 pandemic and following this offering the trading prices for shares of our common stock could also experience high volatility. As a result, we may face difficulties raising capital through sales of our common stock or such sales may be on unfavorable terms. In addition, a recession, depression or other sustained adverse market event resulting from the spread of COVID-19 could materially and adversely affect our business and the value of our common stock.</w:t>
      </w:r>
    </w:p>
    <w:p>
      <w:pPr>
        <w:spacing w:after="0" w:line="202"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The ultimate impact of the COVID-19 pandemic on our business operations is highly uncertain and subject to change and will depend on future developments, which cannot be accurately predicted, including the duration of the pandemic, the ultimate geographic spread of the disease, additional or modified government actions, new information that will emerge concerning the severity and impact of COVID-19 and the actions taken to contain COVID-19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205"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293"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83"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208"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From time to time, we may also disclose interim data from our nonclinical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 after this offering.</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29" w:name="page30"/>
    <w:bookmarkEnd w:id="29"/>
    <w:p>
      <w:pPr>
        <w:ind w:right="40" w:firstLine="576"/>
        <w:spacing w:after="0" w:line="236" w:lineRule="auto"/>
        <w:rPr>
          <w:sz w:val="20"/>
          <w:szCs w:val="20"/>
          <w:color w:val="auto"/>
        </w:rPr>
      </w:pPr>
      <w:r>
        <w:rPr>
          <w:rFonts w:ascii="Arial" w:cs="Arial" w:eastAsia="Arial" w:hAnsi="Arial"/>
          <w:sz w:val="18"/>
          <w:szCs w:val="18"/>
          <w:color w:val="auto"/>
        </w:rPr>
        <w:t>Additionally, we rely on data received from clinical trials, whether preliminary or final, to inform decisions on future clinical trials, including trial design, trial size, and whether or not to initiate additional clinical trials. For example, in parallel to our LIFT-AD clinical trial, we plan to initiate a P300 Phase 2 clinical trial to better understand the overall effects of ATH-1017 on working memory processing speed and cognitive measures, with topline results expected by early 2022. These data will help support strategic decisions around any additional pivotal trials that we may initiate in parallel to the LIFT-AD trial if the results from the P300 Phase 2 clinical trial do not meet our expectations. The topline results of this P300 Phase 2 clinical trial will be based on a preliminary analysis of then-available data, and a more comprehensive and full review of the data may result in different conclusions, which could have a negative impact on our decisions regarding any additional trials for ATH-1017.</w:t>
      </w:r>
    </w:p>
    <w:p>
      <w:pPr>
        <w:spacing w:after="0" w:line="208"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94"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68" w:lineRule="exact"/>
        <w:rPr>
          <w:sz w:val="20"/>
          <w:szCs w:val="20"/>
          <w:color w:val="auto"/>
        </w:rPr>
      </w:pPr>
    </w:p>
    <w:p>
      <w:pPr>
        <w:ind w:right="580" w:firstLine="576"/>
        <w:spacing w:after="0"/>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95" w:lineRule="exact"/>
        <w:rPr>
          <w:sz w:val="20"/>
          <w:szCs w:val="20"/>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1300" w:right="60" w:hanging="442"/>
        <w:spacing w:after="0" w:line="246"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the use of our product candidates, such as boxed warnings or contraindications in labeling, or a REMS, if any, which may not be required of alternative treatments and competitor products;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the approved product candidate for use as a combination therapy;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0" w:name="page31"/>
    <w:bookmarkEnd w:id="30"/>
    <w:p>
      <w:pPr>
        <w:ind w:left="1300" w:right="260" w:hanging="442"/>
        <w:spacing w:after="0" w:line="246"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unfavorable publicity relating to our products or product candidates or similar approved products or product candidates in development by third parties; and</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225"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If any of our product candidates is approved but does not achieve an adequate level of acceptance by physicians, hospitals, healthcare payors and patients, we may not generate or derive sufficient revenue from that product candidate and our financial results could be negatively impacted.</w:t>
      </w:r>
    </w:p>
    <w:p>
      <w:pPr>
        <w:spacing w:after="0" w:line="289"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68" w:lineRule="exact"/>
        <w:rPr>
          <w:sz w:val="20"/>
          <w:szCs w:val="20"/>
          <w:color w:val="auto"/>
        </w:rPr>
      </w:pPr>
    </w:p>
    <w:p>
      <w:pPr>
        <w:ind w:right="300" w:firstLine="576"/>
        <w:spacing w:after="0" w:line="238" w:lineRule="auto"/>
        <w:rPr>
          <w:sz w:val="20"/>
          <w:szCs w:val="20"/>
          <w:color w:val="auto"/>
        </w:rPr>
      </w:pPr>
      <w:r>
        <w:rPr>
          <w:rFonts w:ascii="Arial" w:cs="Arial" w:eastAsia="Arial" w:hAnsi="Arial"/>
          <w:sz w:val="18"/>
          <w:szCs w:val="18"/>
          <w:color w:val="auto"/>
        </w:rPr>
        <w:t>We have never commercialized a product candidate. We may license certain rights with respect to our product candidates to collaborators, and, if so, we will rely on the assistance and guidance of those collaborators. For product candidates for which we retain commercialization rights and marketing approval, we will have to develop our own sales, marketing and supply organization or outsource these activities to a third party.</w:t>
      </w:r>
    </w:p>
    <w:p>
      <w:pPr>
        <w:spacing w:after="0" w:line="205"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Factors that may affect our ability to commercialize our product candidates, if approved, on our own include recruiting and retaining adequate numbers of effective sales and marketing personnel, developing adequate educational and marketing programs to increase public acceptance of our approved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29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68"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If we are unable to locate a sufficient number of such patients, our clinical trial and development plans could be delayed.</w:t>
      </w:r>
    </w:p>
    <w:p>
      <w:pPr>
        <w:spacing w:after="0" w:line="203"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For example, we intend to enroll approximately 240 to 300 AD subjects with mild-to-moderate AD in LIFT-AD and 60 to 75 AD subjects with mild-to-moderate AD in our P300 Phase 2 clinical trial. If we are delayed or unsuccessful in enrolling the desired number of subjects in these trials, whether as a result of competing clinical trials, overly stringent eligibility requirements, or the ongoing impact of COVID-19 on both clinical trial sites and potential AD subjects, our clinical trial results could be delayed, the costs of our clinical trials could materially increase, and the overall development timeline for ATH-1017 could be negatively impacted. Even if we are successful in enrolling the targeted number of subjects in these trials, the FDA and other regulators may request additional clinical trials with larger numbers of subjects as a condition to any regulatory approval.</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90" w:right="419" w:bottom="1440" w:gutter="0" w:footer="0" w:header="0"/>
        </w:sectPr>
      </w:pPr>
    </w:p>
    <w:bookmarkStart w:id="31" w:name="page32"/>
    <w:bookmarkEnd w:id="31"/>
    <w:p>
      <w:pPr>
        <w:ind w:right="80" w:firstLine="576"/>
        <w:spacing w:after="0" w:line="237" w:lineRule="auto"/>
        <w:rPr>
          <w:sz w:val="20"/>
          <w:szCs w:val="20"/>
          <w:color w:val="auto"/>
        </w:rPr>
      </w:pPr>
      <w:r>
        <w:rPr>
          <w:rFonts w:ascii="Arial" w:cs="Arial" w:eastAsia="Arial" w:hAnsi="Arial"/>
          <w:sz w:val="18"/>
          <w:szCs w:val="18"/>
          <w:color w:val="auto"/>
        </w:rPr>
        <w:t>Enrollment of patients in our clinical trials may be delayed or limited as our clinical trial sites limit their onsite staff or temporarily close as a result of the COVID-19 pandemic. In addition, patients may not be able to visit clinical trial sites for data collection purposes due to limitations on travel and physical distancing imposed or recommended by federal or state governments or patients’ reluctance to visit the clinical trial sites during the pandemic. The drop-out rates in our clinical trials may be increased during the pandemic. Clinical trial patients who become infected with the COVID-19 virus may complicate the clinical trial data, procedures, and analysis. These factors resulting from the COVID-19 pandemic could delay the anticipated readouts from our clinical trials and our regulatory submissions, and increase the costs associated of the clinical trials.</w:t>
      </w:r>
    </w:p>
    <w:p>
      <w:pPr>
        <w:spacing w:after="0" w:line="203"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88"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83"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and/or marketing and sales than we do. Our competitors may compete with us in patient recruitment, clinical research organization, and operational resources. As a result, our competitors may discover, develop, license or commercialize products before or more successfully than we do.</w:t>
      </w:r>
    </w:p>
    <w:p>
      <w:pPr>
        <w:spacing w:after="0" w:line="203" w:lineRule="exact"/>
        <w:rPr>
          <w:sz w:val="20"/>
          <w:szCs w:val="20"/>
          <w:color w:val="auto"/>
        </w:rPr>
      </w:pPr>
    </w:p>
    <w:p>
      <w:pPr>
        <w:ind w:right="100" w:firstLine="576"/>
        <w:spacing w:after="0" w:line="236" w:lineRule="auto"/>
        <w:rPr>
          <w:sz w:val="20"/>
          <w:szCs w:val="20"/>
          <w:color w:val="auto"/>
        </w:rPr>
      </w:pPr>
      <w:r>
        <w:rPr>
          <w:rFonts w:ascii="Arial" w:cs="Arial" w:eastAsia="Arial" w:hAnsi="Arial"/>
          <w:sz w:val="18"/>
          <w:szCs w:val="18"/>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of this prospectus titled “Business—Competition.”</w:t>
      </w:r>
    </w:p>
    <w:p>
      <w:pPr>
        <w:spacing w:after="0" w:line="294"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8"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We may develop product candidates in combination with other therapies, which exposes us to additional risks.</w:t>
      </w:r>
    </w:p>
    <w:p>
      <w:pPr>
        <w:spacing w:after="0" w:line="126"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We may develop product candidates in combination with one or more other approved or unapproved therapies.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208"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We also may choose to evaluate product candidates in combination with one or more therapies that have not yet been approved for marketing by the FDA or comparable foreign regulatory authorities. We will not be able to market and sell any product candidate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294"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If the market opportunity for any product candidate that we develop is smaller than we believe, our revenue may be adversely affected and our business may suffer.</w:t>
      </w:r>
    </w:p>
    <w:p>
      <w:pPr>
        <w:spacing w:after="0" w:line="68"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intend to initially focus our product candidate development on treatments for various CNS and peripheral disorder indications. The addressable patient populations that may benefit from treatment with our product candidates, if approved,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CNS and peripheral disorders. Any regulatory approval of our product candidates would be limited to the therapeutic indications examined in our clinical trials and as determined by the FDA, which would not permit us to market our products for any other therapeutic indications not expressly approved by the FDA. Additionally, the potentially addressable patient population for our product candidates may not ultimately be amenable to treatment with our product candidates. Even if we receive regulatory approval for any of our product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29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68" w:lineRule="exact"/>
        <w:rPr>
          <w:sz w:val="20"/>
          <w:szCs w:val="20"/>
          <w:color w:val="auto"/>
        </w:rPr>
      </w:pPr>
    </w:p>
    <w:p>
      <w:pPr>
        <w:ind w:right="140" w:firstLine="576"/>
        <w:spacing w:after="0" w:line="237" w:lineRule="auto"/>
        <w:rPr>
          <w:sz w:val="20"/>
          <w:szCs w:val="20"/>
          <w:color w:val="auto"/>
        </w:rPr>
      </w:pPr>
      <w:r>
        <w:rPr>
          <w:rFonts w:ascii="Arial" w:cs="Arial" w:eastAsia="Arial" w:hAnsi="Arial"/>
          <w:sz w:val="18"/>
          <w:szCs w:val="18"/>
          <w:color w:val="auto"/>
        </w:rPr>
        <w:t>Our future operating results are dependent on our ability to successfully discover, develop, obtain regulatory approval for and commercialize product candidates beyond those we currently have in clinical and nonclinical development. A product candidate can unexpectedly fail at any stage of nonclinical and clinical development. The historical failure rate for product candidates is high due to risks relating to safety, efficacy, clinical execution, changing standards of medical care and other unpredictable variables. The results from nonclinical testing or early clinical trials of a product candidate may not be predictive of the results that will be obtained in later stage clinical trials of the product candidate.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33" w:name="page34"/>
    <w:bookmarkEnd w:id="33"/>
    <w:p>
      <w:pPr>
        <w:ind w:left="580"/>
        <w:spacing w:after="0"/>
        <w:rPr>
          <w:sz w:val="20"/>
          <w:szCs w:val="20"/>
          <w:color w:val="auto"/>
        </w:rPr>
      </w:pPr>
      <w:r>
        <w:rPr>
          <w:rFonts w:ascii="Arial" w:cs="Arial" w:eastAsia="Arial" w:hAnsi="Arial"/>
          <w:sz w:val="18"/>
          <w:szCs w:val="18"/>
          <w:color w:val="auto"/>
        </w:rPr>
        <w:t>The success of other future product candidates we may develop will depend on many factors, including the following:</w:t>
      </w:r>
    </w:p>
    <w:p>
      <w:pPr>
        <w:spacing w:after="0" w:line="104" w:lineRule="exact"/>
        <w:rPr>
          <w:sz w:val="20"/>
          <w:szCs w:val="20"/>
          <w:color w:val="auto"/>
        </w:rPr>
      </w:pPr>
    </w:p>
    <w:p>
      <w:pPr>
        <w:ind w:left="1300" w:hanging="44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timely manufacture of sufficient quantities of the product candidate for use in clinical trials;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events in the clinical trials.</w:t>
      </w:r>
    </w:p>
    <w:p>
      <w:pPr>
        <w:spacing w:after="0" w:line="225" w:lineRule="exact"/>
        <w:rPr>
          <w:sz w:val="20"/>
          <w:szCs w:val="20"/>
          <w:color w:val="auto"/>
        </w:rPr>
      </w:pPr>
    </w:p>
    <w:p>
      <w:pPr>
        <w:ind w:right="220" w:firstLine="576"/>
        <w:spacing w:after="0" w:line="238" w:lineRule="auto"/>
        <w:rPr>
          <w:sz w:val="20"/>
          <w:szCs w:val="20"/>
          <w:color w:val="auto"/>
        </w:rPr>
      </w:pPr>
      <w:r>
        <w:rPr>
          <w:rFonts w:ascii="Arial" w:cs="Arial" w:eastAsia="Arial" w:hAnsi="Arial"/>
          <w:sz w:val="18"/>
          <w:szCs w:val="18"/>
          <w:color w:val="auto"/>
        </w:rPr>
        <w:t>Even if we successfully advance any other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product candidates.</w:t>
      </w:r>
    </w:p>
    <w:p>
      <w:pPr>
        <w:spacing w:after="0" w:line="29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We conduct certain research and development operations through our Australian wholly owned subsidiary. If we lose our ability to operate in Australia, or if our subsidiary is unable to receive the research and development tax credit allowed by Australian regulations, our business and results of operations could suffer.</w:t>
      </w:r>
    </w:p>
    <w:p>
      <w:pPr>
        <w:spacing w:after="0" w:line="96"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In July 2020, we formed a wholly owned Australian subsidiary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lead products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245"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In addition, current Australian tax regulations provide for a refundable research and development tax credit equal to 43.5% of qualified expenditures. If we lose our ability to operate our subsidiary in Australia, or if we are ineligible or unable to receive the research and development tax credit, or the Australian government significantly reduces or eliminates the tax credit, our business and results of operation may be adversely affected.</w:t>
      </w:r>
    </w:p>
    <w:p>
      <w:pPr>
        <w:spacing w:after="0" w:line="291" w:lineRule="exact"/>
        <w:rPr>
          <w:sz w:val="20"/>
          <w:szCs w:val="20"/>
          <w:color w:val="auto"/>
        </w:rPr>
      </w:pPr>
    </w:p>
    <w:p>
      <w:pPr>
        <w:ind w:right="1460"/>
        <w:spacing w:after="0" w:line="271"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8"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face an inherent risk of product liability as a result of the planned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00" w:lineRule="exact"/>
        <w:rPr>
          <w:sz w:val="20"/>
          <w:szCs w:val="20"/>
          <w:color w:val="auto"/>
        </w:rPr>
      </w:pPr>
    </w:p>
    <w:p>
      <w:pPr>
        <w:ind w:left="1300" w:hanging="44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that we may develop;</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34" w:name="page35"/>
    <w:bookmarkEnd w:id="34"/>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diversion of management’s time and our resources;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clinical trial participants or patients;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8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p>
    <w:p>
      <w:pPr>
        <w:spacing w:after="0" w:line="88"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207"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35" w:name="page36"/>
    <w:bookmarkEnd w:id="35"/>
    <w:p>
      <w:pPr>
        <w:spacing w:after="0" w:line="237" w:lineRule="auto"/>
        <w:rPr>
          <w:sz w:val="20"/>
          <w:szCs w:val="20"/>
          <w:color w:val="auto"/>
        </w:rPr>
      </w:pPr>
      <w:r>
        <w:rPr>
          <w:rFonts w:ascii="Arial" w:cs="Arial" w:eastAsia="Arial" w:hAnsi="Arial"/>
          <w:sz w:val="18"/>
          <w:szCs w:val="18"/>
          <w:color w:val="auto"/>
        </w:rPr>
        <w:t>products. Sales of these or other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95" w:lineRule="exact"/>
        <w:rPr>
          <w:sz w:val="20"/>
          <w:szCs w:val="20"/>
          <w:color w:val="auto"/>
        </w:rPr>
      </w:pPr>
    </w:p>
    <w:p>
      <w:pPr>
        <w:ind w:left="1300" w:hanging="44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203"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213" w:lineRule="exact"/>
        <w:rPr>
          <w:sz w:val="20"/>
          <w:szCs w:val="20"/>
          <w:color w:val="auto"/>
        </w:rPr>
      </w:pPr>
    </w:p>
    <w:p>
      <w:pPr>
        <w:ind w:right="460" w:firstLine="576"/>
        <w:spacing w:after="0" w:line="246" w:lineRule="auto"/>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36" w:name="page37"/>
    <w:bookmarkEnd w:id="36"/>
    <w:p>
      <w:pPr>
        <w:ind w:right="400"/>
        <w:spacing w:after="0"/>
        <w:rPr>
          <w:sz w:val="20"/>
          <w:szCs w:val="20"/>
          <w:color w:val="auto"/>
        </w:rPr>
      </w:pPr>
      <w:r>
        <w:rPr>
          <w:rFonts w:ascii="Arial" w:cs="Arial" w:eastAsia="Arial" w:hAnsi="Arial"/>
          <w:sz w:val="18"/>
          <w:szCs w:val="18"/>
          <w:color w:val="auto"/>
        </w:rPr>
        <w:t>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spacing w:after="0" w:line="203"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9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p>
    <w:p>
      <w:pPr>
        <w:spacing w:after="0" w:line="88"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may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Changes in how our employees work and access our systems during the current COVID-19 pandemic could lead to additional opportunities for bad actors to launch cyberattacks or for employees to cause inadvertent security risks or incidents. Our business partners face similar risks, and any security breach of their systems or that they otherwise suffer could adversely affect our security posture. A security breach or privacy violation that leads to loss of or unauthorized use, disclosure or modification of, or access to personal, sensitive or proprietary information, including personally identifiable information, protected health information, or other patient information, or that prevents access to patient information, as well as the perception that any of the foregoing has occurred, could harm our reputation, compel us to comply with federal and/or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that protect personal data, any of which could disrupt our business and/or result in increased costs or loss of revenue. The effects of a security breach or privacy violation could be further amplified during the current COVID-19 pandemic. Moreover, the prevalent use of mobile devices that access confidential information increases the risk of data security breaches, which could lead to the loss of confidential information, trade secrets or other intellectual property.</w:t>
      </w:r>
    </w:p>
    <w:p>
      <w:pPr>
        <w:spacing w:after="0" w:line="213"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Despite significant efforts to create security barriers to the above described threats, it is impossible for us to entirely mitigate these risks. We may be unable to anticipate or prevent techniques used to obtain unauthorized access or to compromise our systems because they change frequently and are generally not detected until after an incident has occurred. If a compromise or other security incident were to occur and cause interruptions in our operations, it could result in a material disruption of our development programs and our business operations. For example, the loss of clinical trial data from</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7" w:name="page38"/>
    <w:bookmarkEnd w:id="37"/>
    <w:p>
      <w:pPr>
        <w:spacing w:after="0" w:line="236" w:lineRule="auto"/>
        <w:rPr>
          <w:sz w:val="20"/>
          <w:szCs w:val="20"/>
          <w:color w:val="auto"/>
        </w:rPr>
      </w:pPr>
      <w:r>
        <w:rPr>
          <w:rFonts w:ascii="Arial" w:cs="Arial" w:eastAsia="Arial" w:hAnsi="Arial"/>
          <w:sz w:val="18"/>
          <w:szCs w:val="18"/>
          <w:color w:val="auto"/>
        </w:rPr>
        <w:t>completed, ongoing or future clinical trials could result in delays in our regulatory approval efforts and significantly increase our costs to recover or reproduce the data. To the extent that any disruption or security breach were to result in a loss of, or damage to, our data or systems, or inappropriate use, disclosure or modification of confidential or proprietary information, we could incur liability and the further development and commercialization of our product candidates could be delayed. While we have invested, and continue to invest, in the protection of our data and information technology infrastructure, there can be no assurance that our efforts will prevent service interruptions, or prevent or identify vulnerabilities or breaches in our systems, that could adversely affect our business and operations and/or result in the loss of critical or sensitive information. Any such interruptions or breaches, or the perception any have occurred, could result in financial, legal, business or reputational harm to us. In addition, our liability insurance may not be sufficient in type or amount to cover us against claims related to security breaches, cyberattacks and other related privacy and security breaches or incidents.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Regulatory Approval and Other Legal Compliance Matters</w:t>
      </w:r>
    </w:p>
    <w:p>
      <w:pPr>
        <w:spacing w:after="0" w:line="10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88" w:lineRule="exact"/>
        <w:rPr>
          <w:sz w:val="20"/>
          <w:szCs w:val="20"/>
          <w:color w:val="auto"/>
        </w:rPr>
      </w:pPr>
    </w:p>
    <w:p>
      <w:pPr>
        <w:ind w:right="200" w:firstLine="576"/>
        <w:spacing w:after="0" w:line="238"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marketing approval.</w:t>
      </w:r>
    </w:p>
    <w:p>
      <w:pPr>
        <w:spacing w:after="0" w:line="205"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product candidates, the FDA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104" w:lineRule="exact"/>
        <w:rPr>
          <w:sz w:val="20"/>
          <w:szCs w:val="20"/>
          <w:color w:val="auto"/>
        </w:rPr>
      </w:pPr>
    </w:p>
    <w:p>
      <w:pPr>
        <w:ind w:left="1300" w:right="180" w:hanging="442"/>
        <w:spacing w:after="0" w:line="246"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disagree with the design, implementation or results of our clinical trials;</w:t>
      </w:r>
    </w:p>
    <w:p>
      <w:pPr>
        <w:spacing w:after="0" w:line="88" w:lineRule="exact"/>
        <w:rPr>
          <w:rFonts w:ascii="Arial" w:cs="Arial" w:eastAsia="Arial" w:hAnsi="Arial"/>
          <w:sz w:val="18"/>
          <w:szCs w:val="18"/>
          <w:color w:val="auto"/>
        </w:rPr>
      </w:pPr>
    </w:p>
    <w:p>
      <w:pPr>
        <w:ind w:left="1300" w:right="360" w:hanging="44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determine that our product candidates are not safe and effective or have undesirable or unintended side effects, toxicities or other characteristics that preclude our obtaining marketing approval or prevent or limit commercial use;</w:t>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598" w:right="459" w:bottom="1440" w:gutter="0" w:footer="0" w:header="0"/>
        </w:sectPr>
      </w:pPr>
    </w:p>
    <w:bookmarkStart w:id="38" w:name="page39"/>
    <w:bookmarkEnd w:id="38"/>
    <w:p>
      <w:pPr>
        <w:ind w:left="1300" w:right="200" w:hanging="442"/>
        <w:spacing w:after="0" w:line="246"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88" w:lineRule="exact"/>
        <w:rPr>
          <w:rFonts w:ascii="Arial" w:cs="Arial" w:eastAsia="Arial" w:hAnsi="Arial"/>
          <w:sz w:val="18"/>
          <w:szCs w:val="18"/>
          <w:color w:val="auto"/>
        </w:rPr>
      </w:pPr>
    </w:p>
    <w:p>
      <w:pPr>
        <w:ind w:left="1300" w:right="460" w:hanging="442"/>
        <w:spacing w:after="0" w:line="246"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disagree with our interpretation of data from nonclinical studies or clinical trials;</w:t>
      </w:r>
    </w:p>
    <w:p>
      <w:pPr>
        <w:spacing w:after="0" w:line="88" w:lineRule="exact"/>
        <w:rPr>
          <w:rFonts w:ascii="Arial" w:cs="Arial" w:eastAsia="Arial" w:hAnsi="Arial"/>
          <w:sz w:val="18"/>
          <w:szCs w:val="18"/>
          <w:color w:val="auto"/>
        </w:rPr>
      </w:pPr>
    </w:p>
    <w:p>
      <w:pPr>
        <w:ind w:left="1300" w:right="60" w:hanging="442"/>
        <w:spacing w:after="0" w:line="246"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unable to demonstrate to the FDA or other comparable foreign regulatory authorities that our product candidate’s risk-benefit ratio for its proposed indication is acceptable;</w:t>
      </w:r>
    </w:p>
    <w:p>
      <w:pPr>
        <w:spacing w:after="0" w:line="88" w:lineRule="exact"/>
        <w:rPr>
          <w:rFonts w:ascii="Arial" w:cs="Arial" w:eastAsia="Arial" w:hAnsi="Arial"/>
          <w:sz w:val="18"/>
          <w:szCs w:val="18"/>
          <w:color w:val="auto"/>
        </w:rPr>
      </w:pPr>
    </w:p>
    <w:p>
      <w:pPr>
        <w:ind w:left="1300" w:hanging="442"/>
        <w:spacing w:after="0" w:line="274" w:lineRule="auto"/>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66" w:lineRule="exact"/>
        <w:rPr>
          <w:rFonts w:ascii="Arial" w:cs="Arial" w:eastAsia="Arial" w:hAnsi="Arial"/>
          <w:sz w:val="17"/>
          <w:szCs w:val="17"/>
          <w:color w:val="auto"/>
        </w:rPr>
      </w:pPr>
    </w:p>
    <w:p>
      <w:pPr>
        <w:ind w:left="1300" w:right="40" w:hanging="442"/>
        <w:spacing w:after="0" w:line="246"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other comparable foreign regulatory authorities may significantly change in a manner rendering our clinical data insufficient for approval.</w:t>
      </w:r>
    </w:p>
    <w:p>
      <w:pPr>
        <w:spacing w:after="0" w:line="197"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even if we obtain approval of our product candidates, regulatory authorities may approve any of our product candidates for fewer or more limited indications than we request, may impose significant limitations in the form of narrow indications, warnings, or a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208"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w:t>
      </w:r>
    </w:p>
    <w:p>
      <w:pPr>
        <w:spacing w:after="0" w:line="291"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b w:val="1"/>
          <w:bCs w:val="1"/>
          <w:i w:val="1"/>
          <w:iCs w:val="1"/>
          <w:color w:val="auto"/>
        </w:rPr>
        <w:t>Our current or future product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88" w:lineRule="exact"/>
        <w:rPr>
          <w:sz w:val="20"/>
          <w:szCs w:val="20"/>
          <w:color w:val="auto"/>
        </w:rPr>
      </w:pPr>
    </w:p>
    <w:p>
      <w:pPr>
        <w:ind w:right="160" w:firstLine="576"/>
        <w:spacing w:after="0" w:line="237" w:lineRule="auto"/>
        <w:rPr>
          <w:sz w:val="20"/>
          <w:szCs w:val="20"/>
          <w:color w:val="auto"/>
        </w:rPr>
      </w:pPr>
      <w:r>
        <w:rPr>
          <w:rFonts w:ascii="Arial" w:cs="Arial" w:eastAsia="Arial" w:hAnsi="Arial"/>
          <w:sz w:val="18"/>
          <w:szCs w:val="18"/>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p>
    <w:p>
      <w:pPr>
        <w:spacing w:after="0" w:line="203"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If our product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39" w:name="page40"/>
    <w:bookmarkEnd w:id="39"/>
    <w:p>
      <w:pPr>
        <w:jc w:val="both"/>
        <w:ind w:right="20"/>
        <w:spacing w:after="0" w:line="274" w:lineRule="auto"/>
        <w:rPr>
          <w:sz w:val="20"/>
          <w:szCs w:val="20"/>
          <w:color w:val="auto"/>
        </w:rPr>
      </w:pPr>
      <w:r>
        <w:rPr>
          <w:rFonts w:ascii="Arial" w:cs="Arial" w:eastAsia="Arial" w:hAnsi="Arial"/>
          <w:sz w:val="17"/>
          <w:szCs w:val="17"/>
          <w:color w:val="auto"/>
        </w:rPr>
        <w:t>subjects to complete the clinical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175" w:lineRule="exact"/>
        <w:rPr>
          <w:sz w:val="20"/>
          <w:szCs w:val="20"/>
          <w:color w:val="auto"/>
        </w:rPr>
      </w:pPr>
    </w:p>
    <w:p>
      <w:pPr>
        <w:ind w:right="60" w:firstLine="576"/>
        <w:spacing w:after="0" w:line="235" w:lineRule="auto"/>
        <w:rPr>
          <w:sz w:val="20"/>
          <w:szCs w:val="20"/>
          <w:color w:val="auto"/>
        </w:rPr>
      </w:pPr>
      <w:r>
        <w:rPr>
          <w:rFonts w:ascii="Arial" w:cs="Arial" w:eastAsia="Arial" w:hAnsi="Arial"/>
          <w:sz w:val="18"/>
          <w:szCs w:val="18"/>
          <w:color w:val="auto"/>
        </w:rPr>
        <w:t>Patients in our clinical trials may in the future suffer significant adverse events or other side effects not observed in our nonclinical studies or previous clinical trials. Some of our product candidates may be used as chronic therapies or be used in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separate treatments which can cause side effects or adverse events that are unrelated to our product candidate, but may still impact the success of our clinical trials. The inclusion of elderly patients in our clinical trials may result in deaths or other adverse medical events due to other therapies or medications that such patients may be using. 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product candidate altogether. We, the FDA other comparable regulatory authorities or an IRB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213"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Further, if any of our product candidates obtains marketing approval, toxicities associated with such product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nonclinical studies or early-stage clinical trials.</w:t>
      </w:r>
    </w:p>
    <w:p>
      <w:pPr>
        <w:spacing w:after="0" w:line="288"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8"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207"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40" w:name="page41"/>
    <w:bookmarkEnd w:id="40"/>
    <w:p>
      <w:pPr>
        <w:ind w:right="160"/>
        <w:spacing w:after="0" w:line="246" w:lineRule="auto"/>
        <w:rPr>
          <w:sz w:val="20"/>
          <w:szCs w:val="20"/>
          <w:color w:val="auto"/>
        </w:rPr>
      </w:pPr>
      <w:r>
        <w:rPr>
          <w:rFonts w:ascii="Arial" w:cs="Arial" w:eastAsia="Arial" w:hAnsi="Arial"/>
          <w:sz w:val="18"/>
          <w:szCs w:val="18"/>
          <w:color w:val="auto"/>
        </w:rPr>
        <w:t>markets or fail to receive applicable marketing approvals, our target market will be reduced and our ability to realize the full market potential of our potential product candidates will be harmed.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may materially adversely affect our business.</w:t>
      </w:r>
    </w:p>
    <w:p>
      <w:pPr>
        <w:spacing w:after="0" w:line="126" w:lineRule="exact"/>
        <w:rPr>
          <w:sz w:val="20"/>
          <w:szCs w:val="20"/>
          <w:color w:val="auto"/>
        </w:rPr>
      </w:pPr>
    </w:p>
    <w:p>
      <w:pPr>
        <w:ind w:right="320" w:firstLine="576"/>
        <w:spacing w:after="0" w:line="246" w:lineRule="auto"/>
        <w:rPr>
          <w:sz w:val="20"/>
          <w:szCs w:val="20"/>
          <w:color w:val="auto"/>
        </w:rPr>
      </w:pPr>
      <w:r>
        <w:rPr>
          <w:rFonts w:ascii="Arial" w:cs="Arial" w:eastAsia="Arial" w:hAnsi="Arial"/>
          <w:sz w:val="18"/>
          <w:szCs w:val="18"/>
          <w:color w:val="auto"/>
        </w:rPr>
        <w:t>We plan to eventually seek regulatory approval of our product candidates outside of the United States and, accordingly, we expect that we will be subject to additional risks related to operating in foreign countries if we obtain the necessary approvals, including:</w:t>
      </w:r>
    </w:p>
    <w:p>
      <w:pPr>
        <w:spacing w:after="0" w:line="89" w:lineRule="exact"/>
        <w:rPr>
          <w:sz w:val="20"/>
          <w:szCs w:val="20"/>
          <w:color w:val="auto"/>
        </w:rPr>
      </w:pPr>
    </w:p>
    <w:p>
      <w:pPr>
        <w:ind w:left="1300" w:right="80" w:hanging="442"/>
        <w:spacing w:after="0" w:line="246"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 such as the lack of pathways for accelerated drug approval, may result in foreign regulatory approvals taking longer and being more costly than obtaining approval in the United States;</w:t>
      </w:r>
    </w:p>
    <w:p>
      <w:pPr>
        <w:spacing w:after="0" w:line="88" w:lineRule="exact"/>
        <w:rPr>
          <w:rFonts w:ascii="Arial" w:cs="Arial" w:eastAsia="Arial" w:hAnsi="Arial"/>
          <w:sz w:val="18"/>
          <w:szCs w:val="18"/>
          <w:color w:val="auto"/>
        </w:rPr>
      </w:pPr>
    </w:p>
    <w:p>
      <w:pPr>
        <w:ind w:left="1300" w:right="20" w:hanging="442"/>
        <w:spacing w:after="0" w:line="246"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regulatory authorities may disagree with the design, implementation or results of our clinical trials or our interpretation of data from nonclinical studies or clinical trials;</w:t>
      </w:r>
    </w:p>
    <w:p>
      <w:pPr>
        <w:spacing w:after="0" w:line="88" w:lineRule="exact"/>
        <w:rPr>
          <w:rFonts w:ascii="Arial" w:cs="Arial" w:eastAsia="Arial" w:hAnsi="Arial"/>
          <w:sz w:val="18"/>
          <w:szCs w:val="18"/>
          <w:color w:val="auto"/>
        </w:rPr>
      </w:pPr>
    </w:p>
    <w:p>
      <w:pPr>
        <w:ind w:left="1300" w:right="220" w:hanging="442"/>
        <w:spacing w:after="0" w:line="246"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approval policies or regulations of foreign regulatory authorities may significantly change in a manner rendering our clinical data insufficient for approval;</w:t>
      </w:r>
    </w:p>
    <w:p>
      <w:pPr>
        <w:spacing w:after="0" w:line="88" w:lineRule="exact"/>
        <w:rPr>
          <w:rFonts w:ascii="Arial" w:cs="Arial" w:eastAsia="Arial" w:hAnsi="Arial"/>
          <w:sz w:val="18"/>
          <w:szCs w:val="18"/>
          <w:color w:val="auto"/>
        </w:rPr>
      </w:pPr>
    </w:p>
    <w:p>
      <w:pPr>
        <w:ind w:left="1300" w:right="520" w:hanging="442"/>
        <w:spacing w:after="0" w:line="246"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impact of the COVID-19 pandemic on our ability to produce our product candidates and conduct clinical trials in foreign countries;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compliance with legal requirements applicable to privacy, data protection, information security and other matters;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and government payors in foreign countries;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17" w:lineRule="exact"/>
        <w:rPr>
          <w:rFonts w:ascii="Arial" w:cs="Arial" w:eastAsia="Arial" w:hAnsi="Arial"/>
          <w:sz w:val="18"/>
          <w:szCs w:val="18"/>
          <w:color w:val="auto"/>
        </w:rPr>
      </w:pPr>
    </w:p>
    <w:p>
      <w:pPr>
        <w:ind w:left="1300" w:right="120" w:hanging="442"/>
        <w:spacing w:after="0" w:line="246"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right="760" w:firstLine="576"/>
        <w:spacing w:after="0" w:line="246" w:lineRule="auto"/>
        <w:rPr>
          <w:sz w:val="20"/>
          <w:szCs w:val="20"/>
          <w:color w:val="auto"/>
        </w:rPr>
      </w:pPr>
      <w:r>
        <w:rPr>
          <w:rFonts w:ascii="Arial" w:cs="Arial" w:eastAsia="Arial" w:hAnsi="Arial"/>
          <w:sz w:val="18"/>
          <w:szCs w:val="18"/>
          <w:color w:val="auto"/>
        </w:rPr>
        <w:t>These and other risks associated with international operations may materially adversely affect our ability to attain or maintain profitable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1" w:name="page42"/>
    <w:bookmarkEnd w:id="41"/>
    <w:p>
      <w:pPr>
        <w:ind w:right="360"/>
        <w:spacing w:after="0" w:line="253"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83"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good laboratory practice, or GLP, regulations and GCPs,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98" w:lineRule="exact"/>
        <w:rPr>
          <w:sz w:val="20"/>
          <w:szCs w:val="20"/>
          <w:color w:val="auto"/>
        </w:rPr>
      </w:pPr>
    </w:p>
    <w:p>
      <w:pPr>
        <w:ind w:left="1300" w:right="520" w:hanging="442"/>
        <w:spacing w:after="0" w:line="246"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88" w:lineRule="exact"/>
        <w:rPr>
          <w:rFonts w:ascii="Arial" w:cs="Arial" w:eastAsia="Arial" w:hAnsi="Arial"/>
          <w:sz w:val="18"/>
          <w:szCs w:val="18"/>
          <w:color w:val="auto"/>
        </w:rPr>
      </w:pPr>
    </w:p>
    <w:p>
      <w:pPr>
        <w:ind w:left="1300" w:right="100" w:hanging="442"/>
        <w:spacing w:after="0" w:line="246"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88" w:lineRule="exact"/>
        <w:rPr>
          <w:rFonts w:ascii="Arial" w:cs="Arial" w:eastAsia="Arial" w:hAnsi="Arial"/>
          <w:sz w:val="18"/>
          <w:szCs w:val="18"/>
          <w:color w:val="auto"/>
        </w:rPr>
      </w:pPr>
    </w:p>
    <w:p>
      <w:pPr>
        <w:ind w:left="1300" w:right="320" w:hanging="442"/>
        <w:spacing w:after="0" w:line="246"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7" w:lineRule="exact"/>
        <w:rPr>
          <w:rFonts w:ascii="Arial" w:cs="Arial" w:eastAsia="Arial" w:hAnsi="Arial"/>
          <w:sz w:val="18"/>
          <w:szCs w:val="18"/>
          <w:color w:val="auto"/>
        </w:rPr>
      </w:pPr>
    </w:p>
    <w:p>
      <w:pPr>
        <w:ind w:left="1300" w:right="280" w:hanging="442"/>
        <w:spacing w:after="0" w:line="246"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40" w:firstLine="576"/>
        <w:spacing w:after="0" w:line="238"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2"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42" w:name="page43"/>
    <w:bookmarkEnd w:id="42"/>
    <w:p>
      <w:pPr>
        <w:ind w:right="20" w:firstLine="576"/>
        <w:spacing w:after="0" w:line="236"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Namely, the current U.S.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290"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90"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205" w:lineRule="exact"/>
        <w:rPr>
          <w:sz w:val="20"/>
          <w:szCs w:val="20"/>
          <w:color w:val="auto"/>
        </w:rPr>
      </w:pPr>
    </w:p>
    <w:p>
      <w:pPr>
        <w:ind w:right="20" w:firstLine="576"/>
        <w:spacing w:after="0" w:line="235"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products through April 2020. On March 18, 2020, the FDA announced its intention to temporarily postpone routine surveillance inspections of domestic manufacturing facilities and provided guidance regarding the conduct of clinical trials. In May 2020, FDA announced that it will continue to postpone domestic and foreign routine surveillance inspections due to COVID-19. While the FDA indicated that it will consider alternative methods for inspections and could exercise discretion on a case-by-case basis to approve products based on a desk review,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or delays could impact our ability to access the public markets and obtain necessary capital in order to properly capitalize and continue our operations.</w:t>
      </w:r>
    </w:p>
    <w:p>
      <w:pPr>
        <w:spacing w:after="0" w:line="300" w:lineRule="exact"/>
        <w:rPr>
          <w:sz w:val="20"/>
          <w:szCs w:val="20"/>
          <w:color w:val="auto"/>
        </w:rPr>
      </w:pPr>
    </w:p>
    <w:p>
      <w:pPr>
        <w:jc w:val="both"/>
        <w:ind w:right="460"/>
        <w:spacing w:after="0" w:line="253" w:lineRule="auto"/>
        <w:rPr>
          <w:sz w:val="20"/>
          <w:szCs w:val="20"/>
          <w:color w:val="auto"/>
        </w:rPr>
      </w:pPr>
      <w:r>
        <w:rPr>
          <w:rFonts w:ascii="Arial" w:cs="Arial" w:eastAsia="Arial" w:hAnsi="Arial"/>
          <w:sz w:val="18"/>
          <w:szCs w:val="18"/>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43" w:name="page44"/>
    <w:bookmarkEnd w:id="43"/>
    <w:p>
      <w:pPr>
        <w:ind w:right="120"/>
        <w:spacing w:after="0" w:line="253" w:lineRule="auto"/>
        <w:rPr>
          <w:sz w:val="20"/>
          <w:szCs w:val="20"/>
          <w:color w:val="auto"/>
        </w:rPr>
      </w:pPr>
      <w:r>
        <w:rPr>
          <w:rFonts w:ascii="Arial" w:cs="Arial" w:eastAsia="Arial" w:hAnsi="Arial"/>
          <w:sz w:val="18"/>
          <w:szCs w:val="18"/>
          <w:b w:val="1"/>
          <w:bCs w:val="1"/>
          <w:i w:val="1"/>
          <w:iCs w:val="1"/>
          <w:color w:val="auto"/>
        </w:rPr>
        <w:t>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83"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We may in the future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203"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290"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 Healthcare legislative measures aimed at reducing healthcare costs may have a material adverse effect on our business and results of operations.</w:t>
      </w:r>
    </w:p>
    <w:p>
      <w:pPr>
        <w:spacing w:after="0" w:line="68" w:lineRule="exact"/>
        <w:rPr>
          <w:sz w:val="20"/>
          <w:szCs w:val="20"/>
          <w:color w:val="auto"/>
        </w:rPr>
      </w:pPr>
    </w:p>
    <w:p>
      <w:pPr>
        <w:ind w:right="380" w:firstLine="576"/>
        <w:spacing w:after="0" w:line="238"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p>
    <w:p>
      <w:pPr>
        <w:spacing w:after="0" w:line="97" w:lineRule="exact"/>
        <w:rPr>
          <w:sz w:val="20"/>
          <w:szCs w:val="20"/>
          <w:color w:val="auto"/>
        </w:rPr>
      </w:pPr>
    </w:p>
    <w:p>
      <w:pPr>
        <w:ind w:left="1300" w:hanging="44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to our manufacturing arrangements;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additions or modifications to product labeling;</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recall or discontinuation of our products; or</w:t>
      </w:r>
    </w:p>
    <w:p>
      <w:pPr>
        <w:spacing w:after="0" w:line="117" w:lineRule="exact"/>
        <w:rPr>
          <w:rFonts w:ascii="Arial" w:cs="Arial" w:eastAsia="Arial" w:hAnsi="Arial"/>
          <w:sz w:val="18"/>
          <w:szCs w:val="18"/>
          <w:color w:val="auto"/>
        </w:rPr>
      </w:pPr>
    </w:p>
    <w:p>
      <w:pPr>
        <w:ind w:left="1300" w:right="100" w:hanging="442"/>
        <w:spacing w:after="0" w:line="246"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additional record-keeping requirements. If any such changes were to be imposed, they could adversely affect the operation of our business.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684" w:right="419" w:bottom="1440" w:gutter="0" w:footer="0" w:header="0"/>
        </w:sectPr>
      </w:pPr>
    </w:p>
    <w:bookmarkStart w:id="44" w:name="page45"/>
    <w:bookmarkEnd w:id="44"/>
    <w:p>
      <w:pPr>
        <w:ind w:firstLine="576"/>
        <w:spacing w:after="0" w:line="235"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213" w:lineRule="exact"/>
        <w:rPr>
          <w:sz w:val="20"/>
          <w:szCs w:val="20"/>
          <w:color w:val="auto"/>
        </w:rPr>
      </w:pPr>
    </w:p>
    <w:p>
      <w:pPr>
        <w:ind w:right="20" w:firstLine="576"/>
        <w:spacing w:after="0" w:line="235" w:lineRule="auto"/>
        <w:rPr>
          <w:sz w:val="20"/>
          <w:szCs w:val="20"/>
          <w:color w:val="auto"/>
        </w:rPr>
      </w:pPr>
      <w:r>
        <w:rPr>
          <w:rFonts w:ascii="Arial" w:cs="Arial" w:eastAsia="Arial" w:hAnsi="Arial"/>
          <w:sz w:val="18"/>
          <w:szCs w:val="18"/>
          <w:color w:val="auto"/>
        </w:rPr>
        <w:t>Members of the U.S. Congress and the Trump administration have expressed an intent to pass legislation or adopt executive orders to fundamentally change or repeal parts of the ACA. While Congress has not passed repeal legislation to date, the Tax Cuts and Jobs Act, or TCJA, repealed, effective January 1, 2019, the tax-based shared responsibility payment imposed by the ACA on certain individuals who fail to maintain qualifying health coverage for all or part of a year that is commonly referred to as the “individual mandate.” On December 14, 2018, a federal district court in Texas ruled the individual mandate is a critical and inseverable feature of the ACA, and therefore, because it was repealed as part of the TCJA, the remaining provisions of the ACA are invalid as well. The Trump Administration and CMS have both stated that the ruling will have no immediate effect, and on December 18, 2019, the Fifth Circuit U.S. Court of Appeals held that the individual mandate is unconstitutional, and remanded the case to the lower court to reconsider its earlier invalidation of the full ACA. On March 2, 2020, the United States Supreme Court granted the petitions for writs of certiorari to review this case, and has allocated one hour for oral arguments, which are expected to occur in the fall. It is unclear how such litigation and other efforts to repeal and replace the ACA will impact the ACA and our business. Litigation and legislation over the ACA are likely to continue, with unpredictable and uncertain results. We will continue to evaluate the effect that the ACA and its possible repeal and replacement has on our business. Complying with any new legislation or reversing changes implemented under the ACA could be time-intensive and expensive, resulting in a material adverse effect on our business.</w:t>
      </w:r>
    </w:p>
    <w:p>
      <w:pPr>
        <w:spacing w:after="0" w:line="214" w:lineRule="exact"/>
        <w:rPr>
          <w:sz w:val="20"/>
          <w:szCs w:val="20"/>
          <w:color w:val="auto"/>
        </w:rPr>
      </w:pPr>
    </w:p>
    <w:p>
      <w:pPr>
        <w:ind w:right="100" w:firstLine="576"/>
        <w:spacing w:after="0" w:line="236" w:lineRule="auto"/>
        <w:rPr>
          <w:sz w:val="20"/>
          <w:szCs w:val="20"/>
          <w:color w:val="auto"/>
        </w:rPr>
      </w:pPr>
      <w:r>
        <w:rPr>
          <w:rFonts w:ascii="Arial" w:cs="Arial" w:eastAsia="Arial" w:hAnsi="Arial"/>
          <w:sz w:val="18"/>
          <w:szCs w:val="18"/>
          <w:color w:val="auto"/>
        </w:rPr>
        <w:t>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Affordable Care Act. The Trump administration has concluded that cost-sharing reduction, or CSR, payments to insurance companies required under the ACA have not received necessary appropriations from Congress and announced that it will discontinue these payments immediately until those appropriations are made. The loss of the CSR payments is expected to increase premiums on certain policies issued by qualified health plans under the ACA. Several state Attorneys General filed suit to stop the administration from terminating the subsidies, but their request for a restraining order was denied by a federal judge in California on October 25, 2017. Further, on June 14, 2018, the U.S. Court of Appeals for the Federal Circuit ruled that the federal government was not required to pay to third-party payors more than $12 billion in ACA risk corridor payments that they argued were owed to them. This was appealed to the U.S. Supreme Court, who reversed the Federal Circuit’s decision on April 27, 2020, and ruled that the government must make risk corridor payments.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5" w:name="page46"/>
    <w:bookmarkEnd w:id="45"/>
    <w:p>
      <w:pPr>
        <w:ind w:firstLine="576"/>
        <w:spacing w:after="0" w:line="235" w:lineRule="auto"/>
        <w:rPr>
          <w:sz w:val="20"/>
          <w:szCs w:val="20"/>
          <w:color w:val="auto"/>
        </w:rPr>
      </w:pPr>
      <w:r>
        <w:rPr>
          <w:rFonts w:ascii="Arial" w:cs="Arial" w:eastAsia="Arial" w:hAnsi="Arial"/>
          <w:sz w:val="18"/>
          <w:szCs w:val="18"/>
          <w:color w:val="auto"/>
        </w:rPr>
        <w:t>Moreover, on January 22, 2018, President Trump signed a continuing resolution on appropriations for fiscal year 2018 that delayed the implementation of certain ACA-mandated fees, including the so called “Cadillac” tax on certain high cost employer-sponsored insurance plans, the annual fee imposed on certain health insurance providers based on market share, and the medical device excise tax on non-exempt medical devices; however on December 20, 2019, President Trump signed into law the Further Consolidated Appropriations Act (H.R. 1865), which repealed the Cadillac tax, the health insurance provider tax, and the medical device excise tax. It is impossible to determine whether similar taxes could be instated in the future. 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2030 unless additional Congressional action is taken. The Coronavirus Aid, Relief, and Economic Security Act, or CARES Act, which was signed into law on March 27, 2020, designed to provide financial support and resources to individuals and businesses affected by the COVID-19 pandemic, suspended the 2% Medicare sequester from May 1, 2020 through December 31, 2020, and extended the sequester by one year, through 2030, in order to offset the added expense of the 2020 cancellation.</w:t>
      </w:r>
    </w:p>
    <w:p>
      <w:pPr>
        <w:spacing w:after="0" w:line="213"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In addition, other legislative changes have been proposed and adopted since the ACA was enacted. 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for fiscal year 2021 includes allowance to support legislative proposals seeking to reduce drug prices, increase competition, lower out-of-pocket drug costs for patients, and increase patient access to lower-cost generic and biosimilar drugs. Additionally,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HHS has solicited feedback on some of these measures and has implemented others under its existing authority.</w:t>
      </w:r>
    </w:p>
    <w:p>
      <w:pPr>
        <w:spacing w:after="0" w:line="205" w:lineRule="exact"/>
        <w:rPr>
          <w:sz w:val="20"/>
          <w:szCs w:val="20"/>
          <w:color w:val="auto"/>
        </w:rPr>
      </w:pPr>
    </w:p>
    <w:p>
      <w:pPr>
        <w:ind w:right="360" w:firstLine="576"/>
        <w:spacing w:after="0" w:line="238" w:lineRule="auto"/>
        <w:rPr>
          <w:sz w:val="20"/>
          <w:szCs w:val="20"/>
          <w:color w:val="auto"/>
        </w:rPr>
      </w:pPr>
      <w:r>
        <w:rPr>
          <w:rFonts w:ascii="Arial" w:cs="Arial" w:eastAsia="Arial" w:hAnsi="Arial"/>
          <w:sz w:val="18"/>
          <w:szCs w:val="18"/>
          <w:color w:val="auto"/>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202"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6" w:name="page47"/>
    <w:bookmarkEnd w:id="46"/>
    <w:p>
      <w:pPr>
        <w:ind w:right="20"/>
        <w:spacing w:after="0" w:line="238" w:lineRule="auto"/>
        <w:rPr>
          <w:sz w:val="20"/>
          <w:szCs w:val="20"/>
          <w:color w:val="auto"/>
        </w:rPr>
      </w:pPr>
      <w:r>
        <w:rPr>
          <w:rFonts w:ascii="Arial" w:cs="Arial" w:eastAsia="Arial" w:hAnsi="Arial"/>
          <w:sz w:val="18"/>
          <w:szCs w:val="18"/>
          <w:color w:val="auto"/>
        </w:rPr>
        <w:t>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02"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205"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94" w:lineRule="exact"/>
        <w:rPr>
          <w:sz w:val="20"/>
          <w:szCs w:val="20"/>
          <w:color w:val="auto"/>
        </w:rPr>
      </w:pPr>
    </w:p>
    <w:p>
      <w:pPr>
        <w:ind w:left="1300" w:hanging="44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right="420" w:firstLine="576"/>
        <w:spacing w:after="0" w:line="246"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97"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Further, it is possible that additional governmental action is taken to address the COVID-19 pandemic.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-1050925</wp:posOffset>
            </wp:positionV>
            <wp:extent cx="317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2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governmental healthcare programs, reputational harm, administrative burdens and diminished profits and future earnings.</w:t>
      </w:r>
    </w:p>
    <w:p>
      <w:pPr>
        <w:spacing w:after="0" w:line="126"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laws that may affect our ability to operate include, but are not limited to:</w:t>
      </w:r>
    </w:p>
    <w:p>
      <w:pPr>
        <w:spacing w:after="0" w:line="104" w:lineRule="exact"/>
        <w:rPr>
          <w:sz w:val="20"/>
          <w:szCs w:val="20"/>
          <w:color w:val="auto"/>
        </w:rPr>
      </w:pPr>
    </w:p>
    <w:p>
      <w:pPr>
        <w:ind w:left="1300" w:right="40" w:hanging="442"/>
        <w:spacing w:after="0" w:line="236"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spacing w:after="0" w:line="95" w:lineRule="exact"/>
        <w:rPr>
          <w:rFonts w:ascii="Arial" w:cs="Arial" w:eastAsia="Arial" w:hAnsi="Arial"/>
          <w:sz w:val="18"/>
          <w:szCs w:val="18"/>
          <w:color w:val="auto"/>
        </w:rPr>
      </w:pPr>
    </w:p>
    <w:p>
      <w:pPr>
        <w:ind w:left="1300" w:right="60" w:hanging="442"/>
        <w:spacing w:after="0" w:line="236"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96" w:lineRule="exact"/>
        <w:rPr>
          <w:rFonts w:ascii="Arial" w:cs="Arial" w:eastAsia="Arial" w:hAnsi="Arial"/>
          <w:sz w:val="18"/>
          <w:szCs w:val="18"/>
          <w:color w:val="auto"/>
        </w:rPr>
      </w:pPr>
    </w:p>
    <w:p>
      <w:pPr>
        <w:ind w:left="1300" w:hanging="442"/>
        <w:spacing w:after="0" w:line="236"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99" w:lineRule="exact"/>
        <w:rPr>
          <w:rFonts w:ascii="Arial" w:cs="Arial" w:eastAsia="Arial" w:hAnsi="Arial"/>
          <w:sz w:val="18"/>
          <w:szCs w:val="18"/>
          <w:color w:val="auto"/>
        </w:rPr>
      </w:pPr>
    </w:p>
    <w:p>
      <w:pPr>
        <w:ind w:left="1300" w:right="320" w:hanging="442"/>
        <w:spacing w:after="0" w:line="246"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ind w:left="1300" w:right="200"/>
        <w:spacing w:after="0" w:line="237" w:lineRule="auto"/>
        <w:rPr>
          <w:sz w:val="20"/>
          <w:szCs w:val="20"/>
          <w:color w:val="auto"/>
        </w:rPr>
      </w:pPr>
      <w:r>
        <w:rPr>
          <w:rFonts w:ascii="Arial" w:cs="Arial" w:eastAsia="Arial" w:hAnsi="Arial"/>
          <w:sz w:val="18"/>
          <w:szCs w:val="18"/>
          <w:color w:val="auto"/>
        </w:rPr>
        <w:t>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95" w:lineRule="exact"/>
        <w:rPr>
          <w:sz w:val="20"/>
          <w:szCs w:val="20"/>
          <w:color w:val="auto"/>
        </w:rPr>
      </w:pPr>
    </w:p>
    <w:p>
      <w:pPr>
        <w:ind w:left="1300" w:hanging="442"/>
        <w:spacing w:after="0" w:line="236"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 these reporting obligations will extend to include payments and transfers of value made and ownership interests held during the previous year to certain non-physician providers such as physician assistants and nurse practitioners.</w:t>
      </w:r>
    </w:p>
    <w:p>
      <w:pPr>
        <w:spacing w:after="0" w:line="99" w:lineRule="exact"/>
        <w:rPr>
          <w:rFonts w:ascii="Arial" w:cs="Arial" w:eastAsia="Arial" w:hAnsi="Arial"/>
          <w:sz w:val="18"/>
          <w:szCs w:val="18"/>
          <w:color w:val="auto"/>
        </w:rPr>
      </w:pPr>
    </w:p>
    <w:p>
      <w:pPr>
        <w:ind w:left="1300" w:right="360" w:hanging="442"/>
        <w:spacing w:after="0" w:line="246"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88" w:lineRule="exact"/>
        <w:rPr>
          <w:rFonts w:ascii="Arial" w:cs="Arial" w:eastAsia="Arial" w:hAnsi="Arial"/>
          <w:sz w:val="18"/>
          <w:szCs w:val="18"/>
          <w:color w:val="auto"/>
        </w:rPr>
      </w:pPr>
    </w:p>
    <w:p>
      <w:pPr>
        <w:ind w:left="1300" w:hanging="442"/>
        <w:spacing w:after="0" w:line="236"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204" w:lineRule="exact"/>
        <w:rPr>
          <w:sz w:val="20"/>
          <w:szCs w:val="20"/>
          <w:color w:val="auto"/>
        </w:rPr>
      </w:pPr>
    </w:p>
    <w:p>
      <w:pPr>
        <w:ind w:right="100" w:firstLine="576"/>
        <w:spacing w:after="0" w:line="236" w:lineRule="auto"/>
        <w:rPr>
          <w:sz w:val="20"/>
          <w:szCs w:val="20"/>
          <w:color w:val="auto"/>
        </w:rPr>
      </w:pPr>
      <w:r>
        <w:rPr>
          <w:rFonts w:ascii="Arial" w:cs="Arial" w:eastAsia="Arial" w:hAnsi="Arial"/>
          <w:sz w:val="18"/>
          <w:szCs w:val="18"/>
          <w:color w:val="auto"/>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product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49" w:name="page50"/>
    <w:bookmarkEnd w:id="49"/>
    <w:p>
      <w:pPr>
        <w:ind w:right="440"/>
        <w:spacing w:after="0" w:line="253"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83" w:lineRule="exact"/>
        <w:rPr>
          <w:sz w:val="20"/>
          <w:szCs w:val="20"/>
          <w:color w:val="auto"/>
        </w:rPr>
      </w:pPr>
    </w:p>
    <w:p>
      <w:pPr>
        <w:ind w:right="40" w:firstLine="576"/>
        <w:spacing w:after="0" w:line="235"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99" w:lineRule="exact"/>
        <w:rPr>
          <w:sz w:val="20"/>
          <w:szCs w:val="20"/>
          <w:color w:val="auto"/>
        </w:rPr>
      </w:pPr>
    </w:p>
    <w:p>
      <w:pPr>
        <w:ind w:right="780"/>
        <w:spacing w:after="0" w:line="271" w:lineRule="auto"/>
        <w:rPr>
          <w:sz w:val="20"/>
          <w:szCs w:val="20"/>
          <w:color w:val="auto"/>
        </w:rPr>
      </w:pPr>
      <w:r>
        <w:rPr>
          <w:rFonts w:ascii="Arial" w:cs="Arial" w:eastAsia="Arial" w:hAnsi="Arial"/>
          <w:sz w:val="18"/>
          <w:szCs w:val="18"/>
          <w:b w:val="1"/>
          <w:bCs w:val="1"/>
          <w:i w:val="1"/>
          <w:iCs w:val="1"/>
          <w:color w:val="auto"/>
        </w:rPr>
        <w:t>Data collection is governed by restrictive regulations governing the use, processing and cross-border transfer of personal information.</w:t>
      </w:r>
    </w:p>
    <w:p>
      <w:pPr>
        <w:spacing w:after="0" w:line="68"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If we decide to conduct clinical trials or continue to enroll patients in our future clinical trials, we may be subject to additional restrictions relating to privacy, data protection and data security. The collection, use, storage, disclosure, transfer, or other processing of personal data regarding individuals in the European Union, or EU,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uncertain as the result of legal proceedings in the EU, including a recent decision by the Court of Justice for the European Union that invalidated the EU-U.S. Privacy Shield. This may increase the complexity of transferring personal data across borders.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ind w:firstLine="576"/>
        <w:spacing w:after="0" w:line="237" w:lineRule="auto"/>
        <w:rPr>
          <w:sz w:val="20"/>
          <w:szCs w:val="20"/>
          <w:color w:val="auto"/>
        </w:rPr>
      </w:pPr>
      <w:r>
        <w:rPr>
          <w:rFonts w:ascii="Arial" w:cs="Arial" w:eastAsia="Arial" w:hAnsi="Arial"/>
          <w:sz w:val="18"/>
          <w:szCs w:val="18"/>
          <w:color w:val="auto"/>
        </w:rPr>
        <w:t>Further, the vote in the United Kingdom, or UK, in favor of exiting the EU, referred to as Brexit, has created uncertainty with regard to data protection regulation in the UK. Specifically, while the Data Protection Act of 2018, that “implements” and complements the GDPR achieved Royal Assent on May 23, 2018 and is now effective in the UK, aspects of data protection in the UK, such as the transfer of data from the EEA to the UK, remain uncertain. During the period of “transition” (i.e., until December 31, 2020), EU law will continue to apply in the UK, including the GDPR, after which the GDPR will be converted into UK law. Beginning in 2021, the UK will be a “third country” under the GDPR. We may, however, incur liabilities, expenses, costs, and other operational losses under GDPR and applicable EU Member States and the United Kingdom privacy laws in connection with any measures we take to comply with them.</w:t>
      </w:r>
    </w:p>
    <w:p>
      <w:pPr>
        <w:spacing w:after="0" w:line="203"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In addition,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commenced enforcement actions for violations on July 1, 2020. Moreover, a new privacy law, the California Privacy Rights Act, or CPRA, was recently certified by the California Secretary of State to appear on the ballot for the November 3, 2020 election. If this initiative is approved by California voters, the CPRA would significantly modify the CCPA, potentially resulting in further uncertainty and requiring us to incur additional costs and expenses in an effort to comply. The CCPA and, if it goes into effect, the CPRA, may impact our business activities and exemplifies the vulnerability of our business to the evolving regulatory environment related to personal data and protected health information.</w:t>
      </w:r>
    </w:p>
    <w:p>
      <w:pPr>
        <w:spacing w:after="0" w:line="205"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data security could result in governmental investigations, proceedings and enforcement actions (which could include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291"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8" w:lineRule="exact"/>
        <w:rPr>
          <w:sz w:val="20"/>
          <w:szCs w:val="20"/>
          <w:color w:val="auto"/>
        </w:rPr>
      </w:pPr>
    </w:p>
    <w:p>
      <w:pPr>
        <w:jc w:val="both"/>
        <w:ind w:right="80" w:firstLine="576"/>
        <w:spacing w:after="0" w:line="23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1" w:name="page52"/>
    <w:bookmarkEnd w:id="51"/>
    <w:p>
      <w:pPr>
        <w:ind w:right="520" w:firstLine="576"/>
        <w:spacing w:after="0"/>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89"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8"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92"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212529"/>
        </w:rPr>
        <w:t>Our advisors and consultants are classified as independent contractors, and we can face consequences if it is determined that they are misclassified as such.</w:t>
      </w:r>
    </w:p>
    <w:p>
      <w:pPr>
        <w:spacing w:after="0" w:line="68"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212529"/>
        </w:rPr>
        <w:t>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divergent 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Our ability to use net operating losses to offset future taxable income may be subject to certain limitations.</w:t>
      </w:r>
    </w:p>
    <w:p>
      <w:pPr>
        <w:spacing w:after="0" w:line="126"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212529"/>
        </w:rPr>
        <w:t>As of December 31, 2019, we had federal net operating loss carryforwards, or NOLs, to offset future taxable income of approximately $9.4 million and federal tax credit carryforwards of approximately 1.0 million. The federal NOLs generated during and after fiscal 2018 totaling $9.2 million are carried forward indefinitely, while all others, if not utilized, will expire in various years beginning in 2025. A lack of future taxable income would adversely affect our ability to utilize these NOLs. In addition, under Section 382 of the Code, a corporation that undergoes an “ownership change” is subject to limitations on its ability to utilize its NOLs to offset future taxable income. We may have already experienced one or more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2" w:name="page53"/>
    <w:bookmarkEnd w:id="52"/>
    <w:p>
      <w:pPr>
        <w:ind w:right="100"/>
        <w:spacing w:after="0" w:line="237" w:lineRule="auto"/>
        <w:rPr>
          <w:sz w:val="20"/>
          <w:szCs w:val="20"/>
          <w:color w:val="auto"/>
        </w:rPr>
      </w:pPr>
      <w:r>
        <w:rPr>
          <w:rFonts w:ascii="Arial" w:cs="Arial" w:eastAsia="Arial" w:hAnsi="Arial"/>
          <w:sz w:val="18"/>
          <w:szCs w:val="18"/>
          <w:color w:val="212529"/>
        </w:rPr>
        <w:t>ownership changes. Depending on the timing of any future utilization of our NOLs and tax credit carryforwards, we may be limited as to the amount that can be utilized each year as a result of such previous ownership changes. However, we do not believe such limitations will cause our NOL and tax credit carryforwards to expire unutilized.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 and Jobs Act amendments to the Code. We have recorded a full valuation allowance related to our NOLs and other deferred tax assets due to the uncertainty of the ultimate realization of the future benefits of those assets.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Reliance on Third Parties</w:t>
      </w:r>
    </w:p>
    <w:p>
      <w:pPr>
        <w:spacing w:after="0" w:line="10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i w:val="1"/>
          <w:iCs w:val="1"/>
          <w:color w:val="auto"/>
        </w:rPr>
        <w:t>We plan to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83" w:lineRule="exact"/>
        <w:rPr>
          <w:sz w:val="20"/>
          <w:szCs w:val="20"/>
          <w:color w:val="auto"/>
        </w:rPr>
      </w:pPr>
    </w:p>
    <w:p>
      <w:pPr>
        <w:ind w:right="400" w:firstLine="576"/>
        <w:spacing w:after="0" w:line="246" w:lineRule="auto"/>
        <w:rPr>
          <w:sz w:val="20"/>
          <w:szCs w:val="20"/>
          <w:color w:val="auto"/>
        </w:rPr>
      </w:pPr>
      <w:r>
        <w:rPr>
          <w:rFonts w:ascii="Arial" w:cs="Arial" w:eastAsia="Arial" w:hAnsi="Arial"/>
          <w:sz w:val="18"/>
          <w:szCs w:val="18"/>
          <w:color w:val="auto"/>
        </w:rPr>
        <w:t>We plan to utilize and depend upon independent investigators and collaborators, such as medical institutions, CROs, CMOs, and strategic partners to conduct and support our nonclinical studies and clinical trials under agreements with us.</w:t>
      </w:r>
    </w:p>
    <w:p>
      <w:pPr>
        <w:spacing w:after="0" w:line="197" w:lineRule="exact"/>
        <w:rPr>
          <w:sz w:val="20"/>
          <w:szCs w:val="20"/>
          <w:color w:val="auto"/>
        </w:rPr>
      </w:pPr>
    </w:p>
    <w:p>
      <w:pPr>
        <w:ind w:right="20" w:firstLine="576"/>
        <w:spacing w:after="0" w:line="235" w:lineRule="auto"/>
        <w:rPr>
          <w:sz w:val="20"/>
          <w:szCs w:val="20"/>
          <w:color w:val="auto"/>
        </w:rPr>
      </w:pPr>
      <w:r>
        <w:rPr>
          <w:rFonts w:ascii="Arial" w:cs="Arial" w:eastAsia="Arial" w:hAnsi="Arial"/>
          <w:sz w:val="18"/>
          <w:szCs w:val="18"/>
          <w:color w:val="auto"/>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13"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product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53" w:name="page54"/>
    <w:bookmarkEnd w:id="53"/>
    <w:p>
      <w:pPr>
        <w:ind w:right="160" w:firstLine="576"/>
        <w:spacing w:after="0"/>
        <w:rPr>
          <w:sz w:val="20"/>
          <w:szCs w:val="20"/>
          <w:color w:val="auto"/>
        </w:rPr>
      </w:pPr>
      <w:r>
        <w:rPr>
          <w:rFonts w:ascii="Arial" w:cs="Arial" w:eastAsia="Arial" w:hAnsi="Arial"/>
          <w:sz w:val="18"/>
          <w:szCs w:val="18"/>
          <w:color w:val="auto"/>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8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nonclinical studies and our clinical trials, and expect to continue to do so for additional clinical trials and ultimately for commercialization.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88"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nonclinical studies and clinical trials under the guidance of members of our organization. We do not have long-term supply agreements. Furthermore, the raw materials for our product candidates are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products and product candidates will depend on the severity and duration of the spread of the virus, and the actions undertaken to contain COVID-19 or treat its effects. 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96" w:lineRule="exact"/>
        <w:rPr>
          <w:sz w:val="20"/>
          <w:szCs w:val="20"/>
          <w:color w:val="auto"/>
        </w:rPr>
      </w:pPr>
    </w:p>
    <w:p>
      <w:pPr>
        <w:ind w:left="1300" w:right="140" w:hanging="44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94" w:lineRule="exact"/>
        <w:rPr>
          <w:rFonts w:ascii="Arial" w:cs="Arial" w:eastAsia="Arial" w:hAnsi="Arial"/>
          <w:sz w:val="18"/>
          <w:szCs w:val="18"/>
          <w:color w:val="auto"/>
        </w:rPr>
      </w:pPr>
    </w:p>
    <w:p>
      <w:pPr>
        <w:ind w:left="1300" w:hanging="44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17" w:lineRule="exact"/>
        <w:rPr>
          <w:rFonts w:ascii="Arial" w:cs="Arial" w:eastAsia="Arial" w:hAnsi="Arial"/>
          <w:sz w:val="18"/>
          <w:szCs w:val="18"/>
          <w:color w:val="auto"/>
        </w:rPr>
      </w:pPr>
    </w:p>
    <w:p>
      <w:pPr>
        <w:ind w:left="1300" w:right="640" w:hanging="442"/>
        <w:spacing w:after="0" w:line="246"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17" w:lineRule="exact"/>
        <w:rPr>
          <w:rFonts w:ascii="Arial" w:cs="Arial" w:eastAsia="Arial" w:hAnsi="Arial"/>
          <w:sz w:val="18"/>
          <w:szCs w:val="18"/>
          <w:color w:val="auto"/>
        </w:rPr>
      </w:pPr>
    </w:p>
    <w:p>
      <w:pPr>
        <w:ind w:left="1300" w:right="140" w:hanging="442"/>
        <w:spacing w:after="0" w:line="246"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88" w:lineRule="exact"/>
        <w:rPr>
          <w:rFonts w:ascii="Arial" w:cs="Arial" w:eastAsia="Arial" w:hAnsi="Arial"/>
          <w:sz w:val="18"/>
          <w:szCs w:val="18"/>
          <w:color w:val="auto"/>
        </w:rPr>
      </w:pPr>
    </w:p>
    <w:p>
      <w:pPr>
        <w:ind w:left="1300" w:right="40" w:hanging="442"/>
        <w:spacing w:after="0" w:line="246"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25" w:lineRule="exact"/>
        <w:rPr>
          <w:sz w:val="20"/>
          <w:szCs w:val="20"/>
          <w:color w:val="auto"/>
        </w:rPr>
      </w:pPr>
    </w:p>
    <w:p>
      <w:pPr>
        <w:ind w:right="40" w:firstLine="576"/>
        <w:spacing w:after="0" w:line="246" w:lineRule="auto"/>
        <w:rPr>
          <w:sz w:val="20"/>
          <w:szCs w:val="20"/>
          <w:color w:val="auto"/>
        </w:rPr>
      </w:pPr>
      <w:r>
        <w:rPr>
          <w:rFonts w:ascii="Arial" w:cs="Arial" w:eastAsia="Arial" w:hAnsi="Arial"/>
          <w:sz w:val="18"/>
          <w:szCs w:val="18"/>
          <w:color w:val="auto"/>
        </w:rPr>
        <w:t>We do not have complete control over all aspects of the manufacturing process of, and are dependent on, our contract manufacturing partners for compliance with cGMP regulations for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54" w:name="page55"/>
    <w:bookmarkEnd w:id="54"/>
    <w:p>
      <w:pPr>
        <w:ind w:right="60"/>
        <w:spacing w:after="0" w:line="250" w:lineRule="auto"/>
        <w:rPr>
          <w:sz w:val="20"/>
          <w:szCs w:val="20"/>
          <w:color w:val="auto"/>
        </w:rPr>
      </w:pPr>
      <w:r>
        <w:rPr>
          <w:rFonts w:ascii="Arial" w:cs="Arial" w:eastAsia="Arial" w:hAnsi="Arial"/>
          <w:sz w:val="17"/>
          <w:szCs w:val="17"/>
          <w:color w:val="auto"/>
        </w:rPr>
        <w:t>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287"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p>
    <w:p>
      <w:pPr>
        <w:spacing w:after="0" w:line="83"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9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If our third-party manufacturers use hazardous materials in a manner that causes injury or violates applicable law, we may be liable for damages.</w:t>
      </w:r>
    </w:p>
    <w:p>
      <w:pPr>
        <w:spacing w:after="0" w:line="68"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5" w:name="page56"/>
    <w:bookmarkEnd w:id="55"/>
    <w:p>
      <w:pPr>
        <w:ind w:right="160"/>
        <w:spacing w:after="0" w:line="246" w:lineRule="auto"/>
        <w:rPr>
          <w:sz w:val="20"/>
          <w:szCs w:val="20"/>
          <w:color w:val="auto"/>
        </w:rPr>
      </w:pPr>
      <w:r>
        <w:rPr>
          <w:rFonts w:ascii="Arial" w:cs="Arial" w:eastAsia="Arial" w:hAnsi="Arial"/>
          <w:sz w:val="18"/>
          <w:szCs w:val="18"/>
          <w:color w:val="auto"/>
        </w:rPr>
        <w:t>expensive, and current or future environmental regulations may impair our research, development and production efforts, which could harm our business, prospects, financial condition or results of operations.</w:t>
      </w:r>
    </w:p>
    <w:p>
      <w:pPr>
        <w:spacing w:after="0" w:line="283" w:lineRule="exact"/>
        <w:rPr>
          <w:sz w:val="20"/>
          <w:szCs w:val="20"/>
          <w:color w:val="auto"/>
        </w:rPr>
      </w:pPr>
    </w:p>
    <w:p>
      <w:pPr>
        <w:ind w:right="180"/>
        <w:spacing w:after="0" w:line="301" w:lineRule="auto"/>
        <w:rPr>
          <w:sz w:val="20"/>
          <w:szCs w:val="20"/>
          <w:color w:val="auto"/>
        </w:rPr>
      </w:pPr>
      <w:r>
        <w:rPr>
          <w:rFonts w:ascii="Arial" w:cs="Arial" w:eastAsia="Arial" w:hAnsi="Arial"/>
          <w:sz w:val="17"/>
          <w:szCs w:val="17"/>
          <w:b w:val="1"/>
          <w:bCs w:val="1"/>
          <w:i w:val="1"/>
          <w:iCs w:val="1"/>
          <w:color w:val="auto"/>
        </w:rPr>
        <w:t>We may use strategic collaborations, licensing arrangements or partnerships to accelerate the development and maximize the commercial potential of our programs, and we may not realize the benefits of such collaborations, arrangements or partnerships.</w:t>
      </w:r>
    </w:p>
    <w:p>
      <w:pPr>
        <w:spacing w:after="0" w:line="45"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We own worldwide rights to ATH-1017 as well as our pipeline of small molecule candidates. Where appropriate, we may use strategic collaborations, licensing arrangements or partnerships to accelerate 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spacing w:after="0" w:line="205"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205"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3" w:lineRule="exact"/>
        <w:rPr>
          <w:sz w:val="20"/>
          <w:szCs w:val="20"/>
          <w:color w:val="auto"/>
        </w:rPr>
      </w:pPr>
    </w:p>
    <w:p>
      <w:pPr>
        <w:ind w:firstLine="576"/>
        <w:spacing w:after="0" w:line="246" w:lineRule="auto"/>
        <w:rPr>
          <w:sz w:val="20"/>
          <w:szCs w:val="20"/>
          <w:color w:val="auto"/>
        </w:rPr>
      </w:pPr>
      <w:r>
        <w:rPr>
          <w:rFonts w:ascii="Arial" w:cs="Arial" w:eastAsia="Arial" w:hAnsi="Arial"/>
          <w:sz w:val="18"/>
          <w:szCs w:val="18"/>
          <w:color w:val="auto"/>
        </w:rPr>
        <w:t>Even if we are successful in entering into collaborations involving our product candidates, these relationships are subject to numerous risks, which may include the following:</w:t>
      </w:r>
    </w:p>
    <w:p>
      <w:pPr>
        <w:spacing w:after="0" w:line="89" w:lineRule="exact"/>
        <w:rPr>
          <w:sz w:val="20"/>
          <w:szCs w:val="20"/>
          <w:color w:val="auto"/>
        </w:rPr>
      </w:pPr>
    </w:p>
    <w:p>
      <w:pPr>
        <w:ind w:left="1300" w:hanging="44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17" w:lineRule="exact"/>
        <w:rPr>
          <w:rFonts w:ascii="Arial" w:cs="Arial" w:eastAsia="Arial" w:hAnsi="Arial"/>
          <w:sz w:val="18"/>
          <w:szCs w:val="18"/>
          <w:color w:val="auto"/>
        </w:rPr>
      </w:pPr>
    </w:p>
    <w:p>
      <w:pPr>
        <w:ind w:left="1300" w:right="140" w:hanging="442"/>
        <w:spacing w:after="0" w:line="238"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96" w:lineRule="exact"/>
        <w:rPr>
          <w:rFonts w:ascii="Arial" w:cs="Arial" w:eastAsia="Arial" w:hAnsi="Arial"/>
          <w:sz w:val="18"/>
          <w:szCs w:val="18"/>
          <w:color w:val="auto"/>
        </w:rPr>
      </w:pPr>
    </w:p>
    <w:p>
      <w:pPr>
        <w:ind w:left="1300" w:right="320" w:hanging="442"/>
        <w:spacing w:after="0" w:line="274" w:lineRule="auto"/>
        <w:tabs>
          <w:tab w:leader="none" w:pos="1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66" w:lineRule="exact"/>
        <w:rPr>
          <w:rFonts w:ascii="Arial" w:cs="Arial" w:eastAsia="Arial" w:hAnsi="Arial"/>
          <w:sz w:val="17"/>
          <w:szCs w:val="17"/>
          <w:color w:val="auto"/>
        </w:rPr>
      </w:pPr>
    </w:p>
    <w:p>
      <w:pPr>
        <w:ind w:left="1300" w:right="120" w:hanging="442"/>
        <w:spacing w:after="0" w:line="246"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w:t>
      </w:r>
    </w:p>
    <w:p>
      <w:pPr>
        <w:spacing w:after="0" w:line="88" w:lineRule="exact"/>
        <w:rPr>
          <w:rFonts w:ascii="Arial" w:cs="Arial" w:eastAsia="Arial" w:hAnsi="Arial"/>
          <w:sz w:val="18"/>
          <w:szCs w:val="18"/>
          <w:color w:val="auto"/>
        </w:rPr>
      </w:pPr>
    </w:p>
    <w:p>
      <w:pPr>
        <w:ind w:left="1300" w:right="400" w:hanging="442"/>
        <w:spacing w:after="0" w:line="246"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88" w:lineRule="exact"/>
        <w:rPr>
          <w:rFonts w:ascii="Arial" w:cs="Arial" w:eastAsia="Arial" w:hAnsi="Arial"/>
          <w:sz w:val="18"/>
          <w:szCs w:val="18"/>
          <w:color w:val="auto"/>
        </w:rPr>
      </w:pPr>
    </w:p>
    <w:p>
      <w:pPr>
        <w:ind w:left="1300" w:right="480" w:hanging="44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56" w:name="page57"/>
    <w:bookmarkEnd w:id="56"/>
    <w:p>
      <w:pPr>
        <w:ind w:left="1300" w:right="60" w:hanging="442"/>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94" w:lineRule="exact"/>
        <w:rPr>
          <w:rFonts w:ascii="Arial" w:cs="Arial" w:eastAsia="Arial" w:hAnsi="Arial"/>
          <w:sz w:val="18"/>
          <w:szCs w:val="18"/>
          <w:color w:val="auto"/>
        </w:rPr>
      </w:pPr>
    </w:p>
    <w:p>
      <w:pPr>
        <w:ind w:left="1300" w:right="20" w:hanging="442"/>
        <w:spacing w:after="0" w:line="246"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88" w:lineRule="exact"/>
        <w:rPr>
          <w:rFonts w:ascii="Arial" w:cs="Arial" w:eastAsia="Arial" w:hAnsi="Arial"/>
          <w:sz w:val="18"/>
          <w:szCs w:val="18"/>
          <w:color w:val="auto"/>
        </w:rPr>
      </w:pPr>
    </w:p>
    <w:p>
      <w:pPr>
        <w:ind w:left="1300" w:right="300" w:hanging="442"/>
        <w:spacing w:after="0" w:line="246"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97"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8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68"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95" w:lineRule="exact"/>
        <w:rPr>
          <w:sz w:val="20"/>
          <w:szCs w:val="20"/>
          <w:color w:val="auto"/>
        </w:rPr>
      </w:pPr>
    </w:p>
    <w:p>
      <w:pPr>
        <w:ind w:left="1300" w:hanging="44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117" w:lineRule="exact"/>
        <w:rPr>
          <w:rFonts w:ascii="Arial" w:cs="Arial" w:eastAsia="Arial" w:hAnsi="Arial"/>
          <w:sz w:val="18"/>
          <w:szCs w:val="18"/>
          <w:color w:val="auto"/>
        </w:rPr>
      </w:pPr>
    </w:p>
    <w:p>
      <w:pPr>
        <w:ind w:left="1300" w:right="260" w:hanging="442"/>
        <w:spacing w:after="0" w:line="246"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88" w:lineRule="exact"/>
        <w:rPr>
          <w:rFonts w:ascii="Arial" w:cs="Arial" w:eastAsia="Arial" w:hAnsi="Arial"/>
          <w:sz w:val="18"/>
          <w:szCs w:val="18"/>
          <w:color w:val="auto"/>
        </w:rPr>
      </w:pPr>
    </w:p>
    <w:p>
      <w:pPr>
        <w:ind w:left="1300" w:right="40" w:hanging="442"/>
        <w:spacing w:after="0" w:line="246"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programs and initiatives in pursuing such a strategic merger or acquisition;</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1300" w:right="240" w:hanging="442"/>
        <w:spacing w:after="0" w:line="246"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88" w:lineRule="exact"/>
        <w:rPr>
          <w:rFonts w:ascii="Arial" w:cs="Arial" w:eastAsia="Arial" w:hAnsi="Arial"/>
          <w:sz w:val="18"/>
          <w:szCs w:val="18"/>
          <w:color w:val="auto"/>
        </w:rPr>
      </w:pPr>
    </w:p>
    <w:p>
      <w:pPr>
        <w:ind w:left="1300" w:right="240" w:hanging="442"/>
        <w:spacing w:after="0" w:line="246"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97" w:lineRule="exact"/>
        <w:rPr>
          <w:sz w:val="20"/>
          <w:szCs w:val="20"/>
          <w:color w:val="auto"/>
        </w:rPr>
      </w:pPr>
    </w:p>
    <w:p>
      <w:pPr>
        <w:ind w:right="260" w:firstLine="576"/>
        <w:spacing w:after="0" w:line="246" w:lineRule="auto"/>
        <w:rPr>
          <w:sz w:val="20"/>
          <w:szCs w:val="20"/>
          <w:color w:val="auto"/>
        </w:rPr>
      </w:pPr>
      <w:r>
        <w:rPr>
          <w:rFonts w:ascii="Arial" w:cs="Arial" w:eastAsia="Arial" w:hAnsi="Arial"/>
          <w:sz w:val="18"/>
          <w:szCs w:val="18"/>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26"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may also seek to protect our proprietary position by acquiring or in-licensing relevant issued patents or pending applications from third parties.</w:t>
      </w:r>
    </w:p>
    <w:p>
      <w:pPr>
        <w:spacing w:after="0" w:line="202" w:lineRule="exact"/>
        <w:rPr>
          <w:sz w:val="20"/>
          <w:szCs w:val="20"/>
          <w:color w:val="auto"/>
        </w:rPr>
      </w:pPr>
    </w:p>
    <w:p>
      <w:pPr>
        <w:ind w:right="160" w:firstLine="576"/>
        <w:spacing w:after="0" w:line="238"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future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202" w:lineRule="exact"/>
        <w:rPr>
          <w:sz w:val="20"/>
          <w:szCs w:val="20"/>
          <w:color w:val="auto"/>
        </w:rPr>
      </w:pPr>
    </w:p>
    <w:p>
      <w:pPr>
        <w:ind w:right="180" w:firstLine="576"/>
        <w:spacing w:after="0" w:line="238"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Thus, the degree of future protection for our and any future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202" w:lineRule="exact"/>
        <w:rPr>
          <w:sz w:val="20"/>
          <w:szCs w:val="20"/>
          <w:color w:val="auto"/>
        </w:rPr>
      </w:pPr>
    </w:p>
    <w:p>
      <w:pPr>
        <w:ind w:right="120" w:firstLine="576"/>
        <w:spacing w:after="0" w:line="237" w:lineRule="auto"/>
        <w:rPr>
          <w:sz w:val="20"/>
          <w:szCs w:val="20"/>
          <w:color w:val="auto"/>
        </w:rPr>
      </w:pPr>
      <w:r>
        <w:rPr>
          <w:rFonts w:ascii="Arial" w:cs="Arial" w:eastAsia="Arial" w:hAnsi="Arial"/>
          <w:sz w:val="18"/>
          <w:szCs w:val="18"/>
          <w:color w:val="auto"/>
        </w:rPr>
        <w:t>We own or in-license nine U.S. issued patents, own or in-license one U.S. pending patent application, own or in-license 12 patents issued in jurisdictions outside of the United States, and own or in-license nine pending patent applications in jurisdictions outside of the United States. However, we cannot be certain that the claims in our U.S. pending patent applications, corresponding international patent applications, or those of any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spacing w:after="0" w:line="205" w:lineRule="exact"/>
        <w:rPr>
          <w:sz w:val="20"/>
          <w:szCs w:val="20"/>
          <w:color w:val="auto"/>
        </w:rPr>
      </w:pPr>
    </w:p>
    <w:p>
      <w:pPr>
        <w:ind w:right="140" w:firstLine="576"/>
        <w:spacing w:after="0"/>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95" w:lineRule="exact"/>
        <w:rPr>
          <w:sz w:val="20"/>
          <w:szCs w:val="20"/>
          <w:color w:val="auto"/>
        </w:rPr>
      </w:pPr>
    </w:p>
    <w:p>
      <w:pPr>
        <w:ind w:left="1300" w:right="480" w:hanging="442"/>
        <w:spacing w:after="0" w:line="238"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96" w:lineRule="exact"/>
        <w:rPr>
          <w:rFonts w:ascii="Arial" w:cs="Arial" w:eastAsia="Arial" w:hAnsi="Arial"/>
          <w:sz w:val="18"/>
          <w:szCs w:val="18"/>
          <w:color w:val="auto"/>
        </w:rPr>
      </w:pPr>
    </w:p>
    <w:p>
      <w:pPr>
        <w:ind w:left="1300" w:hanging="442"/>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17" w:lineRule="exact"/>
        <w:rPr>
          <w:rFonts w:ascii="Arial" w:cs="Arial" w:eastAsia="Arial" w:hAnsi="Arial"/>
          <w:sz w:val="18"/>
          <w:szCs w:val="18"/>
          <w:color w:val="auto"/>
        </w:rPr>
      </w:pPr>
    </w:p>
    <w:p>
      <w:pPr>
        <w:ind w:left="1300" w:right="140" w:hanging="442"/>
        <w:spacing w:after="0" w:line="246"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88" w:lineRule="exact"/>
        <w:rPr>
          <w:rFonts w:ascii="Arial" w:cs="Arial" w:eastAsia="Arial" w:hAnsi="Arial"/>
          <w:sz w:val="18"/>
          <w:szCs w:val="18"/>
          <w:color w:val="auto"/>
        </w:rPr>
      </w:pPr>
    </w:p>
    <w:p>
      <w:pPr>
        <w:ind w:left="1300" w:right="100" w:hanging="442"/>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94"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684" w:right="439" w:bottom="1440" w:gutter="0" w:footer="0" w:header="0"/>
        </w:sectPr>
      </w:pPr>
    </w:p>
    <w:bookmarkStart w:id="58" w:name="page59"/>
    <w:bookmarkEnd w:id="58"/>
    <w:p>
      <w:pPr>
        <w:ind w:left="1300"/>
        <w:spacing w:after="0"/>
        <w:rPr>
          <w:sz w:val="20"/>
          <w:szCs w:val="20"/>
          <w:color w:val="auto"/>
        </w:rPr>
      </w:pPr>
      <w:r>
        <w:rPr>
          <w:rFonts w:ascii="Arial" w:cs="Arial" w:eastAsia="Arial" w:hAnsi="Arial"/>
          <w:sz w:val="18"/>
          <w:szCs w:val="18"/>
          <w:color w:val="auto"/>
        </w:rPr>
        <w:t>disease treatments that prove successful, as a matter of public policy regarding worldwide health concerns; and</w:t>
      </w:r>
    </w:p>
    <w:p>
      <w:pPr>
        <w:spacing w:after="0" w:line="117" w:lineRule="exact"/>
        <w:rPr>
          <w:sz w:val="20"/>
          <w:szCs w:val="20"/>
          <w:color w:val="auto"/>
        </w:rPr>
      </w:pPr>
    </w:p>
    <w:p>
      <w:pPr>
        <w:ind w:left="1300" w:right="200" w:hanging="442"/>
        <w:spacing w:after="0" w:line="246"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97"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patent prosecution process is also expensive and time-consuming, and we and any future licensors may not be able to file and prosecute all necessary or desirable patent applications at a reasonable cost or in a timely manner or in all jurisdictions where protection may be commercially advantageous. It is also possible that we or any future licensors will fail to identify patentable aspects of our research and development output before it is too late to obtain patent protection.</w:t>
      </w:r>
    </w:p>
    <w:p>
      <w:pPr>
        <w:spacing w:after="0" w:line="205"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205" w:lineRule="exact"/>
        <w:rPr>
          <w:sz w:val="20"/>
          <w:szCs w:val="20"/>
          <w:color w:val="auto"/>
        </w:rPr>
      </w:pPr>
    </w:p>
    <w:p>
      <w:pPr>
        <w:ind w:right="200" w:firstLine="576"/>
        <w:spacing w:after="0"/>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89"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68" w:lineRule="exact"/>
        <w:rPr>
          <w:sz w:val="20"/>
          <w:szCs w:val="20"/>
          <w:color w:val="auto"/>
        </w:rPr>
      </w:pPr>
    </w:p>
    <w:p>
      <w:pPr>
        <w:ind w:right="120" w:firstLine="576"/>
        <w:spacing w:after="0" w:line="257" w:lineRule="auto"/>
        <w:rPr>
          <w:sz w:val="20"/>
          <w:szCs w:val="20"/>
          <w:color w:val="auto"/>
        </w:rPr>
      </w:pPr>
      <w:r>
        <w:rPr>
          <w:rFonts w:ascii="Arial" w:cs="Arial" w:eastAsia="Arial" w:hAnsi="Arial"/>
          <w:sz w:val="17"/>
          <w:szCs w:val="17"/>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any future licensors may not result in patents being issued which protect our product candidates or which effectively prevent others from commercializing competitive product candidates.</w:t>
      </w:r>
    </w:p>
    <w:p>
      <w:pPr>
        <w:spacing w:after="0" w:line="189"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any future licensors by developing similar or alternative technologies or products in a non-infringing manner which could materially adversely affect our business, financial condition, results of operations and prospects.</w:t>
      </w:r>
    </w:p>
    <w:p>
      <w:pPr>
        <w:spacing w:after="0" w:line="208"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 xml:space="preserve">The issuance of a patent is not conclusive as to its inventorship, scope, validity, or enforceability, and our patents or the patents of any future licensors may be challenged in the courts or patent offices in the United States and abroad. We may be subject to a third-party pre-issuance submission of prior art to the USPTO, or become involved in opposition, derivation, revocation, reexamination, post-grant review, or PGR,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IPR, or other similar proceedings challenging our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 Moreover, our patents or the patents of</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59" w:name="page60"/>
    <w:bookmarkEnd w:id="59"/>
    <w:p>
      <w:pPr>
        <w:ind w:right="20"/>
        <w:spacing w:after="0" w:line="236" w:lineRule="auto"/>
        <w:rPr>
          <w:sz w:val="20"/>
          <w:szCs w:val="20"/>
          <w:color w:val="auto"/>
        </w:rPr>
      </w:pPr>
      <w:r>
        <w:rPr>
          <w:rFonts w:ascii="Arial" w:cs="Arial" w:eastAsia="Arial" w:hAnsi="Arial"/>
          <w:sz w:val="18"/>
          <w:szCs w:val="18"/>
          <w:color w:val="auto"/>
        </w:rPr>
        <w:t>any future licensors may become subject to post-grant challenge proceedings, such as oppositions in a foreign patent office, that challenge our claim of priority of invention or other features of patentability with respect to our patents and patent applications and those of any future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any future licensors is threatened, regardless of the outcome, it could dissuade companies from collaborating with us to license, develop, or commercialize current or future product candidates.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26" w:lineRule="exact"/>
        <w:rPr>
          <w:sz w:val="20"/>
          <w:szCs w:val="20"/>
          <w:color w:val="auto"/>
        </w:rPr>
      </w:pPr>
    </w:p>
    <w:p>
      <w:pPr>
        <w:ind w:right="540" w:firstLine="576"/>
        <w:spacing w:after="0" w:line="24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9" w:lineRule="exact"/>
        <w:rPr>
          <w:sz w:val="20"/>
          <w:szCs w:val="20"/>
          <w:color w:val="auto"/>
        </w:rPr>
      </w:pPr>
    </w:p>
    <w:p>
      <w:pPr>
        <w:ind w:left="1300" w:right="200" w:hanging="442"/>
        <w:spacing w:after="0" w:line="246"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88" w:lineRule="exact"/>
        <w:rPr>
          <w:rFonts w:ascii="Arial" w:cs="Arial" w:eastAsia="Arial" w:hAnsi="Arial"/>
          <w:sz w:val="18"/>
          <w:szCs w:val="18"/>
          <w:color w:val="auto"/>
        </w:rPr>
      </w:pPr>
    </w:p>
    <w:p>
      <w:pPr>
        <w:ind w:left="1300" w:right="600" w:hanging="442"/>
        <w:spacing w:after="0" w:line="246"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any future licensors or collaborators might not have been the first to make the inventions covered by the issued patents or patent application that we own or license;</w:t>
      </w:r>
    </w:p>
    <w:p>
      <w:pPr>
        <w:spacing w:after="0" w:line="88" w:lineRule="exact"/>
        <w:rPr>
          <w:rFonts w:ascii="Arial" w:cs="Arial" w:eastAsia="Arial" w:hAnsi="Arial"/>
          <w:sz w:val="18"/>
          <w:szCs w:val="18"/>
          <w:color w:val="auto"/>
        </w:rPr>
      </w:pPr>
    </w:p>
    <w:p>
      <w:pPr>
        <w:ind w:left="1300" w:right="380" w:hanging="442"/>
        <w:spacing w:after="0" w:line="246"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any future licensors or collaborators might not have been the first to file patent applications covering certain of our inventions;</w:t>
      </w:r>
    </w:p>
    <w:p>
      <w:pPr>
        <w:spacing w:after="0" w:line="88" w:lineRule="exact"/>
        <w:rPr>
          <w:rFonts w:ascii="Arial" w:cs="Arial" w:eastAsia="Arial" w:hAnsi="Arial"/>
          <w:sz w:val="18"/>
          <w:szCs w:val="18"/>
          <w:color w:val="auto"/>
        </w:rPr>
      </w:pPr>
    </w:p>
    <w:p>
      <w:pPr>
        <w:ind w:left="1300" w:right="160" w:hanging="442"/>
        <w:spacing w:after="0" w:line="246"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17" w:lineRule="exact"/>
        <w:rPr>
          <w:rFonts w:ascii="Arial" w:cs="Arial" w:eastAsia="Arial" w:hAnsi="Arial"/>
          <w:sz w:val="18"/>
          <w:szCs w:val="18"/>
          <w:color w:val="auto"/>
        </w:rPr>
      </w:pPr>
    </w:p>
    <w:p>
      <w:pPr>
        <w:ind w:left="1300" w:right="900" w:hanging="442"/>
        <w:spacing w:after="0" w:line="246"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88" w:lineRule="exact"/>
        <w:rPr>
          <w:rFonts w:ascii="Arial" w:cs="Arial" w:eastAsia="Arial" w:hAnsi="Arial"/>
          <w:sz w:val="18"/>
          <w:szCs w:val="18"/>
          <w:color w:val="auto"/>
        </w:rPr>
      </w:pPr>
    </w:p>
    <w:p>
      <w:pPr>
        <w:ind w:left="1300" w:hanging="442"/>
        <w:spacing w:after="0" w:line="274" w:lineRule="auto"/>
        <w:tabs>
          <w:tab w:leader="none" w:pos="13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6" w:lineRule="exact"/>
        <w:rPr>
          <w:rFonts w:ascii="Arial" w:cs="Arial" w:eastAsia="Arial" w:hAnsi="Arial"/>
          <w:sz w:val="17"/>
          <w:szCs w:val="17"/>
          <w:color w:val="auto"/>
        </w:rPr>
      </w:pPr>
    </w:p>
    <w:p>
      <w:pPr>
        <w:ind w:left="1300" w:hanging="44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17" w:lineRule="exact"/>
        <w:rPr>
          <w:rFonts w:ascii="Arial" w:cs="Arial" w:eastAsia="Arial" w:hAnsi="Arial"/>
          <w:sz w:val="18"/>
          <w:szCs w:val="18"/>
          <w:color w:val="auto"/>
        </w:rPr>
      </w:pPr>
    </w:p>
    <w:p>
      <w:pPr>
        <w:ind w:left="1300" w:right="1060" w:hanging="442"/>
        <w:spacing w:after="0" w:line="246"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29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83" w:lineRule="exact"/>
        <w:rPr>
          <w:sz w:val="20"/>
          <w:szCs w:val="20"/>
          <w:color w:val="auto"/>
        </w:rPr>
      </w:pPr>
    </w:p>
    <w:p>
      <w:pPr>
        <w:ind w:right="100" w:firstLine="576"/>
        <w:spacing w:after="0" w:line="261" w:lineRule="auto"/>
        <w:rPr>
          <w:sz w:val="20"/>
          <w:szCs w:val="20"/>
          <w:color w:val="auto"/>
        </w:rPr>
      </w:pPr>
      <w:r>
        <w:rPr>
          <w:rFonts w:ascii="Arial" w:cs="Arial" w:eastAsia="Arial" w:hAnsi="Arial"/>
          <w:sz w:val="17"/>
          <w:szCs w:val="17"/>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60" w:name="page61"/>
    <w:bookmarkEnd w:id="60"/>
    <w:p>
      <w:pPr>
        <w:ind w:right="180"/>
        <w:spacing w:after="0" w:line="237" w:lineRule="auto"/>
        <w:rPr>
          <w:sz w:val="20"/>
          <w:szCs w:val="20"/>
          <w:color w:val="auto"/>
        </w:rPr>
      </w:pPr>
      <w:r>
        <w:rPr>
          <w:rFonts w:ascii="Arial" w:cs="Arial" w:eastAsia="Arial" w:hAnsi="Arial"/>
          <w:sz w:val="18"/>
          <w:szCs w:val="18"/>
          <w:color w:val="auto"/>
        </w:rPr>
        <w:t>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203"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96" w:lineRule="exact"/>
        <w:rPr>
          <w:sz w:val="20"/>
          <w:szCs w:val="20"/>
          <w:color w:val="auto"/>
        </w:rPr>
      </w:pPr>
    </w:p>
    <w:p>
      <w:pPr>
        <w:ind w:left="1300" w:hanging="44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17" w:lineRule="exact"/>
        <w:rPr>
          <w:rFonts w:ascii="Arial" w:cs="Arial" w:eastAsia="Arial" w:hAnsi="Arial"/>
          <w:sz w:val="18"/>
          <w:szCs w:val="18"/>
          <w:color w:val="auto"/>
        </w:rPr>
      </w:pPr>
    </w:p>
    <w:p>
      <w:pPr>
        <w:ind w:left="1300" w:right="280" w:hanging="442"/>
        <w:spacing w:after="0" w:line="246"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not infringed in a court of law;</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117" w:lineRule="exact"/>
        <w:rPr>
          <w:rFonts w:ascii="Arial" w:cs="Arial" w:eastAsia="Arial" w:hAnsi="Arial"/>
          <w:sz w:val="18"/>
          <w:szCs w:val="18"/>
          <w:color w:val="auto"/>
        </w:rPr>
      </w:pPr>
    </w:p>
    <w:p>
      <w:pPr>
        <w:ind w:left="1300" w:right="100" w:hanging="442"/>
        <w:spacing w:after="0" w:line="246"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97"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prospectus, others may hold proprietary rights that could prevent our product candidates from being marketed.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product candidates, our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negative publicity and could prohibit us from marketing or otherwise commercializing our product candidates and technology.</w:t>
      </w:r>
    </w:p>
    <w:p>
      <w:pPr>
        <w:spacing w:after="0" w:line="212"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291"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product candidates through acquisitions and in-licenses.</w:t>
      </w:r>
    </w:p>
    <w:p>
      <w:pPr>
        <w:spacing w:after="0" w:line="68" w:lineRule="exact"/>
        <w:rPr>
          <w:sz w:val="20"/>
          <w:szCs w:val="20"/>
          <w:color w:val="auto"/>
        </w:rPr>
      </w:pPr>
    </w:p>
    <w:p>
      <w:pPr>
        <w:ind w:right="360" w:firstLine="576"/>
        <w:spacing w:after="0" w:line="248" w:lineRule="auto"/>
        <w:rPr>
          <w:sz w:val="20"/>
          <w:szCs w:val="20"/>
          <w:color w:val="auto"/>
        </w:rPr>
      </w:pPr>
      <w:r>
        <w:rPr>
          <w:rFonts w:ascii="Arial" w:cs="Arial" w:eastAsia="Arial" w:hAnsi="Arial"/>
          <w:sz w:val="17"/>
          <w:szCs w:val="17"/>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9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any future licensors’ patents, which could be expensive, time consuming and unsuccessful. Further, our issued patents or any future licensors’ patents could be found invalid or unenforceable if challenged in court.</w:t>
      </w:r>
    </w:p>
    <w:p>
      <w:pPr>
        <w:spacing w:after="0" w:line="83"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any future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207"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future licensors’ patents in such a way that they no longer cover our technology or platform,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or any product candidates that we may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62" w:name="page63"/>
    <w:bookmarkEnd w:id="62"/>
    <w:p>
      <w:pPr>
        <w:ind w:right="320"/>
        <w:spacing w:after="0" w:line="246" w:lineRule="auto"/>
        <w:rPr>
          <w:sz w:val="20"/>
          <w:szCs w:val="20"/>
          <w:color w:val="auto"/>
        </w:rPr>
      </w:pPr>
      <w:r>
        <w:rPr>
          <w:rFonts w:ascii="Arial" w:cs="Arial" w:eastAsia="Arial" w:hAnsi="Arial"/>
          <w:sz w:val="18"/>
          <w:szCs w:val="18"/>
          <w:color w:val="auto"/>
        </w:rPr>
        <w:t>develop. Such a loss of patent protection would have a material adverse impact on our business, financial condition, results of operations and prospects.</w:t>
      </w:r>
    </w:p>
    <w:p>
      <w:pPr>
        <w:spacing w:after="0" w:line="197"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outcome following legal assertions of invalidity and/or unenforceability is unpredictable, and prior art could render our patent or any future licensors’ patent invalid. There is no assurance that all potentially relevant prior art relating to our patent and patent applications or the patent and patent applications of any future licensors has been found. There is also no assurance that there is not prior art of which we are aware, but which we do not believe affects the validity or enforceability of a claim in our patent and patent applications or the patent and patent applications of any future licensors, which may, nonetheless, ultimately be found to affect the validity or enforceability of a claim.</w:t>
      </w:r>
    </w:p>
    <w:p>
      <w:pPr>
        <w:spacing w:after="0" w:line="202"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or the patent and patent applications of any future licensors is threatened, it could dissuade companies from collaborating with us to license, develop or commercialize current or future product candidates. Such a loss of patent protection would have a material adverse impact on our business.</w:t>
      </w:r>
    </w:p>
    <w:p>
      <w:pPr>
        <w:spacing w:after="0" w:line="202"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07"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02" w:lineRule="exact"/>
        <w:rPr>
          <w:sz w:val="20"/>
          <w:szCs w:val="20"/>
          <w:color w:val="auto"/>
        </w:rPr>
      </w:pPr>
    </w:p>
    <w:p>
      <w:pPr>
        <w:ind w:right="400" w:firstLine="576"/>
        <w:spacing w:after="0" w:line="246" w:lineRule="auto"/>
        <w:rPr>
          <w:sz w:val="20"/>
          <w:szCs w:val="20"/>
          <w:color w:val="auto"/>
        </w:rPr>
      </w:pPr>
      <w:r>
        <w:rPr>
          <w:rFonts w:ascii="Arial" w:cs="Arial" w:eastAsia="Arial" w:hAnsi="Arial"/>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283"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68"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63" w:name="page64"/>
    <w:bookmarkEnd w:id="63"/>
    <w:p>
      <w:pPr>
        <w:spacing w:after="0" w:line="271"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68"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or those of any future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294" w:lineRule="exact"/>
        <w:rPr>
          <w:sz w:val="20"/>
          <w:szCs w:val="20"/>
          <w:color w:val="auto"/>
        </w:rPr>
      </w:pPr>
    </w:p>
    <w:p>
      <w:pPr>
        <w:ind w:right="20"/>
        <w:spacing w:after="0" w:line="301" w:lineRule="auto"/>
        <w:rPr>
          <w:sz w:val="20"/>
          <w:szCs w:val="20"/>
          <w:color w:val="auto"/>
        </w:rPr>
      </w:pPr>
      <w:r>
        <w:rPr>
          <w:rFonts w:ascii="Arial" w:cs="Arial" w:eastAsia="Arial" w:hAnsi="Arial"/>
          <w:sz w:val="17"/>
          <w:szCs w:val="17"/>
          <w:b w:val="1"/>
          <w:bCs w:val="1"/>
          <w:i w:val="1"/>
          <w:iCs w:val="1"/>
          <w:color w:val="auto"/>
        </w:rPr>
        <w:t>Recent patent reform legislation could increase the uncertainties and costs surrounding the prosecution of our patent applications or those of any future licensors and the enforcement or defense of our issued patents or those of any future licensors.</w:t>
      </w:r>
    </w:p>
    <w:p>
      <w:pPr>
        <w:spacing w:after="0" w:line="45"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future licensors are the first to either (1) file any patent application related to our product candidates or (2) invent any of the inventions claimed in the patents or patent applications.</w:t>
      </w:r>
    </w:p>
    <w:p>
      <w:pPr>
        <w:spacing w:after="0" w:line="204"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202"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any future licensors and the enforcement or defense of our issued patents or those of any future licensors, all of which could have a material adverse effect on our business, financial condition, results of operations and prospects.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64" w:name="page65"/>
    <w:bookmarkEnd w:id="64"/>
    <w:p>
      <w:pPr>
        <w:ind w:right="100"/>
        <w:spacing w:after="0" w:line="271"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8"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203" w:lineRule="exact"/>
        <w:rPr>
          <w:sz w:val="20"/>
          <w:szCs w:val="20"/>
          <w:color w:val="auto"/>
        </w:rPr>
      </w:pPr>
    </w:p>
    <w:p>
      <w:pPr>
        <w:ind w:right="120" w:firstLine="576"/>
        <w:spacing w:after="0" w:line="237"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26"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26"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26"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one or more of our U.S. patents or those of any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65" w:name="page66"/>
    <w:bookmarkEnd w:id="65"/>
    <w:p>
      <w:pPr>
        <w:ind w:right="40"/>
        <w:spacing w:after="0" w:line="236" w:lineRule="auto"/>
        <w:rPr>
          <w:sz w:val="20"/>
          <w:szCs w:val="20"/>
          <w:color w:val="auto"/>
        </w:rPr>
      </w:pPr>
      <w:r>
        <w:rPr>
          <w:rFonts w:ascii="Arial" w:cs="Arial" w:eastAsia="Arial" w:hAnsi="Arial"/>
          <w:sz w:val="18"/>
          <w:szCs w:val="18"/>
          <w:color w:val="auto"/>
        </w:rPr>
        <w:t>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clinical trials by referencing our clinical and nonclinical data and launch their product earlier than might otherwise be the case.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126"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We own or in-license nine U.S. issued patents and own one U.S. pending patent application, as well as 12 in-licensed patents issued in jurisdictions outside of the United States, two in-licensed pending patent applications in jurisdictions outside of the United States, and seven owned patent applications pending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any future licensors, or other intellectual property rights may not be effective or sufficient to prevent them from competing.</w:t>
      </w:r>
    </w:p>
    <w:p>
      <w:pPr>
        <w:spacing w:after="0" w:line="205"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future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any future licensors at risk of being invalidated or interpreted narrowly and our patent applications or the patent applications of any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7" w:lineRule="exact"/>
        <w:rPr>
          <w:sz w:val="20"/>
          <w:szCs w:val="20"/>
          <w:color w:val="auto"/>
        </w:rPr>
      </w:pPr>
    </w:p>
    <w:p>
      <w:pPr>
        <w:ind w:right="120" w:firstLine="576"/>
        <w:spacing w:after="0" w:line="238"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6" w:name="page67"/>
    <w:bookmarkEnd w:id="66"/>
    <w:p>
      <w:pPr>
        <w:ind w:right="14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83"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applications and those of any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9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8"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26" w:lineRule="exact"/>
        <w:rPr>
          <w:sz w:val="20"/>
          <w:szCs w:val="20"/>
          <w:color w:val="auto"/>
        </w:rPr>
      </w:pPr>
    </w:p>
    <w:p>
      <w:pPr>
        <w:ind w:right="260" w:firstLine="576"/>
        <w:spacing w:after="0" w:line="236"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208" w:lineRule="exact"/>
        <w:rPr>
          <w:sz w:val="20"/>
          <w:szCs w:val="20"/>
          <w:color w:val="auto"/>
        </w:rPr>
      </w:pPr>
    </w:p>
    <w:p>
      <w:pPr>
        <w:ind w:right="200" w:firstLine="576"/>
        <w:spacing w:after="0" w:line="238"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7" w:name="page68"/>
    <w:bookmarkEnd w:id="67"/>
    <w:p>
      <w:pPr>
        <w:ind w:right="360"/>
        <w:spacing w:after="0" w:line="246" w:lineRule="auto"/>
        <w:rPr>
          <w:sz w:val="20"/>
          <w:szCs w:val="20"/>
          <w:color w:val="auto"/>
        </w:rPr>
      </w:pPr>
      <w:r>
        <w:rPr>
          <w:rFonts w:ascii="Arial" w:cs="Arial" w:eastAsia="Arial" w:hAnsi="Arial"/>
          <w:sz w:val="18"/>
          <w:szCs w:val="18"/>
          <w:color w:val="auto"/>
        </w:rPr>
        <w:t>confidentiality of our proprietary technology and other confidential information, then our ability to obtain patent protection or to protect our trade secret information may be jeopardized.</w:t>
      </w:r>
    </w:p>
    <w:p>
      <w:pPr>
        <w:spacing w:after="0" w:line="28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w:t>
      </w:r>
    </w:p>
    <w:p>
      <w:pPr>
        <w:spacing w:after="0" w:line="68"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206" w:lineRule="exact"/>
        <w:rPr>
          <w:sz w:val="20"/>
          <w:szCs w:val="20"/>
          <w:color w:val="auto"/>
        </w:rPr>
      </w:pPr>
    </w:p>
    <w:p>
      <w:pPr>
        <w:ind w:right="120" w:firstLine="576"/>
        <w:spacing w:after="0" w:line="238"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spacing w:after="0" w:line="288"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68" w:lineRule="exact"/>
        <w:rPr>
          <w:sz w:val="20"/>
          <w:szCs w:val="20"/>
          <w:color w:val="auto"/>
        </w:rPr>
      </w:pPr>
    </w:p>
    <w:p>
      <w:pPr>
        <w:ind w:right="120" w:firstLine="576"/>
        <w:spacing w:after="0" w:line="236" w:lineRule="auto"/>
        <w:rPr>
          <w:sz w:val="20"/>
          <w:szCs w:val="20"/>
          <w:color w:val="auto"/>
        </w:rPr>
      </w:pPr>
      <w:r>
        <w:rPr>
          <w:rFonts w:ascii="Arial" w:cs="Arial" w:eastAsia="Arial" w:hAnsi="Arial"/>
          <w:sz w:val="18"/>
          <w:szCs w:val="18"/>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94"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68"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We have entered into license agreements with third parties and we may enter into additional license agreements in the future with others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205" w:lineRule="exact"/>
        <w:rPr>
          <w:sz w:val="20"/>
          <w:szCs w:val="20"/>
          <w:color w:val="auto"/>
        </w:rPr>
      </w:pPr>
    </w:p>
    <w:p>
      <w:pPr>
        <w:ind w:right="840" w:firstLine="576"/>
        <w:spacing w:after="0" w:line="246"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8" w:name="page69"/>
    <w:bookmarkEnd w:id="68"/>
    <w:p>
      <w:pPr>
        <w:ind w:right="100"/>
        <w:spacing w:after="0" w:line="238" w:lineRule="auto"/>
        <w:rPr>
          <w:sz w:val="20"/>
          <w:szCs w:val="20"/>
          <w:color w:val="auto"/>
        </w:rPr>
      </w:pPr>
      <w:r>
        <w:rPr>
          <w:rFonts w:ascii="Arial" w:cs="Arial" w:eastAsia="Arial" w:hAnsi="Arial"/>
          <w:sz w:val="18"/>
          <w:szCs w:val="18"/>
          <w:color w:val="auto"/>
        </w:rPr>
        <w:t>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any of our future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202" w:lineRule="exact"/>
        <w:rPr>
          <w:sz w:val="20"/>
          <w:szCs w:val="20"/>
          <w:color w:val="auto"/>
        </w:rPr>
      </w:pPr>
    </w:p>
    <w:p>
      <w:pPr>
        <w:ind w:right="180" w:firstLine="576"/>
        <w:spacing w:after="0" w:line="238" w:lineRule="auto"/>
        <w:rPr>
          <w:sz w:val="20"/>
          <w:szCs w:val="20"/>
          <w:color w:val="auto"/>
        </w:rPr>
      </w:pPr>
      <w:r>
        <w:rPr>
          <w:rFonts w:ascii="Arial" w:cs="Arial" w:eastAsia="Arial" w:hAnsi="Arial"/>
          <w:sz w:val="18"/>
          <w:szCs w:val="18"/>
          <w:color w:val="auto"/>
        </w:rPr>
        <w:t>Our licensors and any future licensors may have relied on third party consultants or collaborators or on funds from third parties such that our licensors are not the sole and exclusive owners of the patents we in-license.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202"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293"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83" w:lineRule="exact"/>
        <w:rPr>
          <w:sz w:val="20"/>
          <w:szCs w:val="20"/>
          <w:color w:val="auto"/>
        </w:rPr>
      </w:pPr>
    </w:p>
    <w:p>
      <w:pPr>
        <w:ind w:right="440" w:firstLine="576"/>
        <w:spacing w:after="0" w:line="246" w:lineRule="auto"/>
        <w:rPr>
          <w:sz w:val="20"/>
          <w:szCs w:val="20"/>
          <w:color w:val="auto"/>
        </w:rPr>
      </w:pPr>
      <w:r>
        <w:rPr>
          <w:rFonts w:ascii="Arial" w:cs="Arial" w:eastAsia="Arial" w:hAnsi="Arial"/>
          <w:sz w:val="18"/>
          <w:szCs w:val="18"/>
          <w:color w:val="auto"/>
        </w:rPr>
        <w:t>Disputes may arise between us and our current or future licensors regarding intellectual property subject to a license agreement, including:</w:t>
      </w:r>
    </w:p>
    <w:p>
      <w:pPr>
        <w:spacing w:after="0" w:line="89" w:lineRule="exact"/>
        <w:rPr>
          <w:sz w:val="20"/>
          <w:szCs w:val="20"/>
          <w:color w:val="auto"/>
        </w:rPr>
      </w:pPr>
    </w:p>
    <w:p>
      <w:pPr>
        <w:ind w:left="1300" w:hanging="44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300" w:right="460" w:hanging="442"/>
        <w:spacing w:after="0" w:line="246"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right to transfer or assign the license;</w:t>
      </w:r>
    </w:p>
    <w:p>
      <w:pPr>
        <w:spacing w:after="0" w:line="117" w:lineRule="exact"/>
        <w:rPr>
          <w:rFonts w:ascii="Arial" w:cs="Arial" w:eastAsia="Arial" w:hAnsi="Arial"/>
          <w:sz w:val="18"/>
          <w:szCs w:val="18"/>
          <w:color w:val="auto"/>
        </w:rPr>
      </w:pPr>
    </w:p>
    <w:p>
      <w:pPr>
        <w:ind w:left="1300" w:right="80" w:hanging="442"/>
        <w:spacing w:after="0" w:line="246"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9" w:name="page70"/>
    <w:bookmarkEnd w:id="69"/>
    <w:p>
      <w:pPr>
        <w:ind w:right="80"/>
        <w:spacing w:after="0"/>
        <w:rPr>
          <w:sz w:val="20"/>
          <w:szCs w:val="20"/>
          <w:color w:val="auto"/>
        </w:rPr>
      </w:pPr>
      <w:r>
        <w:rPr>
          <w:rFonts w:ascii="Arial" w:cs="Arial" w:eastAsia="Arial" w:hAnsi="Arial"/>
          <w:sz w:val="18"/>
          <w:szCs w:val="18"/>
          <w:color w:val="auto"/>
        </w:rPr>
        <w:t>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203"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26"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w:t>
      </w:r>
    </w:p>
    <w:p>
      <w:pPr>
        <w:spacing w:after="0" w:line="18"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in” rights, certain reporting requirements and a preference for U.S.-based companies. Compliance with such regulations may limit our exclusive rights and limit our ability to contract with non-U.S. manufacturers.</w:t>
      </w:r>
    </w:p>
    <w:p>
      <w:pPr>
        <w:spacing w:after="0" w:line="89"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0" w:name="page71"/>
    <w:bookmarkEnd w:id="70"/>
    <w:p>
      <w:pPr>
        <w:ind w:right="60"/>
        <w:spacing w:after="0"/>
        <w:rPr>
          <w:sz w:val="20"/>
          <w:szCs w:val="20"/>
          <w:color w:val="auto"/>
        </w:rPr>
      </w:pPr>
      <w:r>
        <w:rPr>
          <w:rFonts w:ascii="Arial" w:cs="Arial" w:eastAsia="Arial" w:hAnsi="Arial"/>
          <w:sz w:val="18"/>
          <w:szCs w:val="18"/>
          <w:color w:val="auto"/>
        </w:rPr>
        <w:t>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This Offering and Ownership of Our Common Stock</w:t>
      </w:r>
    </w:p>
    <w:p>
      <w:pPr>
        <w:spacing w:after="0" w:line="10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We do not know whether an active market will develop for our common stock or what the market price of our common stock will be, and, as a result, it may be difficult for you to sell your shares of our common stock.</w:t>
      </w:r>
    </w:p>
    <w:p>
      <w:pPr>
        <w:spacing w:after="0" w:line="68"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Before this offering, there was no public trading market for our common stock. If an active market for our common stock does not develop or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288"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 purchasing shares in this offering.</w:t>
      </w:r>
    </w:p>
    <w:p>
      <w:pPr>
        <w:spacing w:after="0" w:line="68" w:lineRule="exact"/>
        <w:rPr>
          <w:sz w:val="20"/>
          <w:szCs w:val="20"/>
          <w:color w:val="auto"/>
        </w:rPr>
      </w:pPr>
    </w:p>
    <w:p>
      <w:pPr>
        <w:ind w:right="120" w:firstLine="576"/>
        <w:spacing w:after="0" w:line="238" w:lineRule="auto"/>
        <w:rPr>
          <w:sz w:val="20"/>
          <w:szCs w:val="20"/>
          <w:color w:val="auto"/>
        </w:rPr>
      </w:pPr>
      <w:r>
        <w:rPr>
          <w:rFonts w:ascii="Arial" w:cs="Arial" w:eastAsia="Arial" w:hAnsi="Arial"/>
          <w:sz w:val="18"/>
          <w:szCs w:val="18"/>
          <w:color w:val="auto"/>
        </w:rPr>
        <w:t>The initial public offering price for our common stock was determined through negotiations with the underwriters. This initial public offering price may differ from the market price of our common stock after the offering. As a result, you may not be able to sell your common stock at or above the initial public offering price. Some of the factors that may cause the market price of our common stock to fluctuate include:</w:t>
      </w:r>
    </w:p>
    <w:p>
      <w:pPr>
        <w:spacing w:after="0" w:line="97" w:lineRule="exact"/>
        <w:rPr>
          <w:sz w:val="20"/>
          <w:szCs w:val="20"/>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results of nonclinical studies and clinical trials and, in particular, our LIFT-AD and P300 clinical trials;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of the ongoing COVID-19 pandemic on our business;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17" w:lineRule="exact"/>
        <w:rPr>
          <w:rFonts w:ascii="Arial" w:cs="Arial" w:eastAsia="Arial" w:hAnsi="Arial"/>
          <w:sz w:val="18"/>
          <w:szCs w:val="18"/>
          <w:color w:val="auto"/>
        </w:rPr>
      </w:pPr>
    </w:p>
    <w:p>
      <w:pPr>
        <w:ind w:left="1300" w:right="400" w:hanging="442"/>
        <w:spacing w:after="0" w:line="246"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candidates;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or discontinuation of any of our product candidates;</w:t>
      </w:r>
    </w:p>
    <w:p>
      <w:pPr>
        <w:spacing w:after="0" w:line="117" w:lineRule="exact"/>
        <w:rPr>
          <w:rFonts w:ascii="Arial" w:cs="Arial" w:eastAsia="Arial" w:hAnsi="Arial"/>
          <w:sz w:val="18"/>
          <w:szCs w:val="18"/>
          <w:color w:val="auto"/>
        </w:rPr>
      </w:pPr>
    </w:p>
    <w:p>
      <w:pPr>
        <w:ind w:left="1300" w:right="1140" w:hanging="442"/>
        <w:spacing w:after="0" w:line="246"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results of nonclinical studies, clinical trials or regulatory approvals of product candidates of our competitors, or announcements about new research programs or product candidates of our competitors;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commencement of litigation;</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programs, product candidates that we may develop;</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17" w:lineRule="exact"/>
        <w:rPr>
          <w:rFonts w:ascii="Arial" w:cs="Arial" w:eastAsia="Arial" w:hAnsi="Arial"/>
          <w:sz w:val="18"/>
          <w:szCs w:val="18"/>
          <w:color w:val="auto"/>
        </w:rPr>
      </w:pPr>
    </w:p>
    <w:p>
      <w:pPr>
        <w:ind w:left="1300" w:right="160" w:hanging="442"/>
        <w:spacing w:after="0" w:line="246"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90" w:right="419" w:bottom="1440" w:gutter="0" w:footer="0" w:header="0"/>
        </w:sectPr>
      </w:pPr>
    </w:p>
    <w:bookmarkStart w:id="71" w:name="page72"/>
    <w:bookmarkEnd w:id="71"/>
    <w:p>
      <w:pPr>
        <w:ind w:left="1300" w:hanging="44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These fluctuations may be even more pronounced in the trading market for our stock shortly following this offering.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94"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8"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8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A significant portion of our total outstanding shares is restricted from immediate resale but may be sold into the market in the near future, which could cause the market price of our common stock to decline significantly, even if our business is doing well.</w:t>
      </w:r>
    </w:p>
    <w:p>
      <w:pPr>
        <w:spacing w:after="0" w:line="68" w:lineRule="exact"/>
        <w:rPr>
          <w:sz w:val="20"/>
          <w:szCs w:val="20"/>
          <w:color w:val="auto"/>
        </w:rPr>
      </w:pPr>
    </w:p>
    <w:p>
      <w:pPr>
        <w:ind w:right="220" w:firstLine="576"/>
        <w:spacing w:after="0" w:line="24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upon the expiration of the market standoff and lock-up agreements, the early release of these agreements or the perception in the market that the holders of a large number of shares of common stock intend to sell shares, could reduce the market price of our common stock. After this offering and after giving effect to the conversion of all outstanding shares of our convertible preferred stock and the exercise of outstanding</w:t>
      </w:r>
    </w:p>
    <w:p>
      <w:pPr>
        <w:spacing w:after="0"/>
        <w:tabs>
          <w:tab w:leader="none" w:pos="3020" w:val="left"/>
          <w:tab w:leader="none" w:pos="6040" w:val="left"/>
        </w:tabs>
        <w:rPr>
          <w:sz w:val="20"/>
          <w:szCs w:val="20"/>
          <w:color w:val="auto"/>
        </w:rPr>
      </w:pPr>
      <w:r>
        <w:rPr>
          <w:rFonts w:ascii="Arial" w:cs="Arial" w:eastAsia="Arial" w:hAnsi="Arial"/>
          <w:sz w:val="18"/>
          <w:szCs w:val="18"/>
          <w:color w:val="auto"/>
        </w:rPr>
        <w:t>warrants into an aggregate of</w:t>
      </w:r>
      <w:r>
        <w:rPr>
          <w:sz w:val="20"/>
          <w:szCs w:val="20"/>
          <w:color w:val="auto"/>
        </w:rPr>
        <w:tab/>
      </w:r>
      <w:r>
        <w:rPr>
          <w:rFonts w:ascii="Arial" w:cs="Arial" w:eastAsia="Arial" w:hAnsi="Arial"/>
          <w:sz w:val="18"/>
          <w:szCs w:val="18"/>
          <w:color w:val="auto"/>
        </w:rPr>
        <w:t>shares of our common stock,</w:t>
      </w:r>
      <w:r>
        <w:rPr>
          <w:sz w:val="20"/>
          <w:szCs w:val="20"/>
          <w:color w:val="auto"/>
        </w:rPr>
        <w:tab/>
      </w:r>
      <w:r>
        <w:rPr>
          <w:rFonts w:ascii="Arial" w:cs="Arial" w:eastAsia="Arial" w:hAnsi="Arial"/>
          <w:sz w:val="17"/>
          <w:szCs w:val="17"/>
          <w:color w:val="auto"/>
        </w:rPr>
        <w:t>shares of our common stock will be outstanding, or</w:t>
      </w:r>
    </w:p>
    <w:p>
      <w:pPr>
        <w:spacing w:after="0" w:line="234" w:lineRule="auto"/>
        <w:rPr>
          <w:sz w:val="20"/>
          <w:szCs w:val="20"/>
          <w:color w:val="auto"/>
        </w:rPr>
      </w:pPr>
      <w:r>
        <w:rPr>
          <w:rFonts w:ascii="Arial" w:cs="Arial" w:eastAsia="Arial" w:hAnsi="Arial"/>
          <w:sz w:val="18"/>
          <w:szCs w:val="18"/>
          <w:color w:val="auto"/>
        </w:rPr>
        <w:t>shares of common stock if the underwriters exercise their option to purchase additional shares in full, based on our shares outstanding as of</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June 30, 2020. Of these shares, the shares we are selling in this offering, or shares if the underwriters exercise their option to purchase additional shares in full, may be resold in the public market immediately. The remaining shares, or % of our outstanding shares after this offering, or % of our outstanding shares after this offering if the underwriters exercise their option to</w:t>
      </w:r>
    </w:p>
    <w:p>
      <w:pPr>
        <w:spacing w:after="0" w:line="2" w:lineRule="exact"/>
        <w:rPr>
          <w:sz w:val="20"/>
          <w:szCs w:val="20"/>
          <w:color w:val="auto"/>
        </w:rPr>
      </w:pPr>
    </w:p>
    <w:p>
      <w:pPr>
        <w:jc w:val="both"/>
        <w:ind w:right="60"/>
        <w:spacing w:after="0" w:line="261" w:lineRule="auto"/>
        <w:rPr>
          <w:sz w:val="20"/>
          <w:szCs w:val="20"/>
          <w:color w:val="auto"/>
        </w:rPr>
      </w:pPr>
      <w:r>
        <w:rPr>
          <w:rFonts w:ascii="Arial" w:cs="Arial" w:eastAsia="Arial" w:hAnsi="Arial"/>
          <w:sz w:val="17"/>
          <w:szCs w:val="17"/>
          <w:color w:val="auto"/>
        </w:rPr>
        <w:t>purchase additional shares in full, are currently prohibited or otherwise restricted under securities laws, market standoff agreements entered into by our stockholders with us or lock-up agreements entered into by our stockholders with the underwriters; however, subject to applicable securities law restrictions and excluding shares of restricted stock that will remain unvested, these shares will be able to be sold in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2" w:name="page73"/>
    <w:bookmarkEnd w:id="72"/>
    <w:p>
      <w:pPr>
        <w:ind w:right="360"/>
        <w:spacing w:after="0" w:line="237" w:lineRule="auto"/>
        <w:rPr>
          <w:sz w:val="20"/>
          <w:szCs w:val="20"/>
          <w:color w:val="auto"/>
        </w:rPr>
      </w:pPr>
      <w:r>
        <w:rPr>
          <w:rFonts w:ascii="Arial" w:cs="Arial" w:eastAsia="Arial" w:hAnsi="Arial"/>
          <w:sz w:val="18"/>
          <w:szCs w:val="18"/>
          <w:color w:val="auto"/>
        </w:rPr>
        <w:t>public market beginning 180 days after the date of this prospectus. The representatives may, in their sole discretion, release all or some portion of the shares subject to lock-up agreements at any time and for any reason.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 See the section of this prospectus titled “Shares Eligible for Future Sale” for additional information.</w:t>
      </w:r>
    </w:p>
    <w:p>
      <w:pPr>
        <w:spacing w:after="0" w:line="205" w:lineRule="exact"/>
        <w:rPr>
          <w:sz w:val="20"/>
          <w:szCs w:val="20"/>
          <w:color w:val="auto"/>
        </w:rPr>
      </w:pPr>
    </w:p>
    <w:p>
      <w:pPr>
        <w:ind w:right="120" w:firstLine="576"/>
        <w:spacing w:after="0" w:line="237" w:lineRule="auto"/>
        <w:rPr>
          <w:sz w:val="20"/>
          <w:szCs w:val="20"/>
          <w:color w:val="auto"/>
        </w:rPr>
      </w:pPr>
      <w:r>
        <w:rPr>
          <w:rFonts w:ascii="Arial" w:cs="Arial" w:eastAsia="Arial" w:hAnsi="Arial"/>
          <w:sz w:val="18"/>
          <w:szCs w:val="18"/>
          <w:color w:val="auto"/>
        </w:rPr>
        <w:t>Moreover, upon completion of this offering, the holders of approximately shares of our common stock will be eligible to exercise certain rights, subject to various conditions and limitations, to require us to file registration statements covering their shares or to include their shares in registration statements that we may file for ourselves or other stockholders. We also plan to register all shares of common stock that we may issue under our equity compensation plans. Once we register these shares, they can be freely sold in the public market upon issuance and once vested, subject to volume limitations applicable to affiliates and the lock-up agreements described in the section of this prospectus titled “Underwriting.” If any of these additional shares are sold, or if it is perceived that they will be sold, in the public market, the market price of our common stock could decline.</w:t>
      </w:r>
    </w:p>
    <w:p>
      <w:pPr>
        <w:spacing w:after="0" w:line="289"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Insiders will continue to have substantial influence over us after this offering, which could limit your ability to affect the outcome of key transactions, including a change of control.</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After this offering, our directors, executive officers, holders of more than 5% of our outstanding common stock and their respective</w:t>
      </w:r>
    </w:p>
    <w:p>
      <w:pPr>
        <w:ind w:right="40"/>
        <w:spacing w:after="0" w:line="238" w:lineRule="auto"/>
        <w:rPr>
          <w:sz w:val="20"/>
          <w:szCs w:val="20"/>
          <w:color w:val="auto"/>
        </w:rPr>
      </w:pPr>
      <w:r>
        <w:rPr>
          <w:rFonts w:ascii="Arial" w:cs="Arial" w:eastAsia="Arial" w:hAnsi="Arial"/>
          <w:sz w:val="18"/>
          <w:szCs w:val="18"/>
          <w:color w:val="auto"/>
        </w:rPr>
        <w:t>affiliates will beneficially own shares representing approximately % of our outstanding common stock, or % of our common stock if the underwriters exercise their option to purchase additional shares in full.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73" w:name="page74"/>
    <w:bookmarkEnd w:id="73"/>
    <w:p>
      <w:pPr>
        <w:ind w:right="18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8"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this prospectus, we have not included all of the executive compensation-related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290"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68" w:lineRule="exact"/>
        <w:rPr>
          <w:sz w:val="20"/>
          <w:szCs w:val="20"/>
          <w:color w:val="auto"/>
        </w:rPr>
      </w:pPr>
    </w:p>
    <w:p>
      <w:pPr>
        <w:ind w:right="60" w:firstLine="576"/>
        <w:spacing w:after="0" w:line="235"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99"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68"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As a public company, we will operate in an increasingly demanding regulatory environment, which requires us to comply with the Sarbanes-Oxley Act of 2002, or the Sarbanes-Oxley Act, the regulations of the Nasdaq Global Market, the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the year after this offering is completed, we must perform system and process evaluation and testing of our internal controls over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4" w:name="page75"/>
    <w:bookmarkEnd w:id="74"/>
    <w:p>
      <w:pPr>
        <w:ind w:right="140"/>
        <w:spacing w:after="0"/>
        <w:rPr>
          <w:sz w:val="20"/>
          <w:szCs w:val="20"/>
          <w:color w:val="auto"/>
        </w:rPr>
      </w:pPr>
      <w:r>
        <w:rPr>
          <w:rFonts w:ascii="Arial" w:cs="Arial" w:eastAsia="Arial" w:hAnsi="Arial"/>
          <w:sz w:val="18"/>
          <w:szCs w:val="18"/>
          <w:color w:val="auto"/>
        </w:rPr>
        <w:t>financial reporting to allow management to report on the effectiveness of our internal controls over financial reporting in our Form 10-K filing for that year, as required by Section 404 of the Sarbanes-Oxley Act. Prior to this offering, we have never been required to test our internal controls within a specified period and, as a result, we may experience difficulty in meeting these reporting requirements in a timely manner.</w:t>
      </w:r>
    </w:p>
    <w:p>
      <w:pPr>
        <w:spacing w:after="0" w:line="203"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We anticipate that the process of building our accounting and financial functions and infrastructure will require significant additional professional fees, internal costs and management efforts. We expect that we will need to implement a new internal system to combine and streamline the management of our financial, accounting, human resources and other functions. However, such a system would likely require us to complete many processes and procedures for the effective use of the system or to run our business using the system, which may result in substantial costs.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05"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91"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b w:val="1"/>
          <w:bCs w:val="1"/>
          <w:i w:val="1"/>
          <w:iCs w:val="1"/>
          <w:color w:val="auto"/>
        </w:rPr>
        <w:t>If we are unable to maintain effective internal controls, our business, financial position and results of operations could be adversely affected.</w:t>
      </w:r>
    </w:p>
    <w:p>
      <w:pPr>
        <w:spacing w:after="0" w:line="68"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As a public company, we will be subject to reporting and other obligations under the Securities Exchange Act of 1934, as amended, or the Exchange Act, including the requirements of SOX Section 404, which require annual management assessments of the effectiveness of our internal control over financial reporting.</w:t>
      </w:r>
    </w:p>
    <w:p>
      <w:pPr>
        <w:spacing w:after="0" w:line="203"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w:t>
      </w:r>
    </w:p>
    <w:p>
      <w:pPr>
        <w:spacing w:after="0" w:line="202" w:lineRule="exact"/>
        <w:rPr>
          <w:sz w:val="20"/>
          <w:szCs w:val="20"/>
          <w:color w:val="auto"/>
        </w:rPr>
      </w:pPr>
    </w:p>
    <w:p>
      <w:pPr>
        <w:ind w:right="160" w:firstLine="576"/>
        <w:spacing w:after="0" w:line="23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26" w:lineRule="exact"/>
        <w:rPr>
          <w:sz w:val="20"/>
          <w:szCs w:val="20"/>
          <w:color w:val="auto"/>
        </w:rPr>
      </w:pPr>
    </w:p>
    <w:p>
      <w:pPr>
        <w:ind w:right="740" w:firstLine="576"/>
        <w:spacing w:after="0" w:line="246" w:lineRule="auto"/>
        <w:rPr>
          <w:sz w:val="20"/>
          <w:szCs w:val="20"/>
          <w:color w:val="auto"/>
        </w:rPr>
      </w:pPr>
      <w:r>
        <w:rPr>
          <w:rFonts w:ascii="Arial" w:cs="Arial" w:eastAsia="Arial" w:hAnsi="Arial"/>
          <w:sz w:val="18"/>
          <w:szCs w:val="18"/>
          <w:color w:val="auto"/>
        </w:rPr>
        <w:t>We cannot specify with certainty the particular uses of the net proceeds we will receive from this offering. We will have broad discretion in the application of the net proceeds, including for any of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75" w:name="page76"/>
    <w:bookmarkEnd w:id="75"/>
    <w:p>
      <w:pPr>
        <w:ind w:right="320"/>
        <w:spacing w:after="0" w:line="238" w:lineRule="auto"/>
        <w:rPr>
          <w:sz w:val="20"/>
          <w:szCs w:val="20"/>
          <w:color w:val="auto"/>
        </w:rPr>
      </w:pPr>
      <w:r>
        <w:rPr>
          <w:rFonts w:ascii="Arial" w:cs="Arial" w:eastAsia="Arial" w:hAnsi="Arial"/>
          <w:sz w:val="18"/>
          <w:szCs w:val="18"/>
          <w:color w:val="auto"/>
        </w:rPr>
        <w:t>purposes described in the section of this prospectus titled “Use of Proceeds.” We may spend a portion or all of the net proceeds from this offering in ways that our stockholders may not desire or that may not yield a favorable return. Any failure by us to apply these funds effectively could harm our business, financial condition, results of operations and prospects. Pending their use, we may invest the net proceeds from this offering in a manner that does not produce income or that loses value.</w:t>
      </w:r>
    </w:p>
    <w:p>
      <w:pPr>
        <w:spacing w:after="0" w:line="291"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or Washington law could make an acquisition of us difficult, limit attempts by our stockholders to replace or remove our current management and limit our stock price.</w:t>
      </w:r>
    </w:p>
    <w:p>
      <w:pPr>
        <w:spacing w:after="0" w:line="68"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Provisions of our certificate of incorporation and bylaws that will become effective immediately prior to the closing of this offering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certificate of incorporation and bylaws:</w:t>
      </w:r>
    </w:p>
    <w:p>
      <w:pPr>
        <w:sectPr>
          <w:pgSz w:w="11900" w:h="16838" w:orient="portrait"/>
          <w:cols w:equalWidth="0" w:num="1">
            <w:col w:w="11220"/>
          </w:cols>
          <w:pgMar w:left="320" w:top="490" w:right="359" w:bottom="1440" w:gutter="0" w:footer="0" w:header="0"/>
        </w:sectPr>
      </w:pPr>
    </w:p>
    <w:p>
      <w:pPr>
        <w:spacing w:after="0" w:line="8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permit the board of directors to issue up to they may designate;</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shares of preferred stock, with any rights, preferences and privileges as</w:t>
      </w:r>
    </w:p>
    <w:p>
      <w:pPr>
        <w:spacing w:after="0" w:line="317" w:lineRule="exact"/>
        <w:rPr>
          <w:sz w:val="20"/>
          <w:szCs w:val="20"/>
          <w:color w:val="auto"/>
        </w:rPr>
      </w:pPr>
    </w:p>
    <w:p>
      <w:pPr>
        <w:sectPr>
          <w:pgSz w:w="11900" w:h="16838" w:orient="portrait"/>
          <w:cols w:equalWidth="0" w:num="3">
            <w:col w:w="920" w:space="380"/>
            <w:col w:w="3360" w:space="660"/>
            <w:col w:w="5900"/>
          </w:cols>
          <w:pgMar w:left="320" w:top="490" w:right="359" w:bottom="1440" w:gutter="0" w:footer="0" w:header="0"/>
          <w:type w:val="continuous"/>
        </w:sectPr>
      </w:pPr>
    </w:p>
    <w:p>
      <w:pPr>
        <w:ind w:left="1300" w:hanging="44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117" w:lineRule="exact"/>
        <w:rPr>
          <w:rFonts w:ascii="Arial" w:cs="Arial" w:eastAsia="Arial" w:hAnsi="Arial"/>
          <w:sz w:val="18"/>
          <w:szCs w:val="18"/>
          <w:color w:val="auto"/>
        </w:rPr>
      </w:pPr>
    </w:p>
    <w:p>
      <w:pPr>
        <w:ind w:left="1300" w:right="220" w:hanging="442"/>
        <w:spacing w:after="0" w:line="246"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that all vacancies, including newly-created directorships, may, except as otherwise required by law, be filled by the affirmative vote of a majority of directors then in office, even if less than a quorum;</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divide the board of directors into three classes;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117" w:lineRule="exact"/>
        <w:rPr>
          <w:rFonts w:ascii="Arial" w:cs="Arial" w:eastAsia="Arial" w:hAnsi="Arial"/>
          <w:sz w:val="18"/>
          <w:szCs w:val="18"/>
          <w:color w:val="auto"/>
        </w:rPr>
      </w:pPr>
    </w:p>
    <w:p>
      <w:pPr>
        <w:ind w:left="1300" w:right="680" w:hanging="442"/>
        <w:spacing w:after="0" w:line="246"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may not be taken by written consent;</w:t>
      </w:r>
    </w:p>
    <w:p>
      <w:pPr>
        <w:spacing w:after="0" w:line="88" w:lineRule="exact"/>
        <w:rPr>
          <w:rFonts w:ascii="Arial" w:cs="Arial" w:eastAsia="Arial" w:hAnsi="Arial"/>
          <w:sz w:val="18"/>
          <w:szCs w:val="18"/>
          <w:color w:val="auto"/>
        </w:rPr>
      </w:pPr>
    </w:p>
    <w:p>
      <w:pPr>
        <w:ind w:left="1300" w:right="540" w:hanging="44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spacing w:after="0" w:line="94"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prevent cumulative voting rights (therefore allowing the holders of a plurality of the shares of common stock entitled to vote in any election of directors to elect all of the directors standing for election, if they should so choose);</w:t>
      </w:r>
    </w:p>
    <w:p>
      <w:pPr>
        <w:spacing w:after="0" w:line="88" w:lineRule="exact"/>
        <w:rPr>
          <w:rFonts w:ascii="Arial" w:cs="Arial" w:eastAsia="Arial" w:hAnsi="Arial"/>
          <w:sz w:val="18"/>
          <w:szCs w:val="18"/>
          <w:color w:val="auto"/>
        </w:rPr>
      </w:pPr>
    </w:p>
    <w:p>
      <w:pPr>
        <w:ind w:left="1300" w:right="20" w:hanging="442"/>
        <w:spacing w:after="0" w:line="246"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only by the chairman of the board, our chief executive officer or by the board of directors; and</w:t>
      </w:r>
    </w:p>
    <w:p>
      <w:pPr>
        <w:spacing w:after="0" w:line="88" w:lineRule="exact"/>
        <w:rPr>
          <w:rFonts w:ascii="Arial" w:cs="Arial" w:eastAsia="Arial" w:hAnsi="Arial"/>
          <w:sz w:val="18"/>
          <w:szCs w:val="18"/>
          <w:color w:val="auto"/>
        </w:rPr>
      </w:pPr>
    </w:p>
    <w:p>
      <w:pPr>
        <w:jc w:val="both"/>
        <w:ind w:left="1300" w:right="60" w:hanging="44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spacing w:after="0" w:line="203"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type w:val="continuous"/>
        </w:sectPr>
      </w:pPr>
    </w:p>
    <w:bookmarkStart w:id="76" w:name="page77"/>
    <w:bookmarkEnd w:id="76"/>
    <w:p>
      <w:pPr>
        <w:ind w:right="240"/>
        <w:spacing w:after="0" w:line="253"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spacing w:after="0" w:line="83" w:lineRule="exact"/>
        <w:rPr>
          <w:sz w:val="20"/>
          <w:szCs w:val="20"/>
          <w:color w:val="auto"/>
        </w:rPr>
      </w:pPr>
    </w:p>
    <w:p>
      <w:pPr>
        <w:ind w:right="200" w:firstLine="576"/>
        <w:spacing w:after="0" w:line="237" w:lineRule="auto"/>
        <w:rPr>
          <w:sz w:val="20"/>
          <w:szCs w:val="20"/>
          <w:color w:val="auto"/>
        </w:rPr>
      </w:pPr>
      <w:r>
        <w:rPr>
          <w:rFonts w:ascii="Arial" w:cs="Arial" w:eastAsia="Arial" w:hAnsi="Arial"/>
          <w:sz w:val="18"/>
          <w:szCs w:val="18"/>
          <w:color w:val="auto"/>
        </w:rPr>
        <w:t>Our certificate of incorporation that will become effective immediately prior to the closing of this offering provides that the Court of Chancery of the State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bylaws; any action to interpret, apply, enforce or determine the validity of our certificate of incorporation or our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203"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Our certificate of incorporation that will become effective immediately prior to the closing of this offering further provides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spacing w:after="0" w:line="205"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certificate of incorporation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77" w:name="page78"/>
    <w:bookmarkEnd w:id="77"/>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This prospectus contains forward-looking statements that are based on our management’s beliefs and assumptions and on information currently available to our management. Some of the statements in the sections of this prospectus titled “Prospectus Summary,” “Risk Factors,” “Management’s Discussion and Analysis of Financial Condition and Results of Operations” and “Business” and elsewhere in this prospectus contain forward-looking statements. In some cases, you can identify forward- looking statements by the following words: “anticipate,” “believe,” “continue,” “could,” “estimate,” “expect,” “intend,” “may,” “ongoing,” “plan,” “potential,” “predict,” “project,” “should,” “target”, “will,” “would” or the negative of these terms or other comparable terminology, although not all forward-looking statements contain these words.</w:t>
      </w:r>
    </w:p>
    <w:p>
      <w:pPr>
        <w:spacing w:after="0" w:line="203"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projections of the future, about which we cannot be certain. Forward-looking statements in this prospectus include, but are not limited to, statements about:</w:t>
      </w:r>
    </w:p>
    <w:p>
      <w:pPr>
        <w:spacing w:after="0" w:line="94" w:lineRule="exact"/>
        <w:rPr>
          <w:sz w:val="20"/>
          <w:szCs w:val="20"/>
          <w:color w:val="auto"/>
        </w:rPr>
      </w:pPr>
    </w:p>
    <w:p>
      <w:pPr>
        <w:ind w:left="1300" w:hanging="44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rFonts w:ascii="Arial" w:cs="Arial" w:eastAsia="Arial" w:hAnsi="Arial"/>
          <w:sz w:val="18"/>
          <w:szCs w:val="18"/>
          <w:color w:val="auto"/>
        </w:rPr>
      </w:pPr>
    </w:p>
    <w:p>
      <w:pPr>
        <w:ind w:left="1300" w:right="440" w:hanging="442"/>
        <w:spacing w:after="0" w:line="246"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sufficiency of our existing cash and cash equivalents to fund our future operating expenses and capital expenditure requirements;</w:t>
      </w:r>
    </w:p>
    <w:p>
      <w:pPr>
        <w:spacing w:after="0" w:line="196" w:lineRule="exact"/>
        <w:rPr>
          <w:rFonts w:ascii="Arial" w:cs="Arial" w:eastAsia="Arial" w:hAnsi="Arial"/>
          <w:sz w:val="18"/>
          <w:szCs w:val="18"/>
          <w:color w:val="auto"/>
        </w:rPr>
      </w:pPr>
    </w:p>
    <w:p>
      <w:pPr>
        <w:ind w:left="1300" w:right="540" w:hanging="442"/>
        <w:spacing w:after="0" w:line="246"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develop and commercialize our product candidates;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ability of our nonclinical studies and clinical trials to demonstrate safety and efficacy of our product candidates;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success, cost and timing of our development activities, nonclinical studies and clinical trials;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and focus of our future clinical trials, and the reporting of data from those trials;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225"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attract and retain key managerial, scientific and clinical personnel;</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225" w:lineRule="exact"/>
        <w:rPr>
          <w:rFonts w:ascii="Arial" w:cs="Arial" w:eastAsia="Arial" w:hAnsi="Arial"/>
          <w:sz w:val="18"/>
          <w:szCs w:val="18"/>
          <w:color w:val="auto"/>
        </w:rPr>
      </w:pPr>
    </w:p>
    <w:p>
      <w:pPr>
        <w:ind w:left="1300" w:right="540" w:hanging="442"/>
        <w:spacing w:after="0" w:line="246"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reliance on third parties to conduct clinical trials of our product candidates, and for the manufacture of our product candidates for nonclinical studies and clinical trials;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expand our product candidates into additional indications and patient populations;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sectPr>
      </w:pPr>
    </w:p>
    <w:bookmarkStart w:id="78" w:name="page79"/>
    <w:bookmarkEnd w:id="78"/>
    <w:p>
      <w:pPr>
        <w:ind w:left="1300" w:hanging="442"/>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beneficial characteristics, safety and efficacy of our product candidates;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jurisdictions;</w:t>
      </w:r>
    </w:p>
    <w:p>
      <w:pPr>
        <w:spacing w:after="0" w:line="225" w:lineRule="exact"/>
        <w:rPr>
          <w:rFonts w:ascii="Arial" w:cs="Arial" w:eastAsia="Arial" w:hAnsi="Arial"/>
          <w:sz w:val="18"/>
          <w:szCs w:val="18"/>
          <w:color w:val="auto"/>
        </w:rPr>
      </w:pPr>
    </w:p>
    <w:p>
      <w:pPr>
        <w:ind w:left="1300" w:right="520" w:hanging="442"/>
        <w:spacing w:after="0" w:line="246"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any approved product candidate;</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225"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for which we may pursue regulatory approval;</w:t>
      </w:r>
    </w:p>
    <w:p>
      <w:pPr>
        <w:spacing w:after="0" w:line="196" w:lineRule="exact"/>
        <w:rPr>
          <w:rFonts w:ascii="Arial" w:cs="Arial" w:eastAsia="Arial" w:hAnsi="Arial"/>
          <w:sz w:val="18"/>
          <w:szCs w:val="18"/>
          <w:color w:val="auto"/>
        </w:rPr>
      </w:pPr>
    </w:p>
    <w:p>
      <w:pPr>
        <w:ind w:left="1300" w:right="520" w:hanging="442"/>
        <w:spacing w:after="0" w:line="246"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196" w:lineRule="exact"/>
        <w:rPr>
          <w:rFonts w:ascii="Arial" w:cs="Arial" w:eastAsia="Arial" w:hAnsi="Arial"/>
          <w:sz w:val="18"/>
          <w:szCs w:val="18"/>
          <w:color w:val="auto"/>
        </w:rPr>
      </w:pPr>
    </w:p>
    <w:p>
      <w:pPr>
        <w:ind w:left="1300" w:right="140" w:hanging="442"/>
        <w:spacing w:after="0" w:line="246"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technology;</w:t>
      </w:r>
    </w:p>
    <w:p>
      <w:pPr>
        <w:spacing w:after="0" w:line="196" w:lineRule="exact"/>
        <w:rPr>
          <w:rFonts w:ascii="Arial" w:cs="Arial" w:eastAsia="Arial" w:hAnsi="Arial"/>
          <w:sz w:val="18"/>
          <w:szCs w:val="18"/>
          <w:color w:val="auto"/>
        </w:rPr>
      </w:pPr>
    </w:p>
    <w:p>
      <w:pPr>
        <w:ind w:left="1300" w:right="340" w:hanging="442"/>
        <w:spacing w:after="0" w:line="246"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if approved for commercial use, and our ability to serve those markets;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potential benefits of any strategic collaboration agreements we may enter into;</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anticipated use of the proceeds from this offering;</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333"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You should refer to the section of this prospectus titled “Risk Factors”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8"/>
          <w:szCs w:val="18"/>
          <w:b w:val="1"/>
          <w:bCs w:val="1"/>
          <w:color w:val="auto"/>
        </w:rPr>
        <w:t>MARKET, INDUSTRY AND OTHER DATA</w:t>
      </w:r>
    </w:p>
    <w:p>
      <w:pPr>
        <w:spacing w:after="0" w:line="234"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This prospectus contains estimates, projections and other information concerning market, industry and other data. We obtained this data from our own internal estimates and research and from academic and industry research, publications, surveys, and studies conducted by third parties, including governmental agencies. In some cases, we do not expressly refer to the sources from which these data are derived. These data involve a number of assumptions and limitations, are subject to risks and uncertainties, and are subject to change based on various factors, including those discussed in the section of this prospectus titled “Risk Factors” and elsewhere in this prospectus. These and other factors could cause results to differ materially from those expressed in the estimates made by the independent parties and by us. While we believe such information included in this prospectus is generally reliable, we have not independently verified any third-party information.</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right="100" w:firstLine="576"/>
        <w:spacing w:after="0" w:line="234" w:lineRule="auto"/>
        <w:rPr>
          <w:sz w:val="20"/>
          <w:szCs w:val="20"/>
          <w:color w:val="auto"/>
        </w:rPr>
      </w:pPr>
      <w:r>
        <w:rPr>
          <w:rFonts w:ascii="Arial" w:cs="Arial" w:eastAsia="Arial" w:hAnsi="Arial"/>
          <w:sz w:val="18"/>
          <w:szCs w:val="18"/>
          <w:color w:val="auto"/>
        </w:rPr>
        <w:t>We estimate that the net proceeds from this offering will be approximately $ million (or $ million if the underwriters exercise their option to purchase additional shares in full), assuming an initial offering price of $ per share, which is the midpoint of the price range</w:t>
      </w:r>
    </w:p>
    <w:p>
      <w:pPr>
        <w:spacing w:after="0" w:line="1"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set forth on the cover page of this prospectus, and after deducting underwriting discounts and commissions and offering expenses payable by us.</w:t>
      </w:r>
    </w:p>
    <w:p>
      <w:pPr>
        <w:spacing w:after="0" w:line="197" w:lineRule="exact"/>
        <w:rPr>
          <w:sz w:val="20"/>
          <w:szCs w:val="20"/>
          <w:color w:val="auto"/>
        </w:rPr>
      </w:pPr>
    </w:p>
    <w:p>
      <w:pPr>
        <w:ind w:right="100" w:firstLine="576"/>
        <w:spacing w:after="0" w:line="234" w:lineRule="auto"/>
        <w:rPr>
          <w:sz w:val="20"/>
          <w:szCs w:val="20"/>
          <w:color w:val="auto"/>
        </w:rPr>
      </w:pPr>
      <w:r>
        <w:rPr>
          <w:rFonts w:ascii="Arial" w:cs="Arial" w:eastAsia="Arial" w:hAnsi="Arial"/>
          <w:sz w:val="18"/>
          <w:szCs w:val="18"/>
          <w:color w:val="auto"/>
        </w:rPr>
        <w:t>Each $1.00 increase or decrease in the assumed initial public offering price of $ per share would increase or decrease, as applicable, the net proceeds to us from this offering by $ million, assuming the number of shares offered by us, as set forth on the cover</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page of this prospectus, remains the same and after deducting the underwriting discounts and commissions and estimated offering expenses payable by us. We may also increase or decrease the number of shares we are offering. Each increase or decrease of 1.0 million shares in the number of shares offered by us would increase or decrease, as applicable, the net proceeds to us from this offering by $ million, assuming that the assumed initial public offering price remains the same and after deducting underwriting discounts and commissions and estimated offering expenses payable by us. We do not expect that a change in the initial public offering price or the number of shares by these amounts would have a material effect on our uses of the proceeds from this offering, although it may accelerate the time when we need to seek additional capital.</w:t>
      </w:r>
    </w:p>
    <w:p>
      <w:pPr>
        <w:spacing w:after="0" w:line="203"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establish a public market for our common stock and to facilitate future access to the public equity markets by us, our employees and our stockholders, obtain additional capital to support our operations and increase our visibility in the marketplace. We currently intend to use the net proceeds from this offering together with our existing cash and cash equivalents as follows:</w:t>
      </w:r>
    </w:p>
    <w:p>
      <w:pPr>
        <w:spacing w:after="0" w:line="97" w:lineRule="exact"/>
        <w:rPr>
          <w:sz w:val="20"/>
          <w:szCs w:val="20"/>
          <w:color w:val="auto"/>
        </w:rPr>
      </w:pPr>
    </w:p>
    <w:p>
      <w:pPr>
        <w:ind w:left="1300" w:hanging="442"/>
        <w:spacing w:after="0" w:line="246"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approximately $ million to fund our planned LIFT-AD trial of ATH-1017 and our planned P300 Phase 2 trial of ATH-1017, each for the treatment of mild-to-moderate Alzheimer’s disease;</w:t>
      </w:r>
    </w:p>
    <w:p>
      <w:pPr>
        <w:spacing w:after="0" w:line="88" w:lineRule="exact"/>
        <w:rPr>
          <w:rFonts w:ascii="Arial" w:cs="Arial" w:eastAsia="Arial" w:hAnsi="Arial"/>
          <w:sz w:val="18"/>
          <w:szCs w:val="18"/>
          <w:color w:val="auto"/>
        </w:rPr>
      </w:pPr>
    </w:p>
    <w:p>
      <w:pPr>
        <w:ind w:left="1300" w:right="780" w:hanging="442"/>
        <w:spacing w:after="0" w:line="246"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approximately $ million to fund our planned Phase 2 trial of ATH-1017 for the treatment of Parkinson’s disease dementia;</w:t>
      </w:r>
    </w:p>
    <w:p>
      <w:pPr>
        <w:spacing w:after="0" w:line="88" w:lineRule="exact"/>
        <w:rPr>
          <w:rFonts w:ascii="Arial" w:cs="Arial" w:eastAsia="Arial" w:hAnsi="Arial"/>
          <w:sz w:val="18"/>
          <w:szCs w:val="18"/>
          <w:color w:val="auto"/>
        </w:rPr>
      </w:pPr>
    </w:p>
    <w:p>
      <w:pPr>
        <w:ind w:left="1300" w:right="180" w:hanging="442"/>
        <w:spacing w:after="0" w:line="246"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approximately $ million to fund our IND-enabling studies of ATH-1019 for the treatment of neuropsychiatric indications and ATH-1018 for the treatment of neuropathy; and</w:t>
      </w:r>
    </w:p>
    <w:p>
      <w:pPr>
        <w:spacing w:after="0" w:line="88" w:lineRule="exact"/>
        <w:rPr>
          <w:rFonts w:ascii="Arial" w:cs="Arial" w:eastAsia="Arial" w:hAnsi="Arial"/>
          <w:sz w:val="18"/>
          <w:szCs w:val="18"/>
          <w:color w:val="auto"/>
        </w:rPr>
      </w:pPr>
    </w:p>
    <w:p>
      <w:pPr>
        <w:ind w:left="1300" w:right="200" w:hanging="442"/>
        <w:spacing w:after="0" w:line="246"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remainder for our other research and development activities, as well as for working capital and other general corporate purposes.</w:t>
      </w:r>
    </w:p>
    <w:p>
      <w:pPr>
        <w:spacing w:after="0" w:line="197" w:lineRule="exact"/>
        <w:rPr>
          <w:sz w:val="20"/>
          <w:szCs w:val="20"/>
          <w:color w:val="auto"/>
        </w:rPr>
      </w:pPr>
    </w:p>
    <w:p>
      <w:pPr>
        <w:ind w:right="240" w:firstLine="576"/>
        <w:spacing w:after="0" w:line="238" w:lineRule="auto"/>
        <w:rPr>
          <w:sz w:val="20"/>
          <w:szCs w:val="20"/>
          <w:color w:val="auto"/>
        </w:rPr>
      </w:pPr>
      <w:r>
        <w:rPr>
          <w:rFonts w:ascii="Arial" w:cs="Arial" w:eastAsia="Arial" w:hAnsi="Arial"/>
          <w:sz w:val="18"/>
          <w:szCs w:val="18"/>
          <w:color w:val="auto"/>
        </w:rPr>
        <w:t>The estimated amounts set forth above do not include any related payments that may be due under our collaboration and grant agreements, including the $1.5 million payable to Washington Life Sciences Discovery Fund upon the completion of this offering. For additional details regarding our collaboration and grant agreements, see the section of this prospectus titled “Business—Our Collaboration and Grant Agreements,” as well as our financial statements and related notes included elsewhere in this prospectus.</w:t>
      </w:r>
    </w:p>
    <w:p>
      <w:pPr>
        <w:spacing w:after="0" w:line="205"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This expected use of the net proceeds from this offering represents our intentions based on our current plans and business conditions, which could change in the future as our plans and business conditions evolve. Further, due to the uncertainties inherent in the small molecule development process, it is difficult to estimate with certainty the exact amounts of the net proceeds from this offering that may be used for the above purposes. We may also use a portion of our net proceeds to acquire or invest in complementary products, technologies, or businesses. However, we currently have no agreements or commitments to do so. As a result, our management will have broad discretion over the use of the net proceeds from this offering, and our investors will be relying on the judgment of our management regarding the application of the net proceeds of this offering. The amounts and timing of our expenditures will depend upon numerous factors including the results of our research and development efforts, the timing, number, scope and success of our nonclinical studies and clinical trials, and the timing and success of any regulatory submissions.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1" w:name="page82"/>
    <w:bookmarkEnd w:id="81"/>
    <w:p>
      <w:pPr>
        <w:ind w:left="580"/>
        <w:spacing w:after="0"/>
        <w:rPr>
          <w:sz w:val="20"/>
          <w:szCs w:val="20"/>
          <w:color w:val="auto"/>
        </w:rPr>
      </w:pPr>
      <w:r>
        <w:rPr>
          <w:rFonts w:ascii="Arial" w:cs="Arial" w:eastAsia="Arial" w:hAnsi="Arial"/>
          <w:sz w:val="18"/>
          <w:szCs w:val="18"/>
          <w:color w:val="auto"/>
        </w:rPr>
        <w:t>Based upon our current operating plan, we estimate that our existing cash and cash equivalents and the anticipated net proceeds</w:t>
      </w:r>
    </w:p>
    <w:p>
      <w:pPr>
        <w:spacing w:after="0" w:line="234" w:lineRule="auto"/>
        <w:rPr>
          <w:sz w:val="20"/>
          <w:szCs w:val="20"/>
          <w:color w:val="auto"/>
        </w:rPr>
      </w:pPr>
      <w:r>
        <w:rPr>
          <w:rFonts w:ascii="Arial" w:cs="Arial" w:eastAsia="Arial" w:hAnsi="Arial"/>
          <w:sz w:val="18"/>
          <w:szCs w:val="18"/>
          <w:color w:val="auto"/>
        </w:rPr>
        <w:t>from this offering, will be sufficient to fund our operating expenses and capital expenditure requirements for at least the next months. In particular, we expect that the net proceeds from this offering will fund us through receipt of topline data readouts for our planned LIFT-AD trial of ATH-1017 and our planned P300 Phase 2 trial of ATH-1017, each for the treatment of mild-to-moderate AD, as well as IND-enabling studies and IND applications for ATH-1019 for the treatment of neuropsychiatric indications including depression and anxiety and ATH-1018 for the treatment of neuropathy. In addition, if the data from our planned LIFT-AD clinical trial, P300 clinical trial, or both lead us to decide to initiate additional trials for ATH-1017 for the treatment of AD, we currently estimate the cost of such additional trial will be approximately</w:t>
      </w:r>
    </w:p>
    <w:p>
      <w:pPr>
        <w:spacing w:after="0" w:line="4" w:lineRule="exact"/>
        <w:rPr>
          <w:sz w:val="20"/>
          <w:szCs w:val="20"/>
          <w:color w:val="auto"/>
        </w:rPr>
      </w:pPr>
    </w:p>
    <w:p>
      <w:pPr>
        <w:ind w:right="220" w:firstLine="8"/>
        <w:spacing w:after="0" w:line="238" w:lineRule="auto"/>
        <w:tabs>
          <w:tab w:leader="none" w:pos="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However, the expected net proceeds from this offering will not be sufficient for us to fund any of our product candidates through regulatory approval and commercialization, and we will need to raise substantial additional capital to complete the development and commercialization of our product candidates. The amounts and timing of our actual expenditures may vary significantly depending on numerous factors. For additional information regarding our potential capital requirements, including factors that could cause actual costs to vary from the estimates set forth above, see the section of this prospectus titled “Risk Factors.”</w:t>
      </w:r>
    </w:p>
    <w:p>
      <w:pPr>
        <w:spacing w:after="0" w:line="202" w:lineRule="exact"/>
        <w:rPr>
          <w:sz w:val="20"/>
          <w:szCs w:val="20"/>
          <w:color w:val="auto"/>
        </w:rPr>
      </w:pPr>
    </w:p>
    <w:p>
      <w:pPr>
        <w:ind w:right="300" w:firstLine="576"/>
        <w:spacing w:after="0"/>
        <w:rPr>
          <w:sz w:val="20"/>
          <w:szCs w:val="20"/>
          <w:color w:val="auto"/>
        </w:rPr>
      </w:pPr>
      <w:r>
        <w:rPr>
          <w:rFonts w:ascii="Arial" w:cs="Arial" w:eastAsia="Arial" w:hAnsi="Arial"/>
          <w:sz w:val="18"/>
          <w:szCs w:val="18"/>
          <w:color w:val="auto"/>
        </w:rPr>
        <w:t>As of the date of this prospectus, we intend to invest the net proceeds in short-term interest-bearing investment-grade securities, certificates of deposit or government securities. The goal with respect to the investment of these net proceeds is capital preservation and liquidity so that such funds are readily available to fund our operations.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3" w:right="359" w:bottom="1440" w:gutter="0" w:footer="0" w:header="0"/>
        </w:sectPr>
      </w:pPr>
    </w:p>
    <w:bookmarkStart w:id="82" w:name="page83"/>
    <w:bookmarkEnd w:id="82"/>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our capital stock may be limited by any future debt instruments or preferred securities.</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cash and cash equivalents and capitalization as of June 30, 2020:</w:t>
      </w:r>
    </w:p>
    <w:p>
      <w:pPr>
        <w:spacing w:after="0" w:line="104" w:lineRule="exact"/>
        <w:rPr>
          <w:sz w:val="20"/>
          <w:szCs w:val="20"/>
          <w:color w:val="auto"/>
        </w:rPr>
      </w:pPr>
    </w:p>
    <w:p>
      <w:pPr>
        <w:ind w:left="1300" w:hanging="442"/>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20" w:lineRule="exact"/>
        <w:rPr>
          <w:rFonts w:ascii="Arial" w:cs="Arial" w:eastAsia="Arial" w:hAnsi="Arial"/>
          <w:sz w:val="18"/>
          <w:szCs w:val="18"/>
          <w:color w:val="auto"/>
        </w:rPr>
      </w:pPr>
    </w:p>
    <w:p>
      <w:pPr>
        <w:ind w:left="1300" w:hanging="442"/>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 a pro forma basis to reflect (1) the automatic conversion of our convertible preferred stock into an aggregate of</w:t>
      </w:r>
    </w:p>
    <w:p>
      <w:pPr>
        <w:ind w:left="1300" w:right="180"/>
        <w:spacing w:after="0" w:line="238" w:lineRule="auto"/>
        <w:rPr>
          <w:sz w:val="20"/>
          <w:szCs w:val="20"/>
          <w:color w:val="auto"/>
        </w:rPr>
      </w:pPr>
      <w:r>
        <w:rPr>
          <w:rFonts w:ascii="Arial" w:cs="Arial" w:eastAsia="Arial" w:hAnsi="Arial"/>
          <w:sz w:val="18"/>
          <w:szCs w:val="18"/>
          <w:color w:val="auto"/>
        </w:rPr>
        <w:t>99,151,789 shares of our common stock as of June 30, 2020, (2) the issuance of an aggregate of shares of our common stock upon the exercise of outstanding warrants immediately prior to the closing of this offering, (3) the repayment of $1.5 million in grant liability, and (4) the filing of our amended and restated certificate of incorporation, which will occur immediately prior to the closing of this offering; and</w:t>
      </w:r>
    </w:p>
    <w:p>
      <w:pPr>
        <w:spacing w:after="0" w:line="200" w:lineRule="exact"/>
        <w:rPr>
          <w:sz w:val="20"/>
          <w:szCs w:val="20"/>
          <w:color w:val="auto"/>
        </w:rPr>
      </w:pPr>
    </w:p>
    <w:p>
      <w:pPr>
        <w:ind w:left="1300" w:hanging="442"/>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 a pro forma as adjusted basis to reflect (1) the pro forma adjustments set forth above and (2) the sale and issuance by us</w:t>
      </w:r>
    </w:p>
    <w:p>
      <w:pPr>
        <w:ind w:left="1300" w:right="380"/>
        <w:spacing w:after="0"/>
        <w:rPr>
          <w:sz w:val="20"/>
          <w:szCs w:val="20"/>
          <w:color w:val="auto"/>
        </w:rPr>
      </w:pPr>
      <w:r>
        <w:rPr>
          <w:rFonts w:ascii="Arial" w:cs="Arial" w:eastAsia="Arial" w:hAnsi="Arial"/>
          <w:sz w:val="18"/>
          <w:szCs w:val="18"/>
          <w:color w:val="auto"/>
        </w:rPr>
        <w:t>of shares of common stock in this offering at the assumed initial public offering price of $ per share, which is the midpoint of the range reflected on the cover page of this prospectus, after deducting underwriting discounts and commissions and estimated offering expenses payable by us.</w:t>
      </w:r>
    </w:p>
    <w:p>
      <w:pPr>
        <w:spacing w:after="0" w:line="311" w:lineRule="exact"/>
        <w:rPr>
          <w:sz w:val="20"/>
          <w:szCs w:val="20"/>
          <w:color w:val="auto"/>
        </w:rPr>
      </w:pPr>
    </w:p>
    <w:p>
      <w:pPr>
        <w:jc w:val="both"/>
        <w:ind w:right="580" w:firstLine="576"/>
        <w:spacing w:after="0"/>
        <w:rPr>
          <w:sz w:val="20"/>
          <w:szCs w:val="20"/>
          <w:color w:val="auto"/>
        </w:rPr>
      </w:pPr>
      <w:r>
        <w:rPr>
          <w:rFonts w:ascii="Arial" w:cs="Arial" w:eastAsia="Arial" w:hAnsi="Arial"/>
          <w:sz w:val="18"/>
          <w:szCs w:val="18"/>
          <w:color w:val="auto"/>
        </w:rPr>
        <w:t>You should read the information in this table together with our financial statements and related notes included elsewhere in this prospectus, as well as the sections of this prospectus titled “Selected Financial Data” and “Management’s Discussion and Analysis of Financial Condition and Results of Operations.”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As of June 30, 2020</w:t>
            </w:r>
          </w:p>
        </w:tc>
        <w:tc>
          <w:tcPr>
            <w:tcW w:w="1420" w:type="dxa"/>
            <w:vAlign w:val="bottom"/>
            <w:tcBorders>
              <w:bottom w:val="single" w:sz="8" w:color="auto"/>
            </w:tcBorders>
          </w:tcPr>
          <w:p>
            <w:pPr>
              <w:spacing w:after="0"/>
              <w:rPr>
                <w:sz w:val="15"/>
                <w:szCs w:val="15"/>
                <w:color w:val="auto"/>
              </w:rPr>
            </w:pPr>
          </w:p>
        </w:tc>
      </w:tr>
      <w:tr>
        <w:trPr>
          <w:trHeight w:val="152"/>
        </w:trPr>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right"/>
              <w:ind w:right="302"/>
              <w:spacing w:after="0" w:line="153" w:lineRule="exact"/>
              <w:rPr>
                <w:sz w:val="20"/>
                <w:szCs w:val="20"/>
                <w:color w:val="auto"/>
              </w:rPr>
            </w:pPr>
            <w:r>
              <w:rPr>
                <w:rFonts w:ascii="Arial" w:cs="Arial" w:eastAsia="Arial" w:hAnsi="Arial"/>
                <w:sz w:val="14"/>
                <w:szCs w:val="14"/>
                <w:b w:val="1"/>
                <w:bCs w:val="1"/>
                <w:color w:val="auto"/>
              </w:rPr>
              <w:t>Pro Forma</w:t>
            </w:r>
          </w:p>
        </w:tc>
      </w:tr>
      <w:tr>
        <w:trPr>
          <w:trHeight w:val="179"/>
        </w:trPr>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4"/>
                <w:szCs w:val="14"/>
                <w:b w:val="1"/>
                <w:bCs w:val="1"/>
                <w:color w:val="auto"/>
              </w:rPr>
              <w:t>Actual</w:t>
            </w:r>
          </w:p>
        </w:tc>
        <w:tc>
          <w:tcPr>
            <w:tcW w:w="16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Pro Forma</w:t>
            </w:r>
          </w:p>
        </w:tc>
        <w:tc>
          <w:tcPr>
            <w:tcW w:w="1420" w:type="dxa"/>
            <w:vAlign w:val="bottom"/>
            <w:tcBorders>
              <w:bottom w:val="single" w:sz="8" w:color="auto"/>
            </w:tcBorders>
          </w:tcPr>
          <w:p>
            <w:pPr>
              <w:jc w:val="right"/>
              <w:ind w:right="182"/>
              <w:spacing w:after="0" w:line="179"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(1)</w:t>
            </w:r>
          </w:p>
        </w:tc>
      </w:tr>
      <w:tr>
        <w:trPr>
          <w:trHeight w:val="156"/>
        </w:trPr>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(unaudited)</w:t>
            </w:r>
          </w:p>
        </w:tc>
        <w:tc>
          <w:tcPr>
            <w:tcW w:w="1420" w:type="dxa"/>
            <w:vAlign w:val="bottom"/>
          </w:tcPr>
          <w:p>
            <w:pPr>
              <w:spacing w:after="0"/>
              <w:rPr>
                <w:sz w:val="13"/>
                <w:szCs w:val="13"/>
                <w:color w:val="auto"/>
              </w:rPr>
            </w:pPr>
          </w:p>
        </w:tc>
      </w:tr>
      <w:tr>
        <w:trPr>
          <w:trHeight w:val="175"/>
        </w:trPr>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Pr>
          <w:p>
            <w:pPr>
              <w:spacing w:after="0"/>
              <w:rPr>
                <w:sz w:val="15"/>
                <w:szCs w:val="15"/>
                <w:color w:val="auto"/>
              </w:rPr>
            </w:pPr>
          </w:p>
        </w:tc>
      </w:tr>
      <w:tr>
        <w:trPr>
          <w:trHeight w:val="176"/>
        </w:trPr>
        <w:tc>
          <w:tcPr>
            <w:tcW w:w="224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Cash and cash equivalents</w:t>
            </w:r>
          </w:p>
        </w:tc>
        <w:tc>
          <w:tcPr>
            <w:tcW w:w="36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85,166</w:t>
            </w:r>
          </w:p>
        </w:tc>
        <w:tc>
          <w:tcPr>
            <w:tcW w:w="2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1268"/>
              <w:spacing w:after="0"/>
              <w:rPr>
                <w:sz w:val="20"/>
                <w:szCs w:val="20"/>
                <w:color w:val="auto"/>
              </w:rPr>
            </w:pPr>
            <w:r>
              <w:rPr>
                <w:rFonts w:ascii="Arial" w:cs="Arial" w:eastAsia="Arial" w:hAnsi="Arial"/>
                <w:sz w:val="14"/>
                <w:szCs w:val="14"/>
                <w:color w:val="auto"/>
                <w:w w:val="76"/>
              </w:rPr>
              <w:t>$</w:t>
            </w:r>
          </w:p>
        </w:tc>
        <w:tc>
          <w:tcPr>
            <w:tcW w:w="180" w:type="dxa"/>
            <w:vAlign w:val="bottom"/>
            <w:tcBorders>
              <w:right w:val="single" w:sz="8" w:color="CFF0FC"/>
            </w:tcBorders>
            <w:shd w:val="clear" w:color="auto" w:fill="CFF0FC"/>
          </w:tcPr>
          <w:p>
            <w:pPr>
              <w:spacing w:after="0"/>
              <w:rPr>
                <w:sz w:val="15"/>
                <w:szCs w:val="15"/>
                <w:color w:val="auto"/>
              </w:rPr>
            </w:pPr>
          </w:p>
        </w:tc>
        <w:tc>
          <w:tcPr>
            <w:tcW w:w="1420" w:type="dxa"/>
            <w:vAlign w:val="bottom"/>
            <w:shd w:val="clear" w:color="auto" w:fill="CFF0FC"/>
          </w:tcPr>
          <w:p>
            <w:pPr>
              <w:jc w:val="right"/>
              <w:ind w:right="1302"/>
              <w:spacing w:after="0"/>
              <w:rPr>
                <w:sz w:val="20"/>
                <w:szCs w:val="20"/>
                <w:color w:val="auto"/>
              </w:rPr>
            </w:pPr>
            <w:r>
              <w:rPr>
                <w:rFonts w:ascii="Arial" w:cs="Arial" w:eastAsia="Arial" w:hAnsi="Arial"/>
                <w:sz w:val="10"/>
                <w:szCs w:val="10"/>
                <w:color w:val="auto"/>
                <w:w w:val="71"/>
              </w:rPr>
              <w:t>$</w:t>
            </w:r>
          </w:p>
        </w:tc>
      </w:tr>
      <w:tr>
        <w:trPr>
          <w:trHeight w:val="20"/>
        </w:trPr>
        <w:tc>
          <w:tcPr>
            <w:tcW w:w="1160" w:type="dxa"/>
            <w:vAlign w:val="bottom"/>
            <w:tcBorders>
              <w:top w:val="single" w:sz="8" w:color="CFF0FC"/>
            </w:tcBorders>
            <w:gridSpan w:val="2"/>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36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240" w:type="dxa"/>
            <w:vAlign w:val="bottom"/>
            <w:gridSpan w:val="3"/>
          </w:tcPr>
          <w:p>
            <w:pPr>
              <w:spacing w:after="0" w:line="156" w:lineRule="exact"/>
              <w:rPr>
                <w:sz w:val="20"/>
                <w:szCs w:val="20"/>
                <w:color w:val="auto"/>
              </w:rPr>
            </w:pPr>
            <w:r>
              <w:rPr>
                <w:rFonts w:ascii="Arial" w:cs="Arial" w:eastAsia="Arial" w:hAnsi="Arial"/>
                <w:sz w:val="14"/>
                <w:szCs w:val="14"/>
                <w:color w:val="auto"/>
              </w:rPr>
              <w:t>Grant liability</w:t>
            </w:r>
          </w:p>
        </w:tc>
        <w:tc>
          <w:tcPr>
            <w:tcW w:w="3620" w:type="dxa"/>
            <w:vAlign w:val="bottom"/>
          </w:tcPr>
          <w:p>
            <w:pPr>
              <w:spacing w:after="0"/>
              <w:rPr>
                <w:sz w:val="13"/>
                <w:szCs w:val="13"/>
                <w:color w:val="auto"/>
              </w:rPr>
            </w:pPr>
          </w:p>
        </w:tc>
        <w:tc>
          <w:tcPr>
            <w:tcW w:w="1040" w:type="dxa"/>
            <w:vAlign w:val="bottom"/>
            <w:gridSpan w:val="2"/>
          </w:tcPr>
          <w:p>
            <w:pPr>
              <w:jc w:val="right"/>
              <w:ind w:right="88"/>
              <w:spacing w:after="0" w:line="156"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6" w:lineRule="exact"/>
              <w:rPr>
                <w:sz w:val="20"/>
                <w:szCs w:val="20"/>
                <w:color w:val="auto"/>
              </w:rPr>
            </w:pPr>
            <w:r>
              <w:rPr>
                <w:rFonts w:ascii="Arial" w:cs="Arial" w:eastAsia="Arial" w:hAnsi="Arial"/>
                <w:sz w:val="14"/>
                <w:szCs w:val="14"/>
                <w:color w:val="auto"/>
              </w:rPr>
              <w:t>1,047</w:t>
            </w:r>
          </w:p>
        </w:tc>
        <w:tc>
          <w:tcPr>
            <w:tcW w:w="260" w:type="dxa"/>
            <w:vAlign w:val="bottom"/>
          </w:tcPr>
          <w:p>
            <w:pPr>
              <w:spacing w:after="0"/>
              <w:rPr>
                <w:sz w:val="13"/>
                <w:szCs w:val="13"/>
                <w:color w:val="auto"/>
              </w:rPr>
            </w:pPr>
          </w:p>
        </w:tc>
        <w:tc>
          <w:tcPr>
            <w:tcW w:w="1420" w:type="dxa"/>
            <w:vAlign w:val="bottom"/>
          </w:tcPr>
          <w:p>
            <w:pPr>
              <w:jc w:val="right"/>
              <w:ind w:right="1268"/>
              <w:spacing w:after="0" w:line="156" w:lineRule="exact"/>
              <w:rPr>
                <w:sz w:val="20"/>
                <w:szCs w:val="20"/>
                <w:color w:val="auto"/>
              </w:rPr>
            </w:pPr>
            <w:r>
              <w:rPr>
                <w:rFonts w:ascii="Arial" w:cs="Arial" w:eastAsia="Arial" w:hAnsi="Arial"/>
                <w:sz w:val="14"/>
                <w:szCs w:val="14"/>
                <w:color w:val="auto"/>
                <w:w w:val="76"/>
              </w:rPr>
              <w:t>$</w:t>
            </w:r>
          </w:p>
        </w:tc>
        <w:tc>
          <w:tcPr>
            <w:tcW w:w="180" w:type="dxa"/>
            <w:vAlign w:val="bottom"/>
          </w:tcPr>
          <w:p>
            <w:pPr>
              <w:spacing w:after="0"/>
              <w:rPr>
                <w:sz w:val="13"/>
                <w:szCs w:val="13"/>
                <w:color w:val="auto"/>
              </w:rPr>
            </w:pPr>
          </w:p>
        </w:tc>
        <w:tc>
          <w:tcPr>
            <w:tcW w:w="1420" w:type="dxa"/>
            <w:vAlign w:val="bottom"/>
          </w:tcPr>
          <w:p>
            <w:pPr>
              <w:jc w:val="right"/>
              <w:ind w:right="1302"/>
              <w:spacing w:after="0"/>
              <w:rPr>
                <w:sz w:val="20"/>
                <w:szCs w:val="20"/>
                <w:color w:val="auto"/>
              </w:rPr>
            </w:pPr>
            <w:r>
              <w:rPr>
                <w:rFonts w:ascii="Arial" w:cs="Arial" w:eastAsia="Arial" w:hAnsi="Arial"/>
                <w:sz w:val="10"/>
                <w:szCs w:val="10"/>
                <w:color w:val="auto"/>
                <w:w w:val="71"/>
              </w:rPr>
              <w:t>$</w:t>
            </w:r>
          </w:p>
        </w:tc>
      </w:tr>
      <w:tr>
        <w:trPr>
          <w:trHeight w:val="180"/>
        </w:trPr>
        <w:tc>
          <w:tcPr>
            <w:tcW w:w="6900" w:type="dxa"/>
            <w:vAlign w:val="bottom"/>
            <w:gridSpan w:val="6"/>
            <w:shd w:val="clear" w:color="auto" w:fill="CFF0FC"/>
          </w:tcPr>
          <w:p>
            <w:pPr>
              <w:spacing w:after="0"/>
              <w:rPr>
                <w:sz w:val="20"/>
                <w:szCs w:val="20"/>
                <w:color w:val="auto"/>
              </w:rPr>
            </w:pPr>
            <w:r>
              <w:rPr>
                <w:rFonts w:ascii="Arial" w:cs="Arial" w:eastAsia="Arial" w:hAnsi="Arial"/>
                <w:sz w:val="14"/>
                <w:szCs w:val="14"/>
                <w:color w:val="auto"/>
              </w:rPr>
              <w:t>Convertible preferred stock; $0.0001 par value per share; 100,286,704 shares authorized; 99,151,789</w:t>
            </w: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r>
      <w:tr>
        <w:trPr>
          <w:trHeight w:val="162"/>
        </w:trPr>
        <w:tc>
          <w:tcPr>
            <w:tcW w:w="224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shares issued and outstanding,</w:t>
            </w:r>
          </w:p>
        </w:tc>
        <w:tc>
          <w:tcPr>
            <w:tcW w:w="36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r>
      <w:tr>
        <w:trPr>
          <w:trHeight w:val="162"/>
        </w:trPr>
        <w:tc>
          <w:tcPr>
            <w:tcW w:w="5860" w:type="dxa"/>
            <w:vAlign w:val="bottom"/>
            <w:gridSpan w:val="4"/>
            <w:shd w:val="clear" w:color="auto" w:fill="CFF0FC"/>
          </w:tcPr>
          <w:p>
            <w:pPr>
              <w:ind w:left="120"/>
              <w:spacing w:after="0"/>
              <w:rPr>
                <w:sz w:val="20"/>
                <w:szCs w:val="20"/>
                <w:color w:val="auto"/>
              </w:rPr>
            </w:pPr>
            <w:r>
              <w:rPr>
                <w:rFonts w:ascii="Arial" w:cs="Arial" w:eastAsia="Arial" w:hAnsi="Arial"/>
                <w:sz w:val="14"/>
                <w:szCs w:val="14"/>
                <w:color w:val="auto"/>
              </w:rPr>
              <w:t>actual; no shares authorized, no shares issued and outstanding,</w:t>
            </w: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r>
      <w:tr>
        <w:trPr>
          <w:trHeight w:val="157"/>
        </w:trPr>
        <w:tc>
          <w:tcPr>
            <w:tcW w:w="5860" w:type="dxa"/>
            <w:vAlign w:val="bottom"/>
            <w:gridSpan w:val="4"/>
            <w:shd w:val="clear" w:color="auto" w:fill="CFF0FC"/>
          </w:tcPr>
          <w:p>
            <w:pPr>
              <w:ind w:left="120"/>
              <w:spacing w:after="0" w:line="157" w:lineRule="exact"/>
              <w:rPr>
                <w:sz w:val="20"/>
                <w:szCs w:val="20"/>
                <w:color w:val="auto"/>
              </w:rPr>
            </w:pPr>
            <w:r>
              <w:rPr>
                <w:rFonts w:ascii="Arial" w:cs="Arial" w:eastAsia="Arial" w:hAnsi="Arial"/>
                <w:sz w:val="14"/>
                <w:szCs w:val="14"/>
                <w:color w:val="auto"/>
              </w:rPr>
              <w:t>pro forma and pro forma as adjusted</w:t>
            </w:r>
          </w:p>
        </w:tc>
        <w:tc>
          <w:tcPr>
            <w:tcW w:w="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92,537</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r>
      <w:tr>
        <w:trPr>
          <w:trHeight w:val="175"/>
        </w:trPr>
        <w:tc>
          <w:tcPr>
            <w:tcW w:w="2240" w:type="dxa"/>
            <w:vAlign w:val="bottom"/>
            <w:gridSpan w:val="3"/>
          </w:tcPr>
          <w:p>
            <w:pPr>
              <w:spacing w:after="0"/>
              <w:rPr>
                <w:sz w:val="20"/>
                <w:szCs w:val="20"/>
                <w:color w:val="auto"/>
              </w:rPr>
            </w:pPr>
            <w:r>
              <w:rPr>
                <w:rFonts w:ascii="Arial" w:cs="Arial" w:eastAsia="Arial" w:hAnsi="Arial"/>
                <w:sz w:val="14"/>
                <w:szCs w:val="14"/>
                <w:color w:val="auto"/>
              </w:rPr>
              <w:t>Stockholders’ (deficit) equity:</w:t>
            </w:r>
          </w:p>
        </w:tc>
        <w:tc>
          <w:tcPr>
            <w:tcW w:w="3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0"/>
        </w:trPr>
        <w:tc>
          <w:tcPr>
            <w:tcW w:w="220" w:type="dxa"/>
            <w:vAlign w:val="bottom"/>
            <w:shd w:val="clear" w:color="auto" w:fill="CFF0FC"/>
          </w:tcPr>
          <w:p>
            <w:pPr>
              <w:spacing w:after="0"/>
              <w:rPr>
                <w:sz w:val="15"/>
                <w:szCs w:val="15"/>
                <w:color w:val="auto"/>
              </w:rPr>
            </w:pPr>
          </w:p>
        </w:tc>
        <w:tc>
          <w:tcPr>
            <w:tcW w:w="5640" w:type="dxa"/>
            <w:vAlign w:val="bottom"/>
            <w:gridSpan w:val="3"/>
            <w:shd w:val="clear" w:color="auto" w:fill="CFF0FC"/>
          </w:tcPr>
          <w:p>
            <w:pPr>
              <w:ind w:left="40"/>
              <w:spacing w:after="0"/>
              <w:rPr>
                <w:sz w:val="20"/>
                <w:szCs w:val="20"/>
                <w:color w:val="auto"/>
              </w:rPr>
            </w:pPr>
            <w:r>
              <w:rPr>
                <w:rFonts w:ascii="Arial" w:cs="Arial" w:eastAsia="Arial" w:hAnsi="Arial"/>
                <w:sz w:val="14"/>
                <w:szCs w:val="14"/>
                <w:color w:val="auto"/>
              </w:rPr>
              <w:t>Preferred stock, $0.0001 par value per share; no shares</w:t>
            </w: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r>
      <w:tr>
        <w:trPr>
          <w:trHeight w:val="162"/>
        </w:trPr>
        <w:tc>
          <w:tcPr>
            <w:tcW w:w="220" w:type="dxa"/>
            <w:vAlign w:val="bottom"/>
            <w:shd w:val="clear" w:color="auto" w:fill="CFF0FC"/>
          </w:tcPr>
          <w:p>
            <w:pPr>
              <w:spacing w:after="0"/>
              <w:rPr>
                <w:sz w:val="14"/>
                <w:szCs w:val="14"/>
                <w:color w:val="auto"/>
              </w:rPr>
            </w:pPr>
          </w:p>
        </w:tc>
        <w:tc>
          <w:tcPr>
            <w:tcW w:w="5640" w:type="dxa"/>
            <w:vAlign w:val="bottom"/>
            <w:gridSpan w:val="3"/>
            <w:shd w:val="clear" w:color="auto" w:fill="CFF0FC"/>
          </w:tcPr>
          <w:p>
            <w:pPr>
              <w:ind w:left="160"/>
              <w:spacing w:after="0"/>
              <w:rPr>
                <w:sz w:val="20"/>
                <w:szCs w:val="20"/>
                <w:color w:val="auto"/>
              </w:rPr>
            </w:pPr>
            <w:r>
              <w:rPr>
                <w:rFonts w:ascii="Arial" w:cs="Arial" w:eastAsia="Arial" w:hAnsi="Arial"/>
                <w:sz w:val="14"/>
                <w:szCs w:val="14"/>
                <w:color w:val="auto"/>
              </w:rPr>
              <w:t>authorized and no shares issued and outstanding, actual;</w:t>
            </w: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r>
      <w:tr>
        <w:trPr>
          <w:trHeight w:val="162"/>
        </w:trPr>
        <w:tc>
          <w:tcPr>
            <w:tcW w:w="220" w:type="dxa"/>
            <w:vAlign w:val="bottom"/>
            <w:shd w:val="clear" w:color="auto" w:fill="CFF0FC"/>
          </w:tcPr>
          <w:p>
            <w:pPr>
              <w:spacing w:after="0"/>
              <w:rPr>
                <w:sz w:val="14"/>
                <w:szCs w:val="14"/>
                <w:color w:val="auto"/>
              </w:rPr>
            </w:pPr>
          </w:p>
        </w:tc>
        <w:tc>
          <w:tcPr>
            <w:tcW w:w="5640" w:type="dxa"/>
            <w:vAlign w:val="bottom"/>
            <w:gridSpan w:val="3"/>
            <w:shd w:val="clear" w:color="auto" w:fill="CFF0FC"/>
          </w:tcPr>
          <w:p>
            <w:pPr>
              <w:ind w:left="440"/>
              <w:spacing w:after="0"/>
              <w:rPr>
                <w:sz w:val="20"/>
                <w:szCs w:val="20"/>
                <w:color w:val="auto"/>
              </w:rPr>
            </w:pPr>
            <w:r>
              <w:rPr>
                <w:rFonts w:ascii="Arial" w:cs="Arial" w:eastAsia="Arial" w:hAnsi="Arial"/>
                <w:sz w:val="14"/>
                <w:szCs w:val="14"/>
                <w:color w:val="auto"/>
              </w:rPr>
              <w:t>shares authorized and no shares issued and outstanding,</w:t>
            </w: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r>
      <w:tr>
        <w:trPr>
          <w:trHeight w:val="157"/>
        </w:trPr>
        <w:tc>
          <w:tcPr>
            <w:tcW w:w="220" w:type="dxa"/>
            <w:vAlign w:val="bottom"/>
            <w:shd w:val="clear" w:color="auto" w:fill="CFF0FC"/>
          </w:tcPr>
          <w:p>
            <w:pPr>
              <w:spacing w:after="0"/>
              <w:rPr>
                <w:sz w:val="13"/>
                <w:szCs w:val="13"/>
                <w:color w:val="auto"/>
              </w:rPr>
            </w:pPr>
          </w:p>
        </w:tc>
        <w:tc>
          <w:tcPr>
            <w:tcW w:w="5640" w:type="dxa"/>
            <w:vAlign w:val="bottom"/>
            <w:gridSpan w:val="3"/>
            <w:shd w:val="clear" w:color="auto" w:fill="CFF0FC"/>
          </w:tcPr>
          <w:p>
            <w:pPr>
              <w:ind w:left="160"/>
              <w:spacing w:after="0" w:line="157" w:lineRule="exact"/>
              <w:rPr>
                <w:sz w:val="20"/>
                <w:szCs w:val="20"/>
                <w:color w:val="auto"/>
              </w:rPr>
            </w:pPr>
            <w:r>
              <w:rPr>
                <w:rFonts w:ascii="Arial" w:cs="Arial" w:eastAsia="Arial" w:hAnsi="Arial"/>
                <w:sz w:val="14"/>
                <w:szCs w:val="14"/>
                <w:color w:val="auto"/>
              </w:rPr>
              <w:t>pro forma and pro forma as adjusted</w:t>
            </w:r>
          </w:p>
        </w:tc>
        <w:tc>
          <w:tcPr>
            <w:tcW w:w="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r>
      <w:tr>
        <w:trPr>
          <w:trHeight w:val="180"/>
        </w:trPr>
        <w:tc>
          <w:tcPr>
            <w:tcW w:w="220" w:type="dxa"/>
            <w:vAlign w:val="bottom"/>
          </w:tcPr>
          <w:p>
            <w:pPr>
              <w:spacing w:after="0"/>
              <w:rPr>
                <w:sz w:val="15"/>
                <w:szCs w:val="15"/>
                <w:color w:val="auto"/>
              </w:rPr>
            </w:pPr>
          </w:p>
        </w:tc>
        <w:tc>
          <w:tcPr>
            <w:tcW w:w="5640" w:type="dxa"/>
            <w:vAlign w:val="bottom"/>
            <w:gridSpan w:val="3"/>
          </w:tcPr>
          <w:p>
            <w:pPr>
              <w:ind w:left="40"/>
              <w:spacing w:after="0"/>
              <w:rPr>
                <w:sz w:val="20"/>
                <w:szCs w:val="20"/>
                <w:color w:val="auto"/>
              </w:rPr>
            </w:pPr>
            <w:r>
              <w:rPr>
                <w:rFonts w:ascii="Arial" w:cs="Arial" w:eastAsia="Arial" w:hAnsi="Arial"/>
                <w:sz w:val="14"/>
                <w:szCs w:val="14"/>
                <w:color w:val="auto"/>
              </w:rPr>
              <w:t>Common stock, $0.0001 par value per share, 183,000,000</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62"/>
        </w:trPr>
        <w:tc>
          <w:tcPr>
            <w:tcW w:w="220" w:type="dxa"/>
            <w:vAlign w:val="bottom"/>
          </w:tcPr>
          <w:p>
            <w:pPr>
              <w:spacing w:after="0"/>
              <w:rPr>
                <w:sz w:val="14"/>
                <w:szCs w:val="14"/>
                <w:color w:val="auto"/>
              </w:rPr>
            </w:pPr>
          </w:p>
        </w:tc>
        <w:tc>
          <w:tcPr>
            <w:tcW w:w="5640" w:type="dxa"/>
            <w:vAlign w:val="bottom"/>
            <w:gridSpan w:val="3"/>
          </w:tcPr>
          <w:p>
            <w:pPr>
              <w:ind w:left="160"/>
              <w:spacing w:after="0"/>
              <w:rPr>
                <w:sz w:val="20"/>
                <w:szCs w:val="20"/>
                <w:color w:val="auto"/>
              </w:rPr>
            </w:pPr>
            <w:r>
              <w:rPr>
                <w:rFonts w:ascii="Arial" w:cs="Arial" w:eastAsia="Arial" w:hAnsi="Arial"/>
                <w:sz w:val="14"/>
                <w:szCs w:val="14"/>
                <w:color w:val="auto"/>
              </w:rPr>
              <w:t>shares authorized, 36,539,021 shares issued and outstanding,</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2020" w:type="dxa"/>
            <w:vAlign w:val="bottom"/>
            <w:gridSpan w:val="2"/>
          </w:tcPr>
          <w:p>
            <w:pPr>
              <w:ind w:left="160"/>
              <w:spacing w:after="0"/>
              <w:rPr>
                <w:sz w:val="20"/>
                <w:szCs w:val="20"/>
                <w:color w:val="auto"/>
              </w:rPr>
            </w:pPr>
            <w:r>
              <w:rPr>
                <w:rFonts w:ascii="Arial" w:cs="Arial" w:eastAsia="Arial" w:hAnsi="Arial"/>
                <w:sz w:val="14"/>
                <w:szCs w:val="14"/>
                <w:color w:val="auto"/>
              </w:rPr>
              <w:t>actual;   shares authorized,</w:t>
            </w:r>
          </w:p>
        </w:tc>
        <w:tc>
          <w:tcPr>
            <w:tcW w:w="3620" w:type="dxa"/>
            <w:vAlign w:val="bottom"/>
          </w:tcPr>
          <w:p>
            <w:pPr>
              <w:ind w:left="220"/>
              <w:spacing w:after="0"/>
              <w:rPr>
                <w:sz w:val="20"/>
                <w:szCs w:val="20"/>
                <w:color w:val="auto"/>
              </w:rPr>
            </w:pPr>
            <w:r>
              <w:rPr>
                <w:rFonts w:ascii="Arial" w:cs="Arial" w:eastAsia="Arial" w:hAnsi="Arial"/>
                <w:sz w:val="14"/>
                <w:szCs w:val="14"/>
                <w:color w:val="auto"/>
              </w:rPr>
              <w:t>shares issued and</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5640" w:type="dxa"/>
            <w:vAlign w:val="bottom"/>
            <w:gridSpan w:val="3"/>
          </w:tcPr>
          <w:p>
            <w:pPr>
              <w:ind w:left="160"/>
              <w:spacing w:after="0"/>
              <w:rPr>
                <w:sz w:val="20"/>
                <w:szCs w:val="20"/>
                <w:color w:val="auto"/>
              </w:rPr>
            </w:pPr>
            <w:r>
              <w:rPr>
                <w:rFonts w:ascii="Arial" w:cs="Arial" w:eastAsia="Arial" w:hAnsi="Arial"/>
                <w:sz w:val="14"/>
                <w:szCs w:val="14"/>
                <w:color w:val="auto"/>
              </w:rPr>
              <w:t>outstanding, pro forma;   shares authorized,   shares</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57"/>
        </w:trPr>
        <w:tc>
          <w:tcPr>
            <w:tcW w:w="220" w:type="dxa"/>
            <w:vAlign w:val="bottom"/>
          </w:tcPr>
          <w:p>
            <w:pPr>
              <w:spacing w:after="0"/>
              <w:rPr>
                <w:sz w:val="13"/>
                <w:szCs w:val="13"/>
                <w:color w:val="auto"/>
              </w:rPr>
            </w:pPr>
          </w:p>
        </w:tc>
        <w:tc>
          <w:tcPr>
            <w:tcW w:w="5640" w:type="dxa"/>
            <w:vAlign w:val="bottom"/>
            <w:gridSpan w:val="3"/>
          </w:tcPr>
          <w:p>
            <w:pPr>
              <w:ind w:left="160"/>
              <w:spacing w:after="0" w:line="157" w:lineRule="exact"/>
              <w:rPr>
                <w:sz w:val="20"/>
                <w:szCs w:val="20"/>
                <w:color w:val="auto"/>
              </w:rPr>
            </w:pPr>
            <w:r>
              <w:rPr>
                <w:rFonts w:ascii="Arial" w:cs="Arial" w:eastAsia="Arial" w:hAnsi="Arial"/>
                <w:sz w:val="14"/>
                <w:szCs w:val="14"/>
                <w:color w:val="auto"/>
              </w:rPr>
              <w:t>issued and outstanding, pro forma as adjusted</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line="157" w:lineRule="exact"/>
              <w:rPr>
                <w:sz w:val="20"/>
                <w:szCs w:val="20"/>
                <w:color w:val="auto"/>
              </w:rPr>
            </w:pPr>
            <w:r>
              <w:rPr>
                <w:rFonts w:ascii="Arial" w:cs="Arial" w:eastAsia="Arial" w:hAnsi="Arial"/>
                <w:sz w:val="14"/>
                <w:szCs w:val="14"/>
                <w:color w:val="auto"/>
              </w:rPr>
              <w:t>4</w:t>
            </w: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75"/>
        </w:trPr>
        <w:tc>
          <w:tcPr>
            <w:tcW w:w="220" w:type="dxa"/>
            <w:vAlign w:val="bottom"/>
            <w:shd w:val="clear" w:color="auto" w:fill="CFF0FC"/>
          </w:tcPr>
          <w:p>
            <w:pPr>
              <w:spacing w:after="0"/>
              <w:rPr>
                <w:sz w:val="15"/>
                <w:szCs w:val="15"/>
                <w:color w:val="auto"/>
              </w:rPr>
            </w:pPr>
          </w:p>
        </w:tc>
        <w:tc>
          <w:tcPr>
            <w:tcW w:w="202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Additional paid-in capital</w:t>
            </w:r>
          </w:p>
        </w:tc>
        <w:tc>
          <w:tcPr>
            <w:tcW w:w="36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12,351</w:t>
            </w:r>
          </w:p>
        </w:tc>
        <w:tc>
          <w:tcPr>
            <w:tcW w:w="2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r>
      <w:tr>
        <w:trPr>
          <w:trHeight w:val="175"/>
        </w:trPr>
        <w:tc>
          <w:tcPr>
            <w:tcW w:w="220" w:type="dxa"/>
            <w:vAlign w:val="bottom"/>
          </w:tcPr>
          <w:p>
            <w:pPr>
              <w:spacing w:after="0"/>
              <w:rPr>
                <w:sz w:val="15"/>
                <w:szCs w:val="15"/>
                <w:color w:val="auto"/>
              </w:rPr>
            </w:pPr>
          </w:p>
        </w:tc>
        <w:tc>
          <w:tcPr>
            <w:tcW w:w="2020" w:type="dxa"/>
            <w:vAlign w:val="bottom"/>
            <w:gridSpan w:val="2"/>
          </w:tcPr>
          <w:p>
            <w:pPr>
              <w:ind w:left="40"/>
              <w:spacing w:after="0"/>
              <w:rPr>
                <w:sz w:val="20"/>
                <w:szCs w:val="20"/>
                <w:color w:val="auto"/>
              </w:rPr>
            </w:pPr>
            <w:r>
              <w:rPr>
                <w:rFonts w:ascii="Arial" w:cs="Arial" w:eastAsia="Arial" w:hAnsi="Arial"/>
                <w:sz w:val="14"/>
                <w:szCs w:val="14"/>
                <w:color w:val="auto"/>
              </w:rPr>
              <w:t>Accumulated deficit</w:t>
            </w:r>
          </w:p>
        </w:tc>
        <w:tc>
          <w:tcPr>
            <w:tcW w:w="3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(24,884)</w:t>
            </w: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0"/>
        </w:trPr>
        <w:tc>
          <w:tcPr>
            <w:tcW w:w="1160" w:type="dxa"/>
            <w:vAlign w:val="bottom"/>
            <w:gridSpan w:val="2"/>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36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r>
        <w:trPr>
          <w:trHeight w:val="169"/>
        </w:trPr>
        <w:tc>
          <w:tcPr>
            <w:tcW w:w="224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Total stockholders’ (deficit) equity</w:t>
            </w:r>
          </w:p>
        </w:tc>
        <w:tc>
          <w:tcPr>
            <w:tcW w:w="36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(12,529)</w:t>
            </w:r>
          </w:p>
        </w:tc>
        <w:tc>
          <w:tcPr>
            <w:tcW w:w="142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r>
      <w:tr>
        <w:trPr>
          <w:trHeight w:val="20"/>
        </w:trPr>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r>
        <w:trPr>
          <w:trHeight w:val="169"/>
        </w:trPr>
        <w:tc>
          <w:tcPr>
            <w:tcW w:w="220" w:type="dxa"/>
            <w:vAlign w:val="bottom"/>
          </w:tcPr>
          <w:p>
            <w:pPr>
              <w:spacing w:after="0"/>
              <w:rPr>
                <w:sz w:val="14"/>
                <w:szCs w:val="14"/>
                <w:color w:val="auto"/>
              </w:rPr>
            </w:pPr>
          </w:p>
        </w:tc>
        <w:tc>
          <w:tcPr>
            <w:tcW w:w="2020" w:type="dxa"/>
            <w:vAlign w:val="bottom"/>
            <w:gridSpan w:val="2"/>
          </w:tcPr>
          <w:p>
            <w:pPr>
              <w:ind w:left="40"/>
              <w:spacing w:after="0"/>
              <w:rPr>
                <w:sz w:val="20"/>
                <w:szCs w:val="20"/>
                <w:color w:val="auto"/>
              </w:rPr>
            </w:pPr>
            <w:r>
              <w:rPr>
                <w:rFonts w:ascii="Arial" w:cs="Arial" w:eastAsia="Arial" w:hAnsi="Arial"/>
                <w:sz w:val="14"/>
                <w:szCs w:val="14"/>
                <w:color w:val="auto"/>
              </w:rPr>
              <w:t>Total capitalization</w:t>
            </w:r>
          </w:p>
        </w:tc>
        <w:tc>
          <w:tcPr>
            <w:tcW w:w="3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81,055</w:t>
            </w:r>
          </w:p>
        </w:tc>
        <w:tc>
          <w:tcPr>
            <w:tcW w:w="260" w:type="dxa"/>
            <w:vAlign w:val="bottom"/>
          </w:tcPr>
          <w:p>
            <w:pPr>
              <w:spacing w:after="0"/>
              <w:rPr>
                <w:sz w:val="14"/>
                <w:szCs w:val="14"/>
                <w:color w:val="auto"/>
              </w:rPr>
            </w:pPr>
          </w:p>
        </w:tc>
        <w:tc>
          <w:tcPr>
            <w:tcW w:w="1420" w:type="dxa"/>
            <w:vAlign w:val="bottom"/>
            <w:tcBorders>
              <w:bottom w:val="single" w:sz="8" w:color="auto"/>
            </w:tcBorders>
          </w:tcPr>
          <w:p>
            <w:pPr>
              <w:jc w:val="right"/>
              <w:ind w:right="1268"/>
              <w:spacing w:after="0"/>
              <w:rPr>
                <w:sz w:val="20"/>
                <w:szCs w:val="20"/>
                <w:color w:val="auto"/>
              </w:rPr>
            </w:pPr>
            <w:r>
              <w:rPr>
                <w:rFonts w:ascii="Arial" w:cs="Arial" w:eastAsia="Arial" w:hAnsi="Arial"/>
                <w:sz w:val="14"/>
                <w:szCs w:val="14"/>
                <w:color w:val="auto"/>
                <w:w w:val="76"/>
              </w:rPr>
              <w:t>$</w:t>
            </w:r>
          </w:p>
        </w:tc>
        <w:tc>
          <w:tcPr>
            <w:tcW w:w="180" w:type="dxa"/>
            <w:vAlign w:val="bottom"/>
          </w:tcPr>
          <w:p>
            <w:pPr>
              <w:spacing w:after="0"/>
              <w:rPr>
                <w:sz w:val="14"/>
                <w:szCs w:val="14"/>
                <w:color w:val="auto"/>
              </w:rPr>
            </w:pPr>
          </w:p>
        </w:tc>
        <w:tc>
          <w:tcPr>
            <w:tcW w:w="1420" w:type="dxa"/>
            <w:vAlign w:val="bottom"/>
            <w:tcBorders>
              <w:bottom w:val="single" w:sz="8" w:color="auto"/>
            </w:tcBorders>
          </w:tcPr>
          <w:p>
            <w:pPr>
              <w:jc w:val="right"/>
              <w:ind w:right="1302"/>
              <w:spacing w:after="0"/>
              <w:rPr>
                <w:sz w:val="20"/>
                <w:szCs w:val="20"/>
                <w:color w:val="auto"/>
              </w:rPr>
            </w:pPr>
            <w:r>
              <w:rPr>
                <w:rFonts w:ascii="Arial" w:cs="Arial" w:eastAsia="Arial" w:hAnsi="Arial"/>
                <w:sz w:val="10"/>
                <w:szCs w:val="10"/>
                <w:color w:val="auto"/>
                <w:w w:val="71"/>
              </w:rPr>
              <w:t>$</w:t>
            </w:r>
          </w:p>
        </w:tc>
      </w:tr>
      <w:tr>
        <w:trPr>
          <w:trHeight w:val="20"/>
        </w:trPr>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43"/>
        </w:trPr>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4700" w:type="dxa"/>
            <w:vAlign w:val="bottom"/>
            <w:gridSpan w:val="2"/>
          </w:tcPr>
          <w:p>
            <w:pPr>
              <w:spacing w:after="0"/>
              <w:rPr>
                <w:sz w:val="12"/>
                <w:szCs w:val="12"/>
                <w:color w:val="auto"/>
              </w:rPr>
            </w:pPr>
          </w:p>
        </w:tc>
        <w:tc>
          <w:tcPr>
            <w:tcW w:w="5380" w:type="dxa"/>
            <w:vAlign w:val="bottom"/>
            <w:gridSpan w:val="7"/>
          </w:tcPr>
          <w:p>
            <w:pPr>
              <w:spacing w:after="0"/>
              <w:rPr>
                <w:sz w:val="12"/>
                <w:szCs w:val="12"/>
                <w:color w:val="auto"/>
              </w:rPr>
            </w:pPr>
          </w:p>
        </w:tc>
      </w:tr>
      <w:tr>
        <w:trPr>
          <w:trHeight w:val="238"/>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5640" w:type="dxa"/>
            <w:vAlign w:val="bottom"/>
            <w:gridSpan w:val="3"/>
          </w:tcPr>
          <w:p>
            <w:pPr>
              <w:ind w:left="260"/>
              <w:spacing w:after="0"/>
              <w:rPr>
                <w:sz w:val="20"/>
                <w:szCs w:val="20"/>
                <w:color w:val="auto"/>
              </w:rPr>
            </w:pPr>
            <w:r>
              <w:rPr>
                <w:rFonts w:ascii="Arial" w:cs="Arial" w:eastAsia="Arial" w:hAnsi="Arial"/>
                <w:sz w:val="14"/>
                <w:szCs w:val="14"/>
                <w:color w:val="auto"/>
              </w:rPr>
              <w:t>Each $1.00 increase or decrease in the assumed initial public offering price of $</w:t>
            </w:r>
          </w:p>
        </w:tc>
        <w:tc>
          <w:tcPr>
            <w:tcW w:w="5380" w:type="dxa"/>
            <w:vAlign w:val="bottom"/>
            <w:gridSpan w:val="7"/>
          </w:tcPr>
          <w:p>
            <w:pPr>
              <w:jc w:val="right"/>
              <w:ind w:right="502"/>
              <w:spacing w:after="0"/>
              <w:rPr>
                <w:sz w:val="20"/>
                <w:szCs w:val="20"/>
                <w:color w:val="auto"/>
              </w:rPr>
            </w:pPr>
            <w:r>
              <w:rPr>
                <w:rFonts w:ascii="Arial" w:cs="Arial" w:eastAsia="Arial" w:hAnsi="Arial"/>
                <w:sz w:val="14"/>
                <w:szCs w:val="14"/>
                <w:color w:val="auto"/>
              </w:rPr>
              <w:t>per share, the midpoint of the range reflected on the cover page of this</w:t>
            </w:r>
          </w:p>
        </w:tc>
      </w:tr>
      <w:tr>
        <w:trPr>
          <w:trHeight w:val="175"/>
        </w:trPr>
        <w:tc>
          <w:tcPr>
            <w:tcW w:w="220" w:type="dxa"/>
            <w:vAlign w:val="bottom"/>
          </w:tcPr>
          <w:p>
            <w:pPr>
              <w:spacing w:after="0"/>
              <w:rPr>
                <w:sz w:val="15"/>
                <w:szCs w:val="15"/>
                <w:color w:val="auto"/>
              </w:rPr>
            </w:pPr>
          </w:p>
        </w:tc>
        <w:tc>
          <w:tcPr>
            <w:tcW w:w="11020" w:type="dxa"/>
            <w:vAlign w:val="bottom"/>
            <w:gridSpan w:val="10"/>
          </w:tcPr>
          <w:p>
            <w:pPr>
              <w:ind w:left="260"/>
              <w:spacing w:after="0"/>
              <w:rPr>
                <w:sz w:val="20"/>
                <w:szCs w:val="20"/>
                <w:color w:val="auto"/>
              </w:rPr>
            </w:pPr>
            <w:r>
              <w:rPr>
                <w:rFonts w:ascii="Arial" w:cs="Arial" w:eastAsia="Arial" w:hAnsi="Arial"/>
                <w:sz w:val="14"/>
                <w:szCs w:val="14"/>
                <w:color w:val="auto"/>
              </w:rPr>
              <w:t>prospectus, would increase or decrease, as applicable, each of our cash and cash equivalents, additional paid-in capital, total stockholders’ (deficit) equity and total</w:t>
            </w:r>
          </w:p>
        </w:tc>
      </w:tr>
      <w:tr>
        <w:trPr>
          <w:trHeight w:val="189"/>
        </w:trPr>
        <w:tc>
          <w:tcPr>
            <w:tcW w:w="220" w:type="dxa"/>
            <w:vAlign w:val="bottom"/>
          </w:tcPr>
          <w:p>
            <w:pPr>
              <w:spacing w:after="0"/>
              <w:rPr>
                <w:sz w:val="16"/>
                <w:szCs w:val="16"/>
                <w:color w:val="auto"/>
              </w:rPr>
            </w:pPr>
          </w:p>
        </w:tc>
        <w:tc>
          <w:tcPr>
            <w:tcW w:w="2020" w:type="dxa"/>
            <w:vAlign w:val="bottom"/>
            <w:gridSpan w:val="2"/>
          </w:tcPr>
          <w:p>
            <w:pPr>
              <w:ind w:left="260"/>
              <w:spacing w:after="0"/>
              <w:rPr>
                <w:sz w:val="20"/>
                <w:szCs w:val="20"/>
                <w:color w:val="auto"/>
              </w:rPr>
            </w:pPr>
            <w:r>
              <w:rPr>
                <w:rFonts w:ascii="Arial" w:cs="Arial" w:eastAsia="Arial" w:hAnsi="Arial"/>
                <w:sz w:val="14"/>
                <w:szCs w:val="14"/>
                <w:color w:val="auto"/>
              </w:rPr>
              <w:t>capitalization by $</w:t>
            </w:r>
          </w:p>
        </w:tc>
        <w:tc>
          <w:tcPr>
            <w:tcW w:w="9000" w:type="dxa"/>
            <w:vAlign w:val="bottom"/>
            <w:gridSpan w:val="8"/>
          </w:tcPr>
          <w:p>
            <w:pPr>
              <w:jc w:val="right"/>
              <w:ind w:right="242"/>
              <w:spacing w:after="0"/>
              <w:rPr>
                <w:sz w:val="20"/>
                <w:szCs w:val="20"/>
                <w:color w:val="auto"/>
              </w:rPr>
            </w:pPr>
            <w:r>
              <w:rPr>
                <w:rFonts w:ascii="Arial" w:cs="Arial" w:eastAsia="Arial" w:hAnsi="Arial"/>
                <w:sz w:val="14"/>
                <w:szCs w:val="14"/>
                <w:color w:val="auto"/>
              </w:rPr>
              <w:t>million, assuming that the number of shares offered by us, as set forth on the cover page of this prospectus, remains the same, and after</w:t>
            </w:r>
          </w:p>
        </w:tc>
      </w:tr>
    </w:tbl>
    <w:p>
      <w:pPr>
        <w:spacing w:after="0" w:line="3" w:lineRule="exact"/>
        <w:rPr>
          <w:sz w:val="20"/>
          <w:szCs w:val="20"/>
          <w:color w:val="auto"/>
        </w:rPr>
      </w:pPr>
    </w:p>
    <w:p>
      <w:pPr>
        <w:ind w:left="480" w:right="260"/>
        <w:spacing w:after="0" w:line="258" w:lineRule="auto"/>
        <w:rPr>
          <w:sz w:val="20"/>
          <w:szCs w:val="20"/>
          <w:color w:val="auto"/>
        </w:rPr>
      </w:pPr>
      <w:r>
        <w:rPr>
          <w:rFonts w:ascii="Arial" w:cs="Arial" w:eastAsia="Arial" w:hAnsi="Arial"/>
          <w:sz w:val="14"/>
          <w:szCs w:val="14"/>
          <w:color w:val="auto"/>
        </w:rPr>
        <w:t>deducting underwriting discounts and commissions and estimated offering expenses payable by us. We may also increase or decrease the number of shares we are offering. Each increase or decrease of 1.0 million shares in the number of shares offered by us would increase or decrease, as applicable, each of our cash and cash</w:t>
      </w:r>
    </w:p>
    <w:p>
      <w:pPr>
        <w:spacing w:after="0" w:line="5" w:lineRule="exact"/>
        <w:rPr>
          <w:sz w:val="20"/>
          <w:szCs w:val="20"/>
          <w:color w:val="auto"/>
        </w:rPr>
      </w:pPr>
    </w:p>
    <w:p>
      <w:pPr>
        <w:ind w:left="480" w:right="180"/>
        <w:spacing w:after="0" w:line="255" w:lineRule="auto"/>
        <w:rPr>
          <w:sz w:val="20"/>
          <w:szCs w:val="20"/>
          <w:color w:val="auto"/>
        </w:rPr>
      </w:pPr>
      <w:r>
        <w:rPr>
          <w:rFonts w:ascii="Arial" w:cs="Arial" w:eastAsia="Arial" w:hAnsi="Arial"/>
          <w:sz w:val="14"/>
          <w:szCs w:val="14"/>
          <w:color w:val="auto"/>
        </w:rPr>
        <w:t>equivalents, additional paid-in capital, total stockholders’ (deficit) equity and total capitalization by $ million, assuming that the assumed initial public offering price remains the same, and after deducting underwriting discounts and commissions and estimated offering expenses payable by us. The pro forma and pro forma as adjusted information discussed above is illustrative only and will change based on the actual initial public offering price and other terms of this offering determined at pricing.</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4" w:name="page85"/>
    <w:bookmarkEnd w:id="84"/>
    <w:p>
      <w:pPr>
        <w:ind w:right="80" w:firstLine="576"/>
        <w:spacing w:after="0"/>
        <w:rPr>
          <w:sz w:val="20"/>
          <w:szCs w:val="20"/>
          <w:color w:val="auto"/>
        </w:rPr>
      </w:pPr>
      <w:r>
        <w:rPr>
          <w:rFonts w:ascii="Arial" w:cs="Arial" w:eastAsia="Arial" w:hAnsi="Arial"/>
          <w:sz w:val="18"/>
          <w:szCs w:val="18"/>
          <w:color w:val="auto"/>
        </w:rPr>
        <w:t>The number of shares of our common stock issued and outstanding, pro forma and pro forma as adjusted in the table above is based on 135,690,810 shares of common stock outstanding as of June 30, 2020 (including our convertible preferred stock on an as-converted basis), and excludes:</w:t>
      </w:r>
    </w:p>
    <w:p>
      <w:pPr>
        <w:spacing w:after="0" w:line="95" w:lineRule="exact"/>
        <w:rPr>
          <w:sz w:val="20"/>
          <w:szCs w:val="20"/>
          <w:color w:val="auto"/>
        </w:rPr>
      </w:pPr>
    </w:p>
    <w:p>
      <w:pPr>
        <w:ind w:left="1300" w:right="180" w:hanging="442"/>
        <w:spacing w:after="0" w:line="246"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9,982,500 shares of common stock issuable upon the exercise of outstanding options as of June 30, 2020 with a weighted-average exercise price of $0.13 per share;</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7,495,000 shares of common stock reserved for future issuance under our 2014 Equity Incentive Plan as of June 30, 2020;</w:t>
      </w:r>
    </w:p>
    <w:p>
      <w:pPr>
        <w:spacing w:after="0" w:line="225" w:lineRule="exact"/>
        <w:rPr>
          <w:rFonts w:ascii="Arial" w:cs="Arial" w:eastAsia="Arial" w:hAnsi="Arial"/>
          <w:sz w:val="18"/>
          <w:szCs w:val="18"/>
          <w:color w:val="auto"/>
        </w:rPr>
      </w:pPr>
    </w:p>
    <w:p>
      <w:pPr>
        <w:ind w:left="1300" w:right="520" w:hanging="442"/>
        <w:spacing w:after="0"/>
        <w:tabs>
          <w:tab w:leader="none" w:pos="195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2020 Equity Incentive Plan, which will become effective on the business day immediately prior to the date of effectiveness of the registration statement of which this prospectus forms a part; and</w:t>
      </w:r>
    </w:p>
    <w:p>
      <w:pPr>
        <w:spacing w:after="0" w:line="202" w:lineRule="exact"/>
        <w:rPr>
          <w:rFonts w:ascii="Arial" w:cs="Arial" w:eastAsia="Arial" w:hAnsi="Arial"/>
          <w:sz w:val="18"/>
          <w:szCs w:val="18"/>
          <w:color w:val="auto"/>
        </w:rPr>
      </w:pPr>
    </w:p>
    <w:p>
      <w:pPr>
        <w:ind w:left="1300" w:hanging="442"/>
        <w:spacing w:after="0"/>
        <w:tabs>
          <w:tab w:leader="none" w:pos="195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2020 Employee Stock Purchase Plan, which will become effective on the business day immediately prior to the date of effectiveness of the registration statement of which this prospectus forms a part.</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right="140" w:firstLine="576"/>
        <w:spacing w:after="0"/>
        <w:rPr>
          <w:sz w:val="20"/>
          <w:szCs w:val="20"/>
          <w:color w:val="auto"/>
        </w:rPr>
      </w:pPr>
      <w:r>
        <w:rPr>
          <w:rFonts w:ascii="Arial" w:cs="Arial" w:eastAsia="Arial" w:hAnsi="Arial"/>
          <w:sz w:val="18"/>
          <w:szCs w:val="18"/>
          <w:color w:val="auto"/>
        </w:rPr>
        <w:t>If you invest in our common stock you will experience immediate and substantial dilution in the pro forma net tangible book value of your shares of common stock. Dilution in pro forma net tangible book value represents the difference between the initial public offering price per share of our common stock and the pro forma as adjusted net tangible book value per share of our common stock.</w:t>
      </w:r>
    </w:p>
    <w:p>
      <w:pPr>
        <w:spacing w:after="0" w:line="203"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Historical net tangible book value (deficit) represents our total tangible assets (total assets less deferred offering costs) less total liabilities and our convertible preferred stock. As of June 30, 2020, our historical net tangible book deficit was $12.9 million and our historical net tangible book deficit per share was $0.35.</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 a pro forma basis, after giving effect to the automatic conversion of all outstanding shares of convertible preferred stock into an</w:t>
      </w:r>
    </w:p>
    <w:p>
      <w:pPr>
        <w:ind w:right="120"/>
        <w:spacing w:after="0" w:line="234" w:lineRule="auto"/>
        <w:rPr>
          <w:sz w:val="20"/>
          <w:szCs w:val="20"/>
          <w:color w:val="auto"/>
        </w:rPr>
      </w:pPr>
      <w:r>
        <w:rPr>
          <w:rFonts w:ascii="Arial" w:cs="Arial" w:eastAsia="Arial" w:hAnsi="Arial"/>
          <w:sz w:val="18"/>
          <w:szCs w:val="18"/>
          <w:color w:val="auto"/>
        </w:rPr>
        <w:t>aggregate of 99,151,789 shares of our common stock in connection with this offering and the issuance of an aggregate of shares of our common stock upon the exercise of outstanding warrants immediately prior to the closing of this offering, and the repayment of $1.5</w:t>
      </w:r>
    </w:p>
    <w:p>
      <w:pPr>
        <w:spacing w:after="0" w:line="1" w:lineRule="exact"/>
        <w:rPr>
          <w:sz w:val="20"/>
          <w:szCs w:val="20"/>
          <w:color w:val="auto"/>
        </w:rPr>
      </w:pPr>
    </w:p>
    <w:p>
      <w:pPr>
        <w:spacing w:after="0"/>
        <w:tabs>
          <w:tab w:leader="none" w:pos="8520" w:val="left"/>
          <w:tab w:leader="none" w:pos="9920" w:val="left"/>
        </w:tabs>
        <w:rPr>
          <w:sz w:val="20"/>
          <w:szCs w:val="20"/>
          <w:color w:val="auto"/>
        </w:rPr>
      </w:pPr>
      <w:r>
        <w:rPr>
          <w:rFonts w:ascii="Arial" w:cs="Arial" w:eastAsia="Arial" w:hAnsi="Arial"/>
          <w:sz w:val="18"/>
          <w:szCs w:val="18"/>
          <w:color w:val="auto"/>
        </w:rPr>
        <w:t>million in grant liability, our pro forma net tangible book value as of June 30, 2020 would have been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8"/>
          <w:szCs w:val="18"/>
          <w:color w:val="auto"/>
        </w:rPr>
        <w:t>per share.</w:t>
      </w:r>
    </w:p>
    <w:p>
      <w:pPr>
        <w:spacing w:after="0" w:line="212" w:lineRule="exact"/>
        <w:rPr>
          <w:sz w:val="20"/>
          <w:szCs w:val="20"/>
          <w:color w:val="auto"/>
        </w:rPr>
      </w:pPr>
    </w:p>
    <w:p>
      <w:pPr>
        <w:jc w:val="both"/>
        <w:ind w:right="320" w:firstLine="576"/>
        <w:spacing w:after="0" w:line="234" w:lineRule="auto"/>
        <w:rPr>
          <w:sz w:val="20"/>
          <w:szCs w:val="20"/>
          <w:color w:val="auto"/>
        </w:rPr>
      </w:pPr>
      <w:r>
        <w:rPr>
          <w:rFonts w:ascii="Arial" w:cs="Arial" w:eastAsia="Arial" w:hAnsi="Arial"/>
          <w:sz w:val="18"/>
          <w:szCs w:val="18"/>
          <w:color w:val="auto"/>
        </w:rPr>
        <w:t>On a pro forma basis, after giving further effect to the sale and issuance of shares of our common stock in this offering at the assumed initial public offering price of $ per share, which is the midpoint of the range reflected on the cover page of this prospectus,</w:t>
      </w:r>
    </w:p>
    <w:p>
      <w:pPr>
        <w:spacing w:after="0" w:line="236" w:lineRule="auto"/>
        <w:rPr>
          <w:sz w:val="20"/>
          <w:szCs w:val="20"/>
          <w:color w:val="auto"/>
        </w:rPr>
      </w:pPr>
      <w:r>
        <w:rPr>
          <w:rFonts w:ascii="Arial" w:cs="Arial" w:eastAsia="Arial" w:hAnsi="Arial"/>
          <w:sz w:val="18"/>
          <w:szCs w:val="18"/>
          <w:color w:val="auto"/>
        </w:rPr>
        <w:t>after deducting underwriting discounts and commissions and estimated offering expenses payable by us, our pro forma as adjusted net</w:t>
      </w:r>
    </w:p>
    <w:tbl>
      <w:tblPr>
        <w:tblLayout w:type="fixed"/>
        <w:tblInd w:w="0" w:type="dxa"/>
        <w:tblCellMar>
          <w:top w:w="0" w:type="dxa"/>
          <w:left w:w="0" w:type="dxa"/>
          <w:bottom w:w="0" w:type="dxa"/>
          <w:right w:w="0" w:type="dxa"/>
        </w:tblCellMar>
      </w:tblPr>
      <w:tr>
        <w:trPr>
          <w:trHeight w:val="203"/>
        </w:trPr>
        <w:tc>
          <w:tcPr>
            <w:tcW w:w="4980" w:type="dxa"/>
            <w:vAlign w:val="bottom"/>
            <w:gridSpan w:val="3"/>
          </w:tcPr>
          <w:p>
            <w:pPr>
              <w:spacing w:after="0" w:line="203" w:lineRule="exact"/>
              <w:rPr>
                <w:sz w:val="20"/>
                <w:szCs w:val="20"/>
                <w:color w:val="auto"/>
              </w:rPr>
            </w:pPr>
            <w:r>
              <w:rPr>
                <w:rFonts w:ascii="Arial" w:cs="Arial" w:eastAsia="Arial" w:hAnsi="Arial"/>
                <w:sz w:val="18"/>
                <w:szCs w:val="18"/>
                <w:color w:val="auto"/>
              </w:rPr>
              <w:t>tangible book value as of June 30, 2020 would have been $</w:t>
            </w:r>
          </w:p>
        </w:tc>
        <w:tc>
          <w:tcPr>
            <w:tcW w:w="1460" w:type="dxa"/>
            <w:vAlign w:val="bottom"/>
          </w:tcPr>
          <w:p>
            <w:pPr>
              <w:ind w:left="240"/>
              <w:spacing w:after="0" w:line="203" w:lineRule="exact"/>
              <w:rPr>
                <w:sz w:val="20"/>
                <w:szCs w:val="20"/>
                <w:color w:val="auto"/>
              </w:rPr>
            </w:pPr>
            <w:r>
              <w:rPr>
                <w:rFonts w:ascii="Arial" w:cs="Arial" w:eastAsia="Arial" w:hAnsi="Arial"/>
                <w:sz w:val="18"/>
                <w:szCs w:val="18"/>
                <w:color w:val="auto"/>
              </w:rPr>
              <w:t>million, or $</w:t>
            </w:r>
          </w:p>
        </w:tc>
        <w:tc>
          <w:tcPr>
            <w:tcW w:w="4800" w:type="dxa"/>
            <w:vAlign w:val="bottom"/>
            <w:gridSpan w:val="2"/>
          </w:tcPr>
          <w:p>
            <w:pPr>
              <w:jc w:val="right"/>
              <w:ind w:right="70"/>
              <w:spacing w:after="0" w:line="203" w:lineRule="exact"/>
              <w:rPr>
                <w:sz w:val="20"/>
                <w:szCs w:val="20"/>
                <w:color w:val="auto"/>
              </w:rPr>
            </w:pPr>
            <w:r>
              <w:rPr>
                <w:rFonts w:ascii="Arial" w:cs="Arial" w:eastAsia="Arial" w:hAnsi="Arial"/>
                <w:sz w:val="18"/>
                <w:szCs w:val="18"/>
                <w:color w:val="auto"/>
              </w:rPr>
              <w:t>per share. This represents an immediate increase in pro</w:t>
            </w:r>
          </w:p>
        </w:tc>
        <w:tc>
          <w:tcPr>
            <w:tcW w:w="0" w:type="dxa"/>
            <w:vAlign w:val="bottom"/>
          </w:tcPr>
          <w:p>
            <w:pPr>
              <w:spacing w:after="0"/>
              <w:rPr>
                <w:sz w:val="1"/>
                <w:szCs w:val="1"/>
                <w:color w:val="auto"/>
              </w:rPr>
            </w:pPr>
          </w:p>
        </w:tc>
      </w:tr>
      <w:tr>
        <w:trPr>
          <w:trHeight w:val="203"/>
        </w:trPr>
        <w:tc>
          <w:tcPr>
            <w:tcW w:w="2960" w:type="dxa"/>
            <w:vAlign w:val="bottom"/>
            <w:gridSpan w:val="2"/>
          </w:tcPr>
          <w:p>
            <w:pPr>
              <w:spacing w:after="0" w:line="202" w:lineRule="exact"/>
              <w:rPr>
                <w:sz w:val="20"/>
                <w:szCs w:val="20"/>
                <w:color w:val="auto"/>
              </w:rPr>
            </w:pPr>
            <w:r>
              <w:rPr>
                <w:rFonts w:ascii="Arial" w:cs="Arial" w:eastAsia="Arial" w:hAnsi="Arial"/>
                <w:sz w:val="18"/>
                <w:szCs w:val="18"/>
                <w:color w:val="auto"/>
              </w:rPr>
              <w:t>forma net tangible book value of $</w:t>
            </w:r>
          </w:p>
        </w:tc>
        <w:tc>
          <w:tcPr>
            <w:tcW w:w="82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per share to existing stockholders and an immediate dilution of the pro forma net tangible book value</w:t>
            </w:r>
          </w:p>
        </w:tc>
        <w:tc>
          <w:tcPr>
            <w:tcW w:w="0" w:type="dxa"/>
            <w:vAlign w:val="bottom"/>
          </w:tcPr>
          <w:p>
            <w:pPr>
              <w:spacing w:after="0"/>
              <w:rPr>
                <w:sz w:val="1"/>
                <w:szCs w:val="1"/>
                <w:color w:val="auto"/>
              </w:rPr>
            </w:pPr>
          </w:p>
        </w:tc>
      </w:tr>
      <w:tr>
        <w:trPr>
          <w:trHeight w:val="217"/>
        </w:trPr>
        <w:tc>
          <w:tcPr>
            <w:tcW w:w="440" w:type="dxa"/>
            <w:vAlign w:val="bottom"/>
          </w:tcPr>
          <w:p>
            <w:pPr>
              <w:spacing w:after="0"/>
              <w:rPr>
                <w:sz w:val="20"/>
                <w:szCs w:val="20"/>
                <w:color w:val="auto"/>
              </w:rPr>
            </w:pPr>
            <w:r>
              <w:rPr>
                <w:rFonts w:ascii="Arial" w:cs="Arial" w:eastAsia="Arial" w:hAnsi="Arial"/>
                <w:sz w:val="18"/>
                <w:szCs w:val="18"/>
                <w:color w:val="auto"/>
              </w:rPr>
              <w:t>of $</w:t>
            </w:r>
          </w:p>
        </w:tc>
        <w:tc>
          <w:tcPr>
            <w:tcW w:w="6000" w:type="dxa"/>
            <w:vAlign w:val="bottom"/>
            <w:gridSpan w:val="3"/>
          </w:tcPr>
          <w:p>
            <w:pPr>
              <w:ind w:left="340"/>
              <w:spacing w:after="0"/>
              <w:rPr>
                <w:sz w:val="20"/>
                <w:szCs w:val="20"/>
                <w:color w:val="auto"/>
              </w:rPr>
            </w:pPr>
            <w:r>
              <w:rPr>
                <w:rFonts w:ascii="Arial" w:cs="Arial" w:eastAsia="Arial" w:hAnsi="Arial"/>
                <w:sz w:val="18"/>
                <w:szCs w:val="18"/>
                <w:color w:val="auto"/>
              </w:rPr>
              <w:t>per share to new investors purchasing common stock in this offering.</w:t>
            </w:r>
          </w:p>
        </w:tc>
        <w:tc>
          <w:tcPr>
            <w:tcW w:w="19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40" w:type="dxa"/>
            <w:vAlign w:val="bottom"/>
          </w:tcPr>
          <w:p>
            <w:pPr>
              <w:spacing w:after="0"/>
              <w:rPr>
                <w:sz w:val="24"/>
                <w:szCs w:val="24"/>
                <w:color w:val="auto"/>
              </w:rPr>
            </w:pPr>
          </w:p>
        </w:tc>
        <w:tc>
          <w:tcPr>
            <w:tcW w:w="7900" w:type="dxa"/>
            <w:vAlign w:val="bottom"/>
            <w:gridSpan w:val="4"/>
          </w:tcPr>
          <w:p>
            <w:pPr>
              <w:jc w:val="right"/>
              <w:ind w:right="1330"/>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80" w:type="dxa"/>
            <w:vAlign w:val="bottom"/>
            <w:gridSpan w:val="3"/>
          </w:tcPr>
          <w:p>
            <w:pPr>
              <w:spacing w:after="0"/>
              <w:rPr>
                <w:sz w:val="17"/>
                <w:szCs w:val="17"/>
                <w:color w:val="auto"/>
              </w:rPr>
            </w:pPr>
          </w:p>
        </w:tc>
        <w:tc>
          <w:tcPr>
            <w:tcW w:w="14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Assumed initial public offering price per share</w:t>
            </w:r>
          </w:p>
        </w:tc>
        <w:tc>
          <w:tcPr>
            <w:tcW w:w="146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2900" w:type="dxa"/>
            <w:vAlign w:val="bottom"/>
            <w:shd w:val="clear" w:color="auto" w:fill="CFF0FC"/>
          </w:tcPr>
          <w:p>
            <w:pPr>
              <w:jc w:val="right"/>
              <w:ind w:right="14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980" w:type="dxa"/>
            <w:vAlign w:val="bottom"/>
            <w:gridSpan w:val="3"/>
          </w:tcPr>
          <w:p>
            <w:pPr>
              <w:ind w:left="140"/>
              <w:spacing w:after="0"/>
              <w:rPr>
                <w:sz w:val="20"/>
                <w:szCs w:val="20"/>
                <w:color w:val="auto"/>
              </w:rPr>
            </w:pPr>
            <w:r>
              <w:rPr>
                <w:rFonts w:ascii="Arial" w:cs="Arial" w:eastAsia="Arial" w:hAnsi="Arial"/>
                <w:sz w:val="18"/>
                <w:szCs w:val="18"/>
                <w:color w:val="auto"/>
              </w:rPr>
              <w:t>Historical net tangible book value (deficit) per share</w:t>
            </w:r>
          </w:p>
        </w:tc>
        <w:tc>
          <w:tcPr>
            <w:tcW w:w="1460" w:type="dxa"/>
            <w:vAlign w:val="bottom"/>
          </w:tcPr>
          <w:p>
            <w:pPr>
              <w:spacing w:after="0"/>
              <w:rPr>
                <w:sz w:val="18"/>
                <w:szCs w:val="18"/>
                <w:color w:val="auto"/>
              </w:rPr>
            </w:pPr>
          </w:p>
        </w:tc>
        <w:tc>
          <w:tcPr>
            <w:tcW w:w="1900" w:type="dxa"/>
            <w:vAlign w:val="bottom"/>
            <w:vMerge w:val="restart"/>
          </w:tcPr>
          <w:p>
            <w:pPr>
              <w:jc w:val="right"/>
              <w:ind w:right="430"/>
              <w:spacing w:after="0"/>
              <w:rPr>
                <w:sz w:val="20"/>
                <w:szCs w:val="20"/>
                <w:color w:val="auto"/>
              </w:rPr>
            </w:pPr>
            <w:r>
              <w:rPr>
                <w:rFonts w:ascii="Arial" w:cs="Arial" w:eastAsia="Arial" w:hAnsi="Arial"/>
                <w:sz w:val="18"/>
                <w:szCs w:val="18"/>
                <w:color w:val="auto"/>
              </w:rPr>
              <w:t>$</w:t>
            </w:r>
          </w:p>
        </w:tc>
        <w:tc>
          <w:tcPr>
            <w:tcW w:w="2900" w:type="dxa"/>
            <w:vAlign w:val="bottom"/>
            <w:vMerge w:val="restart"/>
          </w:tcPr>
          <w:p>
            <w:pPr>
              <w:jc w:val="right"/>
              <w:ind w:right="181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109"/>
        </w:trPr>
        <w:tc>
          <w:tcPr>
            <w:tcW w:w="2960" w:type="dxa"/>
            <w:vAlign w:val="bottom"/>
            <w:gridSpan w:val="2"/>
            <w:vMerge w:val="restart"/>
          </w:tcPr>
          <w:p>
            <w:pPr>
              <w:ind w:left="280"/>
              <w:spacing w:after="0"/>
              <w:rPr>
                <w:sz w:val="20"/>
                <w:szCs w:val="20"/>
                <w:color w:val="auto"/>
              </w:rPr>
            </w:pPr>
            <w:r>
              <w:rPr>
                <w:rFonts w:ascii="Arial" w:cs="Arial" w:eastAsia="Arial" w:hAnsi="Arial"/>
                <w:sz w:val="18"/>
                <w:szCs w:val="18"/>
                <w:color w:val="auto"/>
              </w:rPr>
              <w:t>as of June 30, 2020</w:t>
            </w:r>
          </w:p>
        </w:tc>
        <w:tc>
          <w:tcPr>
            <w:tcW w:w="20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2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960" w:type="dxa"/>
            <w:vAlign w:val="bottom"/>
            <w:gridSpan w:val="2"/>
            <w:vMerge w:val="continue"/>
          </w:tcPr>
          <w:p>
            <w:pPr>
              <w:spacing w:after="0"/>
              <w:rPr>
                <w:sz w:val="9"/>
                <w:szCs w:val="9"/>
                <w:color w:val="auto"/>
              </w:rPr>
            </w:pPr>
          </w:p>
        </w:tc>
        <w:tc>
          <w:tcPr>
            <w:tcW w:w="20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3943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ind w:left="140"/>
        <w:spacing w:after="0" w:line="234" w:lineRule="auto"/>
        <w:rPr>
          <w:sz w:val="20"/>
          <w:szCs w:val="20"/>
          <w:color w:val="auto"/>
        </w:rPr>
      </w:pPr>
      <w:r>
        <w:rPr>
          <w:rFonts w:ascii="Arial" w:cs="Arial" w:eastAsia="Arial" w:hAnsi="Arial"/>
          <w:sz w:val="18"/>
          <w:szCs w:val="18"/>
          <w:color w:val="auto"/>
        </w:rPr>
        <w:t>Pro forma increase in historical net tangible book deficit per share</w:t>
      </w:r>
    </w:p>
    <w:p>
      <w:pPr>
        <w:ind w:left="280"/>
        <w:spacing w:after="0" w:line="235" w:lineRule="auto"/>
        <w:rPr>
          <w:sz w:val="20"/>
          <w:szCs w:val="20"/>
          <w:color w:val="auto"/>
        </w:rPr>
      </w:pPr>
      <w:r>
        <w:rPr>
          <w:rFonts w:ascii="Arial" w:cs="Arial" w:eastAsia="Arial" w:hAnsi="Arial"/>
          <w:sz w:val="18"/>
          <w:szCs w:val="18"/>
          <w:color w:val="auto"/>
        </w:rPr>
        <w:t>as of June 30, 2020 attributable to the pro forma adjustments</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identified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-1905</wp:posOffset>
            </wp:positionV>
            <wp:extent cx="9944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 forma net tangible book value per share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65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Increase in pro forma net tangible book value per share</w:t>
      </w:r>
    </w:p>
    <w:p>
      <w:pPr>
        <w:ind w:left="280"/>
        <w:spacing w:after="0"/>
        <w:rPr>
          <w:sz w:val="20"/>
          <w:szCs w:val="20"/>
          <w:color w:val="auto"/>
        </w:rPr>
      </w:pPr>
      <w:r>
        <w:rPr>
          <w:rFonts w:ascii="Arial" w:cs="Arial" w:eastAsia="Arial" w:hAnsi="Arial"/>
          <w:sz w:val="18"/>
          <w:szCs w:val="18"/>
          <w:color w:val="auto"/>
        </w:rPr>
        <w:t>attributable to new investors participating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-1905</wp:posOffset>
            </wp:positionV>
            <wp:extent cx="9944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 forma as adjusted net tangible book value per share</w:t>
      </w:r>
    </w:p>
    <w:p>
      <w:pPr>
        <w:ind w:left="160"/>
        <w:spacing w:after="0"/>
        <w:rPr>
          <w:sz w:val="20"/>
          <w:szCs w:val="20"/>
          <w:color w:val="auto"/>
        </w:rPr>
      </w:pPr>
      <w:r>
        <w:rPr>
          <w:rFonts w:ascii="Arial" w:cs="Arial" w:eastAsia="Arial" w:hAnsi="Arial"/>
          <w:sz w:val="18"/>
          <w:szCs w:val="18"/>
          <w:color w:val="auto"/>
        </w:rPr>
        <w:t>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Dilution per share to new investors participating in this offering</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14605</wp:posOffset>
            </wp:positionV>
            <wp:extent cx="10629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6" w:name="page87"/>
    <w:bookmarkEnd w:id="86"/>
    <w:p>
      <w:pPr>
        <w:ind w:right="220" w:firstLine="576"/>
        <w:spacing w:after="0" w:line="234" w:lineRule="auto"/>
        <w:rPr>
          <w:sz w:val="20"/>
          <w:szCs w:val="20"/>
          <w:color w:val="auto"/>
        </w:rPr>
      </w:pPr>
      <w:r>
        <w:rPr>
          <w:rFonts w:ascii="Arial" w:cs="Arial" w:eastAsia="Arial" w:hAnsi="Arial"/>
          <w:sz w:val="18"/>
          <w:szCs w:val="18"/>
          <w:color w:val="auto"/>
        </w:rPr>
        <w:t>Each $1.00 increase or decrease in the assumed initial public offering price of $ per share would increase or decrease, as applicable, our pro forma as adjusted net tangible book value by $ million, or $ per share, and increase or decrease, as applicable, the dilution per share to investors participating in this offering by $ per share, assuming that the number of shares offered by us, as set</w:t>
      </w:r>
    </w:p>
    <w:p>
      <w:pPr>
        <w:spacing w:after="0" w:line="2" w:lineRule="exact"/>
        <w:rPr>
          <w:sz w:val="20"/>
          <w:szCs w:val="20"/>
          <w:color w:val="auto"/>
        </w:rPr>
      </w:pPr>
    </w:p>
    <w:p>
      <w:pPr>
        <w:ind w:right="20"/>
        <w:spacing w:after="0" w:line="372" w:lineRule="auto"/>
        <w:rPr>
          <w:sz w:val="20"/>
          <w:szCs w:val="20"/>
          <w:color w:val="auto"/>
        </w:rPr>
      </w:pPr>
      <w:r>
        <w:rPr>
          <w:rFonts w:ascii="Arial" w:cs="Arial" w:eastAsia="Arial" w:hAnsi="Arial"/>
          <w:sz w:val="17"/>
          <w:szCs w:val="17"/>
          <w:color w:val="auto"/>
        </w:rPr>
        <w:t>forth on the cover page of this prospectus, remains the same, and after deducting underwriting discounts and commissions and estimated offering expenses payable by us. We may also increase or decrease the number of shares we are offering. Each increase of 1.0 million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number of shares offered by us would increase our pro forma as adjusted net tangible book value by $ million, or $ per share, and the dilution per share to investors participating in this offering would be $ per share, assuming that the assumed initial public offering</w:t>
      </w:r>
    </w:p>
    <w:p>
      <w:pPr>
        <w:spacing w:after="0" w:line="1" w:lineRule="exact"/>
        <w:rPr>
          <w:sz w:val="20"/>
          <w:szCs w:val="20"/>
          <w:color w:val="auto"/>
        </w:rPr>
      </w:pPr>
    </w:p>
    <w:p>
      <w:pPr>
        <w:ind w:right="220"/>
        <w:spacing w:after="0" w:line="248" w:lineRule="auto"/>
        <w:rPr>
          <w:sz w:val="20"/>
          <w:szCs w:val="20"/>
          <w:color w:val="auto"/>
        </w:rPr>
      </w:pPr>
      <w:r>
        <w:rPr>
          <w:rFonts w:ascii="Arial" w:cs="Arial" w:eastAsia="Arial" w:hAnsi="Arial"/>
          <w:sz w:val="17"/>
          <w:szCs w:val="17"/>
          <w:color w:val="auto"/>
        </w:rPr>
        <w:t>price remains the same, and after deducting underwriting discounts and commissions and estimated offering expenses payable by us. Similarly, each decrease of 1.0 million shares in the number of shares offered by us would decrease our pro forma as adjusted net tangible</w:t>
      </w:r>
    </w:p>
    <w:p>
      <w:pPr>
        <w:spacing w:after="0" w:line="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book value by $ million, or $ per share, and the dilution per share to investors participating in this offering would be $ per share, assuming that the assumed initial public offering price remains the same, and after deducting underwriting discounts and commissions and estimated offering expenses payable by us. The pro forma as adjusted information discussed above is illustrative only and will change based on the actual initial public offering price and other terms of this offering determined at pricing.</w:t>
      </w:r>
    </w:p>
    <w:p>
      <w:pPr>
        <w:spacing w:after="0" w:line="205" w:lineRule="exact"/>
        <w:rPr>
          <w:sz w:val="20"/>
          <w:szCs w:val="20"/>
          <w:color w:val="auto"/>
        </w:rPr>
      </w:pPr>
    </w:p>
    <w:p>
      <w:pPr>
        <w:ind w:right="120" w:firstLine="576"/>
        <w:spacing w:after="0" w:line="238" w:lineRule="auto"/>
        <w:rPr>
          <w:sz w:val="20"/>
          <w:szCs w:val="20"/>
          <w:color w:val="auto"/>
        </w:rPr>
      </w:pPr>
      <w:r>
        <w:rPr>
          <w:rFonts w:ascii="Arial" w:cs="Arial" w:eastAsia="Arial" w:hAnsi="Arial"/>
          <w:sz w:val="18"/>
          <w:szCs w:val="18"/>
          <w:color w:val="auto"/>
        </w:rPr>
        <w:t>If the underwriters exercise their option in full to purchase additional shares of common stock in this offering, the pro forma as adjusted net tangible book value per share after the offering would be $ per share, the increase in the pro forma net tangible book value per share to existing stockholders would be $ per share, and the pro forma as adjusted dilution to new investors purchasing common stock in this offering would be $ per share.</w:t>
      </w:r>
    </w:p>
    <w:p>
      <w:pPr>
        <w:spacing w:after="0" w:line="205" w:lineRule="exact"/>
        <w:rPr>
          <w:sz w:val="20"/>
          <w:szCs w:val="20"/>
          <w:color w:val="auto"/>
        </w:rPr>
      </w:pPr>
    </w:p>
    <w:p>
      <w:pPr>
        <w:ind w:right="60" w:firstLine="576"/>
        <w:spacing w:after="0" w:line="248" w:lineRule="auto"/>
        <w:rPr>
          <w:sz w:val="20"/>
          <w:szCs w:val="20"/>
          <w:color w:val="auto"/>
        </w:rPr>
      </w:pPr>
      <w:r>
        <w:rPr>
          <w:rFonts w:ascii="Arial" w:cs="Arial" w:eastAsia="Arial" w:hAnsi="Arial"/>
          <w:sz w:val="17"/>
          <w:szCs w:val="17"/>
          <w:color w:val="auto"/>
        </w:rPr>
        <w:t>The following table summarizes, on a pro forma as adjusted basis as described above as of June 30, 2020, the differences between the number of shares of common stock purchased from us, the total consideration and the weighted-average price per share paid by existing</w:t>
      </w:r>
    </w:p>
    <w:p>
      <w:pPr>
        <w:spacing w:after="0" w:line="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stockholders and by investors participating in this offering at the initial public offering price of $ per share, before deducting underwriting discounts and commissions and estimated offering expenses payable by us: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4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75"/>
        </w:trPr>
        <w:tc>
          <w:tcPr>
            <w:tcW w:w="4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Total Consideration</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9"/>
              </w:rPr>
              <w:t>Price</w:t>
            </w:r>
          </w:p>
        </w:tc>
      </w:tr>
      <w:tr>
        <w:trPr>
          <w:trHeight w:val="169"/>
        </w:trPr>
        <w:tc>
          <w:tcPr>
            <w:tcW w:w="4800" w:type="dxa"/>
            <w:vAlign w:val="bottom"/>
            <w:tcBorders>
              <w:bottom w:val="single" w:sz="8" w:color="CFF0FC"/>
            </w:tcBorders>
          </w:tcPr>
          <w:p>
            <w:pPr>
              <w:spacing w:after="0"/>
              <w:rPr>
                <w:sz w:val="14"/>
                <w:szCs w:val="14"/>
                <w:color w:val="auto"/>
              </w:rPr>
            </w:pPr>
          </w:p>
        </w:tc>
        <w:tc>
          <w:tcPr>
            <w:tcW w:w="4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Percent</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r>
      <w:tr>
        <w:trPr>
          <w:trHeight w:val="20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Existing stockholders</w:t>
            </w:r>
          </w:p>
        </w:tc>
        <w:tc>
          <w:tcPr>
            <w:tcW w:w="4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94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948"/>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New public investors</w:t>
            </w:r>
          </w:p>
        </w:tc>
        <w:tc>
          <w:tcPr>
            <w:tcW w:w="40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20" w:type="dxa"/>
            <w:vAlign w:val="bottom"/>
            <w:tcBorders>
              <w:bottom w:val="single" w:sz="8" w:color="CFF0FC"/>
            </w:tcBorders>
            <w:gridSpan w:val="2"/>
          </w:tcPr>
          <w:p>
            <w:pPr>
              <w:jc w:val="right"/>
              <w:ind w:right="948"/>
              <w:spacing w:after="0"/>
              <w:rPr>
                <w:sz w:val="20"/>
                <w:szCs w:val="20"/>
                <w:color w:val="auto"/>
              </w:rPr>
            </w:pPr>
            <w:r>
              <w:rPr>
                <w:rFonts w:ascii="Arial" w:cs="Arial" w:eastAsia="Arial" w:hAnsi="Arial"/>
                <w:sz w:val="18"/>
                <w:szCs w:val="18"/>
                <w:color w:val="auto"/>
              </w:rPr>
              <w:t>$</w:t>
            </w:r>
          </w:p>
        </w:tc>
      </w:tr>
      <w:tr>
        <w:trPr>
          <w:trHeight w:val="210"/>
        </w:trPr>
        <w:tc>
          <w:tcPr>
            <w:tcW w:w="48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942"/>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r>
      <w:tr>
        <w:trPr>
          <w:trHeight w:val="20"/>
        </w:trPr>
        <w:tc>
          <w:tcPr>
            <w:tcW w:w="5200" w:type="dxa"/>
            <w:vAlign w:val="bottom"/>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98"/>
        </w:trPr>
        <w:tc>
          <w:tcPr>
            <w:tcW w:w="7320" w:type="dxa"/>
            <w:vAlign w:val="bottom"/>
            <w:gridSpan w:val="5"/>
          </w:tcPr>
          <w:p>
            <w:pPr>
              <w:ind w:left="580"/>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3920" w:type="dxa"/>
            <w:vAlign w:val="bottom"/>
            <w:gridSpan w:val="7"/>
          </w:tcPr>
          <w:p>
            <w:pPr>
              <w:jc w:val="right"/>
              <w:ind w:right="448"/>
              <w:spacing w:after="0"/>
              <w:rPr>
                <w:sz w:val="20"/>
                <w:szCs w:val="20"/>
                <w:color w:val="auto"/>
              </w:rPr>
            </w:pPr>
            <w:r>
              <w:rPr>
                <w:rFonts w:ascii="Arial" w:cs="Arial" w:eastAsia="Arial" w:hAnsi="Arial"/>
                <w:sz w:val="18"/>
                <w:szCs w:val="18"/>
                <w:color w:val="auto"/>
              </w:rPr>
              <w:t>per share would increase or decrease, as</w:t>
            </w: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applicable, total consideration paid by new investors by $</w:t>
            </w:r>
          </w:p>
        </w:tc>
        <w:tc>
          <w:tcPr>
            <w:tcW w:w="6440" w:type="dxa"/>
            <w:vAlign w:val="bottom"/>
            <w:gridSpan w:val="11"/>
          </w:tcPr>
          <w:p>
            <w:pPr>
              <w:jc w:val="right"/>
              <w:ind w:right="28"/>
              <w:spacing w:after="0" w:line="202" w:lineRule="exact"/>
              <w:rPr>
                <w:sz w:val="20"/>
                <w:szCs w:val="20"/>
                <w:color w:val="auto"/>
              </w:rPr>
            </w:pPr>
            <w:r>
              <w:rPr>
                <w:rFonts w:ascii="Arial" w:cs="Arial" w:eastAsia="Arial" w:hAnsi="Arial"/>
                <w:sz w:val="18"/>
                <w:szCs w:val="18"/>
                <w:color w:val="auto"/>
              </w:rPr>
              <w:t>, assuming that the number of shares offered by us, as set forth on the cover</w:t>
            </w:r>
          </w:p>
        </w:tc>
      </w:tr>
    </w:tbl>
    <w:p>
      <w:pPr>
        <w:jc w:val="both"/>
        <w:spacing w:after="0" w:line="234" w:lineRule="auto"/>
        <w:rPr>
          <w:sz w:val="20"/>
          <w:szCs w:val="20"/>
          <w:color w:val="auto"/>
        </w:rPr>
      </w:pPr>
      <w:r>
        <w:rPr>
          <w:rFonts w:ascii="Arial" w:cs="Arial" w:eastAsia="Arial" w:hAnsi="Arial"/>
          <w:sz w:val="18"/>
          <w:szCs w:val="18"/>
          <w:color w:val="auto"/>
        </w:rPr>
        <w:t>page of this prospectus, remains the same, after deducting underwriting discounts and commissions and estimated offering expenses payable by us. We may also increase or decrease the number of shares we are offering. An increase or decrease of 1.0 million in the number</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of shares offered by us would increase or decrease, as applicable, total consideration paid by new investors by $ million, assuming that the assumed initial public offering price remains the same, and after deducting underwriting discounts and commissions and estimated offering expenses payable by us.</w:t>
      </w:r>
    </w:p>
    <w:p>
      <w:pPr>
        <w:spacing w:after="0" w:line="203" w:lineRule="exact"/>
        <w:rPr>
          <w:sz w:val="20"/>
          <w:szCs w:val="20"/>
          <w:color w:val="auto"/>
        </w:rPr>
      </w:pPr>
    </w:p>
    <w:p>
      <w:pPr>
        <w:ind w:right="380" w:firstLine="576"/>
        <w:spacing w:after="0"/>
        <w:rPr>
          <w:sz w:val="20"/>
          <w:szCs w:val="20"/>
          <w:color w:val="auto"/>
        </w:rPr>
      </w:pPr>
      <w:r>
        <w:rPr>
          <w:rFonts w:ascii="Arial" w:cs="Arial" w:eastAsia="Arial" w:hAnsi="Arial"/>
          <w:sz w:val="18"/>
          <w:szCs w:val="18"/>
          <w:color w:val="auto"/>
        </w:rPr>
        <w:t>The foregoing tables and calculations (other than the historical net tangible book value calculation) are based on the 135,690,810 shares of common stock outstanding as of June 30, 2020 (including our convertible preferred stock on an as-converted basis), which excludes:</w:t>
      </w:r>
    </w:p>
    <w:p>
      <w:pPr>
        <w:spacing w:after="0" w:line="95" w:lineRule="exact"/>
        <w:rPr>
          <w:sz w:val="20"/>
          <w:szCs w:val="20"/>
          <w:color w:val="auto"/>
        </w:rPr>
      </w:pPr>
    </w:p>
    <w:p>
      <w:pPr>
        <w:ind w:left="1300" w:right="180" w:hanging="442"/>
        <w:spacing w:after="0" w:line="246"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9,982,500 shares of common stock issuable upon the exercise of outstanding options as of June 30, 2020 with a weighted-average exercise price of $0.13 per share;</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7,495,000 shares of common stock reserved for future issuance under our 2014 Equity Incentive Plan as of June 30, 2020;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87" w:name="page88"/>
    <w:bookmarkEnd w:id="87"/>
    <w:p>
      <w:pPr>
        <w:ind w:left="1300" w:right="60" w:hanging="442"/>
        <w:spacing w:after="0"/>
        <w:tabs>
          <w:tab w:leader="none" w:pos="1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2020 Equity Incentive Plan, which will become effective on the business day immediately prior to the date of effectiveness of the registration statement of which this prospectus forms a part; and</w:t>
      </w:r>
    </w:p>
    <w:p>
      <w:pPr>
        <w:spacing w:after="0" w:line="202" w:lineRule="exact"/>
        <w:rPr>
          <w:rFonts w:ascii="Arial" w:cs="Arial" w:eastAsia="Arial" w:hAnsi="Arial"/>
          <w:sz w:val="18"/>
          <w:szCs w:val="18"/>
          <w:color w:val="auto"/>
        </w:rPr>
      </w:pPr>
    </w:p>
    <w:p>
      <w:pPr>
        <w:ind w:left="1300" w:hanging="442"/>
        <w:spacing w:after="0"/>
        <w:tabs>
          <w:tab w:leader="none" w:pos="1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2020 Employee Stock Purchase Plan, which will become effective on the business day immediately prior to the date of effectiveness of the registration statement of which this prospectus forms a part.</w:t>
      </w:r>
    </w:p>
    <w:p>
      <w:pPr>
        <w:spacing w:after="0" w:line="311" w:lineRule="exact"/>
        <w:rPr>
          <w:sz w:val="20"/>
          <w:szCs w:val="20"/>
          <w:color w:val="auto"/>
        </w:rPr>
      </w:pPr>
    </w:p>
    <w:p>
      <w:pPr>
        <w:ind w:right="320" w:firstLine="576"/>
        <w:spacing w:after="0" w:line="246" w:lineRule="auto"/>
        <w:rPr>
          <w:sz w:val="20"/>
          <w:szCs w:val="20"/>
          <w:color w:val="auto"/>
        </w:rPr>
      </w:pPr>
      <w:r>
        <w:rPr>
          <w:rFonts w:ascii="Arial" w:cs="Arial" w:eastAsia="Arial" w:hAnsi="Arial"/>
          <w:sz w:val="18"/>
          <w:szCs w:val="18"/>
          <w:color w:val="auto"/>
        </w:rPr>
        <w:t>To the extent that any outstanding options are exercised, new options or other equity awards are issued under our equity incentive plans, or we issue additional shares in the future, there will be further dilution to new investors participating in this offering.</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88" w:name="page89"/>
    <w:bookmarkEnd w:id="88"/>
    <w:p>
      <w:pPr>
        <w:jc w:val="center"/>
        <w:ind w:right="20"/>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tables set forth our selected financial data. The selected statements of operations data for the years ended</w:t>
      </w:r>
    </w:p>
    <w:p>
      <w:pPr>
        <w:spacing w:after="0" w:line="234" w:lineRule="auto"/>
        <w:rPr>
          <w:sz w:val="20"/>
          <w:szCs w:val="20"/>
          <w:color w:val="auto"/>
        </w:rPr>
      </w:pPr>
      <w:r>
        <w:rPr>
          <w:rFonts w:ascii="Arial" w:cs="Arial" w:eastAsia="Arial" w:hAnsi="Arial"/>
          <w:sz w:val="18"/>
          <w:szCs w:val="18"/>
          <w:color w:val="auto"/>
        </w:rPr>
        <w:t>December 31, 2018 and 2019 and the selected balance sheet data as of December 31, 2018 and 2019 are derived from our audited financial</w:t>
      </w:r>
    </w:p>
    <w:p>
      <w:pPr>
        <w:spacing w:after="0" w:line="235" w:lineRule="auto"/>
        <w:rPr>
          <w:sz w:val="20"/>
          <w:szCs w:val="20"/>
          <w:color w:val="auto"/>
        </w:rPr>
      </w:pPr>
      <w:r>
        <w:rPr>
          <w:rFonts w:ascii="Arial" w:cs="Arial" w:eastAsia="Arial" w:hAnsi="Arial"/>
          <w:sz w:val="18"/>
          <w:szCs w:val="18"/>
          <w:color w:val="auto"/>
        </w:rPr>
        <w:t>statements included elsewhere in this prospectus. The selected statements of operations data for the six months ended June 30, 2019 and</w:t>
      </w:r>
    </w:p>
    <w:p>
      <w:pPr>
        <w:spacing w:after="0" w:line="235" w:lineRule="auto"/>
        <w:rPr>
          <w:sz w:val="20"/>
          <w:szCs w:val="20"/>
          <w:color w:val="auto"/>
        </w:rPr>
      </w:pPr>
      <w:r>
        <w:rPr>
          <w:rFonts w:ascii="Arial" w:cs="Arial" w:eastAsia="Arial" w:hAnsi="Arial"/>
          <w:sz w:val="18"/>
          <w:szCs w:val="18"/>
          <w:color w:val="auto"/>
        </w:rPr>
        <w:t>2020 and the selected balance sheet data as of June 30, 2020 are derived from our unaudited interim condensed financial statements</w:t>
      </w:r>
    </w:p>
    <w:p>
      <w:pPr>
        <w:spacing w:after="0" w:line="235" w:lineRule="auto"/>
        <w:rPr>
          <w:sz w:val="20"/>
          <w:szCs w:val="20"/>
          <w:color w:val="auto"/>
        </w:rPr>
      </w:pPr>
      <w:r>
        <w:rPr>
          <w:rFonts w:ascii="Arial" w:cs="Arial" w:eastAsia="Arial" w:hAnsi="Arial"/>
          <w:sz w:val="18"/>
          <w:szCs w:val="18"/>
          <w:color w:val="auto"/>
        </w:rPr>
        <w:t>included elsewhere in this prospectus. Our unaudited interim condensed financial statements have been prepared on a basis similar to our</w:t>
      </w:r>
    </w:p>
    <w:p>
      <w:pPr>
        <w:spacing w:after="0" w:line="235" w:lineRule="auto"/>
        <w:rPr>
          <w:sz w:val="20"/>
          <w:szCs w:val="20"/>
          <w:color w:val="auto"/>
        </w:rPr>
      </w:pPr>
      <w:r>
        <w:rPr>
          <w:rFonts w:ascii="Arial" w:cs="Arial" w:eastAsia="Arial" w:hAnsi="Arial"/>
          <w:sz w:val="18"/>
          <w:szCs w:val="18"/>
          <w:color w:val="auto"/>
        </w:rPr>
        <w:t>audited financial statements and, in the opinion of management, reflect all adjustments, consisting solely of normal recurring adjustments,</w:t>
      </w:r>
    </w:p>
    <w:p>
      <w:pPr>
        <w:spacing w:after="0" w:line="234" w:lineRule="auto"/>
        <w:rPr>
          <w:sz w:val="20"/>
          <w:szCs w:val="20"/>
          <w:color w:val="auto"/>
        </w:rPr>
      </w:pPr>
      <w:r>
        <w:rPr>
          <w:rFonts w:ascii="Arial" w:cs="Arial" w:eastAsia="Arial" w:hAnsi="Arial"/>
          <w:sz w:val="18"/>
          <w:szCs w:val="18"/>
          <w:color w:val="auto"/>
        </w:rPr>
        <w:t>necessary for the fair presentation of the financial information in those statements. You should read this selected data together with our</w:t>
      </w:r>
    </w:p>
    <w:p>
      <w:pPr>
        <w:spacing w:after="0" w:line="235" w:lineRule="auto"/>
        <w:rPr>
          <w:sz w:val="20"/>
          <w:szCs w:val="20"/>
          <w:color w:val="auto"/>
        </w:rPr>
      </w:pPr>
      <w:r>
        <w:rPr>
          <w:rFonts w:ascii="Arial" w:cs="Arial" w:eastAsia="Arial" w:hAnsi="Arial"/>
          <w:sz w:val="18"/>
          <w:szCs w:val="18"/>
          <w:color w:val="auto"/>
        </w:rPr>
        <w:t>financial statements and related notes appearing elsewhere in this prospectus and the information in the section of this prospectus titled</w:t>
      </w:r>
    </w:p>
    <w:p>
      <w:pPr>
        <w:spacing w:after="0" w:line="235" w:lineRule="auto"/>
        <w:rPr>
          <w:sz w:val="20"/>
          <w:szCs w:val="20"/>
          <w:color w:val="auto"/>
        </w:rPr>
      </w:pPr>
      <w:r>
        <w:rPr>
          <w:rFonts w:ascii="Arial" w:cs="Arial" w:eastAsia="Arial" w:hAnsi="Arial"/>
          <w:sz w:val="18"/>
          <w:szCs w:val="18"/>
          <w:color w:val="auto"/>
        </w:rPr>
        <w:t>“Management’s Discussion and Analysis of Financial Condition and Results of Operations.” Our historical results are not necessarily</w:t>
      </w:r>
    </w:p>
    <w:p>
      <w:pPr>
        <w:spacing w:after="0" w:line="235" w:lineRule="auto"/>
        <w:rPr>
          <w:sz w:val="20"/>
          <w:szCs w:val="20"/>
          <w:color w:val="auto"/>
        </w:rPr>
      </w:pPr>
      <w:r>
        <w:rPr>
          <w:rFonts w:ascii="Arial" w:cs="Arial" w:eastAsia="Arial" w:hAnsi="Arial"/>
          <w:sz w:val="18"/>
          <w:szCs w:val="18"/>
          <w:color w:val="auto"/>
        </w:rPr>
        <w:t>indicative of our future results, and the results of operations for the six months ended June 30, 2020 are not necessarily indicative of the</w:t>
      </w:r>
    </w:p>
    <w:p>
      <w:pPr>
        <w:spacing w:after="0" w:line="235" w:lineRule="auto"/>
        <w:rPr>
          <w:sz w:val="20"/>
          <w:szCs w:val="20"/>
          <w:color w:val="auto"/>
        </w:rPr>
      </w:pPr>
      <w:r>
        <w:rPr>
          <w:rFonts w:ascii="Arial" w:cs="Arial" w:eastAsia="Arial" w:hAnsi="Arial"/>
          <w:sz w:val="18"/>
          <w:szCs w:val="18"/>
          <w:color w:val="auto"/>
        </w:rPr>
        <w:t>results to be expected for the full year ending December 31, 2020 or any other period. The selected financial data in this section are not</w:t>
      </w:r>
    </w:p>
    <w:p>
      <w:pPr>
        <w:spacing w:after="0"/>
        <w:rPr>
          <w:sz w:val="20"/>
          <w:szCs w:val="20"/>
          <w:color w:val="auto"/>
        </w:rPr>
      </w:pPr>
      <w:r>
        <w:rPr>
          <w:rFonts w:ascii="Arial" w:cs="Arial" w:eastAsia="Arial" w:hAnsi="Arial"/>
          <w:sz w:val="18"/>
          <w:szCs w:val="18"/>
          <w:color w:val="auto"/>
        </w:rPr>
        <w:t>intended to replace our financial statements and the related notes included elsewhere in this prospectus.</w:t>
      </w:r>
    </w:p>
    <w:p>
      <w:pPr>
        <w:sectPr>
          <w:pgSz w:w="11900" w:h="16838" w:orient="portrait"/>
          <w:cols w:equalWidth="0" w:num="1">
            <w:col w:w="11260"/>
          </w:cols>
          <w:pgMar w:left="320" w:top="360" w:right="319" w:bottom="1440" w:gutter="0" w:footer="0" w:header="0"/>
        </w:sectPr>
      </w:pPr>
    </w:p>
    <w:p>
      <w:pPr>
        <w:spacing w:after="0" w:line="267" w:lineRule="exact"/>
        <w:rPr>
          <w:sz w:val="20"/>
          <w:szCs w:val="20"/>
          <w:color w:val="auto"/>
        </w:rPr>
      </w:pPr>
    </w:p>
    <w:p>
      <w:pPr>
        <w:ind w:left="62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8890</wp:posOffset>
            </wp:positionV>
            <wp:extent cx="16116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9" w:lineRule="exact"/>
        <w:rPr>
          <w:sz w:val="20"/>
          <w:szCs w:val="20"/>
          <w:color w:val="auto"/>
        </w:rPr>
      </w:pPr>
    </w:p>
    <w:p>
      <w:pPr>
        <w:ind w:left="6220"/>
        <w:spacing w:after="0"/>
        <w:tabs>
          <w:tab w:leader="none" w:pos="76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8890</wp:posOffset>
            </wp:positionV>
            <wp:extent cx="16802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9" w:lineRule="exact"/>
        <w:rPr>
          <w:sz w:val="20"/>
          <w:szCs w:val="20"/>
          <w:color w:val="auto"/>
        </w:rPr>
      </w:pPr>
    </w:p>
    <w:p>
      <w:pPr>
        <w:ind w:left="80"/>
        <w:spacing w:after="0"/>
        <w:tabs>
          <w:tab w:leader="none" w:pos="14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13" w:lineRule="exact"/>
        <w:rPr>
          <w:sz w:val="20"/>
          <w:szCs w:val="20"/>
          <w:color w:val="auto"/>
        </w:rPr>
      </w:pPr>
    </w:p>
    <w:p>
      <w:pPr>
        <w:sectPr>
          <w:pgSz w:w="11900" w:h="16838" w:orient="portrait"/>
          <w:cols w:equalWidth="0" w:num="2">
            <w:col w:w="8200" w:space="720"/>
            <w:col w:w="2340"/>
          </w:cols>
          <w:pgMar w:left="320" w:top="360" w:right="31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11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540" w:type="dxa"/>
            <w:vAlign w:val="bottom"/>
            <w:tcBorders>
              <w:top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gridSpan w:val="10"/>
          </w:tcPr>
          <w:p>
            <w:pPr>
              <w:ind w:left="120"/>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Statements of Operations Data:</w:t>
            </w: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3,589</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3,793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2,110</w:t>
            </w:r>
          </w:p>
        </w:tc>
        <w:tc>
          <w:tcPr>
            <w:tcW w:w="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1,420</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1,656</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687</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5,009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5,449</w:t>
            </w: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2,797</w:t>
            </w:r>
          </w:p>
        </w:tc>
        <w:tc>
          <w:tcPr>
            <w:tcW w:w="80" w:type="dxa"/>
            <w:vAlign w:val="bottom"/>
            <w:tcBorders>
              <w:bottom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Borders>
              <w:bottom w:val="single" w:sz="8" w:color="auto"/>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(5,009)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5"/>
          </w:tcPr>
          <w:p>
            <w:pPr>
              <w:jc w:val="right"/>
              <w:ind w:right="108"/>
              <w:spacing w:after="0"/>
              <w:rPr>
                <w:sz w:val="20"/>
                <w:szCs w:val="20"/>
                <w:color w:val="auto"/>
              </w:rPr>
            </w:pPr>
            <w:r>
              <w:rPr>
                <w:rFonts w:ascii="Arial" w:cs="Arial" w:eastAsia="Arial" w:hAnsi="Arial"/>
                <w:sz w:val="18"/>
                <w:szCs w:val="18"/>
                <w:color w:val="auto"/>
              </w:rPr>
              <w:t>(5,449)</w:t>
            </w:r>
          </w:p>
        </w:tc>
        <w:tc>
          <w:tcPr>
            <w:tcW w:w="1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(2,797)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288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140</w:t>
            </w:r>
          </w:p>
        </w:tc>
        <w:tc>
          <w:tcPr>
            <w:tcW w:w="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8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(5,097)</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80" w:type="dxa"/>
            <w:vAlign w:val="bottom"/>
            <w:gridSpan w:val="5"/>
          </w:tcPr>
          <w:p>
            <w:pPr>
              <w:jc w:val="right"/>
              <w:ind w:right="108"/>
              <w:spacing w:after="0"/>
              <w:rPr>
                <w:sz w:val="20"/>
                <w:szCs w:val="20"/>
                <w:color w:val="auto"/>
              </w:rPr>
            </w:pPr>
            <w:r>
              <w:rPr>
                <w:rFonts w:ascii="Arial" w:cs="Arial" w:eastAsia="Arial" w:hAnsi="Arial"/>
                <w:sz w:val="18"/>
                <w:szCs w:val="18"/>
                <w:color w:val="auto"/>
              </w:rPr>
              <w:t>(5,161)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(2,657)</w:t>
            </w:r>
          </w:p>
        </w:tc>
        <w:tc>
          <w:tcPr>
            <w:tcW w:w="100" w:type="dxa"/>
            <w:vAlign w:val="bottom"/>
          </w:tcPr>
          <w:p>
            <w:pPr>
              <w:spacing w:after="0"/>
              <w:rPr>
                <w:sz w:val="21"/>
                <w:szCs w:val="21"/>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(3,797)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780" w:type="dxa"/>
            <w:vAlign w:val="bottom"/>
            <w:tcBorders>
              <w:top w:val="single" w:sz="8" w:color="CFF0FC"/>
            </w:tcBorders>
            <w:gridSpan w:val="2"/>
            <w:shd w:val="clear" w:color="auto" w:fill="CFF0FC"/>
          </w:tcPr>
          <w:p>
            <w:pPr>
              <w:spacing w:after="0" w:line="193" w:lineRule="exact"/>
              <w:rPr>
                <w:sz w:val="20"/>
                <w:szCs w:val="20"/>
                <w:color w:val="auto"/>
              </w:rPr>
            </w:pPr>
            <w:r>
              <w:rPr>
                <w:rFonts w:ascii="Arial" w:cs="Arial" w:eastAsia="Arial" w:hAnsi="Arial"/>
                <w:sz w:val="18"/>
                <w:szCs w:val="18"/>
                <w:color w:val="auto"/>
              </w:rPr>
              <w:t>Net loss per share attributable to common</w:t>
            </w:r>
          </w:p>
        </w:tc>
        <w:tc>
          <w:tcPr>
            <w:tcW w:w="10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right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780" w:type="dxa"/>
            <w:vAlign w:val="bottom"/>
            <w:gridSpan w:val="2"/>
            <w:shd w:val="clear" w:color="auto" w:fill="CFF0FC"/>
          </w:tcPr>
          <w:p>
            <w:pPr>
              <w:ind w:left="160"/>
              <w:spacing w:after="0" w:line="206" w:lineRule="exact"/>
              <w:rPr>
                <w:sz w:val="20"/>
                <w:szCs w:val="20"/>
                <w:color w:val="auto"/>
              </w:rPr>
            </w:pPr>
            <w:r>
              <w:rPr>
                <w:rFonts w:ascii="Arial" w:cs="Arial" w:eastAsia="Arial" w:hAnsi="Arial"/>
                <w:sz w:val="18"/>
                <w:szCs w:val="18"/>
                <w:color w:val="auto"/>
              </w:rPr>
              <w:t>stockholders, basic and diluted</w:t>
            </w:r>
            <w:r>
              <w:rPr>
                <w:rFonts w:ascii="Arial" w:cs="Arial" w:eastAsia="Arial" w:hAnsi="Arial"/>
                <w:sz w:val="15"/>
                <w:szCs w:val="15"/>
                <w:color w:val="auto"/>
              </w:rPr>
              <w:t>(1)</w:t>
            </w:r>
          </w:p>
        </w:tc>
        <w:tc>
          <w:tcPr>
            <w:tcW w:w="1200" w:type="dxa"/>
            <w:vAlign w:val="bottom"/>
            <w:gridSpan w:val="2"/>
            <w:shd w:val="clear" w:color="auto" w:fill="CFF0FC"/>
          </w:tcPr>
          <w:p>
            <w:pPr>
              <w:jc w:val="right"/>
              <w:ind w:right="60"/>
              <w:spacing w:after="0" w:line="206" w:lineRule="exact"/>
              <w:rPr>
                <w:sz w:val="20"/>
                <w:szCs w:val="20"/>
                <w:color w:val="auto"/>
              </w:rPr>
            </w:pPr>
            <w:r>
              <w:rPr>
                <w:rFonts w:ascii="Arial" w:cs="Arial" w:eastAsia="Arial" w:hAnsi="Arial"/>
                <w:sz w:val="18"/>
                <w:szCs w:val="18"/>
                <w:color w:val="auto"/>
              </w:rPr>
              <w:t>$</w:t>
            </w:r>
          </w:p>
        </w:tc>
        <w:tc>
          <w:tcPr>
            <w:tcW w:w="1100" w:type="dxa"/>
            <w:vAlign w:val="bottom"/>
            <w:gridSpan w:val="3"/>
            <w:shd w:val="clear" w:color="auto" w:fill="CFF0FC"/>
          </w:tcPr>
          <w:p>
            <w:pPr>
              <w:jc w:val="right"/>
              <w:ind w:right="60"/>
              <w:spacing w:after="0" w:line="206" w:lineRule="exact"/>
              <w:rPr>
                <w:sz w:val="20"/>
                <w:szCs w:val="20"/>
                <w:color w:val="auto"/>
              </w:rPr>
            </w:pPr>
            <w:r>
              <w:rPr>
                <w:rFonts w:ascii="Arial" w:cs="Arial" w:eastAsia="Arial" w:hAnsi="Arial"/>
                <w:sz w:val="18"/>
                <w:szCs w:val="18"/>
                <w:color w:val="auto"/>
              </w:rPr>
              <w:t>(0.19)</w:t>
            </w:r>
          </w:p>
        </w:tc>
        <w:tc>
          <w:tcPr>
            <w:tcW w:w="240" w:type="dxa"/>
            <w:vAlign w:val="bottom"/>
            <w:gridSpan w:val="2"/>
            <w:shd w:val="clear" w:color="auto" w:fill="CFF0FC"/>
          </w:tcPr>
          <w:p>
            <w:pPr>
              <w:ind w:left="120"/>
              <w:spacing w:after="0" w:line="206" w:lineRule="exact"/>
              <w:rPr>
                <w:sz w:val="20"/>
                <w:szCs w:val="20"/>
                <w:color w:val="auto"/>
              </w:rPr>
            </w:pPr>
            <w:r>
              <w:rPr>
                <w:rFonts w:ascii="Arial" w:cs="Arial" w:eastAsia="Arial" w:hAnsi="Arial"/>
                <w:sz w:val="18"/>
                <w:szCs w:val="18"/>
                <w:color w:val="auto"/>
                <w:w w:val="99"/>
              </w:rPr>
              <w:t>$</w:t>
            </w:r>
          </w:p>
        </w:tc>
        <w:tc>
          <w:tcPr>
            <w:tcW w:w="1280" w:type="dxa"/>
            <w:vAlign w:val="bottom"/>
            <w:gridSpan w:val="5"/>
            <w:shd w:val="clear" w:color="auto" w:fill="CFF0FC"/>
          </w:tcPr>
          <w:p>
            <w:pPr>
              <w:jc w:val="right"/>
              <w:ind w:right="108"/>
              <w:spacing w:after="0" w:line="206" w:lineRule="exact"/>
              <w:rPr>
                <w:sz w:val="20"/>
                <w:szCs w:val="20"/>
                <w:color w:val="auto"/>
              </w:rPr>
            </w:pPr>
            <w:r>
              <w:rPr>
                <w:rFonts w:ascii="Arial" w:cs="Arial" w:eastAsia="Arial" w:hAnsi="Arial"/>
                <w:sz w:val="18"/>
                <w:szCs w:val="18"/>
                <w:color w:val="auto"/>
              </w:rPr>
              <w:t>(0.18)</w:t>
            </w:r>
          </w:p>
        </w:tc>
        <w:tc>
          <w:tcPr>
            <w:tcW w:w="10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FF0FC"/>
            </w:tcBorders>
            <w:gridSpan w:val="3"/>
            <w:shd w:val="clear" w:color="auto" w:fill="CFF0FC"/>
          </w:tcPr>
          <w:p>
            <w:pPr>
              <w:jc w:val="right"/>
              <w:spacing w:after="0" w:line="206" w:lineRule="exact"/>
              <w:rPr>
                <w:sz w:val="20"/>
                <w:szCs w:val="20"/>
                <w:color w:val="auto"/>
              </w:rPr>
            </w:pPr>
            <w:r>
              <w:rPr>
                <w:rFonts w:ascii="Arial" w:cs="Arial" w:eastAsia="Arial" w:hAnsi="Arial"/>
                <w:sz w:val="18"/>
                <w:szCs w:val="18"/>
                <w:color w:val="auto"/>
              </w:rPr>
              <w:t>(0.09)</w:t>
            </w:r>
          </w:p>
        </w:tc>
        <w:tc>
          <w:tcPr>
            <w:tcW w:w="100" w:type="dxa"/>
            <w:vAlign w:val="bottom"/>
            <w:shd w:val="clear" w:color="auto" w:fill="CFF0FC"/>
          </w:tcPr>
          <w:p>
            <w:pPr>
              <w:spacing w:after="0"/>
              <w:rPr>
                <w:sz w:val="17"/>
                <w:szCs w:val="17"/>
                <w:color w:val="auto"/>
              </w:rPr>
            </w:pPr>
          </w:p>
        </w:tc>
        <w:tc>
          <w:tcPr>
            <w:tcW w:w="220" w:type="dxa"/>
            <w:vAlign w:val="bottom"/>
            <w:gridSpan w:val="2"/>
            <w:shd w:val="clear" w:color="auto" w:fill="CFF0FC"/>
          </w:tcPr>
          <w:p>
            <w:pPr>
              <w:ind w:left="40"/>
              <w:spacing w:after="0" w:line="20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line="206" w:lineRule="exact"/>
              <w:rPr>
                <w:sz w:val="20"/>
                <w:szCs w:val="20"/>
                <w:color w:val="auto"/>
              </w:rPr>
            </w:pPr>
            <w:r>
              <w:rPr>
                <w:rFonts w:ascii="Arial" w:cs="Arial" w:eastAsia="Arial" w:hAnsi="Arial"/>
                <w:sz w:val="18"/>
                <w:szCs w:val="18"/>
                <w:color w:val="auto"/>
              </w:rPr>
              <w:t>(0.12)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10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used in computing net loss per share</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780" w:type="dxa"/>
            <w:vAlign w:val="bottom"/>
            <w:gridSpan w:val="2"/>
          </w:tcPr>
          <w:p>
            <w:pPr>
              <w:ind w:left="160"/>
              <w:spacing w:after="0" w:line="200" w:lineRule="exact"/>
              <w:rPr>
                <w:sz w:val="20"/>
                <w:szCs w:val="20"/>
                <w:color w:val="auto"/>
              </w:rPr>
            </w:pPr>
            <w:r>
              <w:rPr>
                <w:rFonts w:ascii="Arial" w:cs="Arial" w:eastAsia="Arial" w:hAnsi="Arial"/>
                <w:sz w:val="18"/>
                <w:szCs w:val="18"/>
                <w:color w:val="auto"/>
              </w:rPr>
              <w:t>attributable to common stockholders,</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780" w:type="dxa"/>
            <w:vAlign w:val="bottom"/>
            <w:tcBorders>
              <w:bottom w:val="single" w:sz="8" w:color="CFF0FC"/>
            </w:tcBorders>
            <w:gridSpan w:val="2"/>
          </w:tcPr>
          <w:p>
            <w:pPr>
              <w:ind w:left="160"/>
              <w:spacing w:after="0" w:line="206" w:lineRule="exact"/>
              <w:rPr>
                <w:sz w:val="20"/>
                <w:szCs w:val="20"/>
                <w:color w:val="auto"/>
              </w:rPr>
            </w:pPr>
            <w:r>
              <w:rPr>
                <w:rFonts w:ascii="Arial" w:cs="Arial" w:eastAsia="Arial" w:hAnsi="Arial"/>
                <w:sz w:val="18"/>
                <w:szCs w:val="18"/>
                <w:color w:val="auto"/>
              </w:rPr>
              <w:t>basic and diluted</w:t>
            </w:r>
            <w:r>
              <w:rPr>
                <w:rFonts w:ascii="Arial" w:cs="Arial" w:eastAsia="Arial" w:hAnsi="Arial"/>
                <w:sz w:val="15"/>
                <w:szCs w:val="15"/>
                <w:color w:val="auto"/>
              </w:rPr>
              <w:t>(1)</w:t>
            </w:r>
          </w:p>
        </w:tc>
        <w:tc>
          <w:tcPr>
            <w:tcW w:w="10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20"/>
              <w:spacing w:after="0" w:line="206" w:lineRule="exact"/>
              <w:rPr>
                <w:sz w:val="20"/>
                <w:szCs w:val="20"/>
                <w:color w:val="auto"/>
              </w:rPr>
            </w:pPr>
            <w:r>
              <w:rPr>
                <w:rFonts w:ascii="Arial" w:cs="Arial" w:eastAsia="Arial" w:hAnsi="Arial"/>
                <w:sz w:val="18"/>
                <w:szCs w:val="18"/>
                <w:color w:val="auto"/>
              </w:rPr>
              <w:t>27,511,082</w:t>
            </w:r>
          </w:p>
        </w:tc>
        <w:tc>
          <w:tcPr>
            <w:tcW w:w="1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4"/>
          </w:tcPr>
          <w:p>
            <w:pPr>
              <w:jc w:val="right"/>
              <w:ind w:right="20"/>
              <w:spacing w:after="0" w:line="206" w:lineRule="exact"/>
              <w:rPr>
                <w:sz w:val="20"/>
                <w:szCs w:val="20"/>
                <w:color w:val="auto"/>
              </w:rPr>
            </w:pPr>
            <w:r>
              <w:rPr>
                <w:rFonts w:ascii="Arial" w:cs="Arial" w:eastAsia="Arial" w:hAnsi="Arial"/>
                <w:sz w:val="18"/>
                <w:szCs w:val="18"/>
                <w:color w:val="auto"/>
              </w:rPr>
              <w:t>28,285,902</w:t>
            </w:r>
          </w:p>
        </w:tc>
        <w:tc>
          <w:tcPr>
            <w:tcW w:w="24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40"/>
              <w:spacing w:after="0" w:line="206" w:lineRule="exact"/>
              <w:rPr>
                <w:sz w:val="20"/>
                <w:szCs w:val="20"/>
                <w:color w:val="auto"/>
              </w:rPr>
            </w:pPr>
            <w:r>
              <w:rPr>
                <w:rFonts w:ascii="Arial" w:cs="Arial" w:eastAsia="Arial" w:hAnsi="Arial"/>
                <w:sz w:val="18"/>
                <w:szCs w:val="18"/>
                <w:color w:val="auto"/>
              </w:rPr>
              <w:t>28,153,743</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31,225,260</w:t>
            </w:r>
          </w:p>
        </w:tc>
        <w:tc>
          <w:tcPr>
            <w:tcW w:w="1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78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rPr>
              <w:t>Pro forma net loss per share attributable</w:t>
            </w: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780" w:type="dxa"/>
            <w:vAlign w:val="bottom"/>
            <w:gridSpan w:val="2"/>
            <w:shd w:val="clear" w:color="auto" w:fill="CFF0FC"/>
          </w:tcPr>
          <w:p>
            <w:pPr>
              <w:ind w:left="160"/>
              <w:spacing w:after="0" w:line="200" w:lineRule="exact"/>
              <w:rPr>
                <w:sz w:val="20"/>
                <w:szCs w:val="20"/>
                <w:color w:val="auto"/>
              </w:rPr>
            </w:pPr>
            <w:r>
              <w:rPr>
                <w:rFonts w:ascii="Arial" w:cs="Arial" w:eastAsia="Arial" w:hAnsi="Arial"/>
                <w:sz w:val="18"/>
                <w:szCs w:val="18"/>
                <w:color w:val="auto"/>
              </w:rPr>
              <w:t>to common stockholders, basic and diluted</w:t>
            </w: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80" w:type="dxa"/>
            <w:vAlign w:val="bottom"/>
            <w:gridSpan w:val="2"/>
            <w:shd w:val="clear" w:color="auto" w:fill="CFF0FC"/>
          </w:tcPr>
          <w:p>
            <w:pPr>
              <w:ind w:left="160"/>
              <w:spacing w:after="0" w:line="206" w:lineRule="exact"/>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(1)</w:t>
            </w: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gridSpan w:val="2"/>
            <w:shd w:val="clear" w:color="auto" w:fill="CFF0FC"/>
          </w:tcPr>
          <w:p>
            <w:pPr>
              <w:ind w:left="120"/>
              <w:spacing w:after="0" w:line="206"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gridSpan w:val="2"/>
            <w:shd w:val="clear" w:color="auto" w:fill="CFF0FC"/>
          </w:tcPr>
          <w:p>
            <w:pPr>
              <w:ind w:left="40"/>
              <w:spacing w:after="0" w:line="20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Weighted-average shares outstanding used</w:t>
            </w:r>
          </w:p>
        </w:tc>
        <w:tc>
          <w:tcPr>
            <w:tcW w:w="10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in computing pro forma net loss per share</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780" w:type="dxa"/>
            <w:vAlign w:val="bottom"/>
            <w:gridSpan w:val="2"/>
          </w:tcPr>
          <w:p>
            <w:pPr>
              <w:ind w:left="160"/>
              <w:spacing w:after="0" w:line="200" w:lineRule="exact"/>
              <w:rPr>
                <w:sz w:val="20"/>
                <w:szCs w:val="20"/>
                <w:color w:val="auto"/>
              </w:rPr>
            </w:pPr>
            <w:r>
              <w:rPr>
                <w:rFonts w:ascii="Arial" w:cs="Arial" w:eastAsia="Arial" w:hAnsi="Arial"/>
                <w:sz w:val="18"/>
                <w:szCs w:val="18"/>
                <w:color w:val="auto"/>
              </w:rPr>
              <w:t>attributable to common stockholders,</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80" w:type="dxa"/>
            <w:vAlign w:val="bottom"/>
            <w:gridSpan w:val="2"/>
          </w:tcPr>
          <w:p>
            <w:pPr>
              <w:ind w:left="160"/>
              <w:spacing w:after="0" w:line="206" w:lineRule="exact"/>
              <w:rPr>
                <w:sz w:val="20"/>
                <w:szCs w:val="20"/>
                <w:color w:val="auto"/>
              </w:rPr>
            </w:pPr>
            <w:r>
              <w:rPr>
                <w:rFonts w:ascii="Arial" w:cs="Arial" w:eastAsia="Arial" w:hAnsi="Arial"/>
                <w:sz w:val="18"/>
                <w:szCs w:val="18"/>
                <w:color w:val="auto"/>
              </w:rPr>
              <w:t>basic and diluted (unaudited)</w:t>
            </w:r>
            <w:r>
              <w:rPr>
                <w:rFonts w:ascii="Arial" w:cs="Arial" w:eastAsia="Arial" w:hAnsi="Arial"/>
                <w:sz w:val="15"/>
                <w:szCs w:val="15"/>
                <w:color w:val="auto"/>
              </w:rPr>
              <w:t>(1)</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8"/>
          </w:tcPr>
          <w:p>
            <w:pPr>
              <w:jc w:val="right"/>
              <w:ind w:right="1020"/>
              <w:spacing w:after="0"/>
              <w:rPr>
                <w:sz w:val="20"/>
                <w:szCs w:val="20"/>
                <w:color w:val="auto"/>
              </w:rPr>
            </w:pPr>
            <w:r>
              <w:rPr>
                <w:rFonts w:ascii="Arial" w:cs="Arial" w:eastAsia="Arial" w:hAnsi="Arial"/>
                <w:sz w:val="14"/>
                <w:szCs w:val="14"/>
                <w:b w:val="1"/>
                <w:bCs w:val="1"/>
                <w:color w:val="auto"/>
              </w:rPr>
              <w:t>As of December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As of 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gridSpan w:val="3"/>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1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Cash, cash equivalents and short-term investments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4,817</w:t>
            </w:r>
          </w:p>
        </w:tc>
        <w:tc>
          <w:tcPr>
            <w:tcW w:w="6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2,056</w:t>
            </w:r>
          </w:p>
        </w:tc>
        <w:tc>
          <w:tcPr>
            <w:tcW w:w="22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85,166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(2)</w:t>
            </w: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4,325</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22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80,961</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4,933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86,931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2,769</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4,861</w:t>
            </w:r>
          </w:p>
        </w:tc>
        <w:tc>
          <w:tcPr>
            <w:tcW w:w="22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6,923</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17,051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17,051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92,537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stockholders’ (deficit) equity</w:t>
            </w: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(14,887)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(19,723)</w:t>
            </w:r>
          </w:p>
        </w:tc>
        <w:tc>
          <w:tcPr>
            <w:tcW w:w="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160" w:type="dxa"/>
            <w:vAlign w:val="bottom"/>
            <w:tcBorders>
              <w:bottom w:val="single" w:sz="8" w:color="auto"/>
            </w:tcBorders>
          </w:tcPr>
          <w:p>
            <w:pPr>
              <w:spacing w:after="0"/>
              <w:rPr>
                <w:sz w:val="11"/>
                <w:szCs w:val="11"/>
                <w:color w:val="auto"/>
              </w:rPr>
            </w:pPr>
          </w:p>
        </w:tc>
        <w:tc>
          <w:tcPr>
            <w:tcW w:w="36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5"/>
        </w:trPr>
        <w:tc>
          <w:tcPr>
            <w:tcW w:w="11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60" w:type="dxa"/>
            <w:vAlign w:val="bottom"/>
            <w:tcBorders>
              <w:bottom w:val="single" w:sz="8" w:color="9A9A9A"/>
            </w:tcBorders>
          </w:tcPr>
          <w:p>
            <w:pPr>
              <w:spacing w:after="0"/>
              <w:rPr>
                <w:sz w:val="8"/>
                <w:szCs w:val="8"/>
                <w:color w:val="auto"/>
              </w:rPr>
            </w:pPr>
          </w:p>
        </w:tc>
        <w:tc>
          <w:tcPr>
            <w:tcW w:w="36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type w:val="continuous"/>
        </w:sectPr>
      </w:pPr>
    </w:p>
    <w:bookmarkStart w:id="89" w:name="page90"/>
    <w:bookmarkEnd w:id="89"/>
    <w:p>
      <w:pPr>
        <w:ind w:left="472" w:right="140" w:hanging="472"/>
        <w:spacing w:after="0" w:line="249" w:lineRule="auto"/>
        <w:tabs>
          <w:tab w:leader="none" w:pos="472" w:val="left"/>
        </w:tabs>
        <w:numPr>
          <w:ilvl w:val="0"/>
          <w:numId w:val="64"/>
        </w:numPr>
        <w:rPr>
          <w:rFonts w:ascii="Arial" w:cs="Arial" w:eastAsia="Arial" w:hAnsi="Arial"/>
          <w:sz w:val="14"/>
          <w:szCs w:val="14"/>
          <w:color w:val="auto"/>
        </w:rPr>
      </w:pPr>
      <w:r>
        <w:rPr>
          <w:rFonts w:ascii="Arial" w:cs="Arial" w:eastAsia="Arial" w:hAnsi="Arial"/>
          <w:sz w:val="14"/>
          <w:szCs w:val="14"/>
          <w:color w:val="auto"/>
        </w:rPr>
        <w:t>See Notes 15 and 16 to our audited financial statements and Notes 12 and 13 to our unaudited interim condensed financial statements included elsewhere in this prospectus tor the calculation of our basic and diluted net loss per share attributable to common stockholders and our basic and diluted pro forma net loss per share attributable to common stockholders and the weighted-average number of shares used in computing the per share amounts.</w:t>
      </w:r>
    </w:p>
    <w:p>
      <w:pPr>
        <w:spacing w:after="0" w:line="11" w:lineRule="exact"/>
        <w:rPr>
          <w:rFonts w:ascii="Arial" w:cs="Arial" w:eastAsia="Arial" w:hAnsi="Arial"/>
          <w:sz w:val="14"/>
          <w:szCs w:val="14"/>
          <w:color w:val="auto"/>
        </w:rPr>
      </w:pPr>
    </w:p>
    <w:p>
      <w:pPr>
        <w:ind w:left="472" w:hanging="472"/>
        <w:spacing w:after="0" w:line="279" w:lineRule="auto"/>
        <w:tabs>
          <w:tab w:leader="none" w:pos="472" w:val="left"/>
        </w:tabs>
        <w:numPr>
          <w:ilvl w:val="0"/>
          <w:numId w:val="64"/>
        </w:numPr>
        <w:rPr>
          <w:rFonts w:ascii="Arial" w:cs="Arial" w:eastAsia="Arial" w:hAnsi="Arial"/>
          <w:sz w:val="14"/>
          <w:szCs w:val="14"/>
          <w:color w:val="auto"/>
        </w:rPr>
      </w:pPr>
      <w:r>
        <w:rPr>
          <w:rFonts w:ascii="Arial" w:cs="Arial" w:eastAsia="Arial" w:hAnsi="Arial"/>
          <w:sz w:val="14"/>
          <w:szCs w:val="14"/>
          <w:color w:val="auto"/>
        </w:rPr>
        <w:t xml:space="preserve">Accounting Standards Codification Topic 210, </w:t>
      </w:r>
      <w:r>
        <w:rPr>
          <w:rFonts w:ascii="Arial" w:cs="Arial" w:eastAsia="Arial" w:hAnsi="Arial"/>
          <w:sz w:val="14"/>
          <w:szCs w:val="14"/>
          <w:i w:val="1"/>
          <w:iCs w:val="1"/>
          <w:color w:val="auto"/>
        </w:rPr>
        <w:t>Balance Sheet</w:t>
      </w:r>
      <w:r>
        <w:rPr>
          <w:rFonts w:ascii="Arial" w:cs="Arial" w:eastAsia="Arial" w:hAnsi="Arial"/>
          <w:sz w:val="14"/>
          <w:szCs w:val="14"/>
          <w:color w:val="auto"/>
        </w:rPr>
        <w:t>, defines working capital as current assets less current liabilities. See our financial statements and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32"/>
          </w:cols>
          <w:pgMar w:left="328" w:top="428" w:right="539" w:bottom="1440" w:gutter="0" w:footer="0" w:header="0"/>
        </w:sectPr>
      </w:pPr>
    </w:p>
    <w:bookmarkStart w:id="90" w:name="page91"/>
    <w:bookmarkEnd w:id="90"/>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6"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of this prospectus titled “Selected Financial Data” and our financial statements and related notes included elsewhere in this prospectus.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prospectus titled “Risk Factors” and elsewhere in this prospectus. You should carefully read the “Risk Factors” to gain an understanding of the important factors that could cause actual results to differ materially from our forward-looking statements. Please also see the section of this prospectus titled “Special Note Regarding Forward-Looking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the hepatocyte growth factor/MET, or HGF/MET, a naturally occurring regenerative system. We believe enhancing HGF/MET signaling has the potential to protect existing neurons from damage, reduce inflammation, promote regeneration, and positively modulate brain 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 Our lead candidate, ATH-1017, is a subcutaneous administered, BBB-penetrating, small molecule HGF/MET activator. In our Phase 1a and Phase 1b clinical trials, ATH-1017 for the treatment of Alzheimer’s disease, or AD, was well tolerated with no serious adverse events. These clinical trials recruited 88 subjects, including 11 subjects with mild-to-moderate AD. Nonclinical studies and Phase 1 clinical trials with ATH-1017 demonstrated improvements in brain network activity indicating potentially positive effects on brain function. In the AD subjects, multiple dosing of ATH-1017 significantly improved brain activity as measured by P300 latency, a functional measure that is highly correlated with cognition. By the end of 2020, we plan to initiate LIFT-AD, a Phase 2/3 clinical trial for ATH-1017 that may provide pivotal data in support of registration, for the treatment of mild -to-moderate AD with topline results expected by the end of 2022. By the end of 2020, we also plan to initiate a P300 Phase 2 clinical trial in mild-to-moderate AD to better understand the overall effects of ATH-1017 on working memory processing speed and cognitive measures, with topline results expected by early 2022.</w:t>
      </w:r>
    </w:p>
    <w:p>
      <w:pPr>
        <w:spacing w:after="0" w:line="213" w:lineRule="exact"/>
        <w:rPr>
          <w:sz w:val="20"/>
          <w:szCs w:val="20"/>
          <w:color w:val="auto"/>
        </w:rPr>
      </w:pPr>
    </w:p>
    <w:p>
      <w:pPr>
        <w:ind w:right="160" w:firstLine="576"/>
        <w:spacing w:after="0"/>
        <w:rPr>
          <w:sz w:val="20"/>
          <w:szCs w:val="20"/>
          <w:color w:val="auto"/>
        </w:rPr>
      </w:pPr>
      <w:r>
        <w:rPr>
          <w:rFonts w:ascii="Arial" w:cs="Arial" w:eastAsia="Arial" w:hAnsi="Arial"/>
          <w:sz w:val="18"/>
          <w:szCs w:val="18"/>
          <w:color w:val="auto"/>
        </w:rPr>
        <w:t>The following figure illustrates the current development stages of our ATH compounds and discovery and development programs. In addition, we are expanding our ATH platform to additional indications in the CNS and peripheral nervous system as we aim to improve neuronal health in multiple</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91" w:name="page92"/>
    <w:bookmarkEnd w:id="91"/>
    <w:p>
      <w:pPr>
        <w:ind w:right="200"/>
        <w:spacing w:after="0" w:line="246" w:lineRule="auto"/>
        <w:rPr>
          <w:sz w:val="20"/>
          <w:szCs w:val="20"/>
          <w:color w:val="auto"/>
        </w:rPr>
      </w:pPr>
      <w:r>
        <w:rPr>
          <w:rFonts w:ascii="Arial" w:cs="Arial" w:eastAsia="Arial" w:hAnsi="Arial"/>
          <w:sz w:val="18"/>
          <w:szCs w:val="18"/>
          <w:color w:val="auto"/>
        </w:rPr>
        <w:t>disorders. Our drug discovery efforts are focused on exploring the potential of ATH technology to promote HGF/MET activity for a variety of clinical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240780" cy="27006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40780"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hanging="472"/>
        <w:spacing w:after="0"/>
        <w:tabs>
          <w:tab w:leader="none" w:pos="4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RoA: route of administration; SC: subcutaneous; PO: oral.</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ATH-1017 for AD is moving from Phase 1b to a Phase 2/3 clinical trial that may provide pivotal data in support of registration based on discussions with FDA.</w:t>
      </w:r>
    </w:p>
    <w:p>
      <w:pPr>
        <w:spacing w:after="0" w:line="41" w:lineRule="exact"/>
        <w:rPr>
          <w:rFonts w:ascii="Arial" w:cs="Arial" w:eastAsia="Arial" w:hAnsi="Arial"/>
          <w:sz w:val="14"/>
          <w:szCs w:val="14"/>
          <w:color w:val="auto"/>
        </w:rPr>
      </w:pPr>
    </w:p>
    <w:p>
      <w:pPr>
        <w:jc w:val="both"/>
        <w:ind w:left="480" w:right="100" w:hanging="472"/>
        <w:spacing w:after="0" w:line="249" w:lineRule="auto"/>
        <w:tabs>
          <w:tab w:leader="none" w:pos="4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We plan to initiate a Phase 2 clinical trial in PDD based on results from Phase 1a and 1b clinical trials in AD with ATH-1017. A second IND for PDD can cross-reference the already active IND for AD. It is not required that we repeat any studies or trials that are applicable across the two indications for the second IND for PDD, including a Phase 1 clinical trial.</w:t>
      </w:r>
    </w:p>
    <w:p>
      <w:pPr>
        <w:spacing w:after="0" w:line="195" w:lineRule="exact"/>
        <w:rPr>
          <w:sz w:val="20"/>
          <w:szCs w:val="20"/>
          <w:color w:val="auto"/>
        </w:rPr>
      </w:pPr>
    </w:p>
    <w:p>
      <w:pPr>
        <w:ind w:right="860" w:firstLine="576"/>
        <w:spacing w:after="0" w:line="246" w:lineRule="auto"/>
        <w:rPr>
          <w:sz w:val="20"/>
          <w:szCs w:val="20"/>
          <w:color w:val="auto"/>
        </w:rPr>
      </w:pPr>
      <w:r>
        <w:rPr>
          <w:rFonts w:ascii="Arial" w:cs="Arial" w:eastAsia="Arial" w:hAnsi="Arial"/>
          <w:sz w:val="18"/>
          <w:szCs w:val="18"/>
          <w:color w:val="auto"/>
        </w:rPr>
        <w:t>We constantly strive to grow and optimize our portfolio through in-house discovery and plan on additional external business development activities enabled by our innovative internal research and development capabilities.</w:t>
      </w:r>
    </w:p>
    <w:p>
      <w:pPr>
        <w:spacing w:after="0" w:line="197"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products approved for commercial sale, and we have not generated any revenues related to our products since inception. Our ability to generate product revenue sufficient to achieve profitability, if ever, will depend on the successful development of one or more of our product candidates which we expect will take a number of years.</w:t>
      </w:r>
    </w:p>
    <w:p>
      <w:pPr>
        <w:spacing w:after="0" w:line="205"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product candidates. We utilize third-party contract manufacturing organizations, or CMOs, to manufacture and supply our preclinical and clinical materials during the development of our product candidates. We believe the synthesis of ATH-1017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Our goal is to identify and develop small molecule product candidates that are cost-effective to manufacture and easily transferable to third party CMOs. We expect to use similar contract resources for commercialization of our products, at least until our resources and operations are at a scale that justifies investment in internal manufacturing capabilities.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92" w:name="page93"/>
    <w:bookmarkEnd w:id="92"/>
    <w:p>
      <w:pPr>
        <w:ind w:firstLine="576"/>
        <w:spacing w:after="0" w:line="238"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intend to build a commercial infrastructure to support sales of our product candidates.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spacing w:after="0" w:line="205"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To date, we have funded our operations primarily with proceeds from the sale and issuance of convertible preferred stock, common stock warrants, and convertible notes, and to a lesser extent from grant income and stock option exercises. From inception to June 30, 2020, we have raised aggregate net cash proceeds of $100.4 million primarily from the issuance of our convertible preferred stock, common stock warrants, and convertible notes. We have incurred significant operating losses to date. Our net losses were $5.1 million and $5.2 million for the years ended December 31, 2018 and 2019, respectively. Our net losses were $2.7 million and $3.8 million for the six months ended June 30, 2019 and 2020, respectively. As of June 30, 2020, we had an accumulated deficit of $24.9 million and cash and cash equivalents of $85.2 million.</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expect to continue to incur increasing operating losses for the foreseeable future as we:</w:t>
      </w:r>
    </w:p>
    <w:p>
      <w:pPr>
        <w:spacing w:after="0" w:line="104" w:lineRule="exact"/>
        <w:rPr>
          <w:sz w:val="20"/>
          <w:szCs w:val="20"/>
          <w:color w:val="auto"/>
        </w:rPr>
      </w:pPr>
    </w:p>
    <w:p>
      <w:pPr>
        <w:ind w:left="1300" w:right="160" w:hanging="442"/>
        <w:spacing w:after="0" w:line="246"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continue to advance ATH-1017 and our other product candidates through preclinical studies and clinical trials, including our planned Phase 2/3 clinical trial for ATH-1017 for the treatment of mild-to-moderate AD;</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expand our pipeline of product candidates;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continue to grow our discovery organization and invest in the ATH platform;</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ramp up manufacturing activities;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attract, hire and retain additional personnel;</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relocate to our new facility and build out lab space;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 and</w:t>
      </w:r>
    </w:p>
    <w:p>
      <w:pPr>
        <w:spacing w:after="0" w:line="117" w:lineRule="exact"/>
        <w:rPr>
          <w:rFonts w:ascii="Arial" w:cs="Arial" w:eastAsia="Arial" w:hAnsi="Arial"/>
          <w:sz w:val="18"/>
          <w:szCs w:val="18"/>
          <w:color w:val="auto"/>
        </w:rPr>
      </w:pPr>
    </w:p>
    <w:p>
      <w:pPr>
        <w:ind w:left="1300" w:right="140" w:hanging="442"/>
        <w:spacing w:after="0" w:line="246"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 for which we may obtain marketing approval.</w:t>
      </w:r>
    </w:p>
    <w:p>
      <w:pPr>
        <w:spacing w:after="0" w:line="197" w:lineRule="exact"/>
        <w:rPr>
          <w:sz w:val="20"/>
          <w:szCs w:val="20"/>
          <w:color w:val="auto"/>
        </w:rPr>
      </w:pPr>
    </w:p>
    <w:p>
      <w:pPr>
        <w:ind w:right="240" w:firstLine="576"/>
        <w:spacing w:after="0" w:line="246" w:lineRule="auto"/>
        <w:rPr>
          <w:sz w:val="20"/>
          <w:szCs w:val="20"/>
          <w:color w:val="auto"/>
        </w:rPr>
      </w:pPr>
      <w:r>
        <w:rPr>
          <w:rFonts w:ascii="Arial" w:cs="Arial" w:eastAsia="Arial" w:hAnsi="Arial"/>
          <w:sz w:val="18"/>
          <w:szCs w:val="18"/>
          <w:color w:val="auto"/>
        </w:rPr>
        <w:t>Our net losses may fluctuate significantly from quarter-to-quarter and year-to-year, depending on the timing of our clinical trials and our expenditures on other research and development activities.</w:t>
      </w:r>
    </w:p>
    <w:p>
      <w:pPr>
        <w:spacing w:after="0" w:line="197"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We will require substantial additional funding to support our continuing operations and further the development of our product candidates. Until such time as we can generate significant revenue from product sales, if ever, we expect to finance our operations through the sale of equity, debt financings, or 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product candidates.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93" w:name="page94"/>
    <w:bookmarkEnd w:id="93"/>
    <w:p>
      <w:pPr>
        <w:ind w:right="140"/>
        <w:spacing w:after="0" w:line="234" w:lineRule="auto"/>
        <w:rPr>
          <w:sz w:val="20"/>
          <w:szCs w:val="20"/>
          <w:color w:val="auto"/>
        </w:rPr>
      </w:pPr>
      <w:r>
        <w:rPr>
          <w:rFonts w:ascii="Arial" w:cs="Arial" w:eastAsia="Arial" w:hAnsi="Arial"/>
          <w:sz w:val="18"/>
          <w:szCs w:val="18"/>
          <w:color w:val="auto"/>
        </w:rPr>
        <w:t>cash flow from operating activities. Based upon our current operating plan, we estimate that our existing cash and cash equivalents and the net proceeds from this offering, will be sufficient to fund our operating expenses and capital expenditure requirements for at least the</w:t>
      </w:r>
    </w:p>
    <w:p>
      <w:pPr>
        <w:spacing w:after="0" w:line="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next</w:t>
      </w:r>
      <w:r>
        <w:rPr>
          <w:sz w:val="20"/>
          <w:szCs w:val="20"/>
          <w:color w:val="auto"/>
        </w:rPr>
        <w:tab/>
      </w:r>
      <w:r>
        <w:rPr>
          <w:rFonts w:ascii="Arial" w:cs="Arial" w:eastAsia="Arial" w:hAnsi="Arial"/>
          <w:sz w:val="18"/>
          <w:szCs w:val="18"/>
          <w:color w:val="auto"/>
        </w:rPr>
        <w:t>months.</w:t>
      </w:r>
    </w:p>
    <w:p>
      <w:pPr>
        <w:spacing w:after="0" w:line="212"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The global COVID-19 pandemic continues to rapidly evolve, and we will continue to monitor the COVID-19 situation closely. The extent of the impact of the COVID-19 on our business, operations and clinical development timelines and plans remains uncertain, and will depend on certain developments, including the duration and spread of the outbreak and its impact on our clinical trial enrollment, trial sites, CROs, third-party manufacturers, and other third parties with whom we do business, as well as its impact on regulatory authorities and our key scientific and management personnel. The ultimate impact of the COVID-19 pandemic or a similar health epidemic is highly uncertain and subject to change. To the extent possible, we are conducting business as usual, with necessary or advisable modifications to employee travel and most of our employees working remotely.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business, operations and clinical development timelines and plans, including the resulting impact on our expenditures and capital needs, remains uncertain.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Collaboration and Grant Agreements</w:t>
      </w:r>
    </w:p>
    <w:p>
      <w:pPr>
        <w:spacing w:after="0" w:line="108" w:lineRule="exact"/>
        <w:rPr>
          <w:sz w:val="20"/>
          <w:szCs w:val="20"/>
          <w:color w:val="auto"/>
        </w:rPr>
      </w:pPr>
    </w:p>
    <w:p>
      <w:pPr>
        <w:ind w:right="420" w:firstLine="576"/>
        <w:spacing w:after="0" w:line="267" w:lineRule="auto"/>
        <w:rPr>
          <w:sz w:val="20"/>
          <w:szCs w:val="20"/>
          <w:color w:val="auto"/>
        </w:rPr>
      </w:pPr>
      <w:r>
        <w:rPr>
          <w:rFonts w:ascii="Arial" w:cs="Arial" w:eastAsia="Arial" w:hAnsi="Arial"/>
          <w:sz w:val="18"/>
          <w:szCs w:val="18"/>
          <w:i w:val="1"/>
          <w:iCs w:val="1"/>
          <w:color w:val="auto"/>
        </w:rPr>
        <w:t>Washington State University Research Foundation License Agreement and Amended and Restated Washington State University License Agreement</w:t>
      </w:r>
    </w:p>
    <w:p>
      <w:pPr>
        <w:spacing w:after="0" w:line="178"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In December 2011, we entered into an exclusive license agreement with Washington State University Research Fund, or WSURF, which, after the dissolution of WSURF in 2013, was superseded by an amended and restated exclusive license agreement with Washington State University, or WSU, in September of 2015. Under this agreement, WSU granted us an exclusive license to make, use, sell, and offer for sale licensed products and licensed processes that embody the licensed patents (including WSU’s rights to a patent jointly owned with Pacific Northwest Biotechnology, Inc.) and that form the underlying technology of the drug therapies we are developing. The term of the license begins on the effective date and continues until the earlier of the date in which no valid claim remains enforceable and the payment of royalties ceases for more than four consecutive quarters after such royalty payments begin.</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obligated to pay to WSU the following if the related milestones are reached:</w:t>
      </w:r>
    </w:p>
    <w:p>
      <w:pPr>
        <w:spacing w:after="0" w:line="104" w:lineRule="exact"/>
        <w:rPr>
          <w:sz w:val="20"/>
          <w:szCs w:val="20"/>
          <w:color w:val="auto"/>
        </w:rPr>
      </w:pPr>
    </w:p>
    <w:p>
      <w:pPr>
        <w:ind w:left="1300" w:right="340" w:hanging="442"/>
        <w:spacing w:after="0" w:line="246"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$50,000 – At initiation of the first Phase 2 clinical trial in the United States, European Union or Japan for the first licensed product.</w:t>
      </w:r>
    </w:p>
    <w:p>
      <w:pPr>
        <w:spacing w:after="0" w:line="88" w:lineRule="exact"/>
        <w:rPr>
          <w:rFonts w:ascii="Arial" w:cs="Arial" w:eastAsia="Arial" w:hAnsi="Arial"/>
          <w:sz w:val="18"/>
          <w:szCs w:val="18"/>
          <w:color w:val="auto"/>
        </w:rPr>
      </w:pPr>
    </w:p>
    <w:p>
      <w:pPr>
        <w:ind w:left="1300" w:right="240" w:hanging="442"/>
        <w:spacing w:after="0" w:line="246"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obligated to pay WSU a royalty in the mid-single digits of net sales.</w:t>
      </w:r>
    </w:p>
    <w:p>
      <w:pPr>
        <w:spacing w:after="0" w:line="212" w:lineRule="exact"/>
        <w:rPr>
          <w:sz w:val="20"/>
          <w:szCs w:val="20"/>
          <w:color w:val="auto"/>
        </w:rPr>
      </w:pPr>
    </w:p>
    <w:p>
      <w:pPr>
        <w:ind w:right="180" w:firstLine="576"/>
        <w:spacing w:after="0"/>
        <w:rPr>
          <w:sz w:val="20"/>
          <w:szCs w:val="20"/>
          <w:color w:val="auto"/>
        </w:rPr>
      </w:pPr>
      <w:r>
        <w:rPr>
          <w:rFonts w:ascii="Arial" w:cs="Arial" w:eastAsia="Arial" w:hAnsi="Arial"/>
          <w:sz w:val="18"/>
          <w:szCs w:val="18"/>
          <w:color w:val="auto"/>
        </w:rPr>
        <w:t>Additionally, under the agreement we have the right to sublicense the licensed rights, subject to additional payments to WSU for sublicense consideration received. Such amounts are dependent on the terms of the underlying sublicense, and range from the mid-single digits to mid tens of any non-sales based payments received, and low twenties of net sales based sublicense royalties.</w:t>
      </w:r>
    </w:p>
    <w:p>
      <w:pPr>
        <w:spacing w:after="0" w:line="29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Grant Liability</w:t>
      </w:r>
    </w:p>
    <w:p>
      <w:pPr>
        <w:spacing w:after="0" w:line="122" w:lineRule="exact"/>
        <w:rPr>
          <w:sz w:val="20"/>
          <w:szCs w:val="20"/>
          <w:color w:val="auto"/>
        </w:rPr>
      </w:pPr>
    </w:p>
    <w:p>
      <w:pPr>
        <w:ind w:right="220" w:firstLine="576"/>
        <w:spacing w:after="0" w:line="246" w:lineRule="auto"/>
        <w:rPr>
          <w:sz w:val="20"/>
          <w:szCs w:val="20"/>
          <w:color w:val="auto"/>
        </w:rPr>
      </w:pPr>
      <w:r>
        <w:rPr>
          <w:rFonts w:ascii="Arial" w:cs="Arial" w:eastAsia="Arial" w:hAnsi="Arial"/>
          <w:sz w:val="18"/>
          <w:szCs w:val="18"/>
          <w:color w:val="auto"/>
        </w:rPr>
        <w:t>In 2014 and 2015, we received $250,000 and $500,000, respectively, from the Washington Life Sciences Discovery Fund, or LSDF, under the terms of two matching grant award agreements.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94" w:name="page95"/>
    <w:bookmarkEnd w:id="94"/>
    <w:p>
      <w:pPr>
        <w:ind w:right="180"/>
        <w:spacing w:after="0" w:line="246" w:lineRule="auto"/>
        <w:rPr>
          <w:sz w:val="20"/>
          <w:szCs w:val="20"/>
          <w:color w:val="auto"/>
        </w:rPr>
      </w:pPr>
      <w:r>
        <w:rPr>
          <w:rFonts w:ascii="Arial" w:cs="Arial" w:eastAsia="Arial" w:hAnsi="Arial"/>
          <w:sz w:val="18"/>
          <w:szCs w:val="18"/>
          <w:color w:val="auto"/>
        </w:rPr>
        <w:t>connection with the agreements, LSDF retained the right to receive cash payments of up to 2.0 times the amounts received, or $1.5 million, upon the occurrence of specified triggering events, including completion of this offering.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Research and Development</w:t>
      </w:r>
    </w:p>
    <w:p>
      <w:pPr>
        <w:spacing w:after="0" w:line="122"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Research and development expenses consist primarily of direct and indirect costs incurred for our research activities, including development of the ATH platform, our drug discovery efforts and the development of our product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including expenses associated with relocating to and building out our new lab space, and other expenses consisting of direct and allocated expenses for rent and depreciation, and lab consumables.</w:t>
      </w:r>
    </w:p>
    <w:p>
      <w:pPr>
        <w:spacing w:after="0" w:line="203"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p>
    <w:p>
      <w:pPr>
        <w:spacing w:after="0" w:line="205"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As of the date of this prospectus, we cannot reasonably determine the nature, timing, and estimated costs of the efforts that will be necessary to complete the development of, and obtain regulatory approval for, any of our product candidates. Product candidates in later stages of development generally have higher development costs than those in earlier stages. We expect that our research and development expenses will increase substantially for the foreseeable future as we continue to invest in research and development activities related to developing our product candidates, as our product candidates advance into later stages of development, as we begin to conduct larger clinical trials, as we seek regulatory approvals for any product candidates that successfully complete clinical trials, as we expand our product pipeline, as we maintain, expand, protect and enforce our intellectual property portfolio, and as we incur expenses associated with hiring additional personnel to support our research and development efforts. In particular, we expect our research and development expenses will increase substantially as we initiate and conduct planned Phase 2 and Phase 2/3 clinical trials for ATH-1017.</w:t>
      </w:r>
    </w:p>
    <w:p>
      <w:pPr>
        <w:spacing w:after="0" w:line="207"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The process of conducting the necessary clinical research to obtain regulatory approval is costly and time-consuming, and the successful development of our product candidates is highly uncertain. Our research and development expenses may vary significantly based on factors such as:</w:t>
      </w:r>
    </w:p>
    <w:p>
      <w:pPr>
        <w:spacing w:after="0" w:line="95" w:lineRule="exact"/>
        <w:rPr>
          <w:sz w:val="20"/>
          <w:szCs w:val="20"/>
          <w:color w:val="auto"/>
        </w:rPr>
      </w:pPr>
    </w:p>
    <w:p>
      <w:pPr>
        <w:ind w:left="1300" w:hanging="442"/>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number and scope of preclinical and IND-enabling studies;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phases of development of our product candidates;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progress and results of our research and development activities;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 subject trial costs;</w:t>
      </w:r>
    </w:p>
    <w:p>
      <w:pPr>
        <w:spacing w:after="0" w:line="117" w:lineRule="exact"/>
        <w:rPr>
          <w:rFonts w:ascii="Arial" w:cs="Arial" w:eastAsia="Arial" w:hAnsi="Arial"/>
          <w:sz w:val="18"/>
          <w:szCs w:val="18"/>
          <w:color w:val="auto"/>
        </w:rPr>
      </w:pPr>
    </w:p>
    <w:p>
      <w:pPr>
        <w:ind w:left="1300" w:right="540" w:hanging="442"/>
        <w:spacing w:after="0" w:line="246"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number of trials required for regulatory approval, in particular with respect to ATH-1017 for the treatment of mild-to-moderate AD;</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95" w:name="page96"/>
    <w:bookmarkEnd w:id="95"/>
    <w:p>
      <w:pPr>
        <w:ind w:left="1300" w:hanging="442"/>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length of time required to enroll eligible subjects and initiate clinical trials;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number of subjects that participate in the trials;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drop-out and discontinuation rate of subjects;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duration of subject participation in the trials and follow-up;</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 and timing of manufacturing of our product candidates;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receipt of regulatory approvals from applicable regulatory authorities;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hiring and retention of research and development personnel;</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degree to which we obtain, maintain, defend and enforce our intellectual property rights; and</w:t>
      </w:r>
    </w:p>
    <w:p>
      <w:pPr>
        <w:spacing w:after="0" w:line="117" w:lineRule="exact"/>
        <w:rPr>
          <w:rFonts w:ascii="Arial" w:cs="Arial" w:eastAsia="Arial" w:hAnsi="Arial"/>
          <w:sz w:val="18"/>
          <w:szCs w:val="18"/>
          <w:color w:val="auto"/>
        </w:rPr>
      </w:pPr>
    </w:p>
    <w:p>
      <w:pPr>
        <w:ind w:left="1300" w:right="140" w:hanging="442"/>
        <w:spacing w:after="0" w:line="246"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extent to which we establish collaboration, licensing or similar arrangements and the performance of any related third parties.</w:t>
      </w:r>
    </w:p>
    <w:p>
      <w:pPr>
        <w:spacing w:after="0" w:line="197" w:lineRule="exact"/>
        <w:rPr>
          <w:sz w:val="20"/>
          <w:szCs w:val="20"/>
          <w:color w:val="auto"/>
        </w:rPr>
      </w:pPr>
    </w:p>
    <w:p>
      <w:pPr>
        <w:ind w:right="780" w:firstLine="576"/>
        <w:spacing w:after="0" w:line="246"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28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General and Administrative</w:t>
      </w:r>
    </w:p>
    <w:p>
      <w:pPr>
        <w:spacing w:after="0" w:line="122"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We expense general and administrative costs as incurred.</w:t>
      </w:r>
    </w:p>
    <w:p>
      <w:pPr>
        <w:spacing w:after="0" w:line="202"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expect that our general and administrative expenses will increase substantially for the foreseeable future as we increase our headcount to support our continued research activities and development of our programs. Following the completion of this offering, we also anticipate that we will incur substantially increased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also expect to increase the size of our administrative function to support the growth of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26"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Other income (expense), net consists of interest earned on our cash, cash equivalents, and short-term investments, grant income, periodic mark to market gains and losses on the derivative and grant liabilities carried at fair value, and interest expense on our convertible notes.</w:t>
      </w:r>
    </w:p>
    <w:p>
      <w:pPr>
        <w:spacing w:after="0" w:line="2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40"/>
          </w:cols>
          <w:pgMar w:left="320" w:top="490" w:right="5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2019 and 2020</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75"/>
        </w:trPr>
        <w:tc>
          <w:tcPr>
            <w:tcW w:w="11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Dollar</w:t>
            </w:r>
          </w:p>
        </w:tc>
        <w:tc>
          <w:tcPr>
            <w:tcW w:w="110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r>
      <w:tr>
        <w:trPr>
          <w:trHeight w:val="169"/>
        </w:trPr>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r>
      <w:tr>
        <w:trPr>
          <w:trHeight w:val="169"/>
        </w:trPr>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216"/>
        </w:trPr>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220" w:type="dxa"/>
            <w:vAlign w:val="bottom"/>
            <w:gridSpan w:val="2"/>
          </w:tcPr>
          <w:p>
            <w:pPr>
              <w:ind w:left="260"/>
              <w:spacing w:after="0"/>
              <w:rPr>
                <w:sz w:val="20"/>
                <w:szCs w:val="20"/>
                <w:color w:val="auto"/>
              </w:rPr>
            </w:pPr>
            <w:r>
              <w:rPr>
                <w:rFonts w:ascii="Arial" w:cs="Arial" w:eastAsia="Arial" w:hAnsi="Arial"/>
                <w:sz w:val="18"/>
                <w:szCs w:val="18"/>
                <w:color w:val="auto"/>
              </w:rPr>
              <w:t>Research and development</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2,110</w:t>
            </w:r>
          </w:p>
        </w:tc>
        <w:tc>
          <w:tcPr>
            <w:tcW w:w="200" w:type="dxa"/>
            <w:vAlign w:val="bottom"/>
          </w:tcPr>
          <w:p>
            <w:pPr>
              <w:spacing w:after="0"/>
              <w:rPr>
                <w:sz w:val="18"/>
                <w:szCs w:val="18"/>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2,269</w:t>
            </w:r>
          </w:p>
        </w:tc>
        <w:tc>
          <w:tcPr>
            <w:tcW w:w="1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42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5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2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FF0FC"/>
          </w:tcPr>
          <w:p>
            <w:pPr>
              <w:spacing w:after="0"/>
              <w:rPr>
                <w:sz w:val="18"/>
                <w:szCs w:val="18"/>
                <w:color w:val="auto"/>
              </w:rPr>
            </w:pPr>
          </w:p>
        </w:tc>
      </w:tr>
      <w:tr>
        <w:trPr>
          <w:trHeight w:val="209"/>
        </w:trPr>
        <w:tc>
          <w:tcPr>
            <w:tcW w:w="422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15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2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FF0FC"/>
            </w:tcBorders>
          </w:tcPr>
          <w:p>
            <w:pPr>
              <w:spacing w:after="0"/>
              <w:rPr>
                <w:sz w:val="18"/>
                <w:szCs w:val="18"/>
                <w:color w:val="auto"/>
              </w:rPr>
            </w:pPr>
          </w:p>
        </w:tc>
      </w:tr>
      <w:tr>
        <w:trPr>
          <w:trHeight w:val="210"/>
        </w:trPr>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(2,797)</w:t>
            </w: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(3,519)</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(722)</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8"/>
                <w:szCs w:val="18"/>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(418)</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0"/>
        </w:trPr>
        <w:tc>
          <w:tcPr>
            <w:tcW w:w="1160" w:type="dxa"/>
            <w:vAlign w:val="bottom"/>
            <w:shd w:val="clear" w:color="auto" w:fill="CFF0FC"/>
          </w:tcPr>
          <w:p>
            <w:pPr>
              <w:spacing w:after="0" w:line="20" w:lineRule="exact"/>
              <w:rPr>
                <w:sz w:val="1"/>
                <w:szCs w:val="1"/>
                <w:color w:val="auto"/>
              </w:rPr>
            </w:pPr>
          </w:p>
        </w:tc>
        <w:tc>
          <w:tcPr>
            <w:tcW w:w="306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1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(2,657)</w:t>
            </w:r>
          </w:p>
        </w:tc>
        <w:tc>
          <w:tcPr>
            <w:tcW w:w="30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(3,797)</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(1,140)</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spacing w:after="0"/>
              <w:rPr>
                <w:sz w:val="18"/>
                <w:szCs w:val="18"/>
                <w:color w:val="auto"/>
              </w:rPr>
            </w:pPr>
          </w:p>
        </w:tc>
      </w:tr>
      <w:tr>
        <w:trPr>
          <w:trHeight w:val="20"/>
        </w:trPr>
        <w:tc>
          <w:tcPr>
            <w:tcW w:w="1160" w:type="dxa"/>
            <w:vAlign w:val="bottom"/>
            <w:tcBorders>
              <w:top w:val="single" w:sz="8" w:color="CFF0FC"/>
            </w:tcBorders>
          </w:tcPr>
          <w:p>
            <w:pPr>
              <w:spacing w:after="0" w:line="20" w:lineRule="exact"/>
              <w:rPr>
                <w:sz w:val="1"/>
                <w:szCs w:val="1"/>
                <w:color w:val="auto"/>
              </w:rPr>
            </w:pPr>
          </w:p>
        </w:tc>
        <w:tc>
          <w:tcPr>
            <w:tcW w:w="306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30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 Not meaningful</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52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3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2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Dollar</w:t>
            </w:r>
          </w:p>
        </w:tc>
        <w:tc>
          <w:tcPr>
            <w:tcW w:w="1440" w:type="dxa"/>
            <w:vAlign w:val="bottom"/>
          </w:tcPr>
          <w:p>
            <w:pPr>
              <w:jc w:val="right"/>
              <w:ind w:right="57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r>
      <w:tr>
        <w:trPr>
          <w:trHeight w:val="169"/>
        </w:trPr>
        <w:tc>
          <w:tcPr>
            <w:tcW w:w="3840" w:type="dxa"/>
            <w:vAlign w:val="bottom"/>
          </w:tcPr>
          <w:p>
            <w:pPr>
              <w:spacing w:after="0"/>
              <w:rPr>
                <w:sz w:val="14"/>
                <w:szCs w:val="14"/>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Change</w:t>
            </w:r>
          </w:p>
        </w:tc>
        <w:tc>
          <w:tcPr>
            <w:tcW w:w="16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Change</w:t>
            </w:r>
          </w:p>
        </w:tc>
      </w:tr>
      <w:tr>
        <w:trPr>
          <w:trHeight w:val="169"/>
        </w:trPr>
        <w:tc>
          <w:tcPr>
            <w:tcW w:w="3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6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3840" w:type="dxa"/>
            <w:vAlign w:val="bottom"/>
          </w:tcPr>
          <w:p>
            <w:pPr>
              <w:ind w:left="500"/>
              <w:spacing w:after="0"/>
              <w:rPr>
                <w:sz w:val="20"/>
                <w:szCs w:val="20"/>
                <w:color w:val="auto"/>
              </w:rPr>
            </w:pPr>
            <w:r>
              <w:rPr>
                <w:rFonts w:ascii="Arial" w:cs="Arial" w:eastAsia="Arial" w:hAnsi="Arial"/>
                <w:sz w:val="18"/>
                <w:szCs w:val="18"/>
                <w:color w:val="auto"/>
              </w:rPr>
              <w:t>ATH-1017</w:t>
            </w: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1,509</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1,730</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221</w:t>
            </w:r>
          </w:p>
        </w:tc>
        <w:tc>
          <w:tcPr>
            <w:tcW w:w="28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3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Preclinical programs</w:t>
            </w:r>
          </w:p>
        </w:tc>
        <w:tc>
          <w:tcPr>
            <w:tcW w:w="6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(118)</w:t>
            </w: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(87)</w:t>
            </w:r>
          </w:p>
        </w:tc>
      </w:tr>
      <w:tr>
        <w:trPr>
          <w:trHeight w:val="209"/>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direct costs</w:t>
            </w:r>
          </w:p>
        </w:tc>
        <w:tc>
          <w:tcPr>
            <w:tcW w:w="640" w:type="dxa"/>
            <w:vAlign w:val="bottom"/>
            <w:tcBorders>
              <w:bottom w:val="single" w:sz="8" w:color="CFF0FC"/>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28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w:t>
            </w:r>
          </w:p>
        </w:tc>
        <w:tc>
          <w:tcPr>
            <w:tcW w:w="26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Borders>
              <w:bottom w:val="single" w:sz="8" w:color="CFF0FC"/>
            </w:tcBorders>
          </w:tcPr>
          <w:p>
            <w:pPr>
              <w:spacing w:after="0"/>
              <w:rPr>
                <w:sz w:val="18"/>
                <w:szCs w:val="18"/>
                <w:color w:val="auto"/>
              </w:rPr>
            </w:pPr>
          </w:p>
        </w:tc>
        <w:tc>
          <w:tcPr>
            <w:tcW w:w="14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FF0FC"/>
            </w:tcBorders>
          </w:tcPr>
          <w:p>
            <w:pPr>
              <w:spacing w:after="0"/>
              <w:rPr>
                <w:sz w:val="18"/>
                <w:szCs w:val="18"/>
                <w:color w:val="auto"/>
              </w:rPr>
            </w:pPr>
          </w:p>
        </w:tc>
      </w:tr>
      <w:tr>
        <w:trPr>
          <w:trHeight w:val="21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Indirect costs:</w:t>
            </w:r>
          </w:p>
        </w:tc>
        <w:tc>
          <w:tcPr>
            <w:tcW w:w="6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5"/>
        </w:trPr>
        <w:tc>
          <w:tcPr>
            <w:tcW w:w="3840" w:type="dxa"/>
            <w:vAlign w:val="bottom"/>
          </w:tcPr>
          <w:p>
            <w:pPr>
              <w:ind w:left="500"/>
              <w:spacing w:after="0"/>
              <w:rPr>
                <w:sz w:val="20"/>
                <w:szCs w:val="20"/>
                <w:color w:val="auto"/>
              </w:rPr>
            </w:pPr>
            <w:r>
              <w:rPr>
                <w:rFonts w:ascii="Arial" w:cs="Arial" w:eastAsia="Arial" w:hAnsi="Arial"/>
                <w:sz w:val="18"/>
                <w:szCs w:val="18"/>
                <w:color w:val="auto"/>
              </w:rPr>
              <w:t>Personnel-related costs, including</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3"/>
        </w:trPr>
        <w:tc>
          <w:tcPr>
            <w:tcW w:w="3840" w:type="dxa"/>
            <w:vAlign w:val="bottom"/>
          </w:tcPr>
          <w:p>
            <w:pPr>
              <w:ind w:left="660"/>
              <w:spacing w:after="0" w:line="203" w:lineRule="exact"/>
              <w:rPr>
                <w:sz w:val="20"/>
                <w:szCs w:val="20"/>
                <w:color w:val="auto"/>
              </w:rPr>
            </w:pPr>
            <w:r>
              <w:rPr>
                <w:rFonts w:ascii="Arial" w:cs="Arial" w:eastAsia="Arial" w:hAnsi="Arial"/>
                <w:sz w:val="18"/>
                <w:szCs w:val="18"/>
                <w:color w:val="auto"/>
              </w:rPr>
              <w:t>stock-based compensation</w:t>
            </w: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398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419</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21</w:t>
            </w:r>
          </w:p>
        </w:tc>
        <w:tc>
          <w:tcPr>
            <w:tcW w:w="28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5</w:t>
            </w:r>
          </w:p>
        </w:tc>
        <w:tc>
          <w:tcPr>
            <w:tcW w:w="180" w:type="dxa"/>
            <w:vAlign w:val="bottom"/>
          </w:tcPr>
          <w:p>
            <w:pPr>
              <w:spacing w:after="0"/>
              <w:rPr>
                <w:sz w:val="17"/>
                <w:szCs w:val="17"/>
                <w:color w:val="auto"/>
              </w:rPr>
            </w:pPr>
          </w:p>
        </w:tc>
      </w:tr>
      <w:tr>
        <w:trPr>
          <w:trHeight w:val="216"/>
        </w:trPr>
        <w:tc>
          <w:tcPr>
            <w:tcW w:w="3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Facilities and other costs</w:t>
            </w:r>
          </w:p>
        </w:tc>
        <w:tc>
          <w:tcPr>
            <w:tcW w:w="64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FF0FC"/>
          </w:tcPr>
          <w:p>
            <w:pPr>
              <w:spacing w:after="0"/>
              <w:rPr>
                <w:sz w:val="18"/>
                <w:szCs w:val="18"/>
                <w:color w:val="auto"/>
              </w:rPr>
            </w:pPr>
          </w:p>
        </w:tc>
      </w:tr>
      <w:tr>
        <w:trPr>
          <w:trHeight w:val="209"/>
        </w:trPr>
        <w:tc>
          <w:tcPr>
            <w:tcW w:w="3840" w:type="dxa"/>
            <w:vAlign w:val="bottom"/>
          </w:tcPr>
          <w:p>
            <w:pPr>
              <w:spacing w:after="0"/>
              <w:rPr>
                <w:sz w:val="20"/>
                <w:szCs w:val="20"/>
                <w:color w:val="auto"/>
              </w:rPr>
            </w:pPr>
            <w:r>
              <w:rPr>
                <w:rFonts w:ascii="Arial" w:cs="Arial" w:eastAsia="Arial" w:hAnsi="Arial"/>
                <w:sz w:val="18"/>
                <w:szCs w:val="18"/>
                <w:color w:val="auto"/>
              </w:rPr>
              <w:t>Total research and development</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3"/>
        </w:trPr>
        <w:tc>
          <w:tcPr>
            <w:tcW w:w="3840" w:type="dxa"/>
            <w:vAlign w:val="bottom"/>
          </w:tcPr>
          <w:p>
            <w:pPr>
              <w:ind w:left="160"/>
              <w:spacing w:after="0" w:line="203" w:lineRule="exact"/>
              <w:rPr>
                <w:sz w:val="20"/>
                <w:szCs w:val="20"/>
                <w:color w:val="auto"/>
              </w:rPr>
            </w:pPr>
            <w:r>
              <w:rPr>
                <w:rFonts w:ascii="Arial" w:cs="Arial" w:eastAsia="Arial" w:hAnsi="Arial"/>
                <w:sz w:val="18"/>
                <w:szCs w:val="18"/>
                <w:color w:val="auto"/>
              </w:rPr>
              <w:t>expenses</w:t>
            </w:r>
          </w:p>
        </w:tc>
        <w:tc>
          <w:tcPr>
            <w:tcW w:w="1540" w:type="dxa"/>
            <w:vAlign w:val="bottom"/>
            <w:gridSpan w:val="2"/>
          </w:tcPr>
          <w:p>
            <w:pPr>
              <w:jc w:val="right"/>
              <w:ind w:right="800"/>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2,110</w:t>
            </w:r>
          </w:p>
        </w:tc>
        <w:tc>
          <w:tcPr>
            <w:tcW w:w="2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2,269</w:t>
            </w:r>
          </w:p>
        </w:tc>
        <w:tc>
          <w:tcPr>
            <w:tcW w:w="260" w:type="dxa"/>
            <w:vAlign w:val="bottom"/>
          </w:tcPr>
          <w:p>
            <w:pPr>
              <w:spacing w:after="0"/>
              <w:rPr>
                <w:sz w:val="17"/>
                <w:szCs w:val="17"/>
                <w:color w:val="auto"/>
              </w:rPr>
            </w:pPr>
          </w:p>
        </w:tc>
        <w:tc>
          <w:tcPr>
            <w:tcW w:w="280" w:type="dxa"/>
            <w:vAlign w:val="bottom"/>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159</w:t>
            </w:r>
          </w:p>
        </w:tc>
        <w:tc>
          <w:tcPr>
            <w:tcW w:w="28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8</w:t>
            </w:r>
          </w:p>
        </w:tc>
        <w:tc>
          <w:tcPr>
            <w:tcW w:w="180" w:type="dxa"/>
            <w:vAlign w:val="bottom"/>
          </w:tcPr>
          <w:p>
            <w:pPr>
              <w:spacing w:after="0"/>
              <w:rPr>
                <w:sz w:val="17"/>
                <w:szCs w:val="17"/>
                <w:color w:val="auto"/>
              </w:rPr>
            </w:pPr>
          </w:p>
        </w:tc>
      </w:tr>
      <w:tr>
        <w:trPr>
          <w:trHeight w:val="20"/>
        </w:trPr>
        <w:tc>
          <w:tcPr>
            <w:tcW w:w="3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Research and development expenses increased by $0.2 million, or 8%, from $2.1 million for the six months ended June 30, 2019 to $2.3 million for the six months ended June 30, 2020. The increase was driven primarily by an increase in expenses for ATH-1017 of $0.2 million related to start-up activities by our clinical research organization and clinical drug supply manufacturers for Phase 2 clinical trials, and to a lesser extent, by increases in personnel-related costs and facilities and other costs supporting our general growth.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6" w:lineRule="exact"/>
        <w:rPr>
          <w:sz w:val="20"/>
          <w:szCs w:val="20"/>
          <w:color w:val="auto"/>
        </w:rPr>
      </w:pPr>
    </w:p>
    <w:p>
      <w:pPr>
        <w:ind w:right="160" w:firstLine="576"/>
        <w:spacing w:after="0" w:line="238" w:lineRule="auto"/>
        <w:rPr>
          <w:sz w:val="20"/>
          <w:szCs w:val="20"/>
          <w:color w:val="auto"/>
        </w:rPr>
      </w:pPr>
      <w:r>
        <w:rPr>
          <w:rFonts w:ascii="Arial" w:cs="Arial" w:eastAsia="Arial" w:hAnsi="Arial"/>
          <w:sz w:val="18"/>
          <w:szCs w:val="18"/>
          <w:color w:val="auto"/>
        </w:rPr>
        <w:t>General and administrative expenses increased by $0.6 million, or 82%, from $0.7 million for the six months ended June 30, 2019 to $1.3 million for the six months ended June 30, 2020. The increase was primarily due to an increase in accounting, technical and consulting services of $0.5 million not pertaining to this offering and an increase in personnel-related costs of $0.1 million to support our continued growth.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26"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 xml:space="preserve">Other income (expense), net, changed from income of $0.1 million for the six months ended June 30, 2019 to expense of $0.3 million for the six months ended June 30, 2020. The change was primarily due to a decrease in grant income due to a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of $0.3 million received in 2019 with no corresponding grant received in 2020, an increase of $0.2 million in interest expense and accretion of discounts related to the convertible notes, and an increase of $0.1 million from increases in liabilities recorded at fair value. This was offset by a gain of $0.2 million on the extinguishment of convertible notes in connection with our Series B convertible preferred stock financing in the second quarter of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5"/>
                <w:szCs w:val="15"/>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Dollar</w:t>
            </w: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r>
      <w:tr>
        <w:trPr>
          <w:trHeight w:val="169"/>
        </w:trPr>
        <w:tc>
          <w:tcPr>
            <w:tcW w:w="11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r>
      <w:tr>
        <w:trPr>
          <w:trHeight w:val="169"/>
        </w:trPr>
        <w:tc>
          <w:tcPr>
            <w:tcW w:w="11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760" w:type="dxa"/>
            <w:vAlign w:val="bottom"/>
            <w:gridSpan w:val="2"/>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3,589</w:t>
            </w:r>
          </w:p>
        </w:tc>
        <w:tc>
          <w:tcPr>
            <w:tcW w:w="160" w:type="dxa"/>
            <w:vAlign w:val="bottom"/>
          </w:tcPr>
          <w:p>
            <w:pPr>
              <w:spacing w:after="0"/>
              <w:rPr>
                <w:sz w:val="18"/>
                <w:szCs w:val="18"/>
                <w:color w:val="auto"/>
              </w:rPr>
            </w:pPr>
          </w:p>
        </w:tc>
        <w:tc>
          <w:tcPr>
            <w:tcW w:w="3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3,793</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8"/>
                <w:szCs w:val="18"/>
                <w:color w:val="auto"/>
              </w:rPr>
            </w:pPr>
          </w:p>
        </w:tc>
      </w:tr>
      <w:tr>
        <w:trPr>
          <w:trHeight w:val="209"/>
        </w:trPr>
        <w:tc>
          <w:tcPr>
            <w:tcW w:w="576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6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FF0FC"/>
            </w:tcBorders>
          </w:tcPr>
          <w:p>
            <w:pPr>
              <w:spacing w:after="0"/>
              <w:rPr>
                <w:sz w:val="18"/>
                <w:szCs w:val="18"/>
                <w:color w:val="auto"/>
              </w:rPr>
            </w:pPr>
          </w:p>
        </w:tc>
      </w:tr>
      <w:tr>
        <w:trPr>
          <w:trHeight w:val="210"/>
        </w:trPr>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(5,009)</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(5,449)</w:t>
            </w: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(440)</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8"/>
                <w:szCs w:val="18"/>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0"/>
        </w:trPr>
        <w:tc>
          <w:tcPr>
            <w:tcW w:w="1160" w:type="dxa"/>
            <w:vAlign w:val="bottom"/>
            <w:shd w:val="clear" w:color="auto" w:fill="CFF0FC"/>
          </w:tcPr>
          <w:p>
            <w:pPr>
              <w:spacing w:after="0" w:line="20" w:lineRule="exact"/>
              <w:rPr>
                <w:sz w:val="1"/>
                <w:szCs w:val="1"/>
                <w:color w:val="auto"/>
              </w:rPr>
            </w:pPr>
          </w:p>
        </w:tc>
        <w:tc>
          <w:tcPr>
            <w:tcW w:w="46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(5,097)</w:t>
            </w:r>
          </w:p>
        </w:tc>
        <w:tc>
          <w:tcPr>
            <w:tcW w:w="3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(5,161)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8"/>
                <w:szCs w:val="18"/>
                <w:color w:val="auto"/>
              </w:rPr>
            </w:pPr>
          </w:p>
        </w:tc>
      </w:tr>
      <w:tr>
        <w:trPr>
          <w:trHeight w:val="20"/>
        </w:trPr>
        <w:tc>
          <w:tcPr>
            <w:tcW w:w="1160" w:type="dxa"/>
            <w:vAlign w:val="bottom"/>
            <w:tcBorders>
              <w:top w:val="single" w:sz="8" w:color="CFF0FC"/>
            </w:tcBorders>
          </w:tcPr>
          <w:p>
            <w:pPr>
              <w:spacing w:after="0" w:line="20" w:lineRule="exact"/>
              <w:rPr>
                <w:sz w:val="1"/>
                <w:szCs w:val="1"/>
                <w:color w:val="auto"/>
              </w:rPr>
            </w:pPr>
          </w:p>
        </w:tc>
        <w:tc>
          <w:tcPr>
            <w:tcW w:w="46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4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Not meaningful</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Dollar</w:t>
            </w:r>
          </w:p>
        </w:tc>
        <w:tc>
          <w:tcPr>
            <w:tcW w:w="1140" w:type="dxa"/>
            <w:vAlign w:val="bottom"/>
          </w:tcPr>
          <w:p>
            <w:pPr>
              <w:jc w:val="right"/>
              <w:ind w:right="43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r>
      <w:tr>
        <w:trPr>
          <w:trHeight w:val="169"/>
        </w:trPr>
        <w:tc>
          <w:tcPr>
            <w:tcW w:w="4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21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4540" w:type="dxa"/>
            <w:vAlign w:val="bottom"/>
          </w:tcPr>
          <w:p>
            <w:pPr>
              <w:ind w:left="500"/>
              <w:spacing w:after="0"/>
              <w:rPr>
                <w:sz w:val="20"/>
                <w:szCs w:val="20"/>
                <w:color w:val="auto"/>
              </w:rPr>
            </w:pPr>
            <w:r>
              <w:rPr>
                <w:rFonts w:ascii="Arial" w:cs="Arial" w:eastAsia="Arial" w:hAnsi="Arial"/>
                <w:sz w:val="18"/>
                <w:szCs w:val="18"/>
                <w:color w:val="auto"/>
              </w:rPr>
              <w:t>ATH-1017</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2,773</w:t>
            </w:r>
          </w:p>
        </w:tc>
        <w:tc>
          <w:tcPr>
            <w:tcW w:w="24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2,619</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4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Preclinical programs</w:t>
            </w:r>
          </w:p>
        </w:tc>
        <w:tc>
          <w:tcPr>
            <w:tcW w:w="1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FF0FC"/>
          </w:tcPr>
          <w:p>
            <w:pPr>
              <w:spacing w:after="0"/>
              <w:rPr>
                <w:sz w:val="18"/>
                <w:szCs w:val="18"/>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8"/>
                <w:szCs w:val="18"/>
                <w:color w:val="auto"/>
              </w:rPr>
              <w:t>Total direct costs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r>
      <w:tr>
        <w:trPr>
          <w:trHeight w:val="209"/>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Indirect costs:</w:t>
            </w:r>
          </w:p>
        </w:tc>
        <w:tc>
          <w:tcPr>
            <w:tcW w:w="11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r>
      <w:tr>
        <w:trPr>
          <w:trHeight w:val="215"/>
        </w:trPr>
        <w:tc>
          <w:tcPr>
            <w:tcW w:w="4540" w:type="dxa"/>
            <w:vAlign w:val="bottom"/>
          </w:tcPr>
          <w:p>
            <w:pPr>
              <w:ind w:left="500"/>
              <w:spacing w:after="0"/>
              <w:rPr>
                <w:sz w:val="20"/>
                <w:szCs w:val="20"/>
                <w:color w:val="auto"/>
              </w:rPr>
            </w:pPr>
            <w:r>
              <w:rPr>
                <w:rFonts w:ascii="Arial" w:cs="Arial" w:eastAsia="Arial" w:hAnsi="Arial"/>
                <w:sz w:val="18"/>
                <w:szCs w:val="18"/>
                <w:color w:val="auto"/>
              </w:rPr>
              <w:t>Personnel-related costs, including</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3"/>
        </w:trPr>
        <w:tc>
          <w:tcPr>
            <w:tcW w:w="4540" w:type="dxa"/>
            <w:vAlign w:val="bottom"/>
          </w:tcPr>
          <w:p>
            <w:pPr>
              <w:ind w:left="660"/>
              <w:spacing w:after="0" w:line="203" w:lineRule="exact"/>
              <w:rPr>
                <w:sz w:val="20"/>
                <w:szCs w:val="20"/>
                <w:color w:val="auto"/>
              </w:rPr>
            </w:pPr>
            <w:r>
              <w:rPr>
                <w:rFonts w:ascii="Arial" w:cs="Arial" w:eastAsia="Arial" w:hAnsi="Arial"/>
                <w:sz w:val="18"/>
                <w:szCs w:val="18"/>
                <w:color w:val="auto"/>
              </w:rPr>
              <w:t>stock-based compensation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619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791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172</w:t>
            </w:r>
          </w:p>
        </w:tc>
        <w:tc>
          <w:tcPr>
            <w:tcW w:w="2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28</w:t>
            </w:r>
          </w:p>
        </w:tc>
        <w:tc>
          <w:tcPr>
            <w:tcW w:w="240" w:type="dxa"/>
            <w:vAlign w:val="bottom"/>
          </w:tcPr>
          <w:p>
            <w:pPr>
              <w:spacing w:after="0"/>
              <w:rPr>
                <w:sz w:val="17"/>
                <w:szCs w:val="17"/>
                <w:color w:val="auto"/>
              </w:rPr>
            </w:pPr>
          </w:p>
        </w:tc>
      </w:tr>
      <w:tr>
        <w:trPr>
          <w:trHeight w:val="216"/>
        </w:trPr>
        <w:tc>
          <w:tcPr>
            <w:tcW w:w="4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Facilities and other costs</w:t>
            </w:r>
          </w:p>
        </w:tc>
        <w:tc>
          <w:tcPr>
            <w:tcW w:w="1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FF0FC"/>
          </w:tcPr>
          <w:p>
            <w:pPr>
              <w:spacing w:after="0"/>
              <w:rPr>
                <w:sz w:val="18"/>
                <w:szCs w:val="18"/>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3,589</w:t>
            </w:r>
          </w:p>
        </w:tc>
        <w:tc>
          <w:tcPr>
            <w:tcW w:w="24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3,793</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Research and development expenses increased by $0.2 million, or 6%, from $3.6 million for the year ended December 31, 2018</w:t>
      </w:r>
    </w:p>
    <w:p>
      <w:pPr>
        <w:ind w:right="20"/>
        <w:spacing w:after="0" w:line="237" w:lineRule="auto"/>
        <w:rPr>
          <w:sz w:val="20"/>
          <w:szCs w:val="20"/>
          <w:color w:val="auto"/>
        </w:rPr>
      </w:pPr>
      <w:r>
        <w:rPr>
          <w:rFonts w:ascii="Arial" w:cs="Arial" w:eastAsia="Arial" w:hAnsi="Arial"/>
          <w:sz w:val="18"/>
          <w:szCs w:val="18"/>
          <w:color w:val="auto"/>
        </w:rPr>
        <w:t>to $3.8 million for the year ended December 31, 2019. The increase was driven primarily by an increase in personnel-related costs, and to a lesser extent, by increases in preclinical program costs as we expanded the number of research targets, as well as in facilities and other costs supporting our overall growth. In addition, expenses for ATH -1017 decreased by $0.2 million, primarily due to a decrease in clinical trial costs of $1.0 million related to the timing of activities in our Phase 1a and 1b clinical trials, partially offset by an increase in preclinical costs of $0.6 million as we completed certain toxicology studies in 2019, and by increases in manufacturing costs of $0.2 million as we began preparing for Phase 2 clinical trial drug supply production in late 2019.</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6" w:lineRule="exact"/>
        <w:rPr>
          <w:sz w:val="20"/>
          <w:szCs w:val="20"/>
          <w:color w:val="auto"/>
        </w:rPr>
      </w:pPr>
    </w:p>
    <w:p>
      <w:pPr>
        <w:ind w:right="180" w:firstLine="576"/>
        <w:spacing w:after="0"/>
        <w:rPr>
          <w:sz w:val="20"/>
          <w:szCs w:val="20"/>
          <w:color w:val="auto"/>
        </w:rPr>
      </w:pPr>
      <w:r>
        <w:rPr>
          <w:rFonts w:ascii="Arial" w:cs="Arial" w:eastAsia="Arial" w:hAnsi="Arial"/>
          <w:sz w:val="18"/>
          <w:szCs w:val="18"/>
          <w:color w:val="auto"/>
        </w:rPr>
        <w:t>General and administrative expenses increased by $0.3 million, or 17%, from $ 1.4 million for the year ended December 31, 2018 to $1.7 million for the year ended December 31, 2019. The increase was primarily due to an increase in personnel-related costs as staffing increased to support our growth.</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26"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 xml:space="preserve">Other income (expense), net changed from an expense of $ 0.1 million for the year ended December 31, 2018 to income of $0.3 million for the year ended December 31, 2019. The change of $0.4 million was primarily due to income from a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of $0.8 million received in 2019, partially offset primarily by an increase in interest expense on outstanding convertible notes of $0.3 million and to a lesser extent by a decrease in interest and other income and an increase in losses from changes in liabilities recorded at fair value.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Since our inception, we have funded our operations primarily with proceeds from the sale and issuance of convertible preferred stock, common stock warrants, and convertible notes, and to a lesser extent from grant income and stock option exercises. From our inception through June 30, 2020, we have raised aggregate net cash proceeds of $100.4 million primarily from the issuance of our convertible preferred stock, common stock warrants, and convertible notes. As of June 30, 2020, we had $85.2 million in cash and cash equivalents and have not generated positive cash flows from operations.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26" w:lineRule="exact"/>
        <w:rPr>
          <w:sz w:val="20"/>
          <w:szCs w:val="20"/>
          <w:color w:val="auto"/>
        </w:rPr>
      </w:pPr>
    </w:p>
    <w:p>
      <w:pPr>
        <w:ind w:right="220" w:firstLine="576"/>
        <w:spacing w:after="0" w:line="248" w:lineRule="auto"/>
        <w:rPr>
          <w:sz w:val="20"/>
          <w:szCs w:val="20"/>
          <w:color w:val="auto"/>
        </w:rPr>
      </w:pPr>
      <w:r>
        <w:rPr>
          <w:rFonts w:ascii="Arial" w:cs="Arial" w:eastAsia="Arial" w:hAnsi="Arial"/>
          <w:sz w:val="17"/>
          <w:szCs w:val="17"/>
          <w:color w:val="auto"/>
        </w:rPr>
        <w:t>Based upon our current operating plan, we estimate that our $85.2 million of cash and cash equivalents at June 30, 2020 will be sufficient to fund our operating expenses and capital expenditure requirements through at least the 12 months following the date of this prospectus. However, we believe our cash and cash equivalents as of the date of this prospectus, together with the net proceeds from this</w:t>
      </w:r>
    </w:p>
    <w:p>
      <w:pPr>
        <w:spacing w:after="0" w:line="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offering, will be sufficient to fund our operating expenses and capital expenditure requirements for at least the next months. Even after this offering, we will need to raise substantial additional capital to fund the development of our product candidates. Until such time as we can generate significant revenue from product sales, we expect to finance our operations through the sale of equity securities, debt financings, or other capital, which could include income from collaboration, licensing or similar arrangements with third parties, or receiving research contributions, or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product candidates or grant licenses on terms that may not be favorable to us and/or may reduce the value of our common stock.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99" w:name="page100"/>
    <w:bookmarkEnd w:id="99"/>
    <w:p>
      <w:pPr>
        <w:ind w:right="180"/>
        <w:spacing w:after="0" w:line="246" w:lineRule="auto"/>
        <w:rPr>
          <w:sz w:val="20"/>
          <w:szCs w:val="20"/>
          <w:color w:val="auto"/>
        </w:rPr>
      </w:pPr>
      <w:r>
        <w:rPr>
          <w:rFonts w:ascii="Arial" w:cs="Arial" w:eastAsia="Arial" w:hAnsi="Arial"/>
          <w:sz w:val="18"/>
          <w:szCs w:val="18"/>
          <w:color w:val="auto"/>
        </w:rPr>
        <w:t>development or on less favorable terms than we would otherwise choose. We cannot assure you that we will ever be profitable or generate positive cash flows from operating activities.</w:t>
      </w:r>
    </w:p>
    <w:p>
      <w:pPr>
        <w:spacing w:after="0" w:line="197" w:lineRule="exact"/>
        <w:rPr>
          <w:sz w:val="20"/>
          <w:szCs w:val="20"/>
          <w:color w:val="auto"/>
        </w:rPr>
      </w:pPr>
    </w:p>
    <w:p>
      <w:pPr>
        <w:ind w:right="160" w:firstLine="576"/>
        <w:spacing w:after="0" w:line="238"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spacing w:after="0" w:line="97" w:lineRule="exact"/>
        <w:rPr>
          <w:sz w:val="20"/>
          <w:szCs w:val="20"/>
          <w:color w:val="auto"/>
        </w:rPr>
      </w:pPr>
    </w:p>
    <w:p>
      <w:pPr>
        <w:ind w:left="1300" w:hanging="442"/>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scope, timing, progress and results of our ongoing preclinical studies and clinical trials of our product candidates;</w:t>
      </w:r>
    </w:p>
    <w:p>
      <w:pPr>
        <w:spacing w:after="0" w:line="117" w:lineRule="exact"/>
        <w:rPr>
          <w:rFonts w:ascii="Arial" w:cs="Arial" w:eastAsia="Arial" w:hAnsi="Arial"/>
          <w:sz w:val="18"/>
          <w:szCs w:val="18"/>
          <w:color w:val="auto"/>
        </w:rPr>
      </w:pPr>
    </w:p>
    <w:p>
      <w:pPr>
        <w:ind w:left="1300" w:right="520" w:hanging="442"/>
        <w:spacing w:after="0" w:line="246"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number of trials required for regulatory approval, in particular with respect to ATH-1017 for the treatment of mild-to-moderate AD;</w:t>
      </w:r>
    </w:p>
    <w:p>
      <w:pPr>
        <w:spacing w:after="0" w:line="88" w:lineRule="exact"/>
        <w:rPr>
          <w:rFonts w:ascii="Arial" w:cs="Arial" w:eastAsia="Arial" w:hAnsi="Arial"/>
          <w:sz w:val="18"/>
          <w:szCs w:val="18"/>
          <w:color w:val="auto"/>
        </w:rPr>
      </w:pPr>
    </w:p>
    <w:p>
      <w:pPr>
        <w:ind w:left="1300" w:right="600" w:hanging="442"/>
        <w:spacing w:after="0" w:line="246"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of other product candidates that we may pursue;</w:t>
      </w:r>
    </w:p>
    <w:p>
      <w:pPr>
        <w:spacing w:after="0" w:line="88" w:lineRule="exact"/>
        <w:rPr>
          <w:rFonts w:ascii="Arial" w:cs="Arial" w:eastAsia="Arial" w:hAnsi="Arial"/>
          <w:sz w:val="18"/>
          <w:szCs w:val="18"/>
          <w:color w:val="auto"/>
        </w:rPr>
      </w:pPr>
    </w:p>
    <w:p>
      <w:pPr>
        <w:jc w:val="both"/>
        <w:ind w:left="1300" w:right="400" w:hanging="442"/>
        <w:spacing w:after="0" w:line="274" w:lineRule="auto"/>
        <w:tabs>
          <w:tab w:leader="none" w:pos="13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 licensing or other similar arrangements, and the financial terms of any such arrangements, including the timing and amount of any future milestone, royalty or other payments due thereunder;</w:t>
      </w:r>
    </w:p>
    <w:p>
      <w:pPr>
        <w:spacing w:after="0" w:line="66" w:lineRule="exact"/>
        <w:rPr>
          <w:rFonts w:ascii="Arial" w:cs="Arial" w:eastAsia="Arial" w:hAnsi="Arial"/>
          <w:sz w:val="17"/>
          <w:szCs w:val="17"/>
          <w:color w:val="auto"/>
        </w:rPr>
      </w:pPr>
    </w:p>
    <w:p>
      <w:pPr>
        <w:ind w:left="1300" w:hanging="442"/>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1300" w:right="600" w:hanging="442"/>
        <w:spacing w:after="0" w:line="246"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expenses needed to attract, hire and retain skilled personnel;</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costs associated with relocating to our new facility and building out lab space;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companies’ product candidates and technologies.</w:t>
      </w:r>
    </w:p>
    <w:p>
      <w:pPr>
        <w:spacing w:after="0" w:line="225" w:lineRule="exact"/>
        <w:rPr>
          <w:sz w:val="20"/>
          <w:szCs w:val="20"/>
          <w:color w:val="auto"/>
        </w:rPr>
      </w:pPr>
    </w:p>
    <w:p>
      <w:pPr>
        <w:ind w:right="120" w:firstLine="576"/>
        <w:spacing w:after="0" w:line="238" w:lineRule="auto"/>
        <w:rPr>
          <w:sz w:val="20"/>
          <w:szCs w:val="20"/>
          <w:color w:val="auto"/>
        </w:rPr>
      </w:pPr>
      <w:r>
        <w:rPr>
          <w:rFonts w:ascii="Arial" w:cs="Arial" w:eastAsia="Arial" w:hAnsi="Arial"/>
          <w:sz w:val="18"/>
          <w:szCs w:val="18"/>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5"/>
                <w:szCs w:val="15"/>
                <w:color w:val="auto"/>
              </w:rPr>
            </w:pPr>
          </w:p>
        </w:tc>
        <w:tc>
          <w:tcPr>
            <w:tcW w:w="24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5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5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provided by (used in):</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(4,483)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(3,713)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(1,783)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(4,037)</w:t>
            </w: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29"/>
        </w:trPr>
        <w:tc>
          <w:tcPr>
            <w:tcW w:w="5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7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87,144</w:t>
            </w:r>
          </w:p>
        </w:tc>
        <w:tc>
          <w:tcPr>
            <w:tcW w:w="100" w:type="dxa"/>
            <w:vAlign w:val="bottom"/>
            <w:tcBorders>
              <w:bottom w:val="single" w:sz="8" w:color="CFF0FC"/>
            </w:tcBorders>
          </w:tcPr>
          <w:p>
            <w:pPr>
              <w:spacing w:after="0"/>
              <w:rPr>
                <w:sz w:val="19"/>
                <w:szCs w:val="19"/>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(1,012)</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(1,261)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(1,033)</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83,110</w:t>
            </w:r>
          </w:p>
        </w:tc>
        <w:tc>
          <w:tcPr>
            <w:tcW w:w="100" w:type="dxa"/>
            <w:vAlign w:val="bottom"/>
            <w:shd w:val="clear" w:color="auto" w:fill="CFF0FC"/>
          </w:tcPr>
          <w:p>
            <w:pPr>
              <w:spacing w:after="0"/>
              <w:rPr>
                <w:sz w:val="19"/>
                <w:szCs w:val="19"/>
                <w:color w:val="auto"/>
              </w:rPr>
            </w:pPr>
          </w:p>
        </w:tc>
      </w:tr>
      <w:tr>
        <w:trPr>
          <w:trHeight w:val="20"/>
        </w:trPr>
        <w:tc>
          <w:tcPr>
            <w:tcW w:w="50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4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Operating Activities</w:t>
      </w:r>
    </w:p>
    <w:p>
      <w:pPr>
        <w:spacing w:after="0" w:line="122"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During the six months ended June 30, 2020, net cash used in operating activities was $4.0 million. This consisted primarily of a net loss of $3.8 million, partially offset by non-cash charges of $0.4 million and an increase in our net operating assets of $0.6 million. The non-cash charges primarily consisted of stock-based compensation expense, non-cash interest expense and accretion of discounts on our convertible notes, changes in the carrying value of liabilities stated at fair value, and the gain on extinguishment of our convertible notes. The increase in our net operating assets was due to an increase in prepaid expenses and other current assets, partially offset by an increase in accounts payable and accrued expenses.</w:t>
      </w:r>
    </w:p>
    <w:p>
      <w:pPr>
        <w:spacing w:after="0" w:line="205"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During the six months ended June 30, 2019, net cash used in operating activities was $1.8 million. This consisted primarily of a net loss of $2.7 million, partially offset by non-cash charges of $0.3 million and a decrease in our net operating assets of $0.6 million. The non-cash charges primarily consisted of stock-based compensation expense, non-cash interest expense and accretion of discounts on our convertible notes, and changes in the carrying value of liabilities stated at fair value. The decrease in our net operating assets was due to an increase in accounts payable and accrued expenses.</w:t>
      </w:r>
    </w:p>
    <w:p>
      <w:pPr>
        <w:spacing w:after="0" w:line="202"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During the year ended December 31, 2019, net cash used in operating activities was $3.7 million. This consisted primarily of a net loss of $5.2 million, partially offset by non-cash charges of $0.8 million and an increase in our net operating assets of $0.7 million. The non-cash charges primarily consisted of stock-based compensation expense, non-cash interest expense and accretion of discounts on our convertible notes, and changes in the carrying value of liabilities stated at fair value. The increase in our net operating assets was due to an increase in accounts payable and accrued expenses.</w:t>
      </w:r>
    </w:p>
    <w:p>
      <w:pPr>
        <w:spacing w:after="0" w:line="20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During the year ended December 31, 2018, net cash used in operating activities was $4.5 million. This consisted primarily of a net loss of $5.1 million, partially offset by non-cash charges of $0.4 million and an increase in our net operating assets of $0.2 million. The non-cash charges primarily consisted of stock-based compensation expense, non-cash interest expense on our convertible notes, and changes in the carrying value of liabilities stated at fair value. The increase in our net operating assets was due to an increase in accounts payable and accrued expenses.</w:t>
      </w:r>
    </w:p>
    <w:p>
      <w:pPr>
        <w:spacing w:after="0" w:line="29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Investing Activities</w:t>
      </w:r>
    </w:p>
    <w:p>
      <w:pPr>
        <w:spacing w:after="0" w:line="122" w:lineRule="exact"/>
        <w:rPr>
          <w:sz w:val="20"/>
          <w:szCs w:val="20"/>
          <w:color w:val="auto"/>
        </w:rPr>
      </w:pPr>
    </w:p>
    <w:p>
      <w:pPr>
        <w:ind w:right="680" w:firstLine="576"/>
        <w:spacing w:after="0" w:line="246" w:lineRule="auto"/>
        <w:rPr>
          <w:sz w:val="20"/>
          <w:szCs w:val="20"/>
          <w:color w:val="auto"/>
        </w:rPr>
      </w:pPr>
      <w:r>
        <w:rPr>
          <w:rFonts w:ascii="Arial" w:cs="Arial" w:eastAsia="Arial" w:hAnsi="Arial"/>
          <w:sz w:val="18"/>
          <w:szCs w:val="18"/>
          <w:color w:val="auto"/>
        </w:rPr>
        <w:t>During the six months ended June 30, 2020, net cash provided by investing was $3,000. This consisted of principal payments received from related party note receivable.</w:t>
      </w:r>
    </w:p>
    <w:p>
      <w:pPr>
        <w:spacing w:after="0" w:line="197"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During the six months ended June 30, 2019, net cash provided by investing activities was $0.5 million. This consisted primarily of $1.5 million in proceeds received from short-term investments which matured during the period, partially offset by purchases of short-term investments of $1.0 million.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1" w:name="page102"/>
    <w:bookmarkEnd w:id="101"/>
    <w:p>
      <w:pPr>
        <w:ind w:right="80" w:firstLine="576"/>
        <w:spacing w:after="0"/>
        <w:rPr>
          <w:sz w:val="20"/>
          <w:szCs w:val="20"/>
          <w:color w:val="auto"/>
        </w:rPr>
      </w:pPr>
      <w:r>
        <w:rPr>
          <w:rFonts w:ascii="Arial" w:cs="Arial" w:eastAsia="Arial" w:hAnsi="Arial"/>
          <w:sz w:val="18"/>
          <w:szCs w:val="18"/>
          <w:color w:val="auto"/>
        </w:rPr>
        <w:t>During the year ended December 31, 2019, net cash provided by investing activities was $1.5 million. This consisted primarily of $2.5 million in proceeds received from short-term investments which matured during the period, partially offset by purchases of short-term investments of $1.0 million.</w:t>
      </w:r>
    </w:p>
    <w:p>
      <w:pPr>
        <w:spacing w:after="0" w:line="203"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During the year ended December 31, 2018, net cash provided by investing activities was $2.0 million. This consisted primarily of $7.3 million in proceeds received from short-term investments which matured during the period, partially offset by purchases of short-term investments of $5.3 million.</w:t>
      </w:r>
    </w:p>
    <w:p>
      <w:pPr>
        <w:spacing w:after="0" w:line="29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Financing Activities</w:t>
      </w:r>
    </w:p>
    <w:p>
      <w:pPr>
        <w:spacing w:after="0" w:line="12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During the six months ended June 30, 2020, net cash provided by financing activities was $87.1 million. This consisted primarily of net proceeds received from the issuance of our Series B convertible preferred stock and common stock warrants of $85.4 million, $1.7 million from the issuance of our convertible notes, and to a lesser extent from exercises of stock options.</w:t>
      </w:r>
    </w:p>
    <w:p>
      <w:pPr>
        <w:spacing w:after="0" w:line="203" w:lineRule="exact"/>
        <w:rPr>
          <w:sz w:val="20"/>
          <w:szCs w:val="20"/>
          <w:color w:val="auto"/>
        </w:rPr>
      </w:pPr>
    </w:p>
    <w:p>
      <w:pPr>
        <w:ind w:right="560" w:firstLine="576"/>
        <w:spacing w:after="0" w:line="246" w:lineRule="auto"/>
        <w:rPr>
          <w:sz w:val="20"/>
          <w:szCs w:val="20"/>
          <w:color w:val="auto"/>
        </w:rPr>
      </w:pPr>
      <w:r>
        <w:rPr>
          <w:rFonts w:ascii="Arial" w:cs="Arial" w:eastAsia="Arial" w:hAnsi="Arial"/>
          <w:sz w:val="18"/>
          <w:szCs w:val="18"/>
          <w:color w:val="auto"/>
        </w:rPr>
        <w:t>During the six months ended June 30, 2019, net cash provided by financing activities of $0.2 million. This consisted primarily of proceeds from the issuance of our convertible notes.</w:t>
      </w:r>
    </w:p>
    <w:p>
      <w:pPr>
        <w:spacing w:after="0" w:line="197" w:lineRule="exact"/>
        <w:rPr>
          <w:sz w:val="20"/>
          <w:szCs w:val="20"/>
          <w:color w:val="auto"/>
        </w:rPr>
      </w:pPr>
    </w:p>
    <w:p>
      <w:pPr>
        <w:ind w:right="220" w:firstLine="576"/>
        <w:spacing w:after="0" w:line="246" w:lineRule="auto"/>
        <w:rPr>
          <w:sz w:val="20"/>
          <w:szCs w:val="20"/>
          <w:color w:val="auto"/>
        </w:rPr>
      </w:pPr>
      <w:r>
        <w:rPr>
          <w:rFonts w:ascii="Arial" w:cs="Arial" w:eastAsia="Arial" w:hAnsi="Arial"/>
          <w:sz w:val="18"/>
          <w:szCs w:val="18"/>
          <w:color w:val="auto"/>
        </w:rPr>
        <w:t>During the year ended December 31, 2019, net cash provided in financing activities was $0.9 million. This consisted primarily of net proceeds received from the issuance of our convertible notes of $0.9 million and to a lesser extent from exercises of stock options.</w:t>
      </w:r>
    </w:p>
    <w:p>
      <w:pPr>
        <w:spacing w:after="0" w:line="197" w:lineRule="exact"/>
        <w:rPr>
          <w:sz w:val="20"/>
          <w:szCs w:val="20"/>
          <w:color w:val="auto"/>
        </w:rPr>
      </w:pPr>
    </w:p>
    <w:p>
      <w:pPr>
        <w:ind w:right="160" w:firstLine="576"/>
        <w:spacing w:after="0"/>
        <w:rPr>
          <w:sz w:val="20"/>
          <w:szCs w:val="20"/>
          <w:color w:val="auto"/>
        </w:rPr>
      </w:pPr>
      <w:r>
        <w:rPr>
          <w:rFonts w:ascii="Arial" w:cs="Arial" w:eastAsia="Arial" w:hAnsi="Arial"/>
          <w:sz w:val="18"/>
          <w:szCs w:val="18"/>
          <w:color w:val="auto"/>
        </w:rPr>
        <w:t>During the year ended December 31, 2018, net cash provided in financing activities was $1.5 million. This consisted primarily of net proceeds received from the issuance of our convertible notes of $1.3 million, $0.1 million from exercises of stock options, and $0.1 million from the issuance of additional shares of Series A convertible preferred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6"/>
          </w:tcPr>
          <w:p>
            <w:pPr>
              <w:jc w:val="center"/>
              <w:ind w:left="601"/>
              <w:spacing w:after="0"/>
              <w:rPr>
                <w:sz w:val="20"/>
                <w:szCs w:val="20"/>
                <w:color w:val="auto"/>
              </w:rPr>
            </w:pPr>
            <w:r>
              <w:rPr>
                <w:rFonts w:ascii="Arial" w:cs="Arial" w:eastAsia="Arial" w:hAnsi="Arial"/>
                <w:sz w:val="14"/>
                <w:szCs w:val="14"/>
                <w:b w:val="1"/>
                <w:bCs w:val="1"/>
                <w:color w:val="auto"/>
              </w:rPr>
              <w:t>Payments due by period</w:t>
            </w: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13"/>
                <w:szCs w:val="13"/>
                <w:color w:val="auto"/>
              </w:rPr>
            </w:pPr>
          </w:p>
        </w:tc>
        <w:tc>
          <w:tcPr>
            <w:tcW w:w="800" w:type="dxa"/>
            <w:vAlign w:val="bottom"/>
          </w:tcPr>
          <w:p>
            <w:pPr>
              <w:jc w:val="right"/>
              <w:ind w:right="241"/>
              <w:spacing w:after="0" w:line="156" w:lineRule="exact"/>
              <w:rPr>
                <w:sz w:val="20"/>
                <w:szCs w:val="20"/>
                <w:color w:val="auto"/>
              </w:rPr>
            </w:pPr>
            <w:r>
              <w:rPr>
                <w:rFonts w:ascii="Arial" w:cs="Arial" w:eastAsia="Arial" w:hAnsi="Arial"/>
                <w:sz w:val="14"/>
                <w:szCs w:val="14"/>
                <w:b w:val="1"/>
                <w:bCs w:val="1"/>
                <w:color w:val="auto"/>
              </w:rPr>
              <w:t>1 to 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440"/>
              <w:spacing w:after="0" w:line="156" w:lineRule="exact"/>
              <w:rPr>
                <w:sz w:val="20"/>
                <w:szCs w:val="20"/>
                <w:color w:val="auto"/>
              </w:rPr>
            </w:pPr>
            <w:r>
              <w:rPr>
                <w:rFonts w:ascii="Arial" w:cs="Arial" w:eastAsia="Arial" w:hAnsi="Arial"/>
                <w:sz w:val="14"/>
                <w:szCs w:val="14"/>
                <w:b w:val="1"/>
                <w:bCs w:val="1"/>
                <w:color w:val="auto"/>
              </w:rPr>
              <w:t>3 to 5</w:t>
            </w:r>
          </w:p>
        </w:tc>
        <w:tc>
          <w:tcPr>
            <w:tcW w:w="140" w:type="dxa"/>
            <w:vAlign w:val="bottom"/>
          </w:tcPr>
          <w:p>
            <w:pPr>
              <w:spacing w:after="0"/>
              <w:rPr>
                <w:sz w:val="13"/>
                <w:szCs w:val="13"/>
                <w:color w:val="auto"/>
              </w:rPr>
            </w:pPr>
          </w:p>
        </w:tc>
        <w:tc>
          <w:tcPr>
            <w:tcW w:w="110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More than</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3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1 year</w:t>
            </w:r>
          </w:p>
        </w:tc>
        <w:tc>
          <w:tcPr>
            <w:tcW w:w="22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5 years</w:t>
            </w:r>
          </w:p>
        </w:tc>
        <w:tc>
          <w:tcPr>
            <w:tcW w:w="22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69"/>
        </w:trPr>
        <w:tc>
          <w:tcPr>
            <w:tcW w:w="3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promissory notes</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w:t>
            </w:r>
          </w:p>
        </w:tc>
        <w:tc>
          <w:tcPr>
            <w:tcW w:w="42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w:t>
            </w:r>
          </w:p>
        </w:tc>
        <w:tc>
          <w:tcPr>
            <w:tcW w:w="100" w:type="dxa"/>
            <w:vAlign w:val="bottom"/>
            <w:shd w:val="clear" w:color="auto" w:fill="CFF0FC"/>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820" w:type="dxa"/>
            <w:vAlign w:val="bottom"/>
          </w:tcPr>
          <w:p>
            <w:pPr>
              <w:ind w:left="260"/>
              <w:spacing w:after="0"/>
              <w:rPr>
                <w:sz w:val="20"/>
                <w:szCs w:val="20"/>
                <w:color w:val="auto"/>
              </w:rPr>
            </w:pPr>
            <w:r>
              <w:rPr>
                <w:rFonts w:ascii="Arial" w:cs="Arial" w:eastAsia="Arial" w:hAnsi="Arial"/>
                <w:sz w:val="18"/>
                <w:szCs w:val="18"/>
                <w:color w:val="auto"/>
              </w:rPr>
              <w:t>Total contractual obligations</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2,452</w:t>
            </w:r>
          </w:p>
        </w:tc>
        <w:tc>
          <w:tcPr>
            <w:tcW w:w="4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We issued unsecured convertible promissory notes with aggregate principal amounts of $1.3 million and $0.9 million in 2018 and 2019, respectively. The convertible notes accrued interest at 5.0% per year with principal and interest due at maturity. The convertible notes automatically convert upon a qualified financing event at a conversion price equal to 85% of the price per share of the qualified financing. In May 2020, the outstanding principal balance of the convertible notes of $2.2 million and accrued interest of $0.1 million converted into 2,333,117 shares of our Series B-1 convertible preferred stock.</w:t>
      </w:r>
    </w:p>
    <w:p>
      <w:pPr>
        <w:spacing w:after="0" w:line="202" w:lineRule="exact"/>
        <w:rPr>
          <w:sz w:val="20"/>
          <w:szCs w:val="20"/>
          <w:color w:val="auto"/>
        </w:rPr>
      </w:pPr>
    </w:p>
    <w:p>
      <w:pPr>
        <w:jc w:val="both"/>
        <w:ind w:right="480" w:firstLine="576"/>
        <w:spacing w:after="0"/>
        <w:rPr>
          <w:sz w:val="20"/>
          <w:szCs w:val="20"/>
          <w:color w:val="auto"/>
        </w:rPr>
      </w:pPr>
      <w:r>
        <w:rPr>
          <w:rFonts w:ascii="Arial" w:cs="Arial" w:eastAsia="Arial" w:hAnsi="Arial"/>
          <w:sz w:val="18"/>
          <w:szCs w:val="18"/>
          <w:color w:val="auto"/>
        </w:rPr>
        <w:t>Under our license agreements, we have payment obligations that are contingent upon future events such as our achievement of specified development, regulatory and commercial milestones and are required to make royalty payments in connection with the sale of products developed under those agreements.</w:t>
      </w:r>
    </w:p>
    <w:p>
      <w:pPr>
        <w:spacing w:after="0" w:line="203"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We received an aggregate of $0.8 million in grants from the LSDF. In connection with the agreements, LSDF retained the right to receive cash payments of up to 2.0 times the amounts received, or $1.5 million, upon the occurrence of specified triggering events, including an initial public offering. We carry a liability on our balance sheet equal to the fair value of this repayment obligation. As of December 31, 2019 and June 30, 2020, we were unable to estimate with certainty the timing or likelihood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02" w:name="page103"/>
    <w:bookmarkEnd w:id="102"/>
    <w:p>
      <w:pPr>
        <w:ind w:right="40"/>
        <w:spacing w:after="0" w:line="238" w:lineRule="auto"/>
        <w:rPr>
          <w:sz w:val="20"/>
          <w:szCs w:val="20"/>
          <w:color w:val="auto"/>
        </w:rPr>
      </w:pPr>
      <w:r>
        <w:rPr>
          <w:rFonts w:ascii="Arial" w:cs="Arial" w:eastAsia="Arial" w:hAnsi="Arial"/>
          <w:sz w:val="18"/>
          <w:szCs w:val="18"/>
          <w:color w:val="auto"/>
        </w:rPr>
        <w:t>achieving any such milestones or triggering events, or making future product sales and, therefore, any related payments are not separately presented within our contractual obligations. For additional information regarding these agreements, including our payment obligations thereunder, see the sections of this prospectus titled “—Our Collaboration and Grant Agreements,” “Business—Our Collaboration and Grant Agreements,” as well as our financial statements and related notes included elsewhere in this prospectus.</w:t>
      </w:r>
    </w:p>
    <w:p>
      <w:pPr>
        <w:spacing w:after="0" w:line="205" w:lineRule="exact"/>
        <w:rPr>
          <w:sz w:val="20"/>
          <w:szCs w:val="20"/>
          <w:color w:val="auto"/>
        </w:rPr>
      </w:pPr>
    </w:p>
    <w:p>
      <w:pPr>
        <w:jc w:val="both"/>
        <w:ind w:right="660" w:firstLine="576"/>
        <w:spacing w:after="0"/>
        <w:rPr>
          <w:sz w:val="20"/>
          <w:szCs w:val="20"/>
          <w:color w:val="auto"/>
        </w:rPr>
      </w:pPr>
      <w:r>
        <w:rPr>
          <w:rFonts w:ascii="Arial" w:cs="Arial" w:eastAsia="Arial" w:hAnsi="Arial"/>
          <w:sz w:val="18"/>
          <w:szCs w:val="18"/>
          <w:color w:val="auto"/>
        </w:rPr>
        <w:t>We enter into agreements in the normal course of business with contract manufacturing organizations and contract research organizations for clinical trials, preclinical studies, manufacturing, and other services and products for operating purposes, which are generally cancelable upon written notice. These obligations and commitments are also not are not separately presented here within.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Since our inception, we have not engaged in any off-balance sheet arrangements, as defined in the rules and regulations of the SEC.</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 Convertible Notes Discount and Amortization</w:t>
      </w:r>
    </w:p>
    <w:p>
      <w:pPr>
        <w:spacing w:after="0" w:line="126"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Our convertible notes have conversion and redemption features that meet the definition of an embedded derivative and are therefore subject to derivative accounting. The initial fair value of the derivative is recorded as a discount to the convertible notes, with a corresponding derivative liability. The discount to the convertible notes is amortized using the effective interest method. The amortization of the discount is included in other income (expense), net in our statements of operations and comprehensive loss. The derivative liability related to these features is recorded at estimated fair value on a recurring basis. Any changes in fair value are reflected in other income (expense), net in our statements of operations and comprehensive loss at each period end while such instruments are outstanding. The derivative liability was remeasured to fair value until its settlement in May 2020 upon the conversion of the underlying convertible notes into shares of our Series B-1 convertible preferred stock.</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126"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Freestanding warrants to purchase shares of our convertible preferred stock are accounted for as liabilities at fair value, because the shares underlying the warrants contain contingent redemption features outside our control. Warrants classified as liabilities are recorded on the balance sheets at their fair value on the date of issuance and remeasured to fair value on each subsequent reporting period, with the changes in fair value recognized as a component of other income (expense), net in the statements of operations. We will continue to adjust the liability for changes in the fair value of these warrants until the earlier of the exercise of the warrants, the expiration of the warrants, or until such time as the warrants are no longer considered liability instruments.</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98" w:right="41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 xml:space="preserve">The grant liability associated with the grants from the LSDF is accounted for under Accounting Standards Codification, or ASC, 825-10, </w:t>
      </w:r>
      <w:r>
        <w:rPr>
          <w:rFonts w:ascii="Arial" w:cs="Arial" w:eastAsia="Arial" w:hAnsi="Arial"/>
          <w:sz w:val="18"/>
          <w:szCs w:val="18"/>
          <w:i w:val="1"/>
          <w:iCs w:val="1"/>
          <w:color w:val="auto"/>
        </w:rPr>
        <w:t>Financial Instruments—Overall</w:t>
      </w:r>
      <w:r>
        <w:rPr>
          <w:rFonts w:ascii="Arial" w:cs="Arial" w:eastAsia="Arial" w:hAnsi="Arial"/>
          <w:sz w:val="18"/>
          <w:szCs w:val="18"/>
          <w:color w:val="auto"/>
        </w:rPr>
        <w:t>. The estimated fair value of the grant liability is reassessed at each balance sheet date, with changes in fair value reflected in other income (expense), net in our statements of operations and comprehensive loss at each period end. The fair value of the grant liability was estimated using a discounted cash flow simulation methodology that assigns probabilities to the timing and likelihood of each triggering event, each of which is disclosed in Note 7 to our audited financial statements and Note 6 to our unaudited interim condensed financial statements included elsewhere in this prospectus, as well as a discount rate based on market data for securities with similar durations and credit ratings to us, and the expected payment amount. The assumptions used to calculate the fair value of the grant liability are subject to significant judgment, and payment may be in an amount different from the liability that we estimate. However, total payments under the agreements will not exceed $1.5 million.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08"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 xml:space="preserve">In January 2019, the Alzheimer’s Association awarded us a $1.0 million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Grant proceeds must be used to advance our ATH-1017 product candidate in the Alzheimer’s disease setting. Under the terms of the agreement, we received $776,000 in 2019 and may potentially receive the remaining $ 224,000 in 2020 upon the completion of certain development milestones. Reporting of expenses incurred supported by the grant as well as research updates are sent to the Alzheimer’s Association semi-annually. We recognize income related to the grant as qualifying expenses under the grant agreement are incurred, in grant income within other income (expense), net in our statement of operations and comprehensive loss. As of December 31, 2019, we had recognized $754,000 in grant income, which is included in other income (expense), net in our statements of operations and comprehensive loss, and had cash received in excess of qualifying expenses of approximately $22,000, which is included in accrued expenses on our balance sheets. During the six months ended June 30, 2020, we recognized $22,000 in grant income.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26"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We estimate the period over which such services will be performed and the level of effort to be expended in each period. If actual timing of performance or the level of effort varies from the estimate, we will adjust the amounts recorded accordingly. We have not experienced any material differences between accrued or prepaid costs and actual costs since inception.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right="40" w:firstLine="576"/>
        <w:spacing w:after="0" w:line="246" w:lineRule="auto"/>
        <w:rPr>
          <w:sz w:val="20"/>
          <w:szCs w:val="20"/>
          <w:color w:val="auto"/>
        </w:rPr>
      </w:pPr>
      <w:r>
        <w:rPr>
          <w:rFonts w:ascii="Arial" w:cs="Arial" w:eastAsia="Arial" w:hAnsi="Arial"/>
          <w:sz w:val="18"/>
          <w:szCs w:val="18"/>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w:t>
      </w:r>
    </w:p>
    <w:p>
      <w:pPr>
        <w:spacing w:after="0" w:line="197"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We recognize stock-based compensation expense for stock options on a straight-line basis over the requisite service period and account for forfeitures as they occur. Our stock-based compensation costs are based upon the grant date fair value of options estimated using the Black-Scholes option pricing model. To the extent any stock option grants are made subject to the achievement of a performance-based milestone, management evaluates when the achievement of any such performance-based milestone is probable based on the relative satisfaction of the performance conditions as of the reporting date.</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104" w:name="page105"/>
    <w:bookmarkEnd w:id="104"/>
    <w:p>
      <w:pPr>
        <w:ind w:right="520" w:firstLine="576"/>
        <w:spacing w:after="0" w:line="246" w:lineRule="auto"/>
        <w:rPr>
          <w:sz w:val="20"/>
          <w:szCs w:val="20"/>
          <w:color w:val="auto"/>
        </w:rPr>
      </w:pPr>
      <w:r>
        <w:rPr>
          <w:rFonts w:ascii="Arial" w:cs="Arial" w:eastAsia="Arial" w:hAnsi="Arial"/>
          <w:sz w:val="18"/>
          <w:szCs w:val="18"/>
          <w:color w:val="auto"/>
        </w:rPr>
        <w:t>The Black-Scholes option pricing model utilizes inputs which are highly subjective assumptions and generally require significant judgment. These assumptions include:</w:t>
      </w:r>
    </w:p>
    <w:p>
      <w:pPr>
        <w:spacing w:after="0" w:line="71" w:lineRule="exact"/>
        <w:rPr>
          <w:sz w:val="20"/>
          <w:szCs w:val="20"/>
          <w:color w:val="auto"/>
        </w:rPr>
      </w:pPr>
    </w:p>
    <w:p>
      <w:pPr>
        <w:ind w:left="1300" w:hanging="44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See the subsection titled “—Common Stock Valuations” below.</w:t>
      </w:r>
    </w:p>
    <w:p>
      <w:pPr>
        <w:spacing w:after="0" w:line="117" w:lineRule="exact"/>
        <w:rPr>
          <w:rFonts w:ascii="Arial" w:cs="Arial" w:eastAsia="Arial" w:hAnsi="Arial"/>
          <w:sz w:val="18"/>
          <w:szCs w:val="18"/>
          <w:color w:val="auto"/>
        </w:rPr>
      </w:pPr>
    </w:p>
    <w:p>
      <w:pPr>
        <w:ind w:left="1300" w:right="180" w:hanging="442"/>
        <w:spacing w:after="0" w:line="267"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the option.</w:t>
      </w:r>
    </w:p>
    <w:p>
      <w:pPr>
        <w:spacing w:after="0" w:line="52" w:lineRule="exact"/>
        <w:rPr>
          <w:rFonts w:ascii="Arial" w:cs="Arial" w:eastAsia="Arial" w:hAnsi="Arial"/>
          <w:sz w:val="18"/>
          <w:szCs w:val="18"/>
          <w:color w:val="auto"/>
        </w:rPr>
      </w:pPr>
    </w:p>
    <w:p>
      <w:pPr>
        <w:ind w:left="1300" w:hanging="442"/>
        <w:spacing w:after="0" w:line="242"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Because we have been privately held and do not have any trading history for our common stock,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We will continue to apply this process until a sufficient amount of historical information regarding the volatility of our own stock price becomes available.</w:t>
      </w:r>
    </w:p>
    <w:p>
      <w:pPr>
        <w:spacing w:after="0" w:line="76" w:lineRule="exact"/>
        <w:rPr>
          <w:rFonts w:ascii="Arial" w:cs="Arial" w:eastAsia="Arial" w:hAnsi="Arial"/>
          <w:sz w:val="18"/>
          <w:szCs w:val="18"/>
          <w:color w:val="auto"/>
        </w:rPr>
      </w:pPr>
    </w:p>
    <w:p>
      <w:pPr>
        <w:ind w:left="1300" w:right="40" w:hanging="442"/>
        <w:spacing w:after="0" w:line="250"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we do not have sufficient historical data to use any other method to estimate expected term.</w:t>
      </w:r>
    </w:p>
    <w:p>
      <w:pPr>
        <w:spacing w:after="0" w:line="68" w:lineRule="exact"/>
        <w:rPr>
          <w:rFonts w:ascii="Arial" w:cs="Arial" w:eastAsia="Arial" w:hAnsi="Arial"/>
          <w:sz w:val="18"/>
          <w:szCs w:val="18"/>
          <w:color w:val="auto"/>
        </w:rPr>
      </w:pPr>
    </w:p>
    <w:p>
      <w:pPr>
        <w:ind w:left="1300" w:right="300" w:hanging="442"/>
        <w:spacing w:after="0" w:line="267"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have never paid dividends on our common stock and have no plans to pay dividends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Therefore, we used an expected dividend yield of zero.</w:t>
      </w:r>
    </w:p>
    <w:p>
      <w:pPr>
        <w:spacing w:after="0" w:line="178" w:lineRule="exact"/>
        <w:rPr>
          <w:sz w:val="20"/>
          <w:szCs w:val="20"/>
          <w:color w:val="auto"/>
        </w:rPr>
      </w:pPr>
    </w:p>
    <w:p>
      <w:pPr>
        <w:ind w:right="300" w:firstLine="576"/>
        <w:spacing w:after="0" w:line="238" w:lineRule="auto"/>
        <w:rPr>
          <w:sz w:val="20"/>
          <w:szCs w:val="20"/>
          <w:color w:val="auto"/>
        </w:rPr>
      </w:pPr>
      <w:r>
        <w:rPr>
          <w:rFonts w:ascii="Arial" w:cs="Arial" w:eastAsia="Arial" w:hAnsi="Arial"/>
          <w:sz w:val="18"/>
          <w:szCs w:val="18"/>
          <w:color w:val="auto"/>
        </w:rPr>
        <w:t>See Note 12 to our audited financial statements and Note 11 to our unaudited interim condensed financial statements included elsewhere in this prospectus for more information concerning certain of the specific assumptions we used in applying the Black-Scholes option pricing model to determine the estimated fair value of our stock options. Certain of such assumptions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202"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We recorded stock-based compensation expense of $0.2 million and $ 0.3 million for the years ended December 31, 2018 and 2019, respectively, and $0.1 million for each of the six months ended June 30, 2019 and 2020. As of June 30, 2020, there was $ 0.3 million of total unrecognized stock-based compensation expense related to unvested stock options which we expect to recognize over a remaining weighted-average period of 1.23 years. We expect to continue to grant stock options and other equity-based awards in the future, and to the extent that we do, our stock-based compensation expense recognized in future periods will likely increase.</w:t>
      </w:r>
    </w:p>
    <w:p>
      <w:pPr>
        <w:spacing w:after="0" w:line="20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The intrinsic value of all outstanding options as of June 30, 2020 was $ million based on an assumed initial public offering price of $ per share, the midpoint of the price range set forth on the cover of this prospectus, of which approximately $ million is related to vested options and approximately $ million is related to unvested options.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26"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 xml:space="preserve">Historically, for all periods prior to this offering, since there has been no public market of our common stock to date, the fair value of the shares of common stock underlying our share-based awards was estimated on each grant date by our board of directors. To determine the fair value of our common stock underlying option grants, our board of directors considered, among other things, input from management, valuations of our common stock prepared by unrelated third-party valuation firms in accordance with the guidance provided by the American Institute of Certified Public Accountants 2013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and our board of directors’ assessment of additional objective and subjective factors that it believed were relevant,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05" w:name="page106"/>
    <w:bookmarkEnd w:id="105"/>
    <w:p>
      <w:pPr>
        <w:ind w:right="160"/>
        <w:spacing w:after="0" w:line="246" w:lineRule="auto"/>
        <w:rPr>
          <w:sz w:val="20"/>
          <w:szCs w:val="20"/>
          <w:color w:val="auto"/>
        </w:rPr>
      </w:pPr>
      <w:r>
        <w:rPr>
          <w:rFonts w:ascii="Arial" w:cs="Arial" w:eastAsia="Arial" w:hAnsi="Arial"/>
          <w:sz w:val="18"/>
          <w:szCs w:val="18"/>
          <w:color w:val="auto"/>
        </w:rPr>
        <w:t>and factors that may have changed from the date of the most recent valuation through the date of the grant. These factors include, but are not limited to:</w:t>
      </w:r>
    </w:p>
    <w:p>
      <w:pPr>
        <w:spacing w:after="0" w:line="89" w:lineRule="exact"/>
        <w:rPr>
          <w:sz w:val="20"/>
          <w:szCs w:val="20"/>
          <w:color w:val="auto"/>
        </w:rPr>
      </w:pPr>
    </w:p>
    <w:p>
      <w:pPr>
        <w:ind w:left="1300" w:hanging="442"/>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stage of development and material risks related to our business;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progress of our research and development activities;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business conditions and projections;</w:t>
      </w:r>
    </w:p>
    <w:p>
      <w:pPr>
        <w:spacing w:after="0" w:line="117" w:lineRule="exact"/>
        <w:rPr>
          <w:rFonts w:ascii="Arial" w:cs="Arial" w:eastAsia="Arial" w:hAnsi="Arial"/>
          <w:sz w:val="18"/>
          <w:szCs w:val="18"/>
          <w:color w:val="auto"/>
        </w:rPr>
      </w:pPr>
    </w:p>
    <w:p>
      <w:pPr>
        <w:ind w:left="1300" w:right="380" w:hanging="442"/>
        <w:spacing w:after="0" w:line="246"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valuation of publicly traded companies in the life sciences and biotechnology sectors, as well as recently completed mergers and acquisitions of peer companies;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lack of marketability of our common stock as a private company;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prices at which we sold shares of our convertible preferred stock to outside investors in arms-length transactions;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17"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our securityholders, such as an initial public offering or a sale of our company, given prevailing market conditions;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hiring of key personnel and the experience of management;</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trends and developments in our industry;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biotechnology industry sectors.</w:t>
      </w:r>
    </w:p>
    <w:p>
      <w:pPr>
        <w:spacing w:after="0" w:line="225"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For our valuations performed prior to December 31, 2019, we used the option pricing method, or OPM, back-solve method. In an OPM framework, the back-solve method for inferring the equity value implied by a recent financing transaction involves making assumptions for the expected time to liquidity, volatility and risk-free rate and then solving for the value of equity such that value for the most recent financing equals the amount paid. This method was selected as management concluded that the contemporaneous financing transaction was an arms-length transaction.</w:t>
      </w:r>
    </w:p>
    <w:p>
      <w:pPr>
        <w:spacing w:after="0" w:line="202"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For our valuations performed subsequent to December 31, 2019, we used a hybrid method of the OPM and the Probability-Weighted Expected Return Method, or PWERM. PWERM considers various potential liquidity outcomes. Our approach included the use of an initial public offering scenario and a scenario assuming continued operation as a private entity. Under the hybrid OPM and PWERM method, the per share value calculated under the OPM and PWERM are weighted based on expected exit outcomes and the quality of the information specific to each allocation methodology to arrive at a final estimated fair value per share of the common stock before a discount for lack of marketability is applied.</w:t>
      </w:r>
    </w:p>
    <w:p>
      <w:pPr>
        <w:spacing w:after="0" w:line="205" w:lineRule="exact"/>
        <w:rPr>
          <w:sz w:val="20"/>
          <w:szCs w:val="20"/>
          <w:color w:val="auto"/>
        </w:rPr>
      </w:pPr>
    </w:p>
    <w:p>
      <w:pPr>
        <w:ind w:right="320" w:firstLine="576"/>
        <w:spacing w:after="0" w:line="246" w:lineRule="auto"/>
        <w:rPr>
          <w:sz w:val="20"/>
          <w:szCs w:val="20"/>
          <w:color w:val="auto"/>
        </w:rPr>
      </w:pPr>
      <w:r>
        <w:rPr>
          <w:rFonts w:ascii="Arial" w:cs="Arial" w:eastAsia="Arial" w:hAnsi="Arial"/>
          <w:sz w:val="18"/>
          <w:szCs w:val="18"/>
          <w:color w:val="auto"/>
        </w:rPr>
        <w:t>Following the closing of this offering, our board of directors will determine the fair market value of our common stock based on its closing price as reported on the date of grant on the primary stock exchange on which our common stock is traded.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We recognize deferred income taxes for the future tax consequences attributable to differences between the financial statement carrying amounts of existing assets and liabilities and their respective tax bases and operating loss and tax credit carry forwards. In evaluating our valuation allowance, we consider all available positive and negative evidence, including scheduled reversals of deferred tax liabilities, projected future taxable income, tax planning strategies, and recent financial performance. Due to our lack of earnings history and uncertainties surrounding our ability to generate future taxable income, the net deferred tax assets have been fully offset by a valuation allowance.</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490" w:right="439" w:bottom="1440" w:gutter="0" w:footer="0" w:header="0"/>
        </w:sectPr>
      </w:pPr>
    </w:p>
    <w:bookmarkStart w:id="106" w:name="page107"/>
    <w:bookmarkEnd w:id="106"/>
    <w:p>
      <w:pPr>
        <w:ind w:right="160" w:firstLine="576"/>
        <w:spacing w:after="0" w:line="274" w:lineRule="auto"/>
        <w:rPr>
          <w:sz w:val="20"/>
          <w:szCs w:val="20"/>
          <w:color w:val="auto"/>
        </w:rPr>
      </w:pPr>
      <w:r>
        <w:rPr>
          <w:rFonts w:ascii="Arial" w:cs="Arial" w:eastAsia="Arial" w:hAnsi="Arial"/>
          <w:sz w:val="17"/>
          <w:szCs w:val="17"/>
          <w:color w:val="auto"/>
        </w:rPr>
        <w:t>As of December 31, 2019, we had $ 9.4 million of federal net operating loss, or NOL, carryforwards and $1.0 million of tax credit carryforwards which expire over a period of 11 to 20 years. As of December 31, 2019, we had $9.2 million of such NOLs that do not expire.</w:t>
      </w:r>
    </w:p>
    <w:p>
      <w:pPr>
        <w:spacing w:after="0" w:line="175"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Under Sections 382 and 383 of the Internal Revenue Code of 1986, as amended, or the Code, substantial changes in our ownership may limit the amount of NOL and research and development credit carryforwards that could be used annually in the future to offset taxable income. The tax benefits related to future utilization of federal and state NOL carryforwards, credit carryforwards, and other deferred tax assets may be limited or lost if cumulative changes in ownership exceeds 50% within any three-year period. We have not completed a Section 382/383 analysis under the Code regarding the limitation of NOL and credit carryforwards. If a change in ownership were to have occurred, the annual limitation may result in the expiration of NOL carryforwards and credits before utilization.</w:t>
      </w:r>
    </w:p>
    <w:p>
      <w:pPr>
        <w:spacing w:after="0" w:line="205"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We record unrecognized tax benefits as liabilities or reduce the underlying tax attribute, as applicable, and adjust them when our judgment changes as a result of the evaluation of new information not previously available. Because of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ind w:right="160" w:firstLine="576"/>
        <w:spacing w:after="0" w:line="246" w:lineRule="auto"/>
        <w:rPr>
          <w:sz w:val="20"/>
          <w:szCs w:val="20"/>
          <w:color w:val="auto"/>
        </w:rPr>
      </w:pPr>
      <w:r>
        <w:rPr>
          <w:rFonts w:ascii="Arial" w:cs="Arial" w:eastAsia="Arial" w:hAnsi="Arial"/>
          <w:sz w:val="18"/>
          <w:szCs w:val="18"/>
          <w:color w:val="auto"/>
        </w:rPr>
        <w:t>See Note 2 to our audited financial statements and our unaudited interim condensed financial statements included elsewhere in this prospectus for additional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6"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We had cash and cash equivalents of $85.2 million as of June 30, 2020, respectively. Our exposure to interest rate risk is not significant and a hypothetical 10% change in interest rates during any of the periods presented would not have had a material impact on our financial statements included elsewhere in this prospectus.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26"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Our functional currency is the U.S. dollar. As of the date of this prospectus, we are exposed to foreign currency rate risk related to various third-party service contracts denominated in foreign currencies. Transaction gains and losses are included in other income (expense), net on our statements of operations and comprehensive loss and were not material for any of the periods presented. A hypothetical 10% change in exchange rates during any of the periods presented would not have had a material impact on our financial statements included elsewhere in this prospectus. However, in the third quarter of 2020, we established an Australian subsidiary to facilitate the P300 Phase 2 clinical trial. As a result, our exposure to the foreign currencies, particularly the Australian dollar, will increase.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26" w:lineRule="exact"/>
        <w:rPr>
          <w:sz w:val="20"/>
          <w:szCs w:val="20"/>
          <w:color w:val="auto"/>
        </w:rPr>
      </w:pPr>
    </w:p>
    <w:p>
      <w:pPr>
        <w:ind w:right="360" w:firstLine="576"/>
        <w:spacing w:after="0" w:line="246" w:lineRule="auto"/>
        <w:rPr>
          <w:sz w:val="20"/>
          <w:szCs w:val="20"/>
          <w:color w:val="auto"/>
        </w:rPr>
      </w:pPr>
      <w:r>
        <w:rPr>
          <w:rFonts w:ascii="Arial" w:cs="Arial" w:eastAsia="Arial" w:hAnsi="Arial"/>
          <w:sz w:val="18"/>
          <w:szCs w:val="18"/>
          <w:color w:val="auto"/>
        </w:rPr>
        <w:t>Inflation generally affects us by increasing our cost of labor and clinical trial costs. We believe that inflation has not had a material effect on our financial statements included elsewhere in this prospectus.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different effective dates for public and private companies until the earlier of the date that we (1) are no longer an emerging growth company or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203"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at least $1.07 billion in annual revenue; (2)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the last day of the fiscal year ending after the fifth anniversary of this offering.</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90" w:right="39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right="260" w:firstLine="576"/>
        <w:spacing w:after="0"/>
        <w:rPr>
          <w:sz w:val="20"/>
          <w:szCs w:val="20"/>
          <w:color w:val="auto"/>
        </w:rPr>
      </w:pPr>
      <w:r>
        <w:rPr>
          <w:rFonts w:ascii="Arial" w:cs="Arial" w:eastAsia="Arial" w:hAnsi="Arial"/>
          <w:sz w:val="18"/>
          <w:szCs w:val="18"/>
          <w:color w:val="auto"/>
        </w:rPr>
        <w:t>Athira is derived from the word Athir, the energy that reaches everyone. It captures our mission to develop therapies that can reach and positively impact everyone. We aim to restore neuronal health for those suffering from devastating neurological diseases, including Alzheimer’s disease, so that patients can regain their memories, lives, and family relationships.</w:t>
      </w:r>
    </w:p>
    <w:p>
      <w:pPr>
        <w:spacing w:after="0" w:line="230"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HGF/MET, a naturally occurring regenerative system. We believe enhancing HGF/MET signaling has the potential to protect existing neurons from damage, reduce inflammation, promote regeneration, and positively modulate brain 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 Our lead candidate, ATH-1017, is a subcutaneous administered, BBB-penetrating, small molecule HGF/MET activator. In our Phase 1a and Phase 1b clinical trials, ATH-1017 for the treatment of Alzheimer’s disease, or AD, was well tolerated with no serious adverse events. These clinical trials recruited 88 subjects, including 11 subjects with mild-to-moderate AD. Nonclinical studies and Phase 1 clinical trials with ATH-1017 demonstrated improvements in brain network activity indicating potentially positive effects on brain function. In the AD subjects, multiple dosing of ATH-1017 significantly improved brain activity as measured by P300 latency, a functional measure that is highly correlated with cognition. By the end of 2020, we plan to initiate LIFT-AD, a Phase 2/3 clinical trial for ATH-1017 that may provide pivotal data in support of registration, for the treatment of mild-to-moderate AD with topline results expected by the end of 2022. By the end of 2020, we also plan to initiate a P300 Phase 2 clinical trial in mild-to-moderate AD to better understand the overall effects of ATH-1017 on working memory processing speed and cognitive measures, with topline results expected by early 2022.</w:t>
      </w:r>
    </w:p>
    <w:p>
      <w:pPr>
        <w:spacing w:after="0" w:line="240"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The primary focus of our Phase 1a and Phase 1b clinical trials of ATH-1017 for the treatment of AD was to establish safety and drug exposure levels. ATH-1017 was well tolerated at all tested doses, produced predictable pharmacokinetics with dose-linear exposures, and did not accumulate over the course of treatment. Pharmacodynamic measures evaluating brain penetration, target engagement and brain function with electroencephalogram, or EEG, methods produced a strong suite of data justifying further investigation of ATH-1017 in future clinical trials. Individuals with AD typically experience a general slowing of EEG, including a reduction in higher frequency waves, such as gamma. Gamma power is typically associated with learning, memory and cognitive function. Administration of ATH-1017 treatment increased high frequency gamma power activity with a single dose in both young healthy volunteers and elderly healthy volunteers. Gamma power also improved in AD subjects. P300 latency, a functional measure of working memory processing speed and executive function that highly correlates with cognition, was also substantially improved. After a single dose of ATH-1017, all AD subjects tested had improved P300 latency and by the end of an 8-day treatment cycle, average latency across the AD treatment group had returned to levels close to those observed in healthy elderly subjects. Taken together, these results suggest that ATH-1017 has the potential to substantially improve synaptic connectivity and brain function in AD subjects.</w:t>
      </w:r>
    </w:p>
    <w:p>
      <w:pPr>
        <w:spacing w:after="0" w:line="204"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AD is a significant unmet medical need with as many as 35 million cases estimated worldwide and no treatments that can significantly reduce the burden on people impacted by the disease. Failures of approaches targeting specific hypotheses of underlying AD pathology highlight the need for novel strategies to address the disease. Regardless of the underlying pathology, it has been established that the loss of synaptic density and breakdown of the neuronal network leads to cognitive impairment in subjects with AD and other forms of dementia. We believe the activation of the HGF/MET growth factor in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9" w:name="page110"/>
    <w:bookmarkEnd w:id="109"/>
    <w:p>
      <w:pPr>
        <w:ind w:right="200"/>
        <w:spacing w:after="0" w:line="246" w:lineRule="auto"/>
        <w:rPr>
          <w:sz w:val="20"/>
          <w:szCs w:val="20"/>
          <w:color w:val="auto"/>
        </w:rPr>
      </w:pPr>
      <w:r>
        <w:rPr>
          <w:rFonts w:ascii="Arial" w:cs="Arial" w:eastAsia="Arial" w:hAnsi="Arial"/>
          <w:sz w:val="18"/>
          <w:szCs w:val="18"/>
          <w:color w:val="auto"/>
        </w:rPr>
        <w:t>the brain will lead to increased synaptic density, network recovery and information transmission in the brain, which could ultimately result in cognitive improvement and clinical benefit.</w:t>
      </w:r>
    </w:p>
    <w:p>
      <w:pPr>
        <w:spacing w:after="0" w:line="197" w:lineRule="exact"/>
        <w:rPr>
          <w:sz w:val="20"/>
          <w:szCs w:val="20"/>
          <w:color w:val="auto"/>
        </w:rPr>
      </w:pPr>
    </w:p>
    <w:p>
      <w:pPr>
        <w:ind w:right="340" w:firstLine="576"/>
        <w:spacing w:after="0" w:line="238" w:lineRule="auto"/>
        <w:rPr>
          <w:sz w:val="20"/>
          <w:szCs w:val="20"/>
          <w:color w:val="auto"/>
        </w:rPr>
      </w:pPr>
      <w:r>
        <w:rPr>
          <w:rFonts w:ascii="Arial" w:cs="Arial" w:eastAsia="Arial" w:hAnsi="Arial"/>
          <w:sz w:val="18"/>
          <w:szCs w:val="18"/>
          <w:color w:val="auto"/>
        </w:rPr>
        <w:t>ATH-1017 is designed to address the broader dementia patient population beyond AD and we are planning to initiate a Phase 2 clinical trial for the treatment of Parkinson’s disease dementia, or PDD, by the end of 2021. Dementia is a significant unmet medical need affecting over 50 million worldwide. Given underlying healthcare trends, specifically the aging population globally, dementia patients are expected to grow significantly and almost triple by 2050.</w:t>
      </w:r>
    </w:p>
    <w:p>
      <w:pPr>
        <w:spacing w:after="0" w:line="205"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are pioneering the use of small molecules to promote hepatocyte growth factor/MET, or HGF/MET, a naturally occurring regenerative system, in neurological disorders. While discovered in the liver, HGF is a critical growth factor across multiple organs, including in the brain. HGF/MET has long been known as a promising therapeutic target for CNS disorders; however, delivery of large proteins or gene therapy to the CNS to augment HGF/MET is challenging due to the invasive methods needed for them to bypass the BBB and the risk of potential adverse immune response. Our novel BBB-penetrating small molecules are designed to overcome many of these hurdles, allowing us to efficiently tap into the regenerative potential of HGF/MET. For therapeutic applications in CNS disorders, particularly AD, treatments that target neuronal growth factors can potentially accomplish several therapeutic goals, including rapid cognitive improvement and sustained neuroprotective effects.</w:t>
      </w:r>
    </w:p>
    <w:p>
      <w:pPr>
        <w:spacing w:after="0" w:line="208" w:lineRule="exact"/>
        <w:rPr>
          <w:sz w:val="20"/>
          <w:szCs w:val="20"/>
          <w:color w:val="auto"/>
        </w:rPr>
      </w:pPr>
    </w:p>
    <w:p>
      <w:pPr>
        <w:ind w:right="140" w:firstLine="576"/>
        <w:spacing w:after="0" w:line="237" w:lineRule="auto"/>
        <w:rPr>
          <w:sz w:val="20"/>
          <w:szCs w:val="20"/>
          <w:color w:val="auto"/>
        </w:rPr>
      </w:pPr>
      <w:r>
        <w:rPr>
          <w:rFonts w:ascii="Arial" w:cs="Arial" w:eastAsia="Arial" w:hAnsi="Arial"/>
          <w:sz w:val="18"/>
          <w:szCs w:val="18"/>
          <w:color w:val="auto"/>
        </w:rPr>
        <w:t>We believe that our ability to enhance the body’s repair mechanism of HGF/MET through our ATH platform has the potential to address a wide range of clinical applications ranging from CNS disorders, such as AD, PDD, multiple sclerosis, or MS, and amyotrophic lateral sclerosis, or ALS, to more peripheral conditions such as neuropathy. In addition, we believe that HGF/MET biology plays a role in neuropsychiatric disorders such as depression and anxiety. Currently we have two preclinical candidates for non-AD indications: ATH-1019, which is being advanced to address depression, and ATH-1018, which is being advanced to address peripheral neuropathy. Our ATH platform allows us the flexibility to engineer compounds that are BBB-penetrating or that generate specific activity in the periphery and molecules are suitable for subcutaneous or oral route of administration.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 and Investors</w:t>
      </w:r>
    </w:p>
    <w:p>
      <w:pPr>
        <w:spacing w:after="0" w:line="126" w:lineRule="exact"/>
        <w:rPr>
          <w:sz w:val="20"/>
          <w:szCs w:val="20"/>
          <w:color w:val="auto"/>
        </w:rPr>
      </w:pPr>
    </w:p>
    <w:p>
      <w:pPr>
        <w:ind w:right="220" w:firstLine="576"/>
        <w:spacing w:after="0" w:line="237" w:lineRule="auto"/>
        <w:rPr>
          <w:sz w:val="20"/>
          <w:szCs w:val="20"/>
          <w:color w:val="auto"/>
        </w:rPr>
      </w:pPr>
      <w:r>
        <w:rPr>
          <w:rFonts w:ascii="Arial" w:cs="Arial" w:eastAsia="Arial" w:hAnsi="Arial"/>
          <w:sz w:val="18"/>
          <w:szCs w:val="18"/>
          <w:color w:val="auto"/>
        </w:rPr>
        <w:t>Our leadership team includes experienced neuroscience biotech executives who have both developed and commercialized CNS drugs and founded successful companies. Dr. Kawas, our founder and chief executive officer, has been essential in creating our innovative translational development strategy. Dr. Hans Moebius, our chief medical officer, is a pioneer in the AD space and led the effort in getting Namenda, among other CNS drugs, approved. Dr. Mark Litton, our chief operating officer, is one of the co-founders and builders of Alder BioPharmaceuticals, which was acquired by Lundbeck A/S in October 2019. Dr. Kevin Church, our vice president of discovery, has over 10 years of research and management experience in the biotech space and is an expert in HGF biology.</w:t>
      </w:r>
    </w:p>
    <w:p>
      <w:pPr>
        <w:spacing w:after="0" w:line="205"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Our advisory board is a world-class team of leaders in the neuroregenerative, drug development and neurophysiology fields, including Dr. Larry Ereshefsky and Dr. Marwan Sabbagh. Dr. Ereshefsky is a pioneer in the application of translational drug development tools, including neurocircuitry/biomarker-based strategies, such as qEEG, ERP P300 latency, and cognitive and behavioral paradigms. Dr. Sabbagh, the Director of Cleveland Clinic Lou Ruvo Center for Brain Health, is considered to be one of the leading experts in AD and dementia.</w:t>
      </w:r>
    </w:p>
    <w:p>
      <w:pPr>
        <w:spacing w:after="0" w:line="20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Our team is further supported by a group of investors that share our vision, mission, and commitment to develop innovative therapies for neurodegeneration. Our key investors include Perceptive Advisors, RTW Investments, Viking Global Investors, Venrock Healthcare Capital Partners, Franklin Templeton, Rock Springs Capital, LifeSci Venture Partners, Surveyor Capital (a Citadel company), Highside Capital Management, Logos Capital, funds managed by Janus Henderson Investors, Sofinnova Investments, and Avidity Partners.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Our Pipeline</w:t>
      </w:r>
    </w:p>
    <w:p>
      <w:pPr>
        <w:spacing w:after="0" w:line="126" w:lineRule="exact"/>
        <w:rPr>
          <w:sz w:val="20"/>
          <w:szCs w:val="20"/>
          <w:color w:val="auto"/>
        </w:rPr>
      </w:pPr>
    </w:p>
    <w:p>
      <w:pPr>
        <w:ind w:right="540" w:firstLine="576"/>
        <w:spacing w:after="0" w:line="238" w:lineRule="auto"/>
        <w:rPr>
          <w:sz w:val="20"/>
          <w:szCs w:val="20"/>
          <w:color w:val="auto"/>
        </w:rPr>
      </w:pPr>
      <w:r>
        <w:rPr>
          <w:rFonts w:ascii="Arial" w:cs="Arial" w:eastAsia="Arial" w:hAnsi="Arial"/>
          <w:sz w:val="18"/>
          <w:szCs w:val="18"/>
          <w:color w:val="auto"/>
        </w:rPr>
        <w:t>Figure 1 below illustrates the current development stage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to promote HGF/MET activity for a variety of clinical applications.</w:t>
      </w:r>
    </w:p>
    <w:p>
      <w:pPr>
        <w:spacing w:after="0" w:line="29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 Summary of Our Preclinical and Clinical ATH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6240780" cy="27603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4078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80" w:hanging="472"/>
        <w:spacing w:after="0"/>
        <w:tabs>
          <w:tab w:leader="none" w:pos="4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RoA: route of administration; SC: subcutaneous; PO: oral.</w:t>
      </w:r>
    </w:p>
    <w:p>
      <w:pPr>
        <w:spacing w:after="0" w:line="103" w:lineRule="exact"/>
        <w:rPr>
          <w:rFonts w:ascii="Arial" w:cs="Arial" w:eastAsia="Arial" w:hAnsi="Arial"/>
          <w:sz w:val="18"/>
          <w:szCs w:val="18"/>
          <w:color w:val="auto"/>
        </w:rPr>
      </w:pPr>
    </w:p>
    <w:p>
      <w:pPr>
        <w:ind w:left="480" w:right="60" w:hanging="472"/>
        <w:spacing w:after="0" w:line="246" w:lineRule="auto"/>
        <w:tabs>
          <w:tab w:leader="none" w:pos="4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ATH-1017 for AD is moving from Phase 1b to a Phase 2/3 clinical trial that may provide pivotal data in support of registration based on discussions with FDA.</w:t>
      </w:r>
    </w:p>
    <w:p>
      <w:pPr>
        <w:spacing w:after="0" w:line="88" w:lineRule="exact"/>
        <w:rPr>
          <w:rFonts w:ascii="Arial" w:cs="Arial" w:eastAsia="Arial" w:hAnsi="Arial"/>
          <w:sz w:val="18"/>
          <w:szCs w:val="18"/>
          <w:color w:val="auto"/>
        </w:rPr>
      </w:pPr>
    </w:p>
    <w:p>
      <w:pPr>
        <w:ind w:left="480" w:hanging="472"/>
        <w:spacing w:after="0"/>
        <w:tabs>
          <w:tab w:leader="none" w:pos="4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plan to initiate a Phase 2 clinical trial in PDD based on results from Phase 1a and 1b clinical trials in AD with ATH-1017. A second IND for PDD can cross-reference the already active IND for AD. It is not required that we repeat any studies or trials that are applicable across the two indications for the second IND for PDD, including a Phase 1 clinical trial.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6" w:lineRule="exact"/>
        <w:rPr>
          <w:sz w:val="20"/>
          <w:szCs w:val="20"/>
          <w:color w:val="auto"/>
        </w:rPr>
      </w:pPr>
    </w:p>
    <w:p>
      <w:pPr>
        <w:ind w:right="680" w:firstLine="576"/>
        <w:spacing w:after="0" w:line="246" w:lineRule="auto"/>
        <w:rPr>
          <w:sz w:val="20"/>
          <w:szCs w:val="20"/>
          <w:color w:val="auto"/>
        </w:rPr>
      </w:pPr>
      <w:r>
        <w:rPr>
          <w:rFonts w:ascii="Arial" w:cs="Arial" w:eastAsia="Arial" w:hAnsi="Arial"/>
          <w:sz w:val="18"/>
          <w:szCs w:val="18"/>
          <w:color w:val="auto"/>
        </w:rPr>
        <w:t>We intend to create, develop, and commercialize therapeutics with the potential to transform lives by repairing, restoring, and reversing the damage to nerve cells throughout the body. Key aspects of our business strategy to achieve these goals are to:</w:t>
      </w:r>
    </w:p>
    <w:p>
      <w:pPr>
        <w:spacing w:after="0" w:line="84" w:lineRule="exact"/>
        <w:rPr>
          <w:sz w:val="20"/>
          <w:szCs w:val="20"/>
          <w:color w:val="auto"/>
        </w:rPr>
      </w:pPr>
    </w:p>
    <w:p>
      <w:pPr>
        <w:ind w:left="1300" w:hanging="442"/>
        <w:spacing w:after="0" w:line="256" w:lineRule="auto"/>
        <w:tabs>
          <w:tab w:leader="none" w:pos="130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Advance ATH-1017 through clinical development for AD</w:t>
      </w:r>
      <w:r>
        <w:rPr>
          <w:rFonts w:ascii="Arial" w:cs="Arial" w:eastAsia="Arial" w:hAnsi="Arial"/>
          <w:sz w:val="17"/>
          <w:szCs w:val="17"/>
          <w:color w:val="auto"/>
        </w:rPr>
        <w:t>. We believe ATH-1017 has the potential to rapidly improve cognition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durably improve the lives of the millions of people suffering from AD who currently have limited therapeutic options. We plan to initiate two clinical trials for AD by the end of 2020 to potentially accelerate our development timelines and further inform our development decisions. The first of these clinical trials is LIFT-AD, our Phase 2/3 clinical trial evaluating the holistic impact of ATH-1017, with topline results expected by the end of 2022, which results may provide pivotal data in support of registration. The second clinical trial will be our P300 Phase 2 clinical trial for AD evaluating the overall effects of ATH-1017 on working memory processing speed and cognitive measures, with topline results expected by early 2022.</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111" w:name="page112"/>
    <w:bookmarkEnd w:id="111"/>
    <w:p>
      <w:pPr>
        <w:ind w:left="1300" w:hanging="442"/>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Expand the development of ATH-1017 to include additional indications and delivery methods</w:t>
      </w:r>
      <w:r>
        <w:rPr>
          <w:rFonts w:ascii="Arial" w:cs="Arial" w:eastAsia="Arial" w:hAnsi="Arial"/>
          <w:sz w:val="18"/>
          <w:szCs w:val="18"/>
          <w:color w:val="auto"/>
        </w:rPr>
        <w:t>. We are developing ATH-1017</w:t>
      </w:r>
      <w:r>
        <w:rPr>
          <w:rFonts w:ascii="Arial" w:cs="Arial" w:eastAsia="Arial" w:hAnsi="Arial"/>
          <w:sz w:val="18"/>
          <w:szCs w:val="18"/>
          <w:i w:val="1"/>
          <w:iCs w:val="1"/>
          <w:color w:val="auto"/>
        </w:rPr>
        <w:t xml:space="preserve"> </w:t>
      </w:r>
      <w:r>
        <w:rPr>
          <w:rFonts w:ascii="Arial" w:cs="Arial" w:eastAsia="Arial" w:hAnsi="Arial"/>
          <w:sz w:val="18"/>
          <w:szCs w:val="18"/>
          <w:color w:val="auto"/>
        </w:rPr>
        <w:t>as a treatment for mild-to-moderate AD, but over time we aim to expand development to cover all stages of AD. Beyond AD, we believe that ATH-1017 can ultimately address the broader dementia patient population. In an effort to begin this expansion, we are planning to conduct a Phase 2 clinical trial for PDD to commence by the end of 2021. ATH-1017 is initially being developed to be delivered via pre-filled syringes, and we are exploring the development of alternative delivery devices, including multi-dose pen injectors, to increase patient comfort and ease of use for patients and caregivers, ultimately improving patient compliance and outcomes.</w:t>
      </w:r>
    </w:p>
    <w:p>
      <w:pPr>
        <w:spacing w:after="0" w:line="184" w:lineRule="exact"/>
        <w:rPr>
          <w:rFonts w:ascii="Arial" w:cs="Arial" w:eastAsia="Arial" w:hAnsi="Arial"/>
          <w:sz w:val="18"/>
          <w:szCs w:val="18"/>
          <w:color w:val="auto"/>
        </w:rPr>
      </w:pPr>
    </w:p>
    <w:p>
      <w:pPr>
        <w:ind w:left="1300" w:right="240" w:hanging="442"/>
        <w:spacing w:after="0" w:line="242"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Focus on translational and functional endpoints to efficiently develop product candidates</w:t>
      </w:r>
      <w:r>
        <w:rPr>
          <w:rFonts w:ascii="Arial" w:cs="Arial" w:eastAsia="Arial" w:hAnsi="Arial"/>
          <w:sz w:val="18"/>
          <w:szCs w:val="18"/>
          <w:color w:val="auto"/>
        </w:rPr>
        <w:t>. We intend to use highly</w:t>
      </w:r>
      <w:r>
        <w:rPr>
          <w:rFonts w:ascii="Arial" w:cs="Arial" w:eastAsia="Arial" w:hAnsi="Arial"/>
          <w:sz w:val="18"/>
          <w:szCs w:val="18"/>
          <w:i w:val="1"/>
          <w:iCs w:val="1"/>
          <w:color w:val="auto"/>
        </w:rPr>
        <w:t xml:space="preserve"> </w:t>
      </w:r>
      <w:r>
        <w:rPr>
          <w:rFonts w:ascii="Arial" w:cs="Arial" w:eastAsia="Arial" w:hAnsi="Arial"/>
          <w:sz w:val="18"/>
          <w:szCs w:val="18"/>
          <w:color w:val="auto"/>
        </w:rPr>
        <w:t>translatable and predictive measures, such as EEG and event-related potential, or ERP, methods, early in development to guide clinical dose decisions, provide predictable measures for potential clinical benefit, and advance product candidates through clinical development. We have focused on changes in cognition and function, coupled with measures of brain function with EEG and ERP, allowing for more efficient and cost-effective clinical trials.</w:t>
      </w:r>
    </w:p>
    <w:p>
      <w:pPr>
        <w:spacing w:after="0" w:line="184" w:lineRule="exact"/>
        <w:rPr>
          <w:rFonts w:ascii="Arial" w:cs="Arial" w:eastAsia="Arial" w:hAnsi="Arial"/>
          <w:sz w:val="18"/>
          <w:szCs w:val="18"/>
          <w:color w:val="auto"/>
        </w:rPr>
      </w:pPr>
    </w:p>
    <w:p>
      <w:pPr>
        <w:ind w:left="1300" w:right="20" w:hanging="442"/>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Continue developing additional pipeline programs and utilize our ATH platform for further drug discovery</w:t>
      </w:r>
      <w:r>
        <w:rPr>
          <w:rFonts w:ascii="Arial" w:cs="Arial" w:eastAsia="Arial" w:hAnsi="Arial"/>
          <w:sz w:val="18"/>
          <w:szCs w:val="18"/>
          <w:color w:val="auto"/>
        </w:rPr>
        <w:t>. Our strategy is to</w:t>
      </w:r>
      <w:r>
        <w:rPr>
          <w:rFonts w:ascii="Arial" w:cs="Arial" w:eastAsia="Arial" w:hAnsi="Arial"/>
          <w:sz w:val="18"/>
          <w:szCs w:val="18"/>
          <w:i w:val="1"/>
          <w:iCs w:val="1"/>
          <w:color w:val="auto"/>
        </w:rPr>
        <w:t xml:space="preserve"> </w:t>
      </w:r>
      <w:r>
        <w:rPr>
          <w:rFonts w:ascii="Arial" w:cs="Arial" w:eastAsia="Arial" w:hAnsi="Arial"/>
          <w:sz w:val="18"/>
          <w:szCs w:val="18"/>
          <w:color w:val="auto"/>
        </w:rPr>
        <w:t>only advance product candidates that show both strong translation and early predictive clinical data. We plan to continue growing our discovery organization in the field of neuronal health and regeneration by building on our strong foundational knowledge of neuronal network, behavior, and translatable measures. We believe that our ability to enhance the body’s repair mechanism of HGF/MET through our ATH platform has the potential to address a wide range of clinical applications ranging from CNS disorders, such as AD, PDD, MS, and ALS, to more peripheral conditions such as neuropathy. In addition, we believe that HGF/MET biology plays a role in neuropsychiatric disorders such as depression and anxiety.</w:t>
      </w:r>
    </w:p>
    <w:p>
      <w:pPr>
        <w:spacing w:after="0" w:line="184" w:lineRule="exact"/>
        <w:rPr>
          <w:rFonts w:ascii="Arial" w:cs="Arial" w:eastAsia="Arial" w:hAnsi="Arial"/>
          <w:sz w:val="18"/>
          <w:szCs w:val="18"/>
          <w:color w:val="auto"/>
        </w:rPr>
      </w:pPr>
    </w:p>
    <w:p>
      <w:pPr>
        <w:ind w:left="1300" w:hanging="442"/>
        <w:spacing w:after="0" w:line="245"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Optimize the value of ATH-1017 and other candidates in major markets</w:t>
      </w:r>
      <w:r>
        <w:rPr>
          <w:rFonts w:ascii="Arial" w:cs="Arial" w:eastAsia="Arial" w:hAnsi="Arial"/>
          <w:sz w:val="18"/>
          <w:szCs w:val="18"/>
          <w:color w:val="auto"/>
        </w:rPr>
        <w:t>. We own worldwide rights to ATH-1017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our pipeline of small molecule candidates. We plan to develop and pursue approval of ATH-1017 and other future candidates in major markets. Where appropriate, we may use strategic collaborations or partnerships to accelerate development and maximize the commercial potential of our programs.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Addressing the Key Aspects of Neuronal Health and Alzheimer’s Disease</w:t>
      </w:r>
    </w:p>
    <w:p>
      <w:pPr>
        <w:spacing w:after="0" w:line="12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Maintenance of neuronal health is critical to preserving normal neuronal and brain function. Several neurodegenerative diseases, such as AD, PDD, MS, and ALS, share a common consequence of continued neuronal damage and death that ultimately lead to progressive impairment of the neuronal network and loss of both cognitive and general functions. Globally, these diseases affect millions of people.</w:t>
      </w:r>
    </w:p>
    <w:p>
      <w:pPr>
        <w:spacing w:after="0" w:line="203" w:lineRule="exact"/>
        <w:rPr>
          <w:sz w:val="20"/>
          <w:szCs w:val="20"/>
          <w:color w:val="auto"/>
        </w:rPr>
      </w:pPr>
    </w:p>
    <w:p>
      <w:pPr>
        <w:ind w:right="40" w:firstLine="576"/>
        <w:spacing w:after="0" w:line="257" w:lineRule="auto"/>
        <w:rPr>
          <w:sz w:val="20"/>
          <w:szCs w:val="20"/>
          <w:color w:val="auto"/>
        </w:rPr>
      </w:pPr>
      <w:r>
        <w:rPr>
          <w:rFonts w:ascii="Arial" w:cs="Arial" w:eastAsia="Arial" w:hAnsi="Arial"/>
          <w:sz w:val="17"/>
          <w:szCs w:val="17"/>
          <w:color w:val="auto"/>
        </w:rPr>
        <w:t>AD, our initial focus, is a progressive dementia caused by widespread neurodegeneration. The causal pathophysiological mechanism of AD has yet to be identified. This fundamental lack of understanding, combined with the complex range of pathological features, has led to a history of late-stage drug development failures. Regardless of the underlying pathology, it has been established that the loss of synaptic density and breakdown of the neuronal network leads to cognitive impairment in subjects with AD and other forms of dementia.</w:t>
      </w:r>
    </w:p>
    <w:p>
      <w:pPr>
        <w:spacing w:after="0" w:line="189" w:lineRule="exact"/>
        <w:rPr>
          <w:sz w:val="20"/>
          <w:szCs w:val="20"/>
          <w:color w:val="auto"/>
        </w:rPr>
      </w:pPr>
    </w:p>
    <w:p>
      <w:pPr>
        <w:ind w:right="220" w:firstLine="576"/>
        <w:spacing w:after="0" w:line="237" w:lineRule="auto"/>
        <w:rPr>
          <w:sz w:val="20"/>
          <w:szCs w:val="20"/>
          <w:color w:val="auto"/>
        </w:rPr>
      </w:pPr>
      <w:r>
        <w:rPr>
          <w:rFonts w:ascii="Arial" w:cs="Arial" w:eastAsia="Arial" w:hAnsi="Arial"/>
          <w:sz w:val="18"/>
          <w:szCs w:val="18"/>
          <w:color w:val="auto"/>
        </w:rPr>
        <w:t>There is a vast unmet need for effective pharmacological treatment for AD. Despite significant investments in drug discovery programs and strategies to treat AD there have been no approved therapeutics developed that can boost cognition, alter the course of the disease, and provide long-term symptomatic improvement. There are currently four marketed drugs for the management of AD symptoms: donepezil, galantamine, and rivastigmine (all acting on cholinergic pathways) and memantine (targeting the NMDA receptor and glutaminergic pathways). The long-term efficacy for these drugs has not been proven and they provide only temporary and modest clinical improvement.</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112" w:name="page113"/>
    <w:bookmarkEnd w:id="112"/>
    <w:p>
      <w:pPr>
        <w:ind w:right="40" w:firstLine="576"/>
        <w:spacing w:after="0" w:line="238" w:lineRule="auto"/>
        <w:rPr>
          <w:sz w:val="20"/>
          <w:szCs w:val="20"/>
          <w:color w:val="auto"/>
        </w:rPr>
      </w:pPr>
      <w:r>
        <w:rPr>
          <w:rFonts w:ascii="Arial" w:cs="Arial" w:eastAsia="Arial" w:hAnsi="Arial"/>
          <w:sz w:val="18"/>
          <w:szCs w:val="18"/>
          <w:color w:val="auto"/>
        </w:rPr>
        <w:t>Additionally, there are currently a number of experimental therapeutic agents for AD in various stages of development with clinical testing directed towards amyloid-beta, or Aβ, clearance, and inhibition of Tau protein aggregation or phosphorylated-Tau, or pTau, clearance. Recent clinical failures involving Aβ clearance highlight the incomplete understanding of the pathological processes in AD and clearly demonstrate the need for novel strategies to fight the disease.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HGF/MET Pathway – A Crucial System for Regeneration</w:t>
      </w:r>
    </w:p>
    <w:p>
      <w:pPr>
        <w:spacing w:after="0" w:line="126" w:lineRule="exact"/>
        <w:rPr>
          <w:sz w:val="20"/>
          <w:szCs w:val="20"/>
          <w:color w:val="auto"/>
        </w:rPr>
      </w:pPr>
    </w:p>
    <w:p>
      <w:pPr>
        <w:ind w:right="280" w:firstLine="576"/>
        <w:spacing w:after="0" w:line="257" w:lineRule="auto"/>
        <w:rPr>
          <w:sz w:val="20"/>
          <w:szCs w:val="20"/>
          <w:color w:val="auto"/>
        </w:rPr>
      </w:pPr>
      <w:r>
        <w:rPr>
          <w:rFonts w:ascii="Arial" w:cs="Arial" w:eastAsia="Arial" w:hAnsi="Arial"/>
          <w:sz w:val="17"/>
          <w:szCs w:val="17"/>
          <w:color w:val="auto"/>
        </w:rPr>
        <w:t>The HGF/MET system has diverse roles relevant for synaptic function, network recovery, survival, and regeneration. We believe activation of HGF/MET offers a unique opportunity to address many aspects of AD pathology through a single target approach. Promoting the HGF/MET system has been shown to have multiple downstream beneficial effects relevant to improving symptoms and reversing the neurodegenerative process, making it an ideal target for complex neurodegenerative diseases, as illustrated below in Figure 2.</w:t>
      </w:r>
    </w:p>
    <w:p>
      <w:pPr>
        <w:spacing w:after="0" w:line="171" w:lineRule="exact"/>
        <w:rPr>
          <w:sz w:val="20"/>
          <w:szCs w:val="20"/>
          <w:color w:val="auto"/>
        </w:rPr>
      </w:pPr>
    </w:p>
    <w:p>
      <w:pPr>
        <w:ind w:firstLine="576"/>
        <w:spacing w:after="0" w:line="242" w:lineRule="auto"/>
        <w:rPr>
          <w:sz w:val="20"/>
          <w:szCs w:val="20"/>
          <w:color w:val="auto"/>
        </w:rPr>
      </w:pPr>
      <w:r>
        <w:rPr>
          <w:rFonts w:ascii="Arial" w:cs="Arial" w:eastAsia="Arial" w:hAnsi="Arial"/>
          <w:sz w:val="18"/>
          <w:szCs w:val="18"/>
          <w:i w:val="1"/>
          <w:iCs w:val="1"/>
          <w:color w:val="auto"/>
        </w:rPr>
        <w:t xml:space="preserve">Figure 2. Normal HGF/MET System and Pathway. </w:t>
      </w:r>
      <w:r>
        <w:rPr>
          <w:rFonts w:ascii="Arial" w:cs="Arial" w:eastAsia="Arial" w:hAnsi="Arial"/>
          <w:sz w:val="18"/>
          <w:szCs w:val="18"/>
          <w:color w:val="auto"/>
        </w:rPr>
        <w:t>HGF is a protein ligand that binds to MET, which is a receptor expressed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surface of neurons, glia, and vascular cells in the brain. HGF binding converts MET to an active state and initiates processes including changes in gene expression that help maintain normal cellular health and function. In the brain, the HGF/MET system contributes to neuronal signaling and healthy function including regulating N-methyl-D-aspartate, or NMDA, receptor activity, modulating glial activity to regulate inflammation, and helping maintain cerebral blood flow. These multiple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downstream effects of the HGF/MET system play critical roles in maintaining healthy connectivity and brain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-1905</wp:posOffset>
            </wp:positionV>
            <wp:extent cx="4131945" cy="59836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131945" cy="5983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multi-modal effect of HGF/MET across the nervous, vascular, and immune systems may address the impact of neurodegnerative diseases where neuronal health, cerebral blood flow, and excess inflammation play a significant role in disease progression. Promotion of the HGF/MET system has the potential to directly halt neurodegeneration, induce regeneration, improve cerebral blood flow, and reduce inflammation.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i w:val="1"/>
          <w:iCs w:val="1"/>
          <w:color w:val="auto"/>
        </w:rPr>
        <w:t>Significant Scientific Data Support HGF/MET’s Role in Maintaining Neuronal Health and Function</w:t>
      </w:r>
    </w:p>
    <w:p>
      <w:pPr>
        <w:spacing w:after="0" w:line="126"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Normal MET expression is crucial in maintaining the healthy adult brain. Multiple studies have demonstrated that the MET system is strictly regulated to have a stable expression pattern. MET is one of a small number of uniquely regulated genes with very high differential stability in its quantitative pattern of mRNA gene transcript levels across hundreds of structures throughout the neurotypical healthy adult brain. In fact, compared to approximately 17,000 other human genes, the MET receptor has the most differentially stable expression pattern in the cortex of the normal adult human brain. The cortex is a brain region that has important roles in learning, memory, and executive functioning, and this stable expression pattern demonstrates that the MET receptor is an important signature of a healthy brain.</w:t>
      </w:r>
    </w:p>
    <w:p>
      <w:pPr>
        <w:spacing w:after="0" w:line="205"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Additionally, although MET expression is very stable in healthy adults, expression is reduced in AD subjects, particularly in the hippocampus, as illustrated below in Figure 3. Previous studies have shown that AD subjects have approximately 25%-75% less MET expression in different brain regions compared to healthy age-matched adults. This reduction highlights another rationale to rescue the activity of this critical regenerative system. The HGF/MET system is neuroprotective in models of neurodegenerative disorders, including AD, PDD, MS, and ALS. Amplification of the HGF/MET system has the potential to provide critical neuroprotective and neuroregenerative effects to rescue damaged and dysfunctional neurons and promote recovery of cognitive functions.</w:t>
      </w:r>
    </w:p>
    <w:p>
      <w:pPr>
        <w:spacing w:after="0" w:line="187" w:lineRule="exact"/>
        <w:rPr>
          <w:sz w:val="20"/>
          <w:szCs w:val="20"/>
          <w:color w:val="auto"/>
        </w:rPr>
      </w:pPr>
    </w:p>
    <w:p>
      <w:pPr>
        <w:ind w:right="320" w:firstLine="576"/>
        <w:spacing w:after="0" w:line="250" w:lineRule="auto"/>
        <w:rPr>
          <w:sz w:val="20"/>
          <w:szCs w:val="20"/>
          <w:color w:val="auto"/>
        </w:rPr>
      </w:pPr>
      <w:r>
        <w:rPr>
          <w:rFonts w:ascii="Arial" w:cs="Arial" w:eastAsia="Arial" w:hAnsi="Arial"/>
          <w:sz w:val="18"/>
          <w:szCs w:val="18"/>
          <w:i w:val="1"/>
          <w:iCs w:val="1"/>
          <w:color w:val="auto"/>
        </w:rPr>
        <w:t xml:space="preserve">Figure 3. Neuronal MET Expression Is Reduced in the Hippocampus of AD Subjects. </w:t>
      </w:r>
      <w:r>
        <w:rPr>
          <w:rFonts w:ascii="Arial" w:cs="Arial" w:eastAsia="Arial" w:hAnsi="Arial"/>
          <w:sz w:val="18"/>
          <w:szCs w:val="18"/>
          <w:color w:val="auto"/>
        </w:rPr>
        <w:t>A study measuring MET mRNA levels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hippocampus of AD subjects shows reduced MET expression compared to healthy samples, suggesting that the reduced activity of this critical regenerative system may potentially play a role in the progressive neurodegeneration in AD</w:t>
      </w:r>
      <w:r>
        <w:rPr>
          <w:rFonts w:ascii="Arial" w:cs="Arial" w:eastAsia="Arial" w:hAnsi="Arial"/>
          <w:sz w:val="18"/>
          <w:szCs w:val="18"/>
          <w:i w:val="1"/>
          <w:iCs w:val="1"/>
          <w:color w:val="auto"/>
        </w:rPr>
        <w: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MET and mRNA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226060</wp:posOffset>
            </wp:positionV>
            <wp:extent cx="814070" cy="1534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14070" cy="153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Hokama et al., 2014</w:t>
      </w:r>
      <w:r>
        <w:rPr>
          <w:rFonts w:ascii="Arial" w:cs="Arial" w:eastAsia="Arial" w:hAnsi="Arial"/>
          <w:sz w:val="18"/>
          <w:szCs w:val="18"/>
          <w:color w:val="auto"/>
        </w:rPr>
        <w:t>.</w:t>
      </w:r>
    </w:p>
    <w:p>
      <w:pPr>
        <w:spacing w:after="0" w:line="122" w:lineRule="exact"/>
        <w:rPr>
          <w:sz w:val="20"/>
          <w:szCs w:val="20"/>
          <w:color w:val="auto"/>
        </w:rPr>
      </w:pPr>
    </w:p>
    <w:p>
      <w:pPr>
        <w:ind w:right="180" w:firstLine="576"/>
        <w:spacing w:after="0" w:line="238" w:lineRule="auto"/>
        <w:rPr>
          <w:sz w:val="20"/>
          <w:szCs w:val="20"/>
          <w:color w:val="auto"/>
        </w:rPr>
      </w:pPr>
      <w:r>
        <w:rPr>
          <w:rFonts w:ascii="Arial" w:cs="Arial" w:eastAsia="Arial" w:hAnsi="Arial"/>
          <w:sz w:val="18"/>
          <w:szCs w:val="18"/>
          <w:color w:val="auto"/>
        </w:rPr>
        <w:t>Multiple third-party studies have documented the regenerative impact of HGF/MET promotion in models of AD, PDD, MS, and ALS, with examples shown in Figure 4 below. Notably, promotion of the HGF/MET system improved memory in AD and PDD models and improvement in neuronal survival was reported in various disease models including MS and ALS. These studies indicate that an enhanced HGF/MET system has substantial beneficial effects and support the HGF/MET system as a therapeutic target in a diverse array of nervous system disorders.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115" w:name="page116"/>
    <w:bookmarkEnd w:id="115"/>
    <w:p>
      <w:pPr>
        <w:ind w:right="20" w:firstLine="576"/>
        <w:spacing w:after="0" w:line="242" w:lineRule="auto"/>
        <w:rPr>
          <w:sz w:val="20"/>
          <w:szCs w:val="20"/>
          <w:color w:val="auto"/>
        </w:rPr>
      </w:pPr>
      <w:r>
        <w:rPr>
          <w:rFonts w:ascii="Arial" w:cs="Arial" w:eastAsia="Arial" w:hAnsi="Arial"/>
          <w:sz w:val="18"/>
          <w:szCs w:val="18"/>
          <w:i w:val="1"/>
          <w:iCs w:val="1"/>
          <w:color w:val="auto"/>
        </w:rPr>
        <w:t xml:space="preserve">Figure 4. Effects of HGF Treatment in Animal Models of CNS Disorders. </w:t>
      </w:r>
      <w:r>
        <w:rPr>
          <w:rFonts w:ascii="Arial" w:cs="Arial" w:eastAsia="Arial" w:hAnsi="Arial"/>
          <w:sz w:val="18"/>
          <w:szCs w:val="18"/>
          <w:color w:val="auto"/>
        </w:rPr>
        <w:t>Below is a list of preclinical studies conducted by third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that shows the beneficial effects of HGF/MET on functional endpoint or processes that are critical in recovering neuronal health and function. These studies demonstrate that boosting the activity of the HGF/MET system, whether through direct injection of HGF or increasing expression of HGF by gene therapy techniques, promotes neuronal health and regeneration, and rescues memory and function in several animal models of CNS disorders.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tcBorders>
              <w:top w:val="single" w:sz="8" w:color="5B9BD5"/>
              <w:bottom w:val="single" w:sz="8" w:color="5B9BD5"/>
            </w:tcBorders>
          </w:tcPr>
          <w:p>
            <w:pPr>
              <w:jc w:val="center"/>
              <w:spacing w:after="0"/>
              <w:rPr>
                <w:sz w:val="20"/>
                <w:szCs w:val="20"/>
                <w:color w:val="auto"/>
              </w:rPr>
            </w:pPr>
            <w:r>
              <w:rPr>
                <w:rFonts w:ascii="Arial" w:cs="Arial" w:eastAsia="Arial" w:hAnsi="Arial"/>
                <w:sz w:val="13"/>
                <w:szCs w:val="13"/>
                <w:b w:val="1"/>
                <w:bCs w:val="1"/>
                <w:color w:val="auto"/>
                <w:w w:val="97"/>
              </w:rPr>
              <w:t>Disease</w:t>
            </w:r>
          </w:p>
        </w:tc>
        <w:tc>
          <w:tcPr>
            <w:tcW w:w="2480" w:type="dxa"/>
            <w:vAlign w:val="bottom"/>
            <w:tcBorders>
              <w:top w:val="single" w:sz="8" w:color="5B9BD5"/>
              <w:bottom w:val="single" w:sz="8" w:color="5B9BD5"/>
            </w:tcBorders>
          </w:tcPr>
          <w:p>
            <w:pPr>
              <w:jc w:val="center"/>
              <w:ind w:left="97"/>
              <w:spacing w:after="0"/>
              <w:rPr>
                <w:sz w:val="20"/>
                <w:szCs w:val="20"/>
                <w:color w:val="auto"/>
              </w:rPr>
            </w:pPr>
            <w:r>
              <w:rPr>
                <w:rFonts w:ascii="Arial" w:cs="Arial" w:eastAsia="Arial" w:hAnsi="Arial"/>
                <w:sz w:val="13"/>
                <w:szCs w:val="13"/>
                <w:b w:val="1"/>
                <w:bCs w:val="1"/>
                <w:color w:val="auto"/>
                <w:w w:val="96"/>
              </w:rPr>
              <w:t>Animal model (species)</w:t>
            </w:r>
          </w:p>
        </w:tc>
        <w:tc>
          <w:tcPr>
            <w:tcW w:w="1920" w:type="dxa"/>
            <w:vAlign w:val="bottom"/>
            <w:tcBorders>
              <w:top w:val="single" w:sz="8" w:color="5B9BD5"/>
              <w:bottom w:val="single" w:sz="8" w:color="5B9BD5"/>
            </w:tcBorders>
          </w:tcPr>
          <w:p>
            <w:pPr>
              <w:jc w:val="center"/>
              <w:ind w:left="237"/>
              <w:spacing w:after="0"/>
              <w:rPr>
                <w:sz w:val="20"/>
                <w:szCs w:val="20"/>
                <w:color w:val="auto"/>
              </w:rPr>
            </w:pPr>
            <w:r>
              <w:rPr>
                <w:rFonts w:ascii="Arial" w:cs="Arial" w:eastAsia="Arial" w:hAnsi="Arial"/>
                <w:sz w:val="13"/>
                <w:szCs w:val="13"/>
                <w:b w:val="1"/>
                <w:bCs w:val="1"/>
                <w:color w:val="auto"/>
                <w:w w:val="95"/>
              </w:rPr>
              <w:t>HGF Delivery Method</w:t>
            </w:r>
          </w:p>
        </w:tc>
        <w:tc>
          <w:tcPr>
            <w:tcW w:w="3420" w:type="dxa"/>
            <w:vAlign w:val="bottom"/>
            <w:tcBorders>
              <w:top w:val="single" w:sz="8" w:color="5B9BD5"/>
              <w:bottom w:val="single" w:sz="8" w:color="5B9BD5"/>
            </w:tcBorders>
          </w:tcPr>
          <w:p>
            <w:pPr>
              <w:jc w:val="center"/>
              <w:ind w:right="57"/>
              <w:spacing w:after="0"/>
              <w:rPr>
                <w:sz w:val="20"/>
                <w:szCs w:val="20"/>
                <w:color w:val="auto"/>
              </w:rPr>
            </w:pPr>
            <w:r>
              <w:rPr>
                <w:rFonts w:ascii="Arial" w:cs="Arial" w:eastAsia="Arial" w:hAnsi="Arial"/>
                <w:sz w:val="13"/>
                <w:szCs w:val="13"/>
                <w:b w:val="1"/>
                <w:bCs w:val="1"/>
                <w:color w:val="auto"/>
                <w:w w:val="97"/>
              </w:rPr>
              <w:t>Outcomes</w:t>
            </w:r>
          </w:p>
        </w:tc>
        <w:tc>
          <w:tcPr>
            <w:tcW w:w="2020" w:type="dxa"/>
            <w:vAlign w:val="bottom"/>
            <w:tcBorders>
              <w:top w:val="single" w:sz="8" w:color="5B9BD5"/>
              <w:bottom w:val="single" w:sz="8" w:color="5B9BD5"/>
            </w:tcBorders>
          </w:tcPr>
          <w:p>
            <w:pPr>
              <w:jc w:val="center"/>
              <w:ind w:right="197"/>
              <w:spacing w:after="0"/>
              <w:rPr>
                <w:sz w:val="20"/>
                <w:szCs w:val="20"/>
                <w:color w:val="auto"/>
              </w:rPr>
            </w:pPr>
            <w:r>
              <w:rPr>
                <w:rFonts w:ascii="Arial" w:cs="Arial" w:eastAsia="Arial" w:hAnsi="Arial"/>
                <w:sz w:val="13"/>
                <w:szCs w:val="13"/>
                <w:b w:val="1"/>
                <w:bCs w:val="1"/>
                <w:color w:val="auto"/>
                <w:w w:val="95"/>
              </w:rPr>
              <w:t>Reference</w:t>
            </w:r>
          </w:p>
        </w:tc>
        <w:tc>
          <w:tcPr>
            <w:tcW w:w="0" w:type="dxa"/>
            <w:vAlign w:val="bottom"/>
          </w:tcPr>
          <w:p>
            <w:pPr>
              <w:spacing w:after="0"/>
              <w:rPr>
                <w:sz w:val="1"/>
                <w:szCs w:val="1"/>
                <w:color w:val="auto"/>
              </w:rPr>
            </w:pPr>
          </w:p>
        </w:tc>
      </w:tr>
      <w:tr>
        <w:trPr>
          <w:trHeight w:val="136"/>
        </w:trPr>
        <w:tc>
          <w:tcPr>
            <w:tcW w:w="1400" w:type="dxa"/>
            <w:vAlign w:val="bottom"/>
            <w:vMerge w:val="restart"/>
            <w:shd w:val="clear" w:color="auto" w:fill="EAEFF7"/>
          </w:tcPr>
          <w:p>
            <w:pPr>
              <w:jc w:val="center"/>
              <w:spacing w:after="0"/>
              <w:rPr>
                <w:sz w:val="20"/>
                <w:szCs w:val="20"/>
                <w:color w:val="auto"/>
              </w:rPr>
            </w:pPr>
            <w:r>
              <w:rPr>
                <w:rFonts w:ascii="Arial" w:cs="Arial" w:eastAsia="Arial" w:hAnsi="Arial"/>
                <w:sz w:val="13"/>
                <w:szCs w:val="13"/>
                <w:color w:val="auto"/>
                <w:w w:val="99"/>
              </w:rPr>
              <w:t>AD</w:t>
            </w: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6"/>
              </w:rPr>
              <w:t>Aβ-injection</w:t>
            </w:r>
          </w:p>
        </w:tc>
        <w:tc>
          <w:tcPr>
            <w:tcW w:w="1920" w:type="dxa"/>
            <w:vAlign w:val="bottom"/>
            <w:vMerge w:val="restart"/>
            <w:shd w:val="clear" w:color="auto" w:fill="EAEFF7"/>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shd w:val="clear" w:color="auto" w:fill="EAEFF7"/>
          </w:tcPr>
          <w:p>
            <w:pPr>
              <w:jc w:val="center"/>
              <w:ind w:right="37"/>
              <w:spacing w:after="0" w:line="136" w:lineRule="exact"/>
              <w:rPr>
                <w:sz w:val="20"/>
                <w:szCs w:val="20"/>
                <w:color w:val="auto"/>
              </w:rPr>
            </w:pPr>
            <w:r>
              <w:rPr>
                <w:rFonts w:ascii="Arial" w:cs="Arial" w:eastAsia="Arial" w:hAnsi="Arial"/>
                <w:sz w:val="13"/>
                <w:szCs w:val="13"/>
                <w:color w:val="auto"/>
                <w:w w:val="96"/>
              </w:rPr>
              <w:t>Improvement in memory, increased cerebral blood</w:t>
            </w: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6"/>
              </w:rPr>
              <w:t>Takeuchi et. al. 2008</w:t>
            </w:r>
          </w:p>
        </w:tc>
        <w:tc>
          <w:tcPr>
            <w:tcW w:w="0" w:type="dxa"/>
            <w:vAlign w:val="bottom"/>
          </w:tcPr>
          <w:p>
            <w:pPr>
              <w:spacing w:after="0"/>
              <w:rPr>
                <w:sz w:val="1"/>
                <w:szCs w:val="1"/>
                <w:color w:val="auto"/>
              </w:rPr>
            </w:pPr>
          </w:p>
        </w:tc>
      </w:tr>
      <w:tr>
        <w:trPr>
          <w:trHeight w:val="84"/>
        </w:trPr>
        <w:tc>
          <w:tcPr>
            <w:tcW w:w="1400" w:type="dxa"/>
            <w:vAlign w:val="bottom"/>
            <w:vMerge w:val="continue"/>
            <w:shd w:val="clear" w:color="auto" w:fill="EAEFF7"/>
          </w:tcPr>
          <w:p>
            <w:pPr>
              <w:spacing w:after="0"/>
              <w:rPr>
                <w:sz w:val="7"/>
                <w:szCs w:val="7"/>
                <w:color w:val="auto"/>
              </w:rPr>
            </w:pPr>
          </w:p>
        </w:tc>
        <w:tc>
          <w:tcPr>
            <w:tcW w:w="2480" w:type="dxa"/>
            <w:vAlign w:val="bottom"/>
            <w:vMerge w:val="continue"/>
            <w:shd w:val="clear" w:color="auto" w:fill="EAEFF7"/>
          </w:tcPr>
          <w:p>
            <w:pPr>
              <w:spacing w:after="0"/>
              <w:rPr>
                <w:sz w:val="7"/>
                <w:szCs w:val="7"/>
                <w:color w:val="auto"/>
              </w:rPr>
            </w:pPr>
          </w:p>
        </w:tc>
        <w:tc>
          <w:tcPr>
            <w:tcW w:w="1920" w:type="dxa"/>
            <w:vAlign w:val="bottom"/>
            <w:vMerge w:val="continue"/>
            <w:shd w:val="clear" w:color="auto" w:fill="EAEFF7"/>
          </w:tcPr>
          <w:p>
            <w:pPr>
              <w:spacing w:after="0"/>
              <w:rPr>
                <w:sz w:val="7"/>
                <w:szCs w:val="7"/>
                <w:color w:val="auto"/>
              </w:rPr>
            </w:pPr>
          </w:p>
        </w:tc>
        <w:tc>
          <w:tcPr>
            <w:tcW w:w="3420" w:type="dxa"/>
            <w:vAlign w:val="bottom"/>
            <w:vMerge w:val="restart"/>
            <w:shd w:val="clear" w:color="auto" w:fill="EAEFF7"/>
          </w:tcPr>
          <w:p>
            <w:pPr>
              <w:jc w:val="center"/>
              <w:ind w:right="57"/>
              <w:spacing w:after="0" w:line="141" w:lineRule="exact"/>
              <w:rPr>
                <w:sz w:val="20"/>
                <w:szCs w:val="20"/>
                <w:color w:val="auto"/>
              </w:rPr>
            </w:pPr>
            <w:r>
              <w:rPr>
                <w:rFonts w:ascii="Arial" w:cs="Arial" w:eastAsia="Arial" w:hAnsi="Arial"/>
                <w:sz w:val="13"/>
                <w:szCs w:val="13"/>
                <w:color w:val="auto"/>
                <w:w w:val="96"/>
              </w:rPr>
              <w:t>flow, increased BDNF expression</w:t>
            </w:r>
          </w:p>
        </w:tc>
        <w:tc>
          <w:tcPr>
            <w:tcW w:w="2020" w:type="dxa"/>
            <w:vAlign w:val="bottom"/>
            <w:vMerge w:val="continue"/>
            <w:shd w:val="clear" w:color="auto" w:fill="EAEFF7"/>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1400" w:type="dxa"/>
            <w:vAlign w:val="bottom"/>
            <w:shd w:val="clear" w:color="auto" w:fill="EAEFF7"/>
          </w:tcPr>
          <w:p>
            <w:pPr>
              <w:spacing w:after="0"/>
              <w:rPr>
                <w:sz w:val="4"/>
                <w:szCs w:val="4"/>
                <w:color w:val="auto"/>
              </w:rPr>
            </w:pP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6"/>
              </w:rPr>
              <w:t>(mouse)</w:t>
            </w:r>
          </w:p>
        </w:tc>
        <w:tc>
          <w:tcPr>
            <w:tcW w:w="1920" w:type="dxa"/>
            <w:vAlign w:val="bottom"/>
            <w:shd w:val="clear" w:color="auto" w:fill="EAEFF7"/>
          </w:tcPr>
          <w:p>
            <w:pPr>
              <w:spacing w:after="0"/>
              <w:rPr>
                <w:sz w:val="4"/>
                <w:szCs w:val="4"/>
                <w:color w:val="auto"/>
              </w:rPr>
            </w:pPr>
          </w:p>
        </w:tc>
        <w:tc>
          <w:tcPr>
            <w:tcW w:w="3420" w:type="dxa"/>
            <w:vAlign w:val="bottom"/>
            <w:vMerge w:val="continue"/>
            <w:shd w:val="clear" w:color="auto" w:fill="EAEFF7"/>
          </w:tcPr>
          <w:p>
            <w:pPr>
              <w:spacing w:after="0"/>
              <w:rPr>
                <w:sz w:val="4"/>
                <w:szCs w:val="4"/>
                <w:color w:val="auto"/>
              </w:rPr>
            </w:pPr>
          </w:p>
        </w:tc>
        <w:tc>
          <w:tcPr>
            <w:tcW w:w="2020" w:type="dxa"/>
            <w:vAlign w:val="bottom"/>
            <w:shd w:val="clear" w:color="auto" w:fill="EAEFF7"/>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EAEFF7"/>
          </w:tcPr>
          <w:p>
            <w:pPr>
              <w:spacing w:after="0"/>
              <w:rPr>
                <w:sz w:val="12"/>
                <w:szCs w:val="12"/>
                <w:color w:val="auto"/>
              </w:rPr>
            </w:pPr>
          </w:p>
        </w:tc>
        <w:tc>
          <w:tcPr>
            <w:tcW w:w="2480" w:type="dxa"/>
            <w:vAlign w:val="bottom"/>
            <w:vMerge w:val="continue"/>
            <w:shd w:val="clear" w:color="auto" w:fill="EAEFF7"/>
          </w:tcPr>
          <w:p>
            <w:pPr>
              <w:spacing w:after="0"/>
              <w:rPr>
                <w:sz w:val="12"/>
                <w:szCs w:val="12"/>
                <w:color w:val="auto"/>
              </w:rPr>
            </w:pP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5"/>
              </w:rPr>
              <w:t>Parkinson’s</w:t>
            </w: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w w:val="97"/>
              </w:rPr>
              <w:t>6-OHDA</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37"/>
              <w:spacing w:after="0" w:line="143" w:lineRule="exact"/>
              <w:rPr>
                <w:sz w:val="20"/>
                <w:szCs w:val="20"/>
                <w:color w:val="auto"/>
              </w:rPr>
            </w:pPr>
            <w:r>
              <w:rPr>
                <w:rFonts w:ascii="Arial" w:cs="Arial" w:eastAsia="Arial" w:hAnsi="Arial"/>
                <w:sz w:val="13"/>
                <w:szCs w:val="13"/>
                <w:color w:val="auto"/>
                <w:w w:val="97"/>
              </w:rPr>
              <w:t>Improved survival of dopaminergic neurons, improved</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4"/>
              </w:rPr>
              <w:t>Koike et. al.</w:t>
            </w:r>
          </w:p>
        </w:tc>
        <w:tc>
          <w:tcPr>
            <w:tcW w:w="0" w:type="dxa"/>
            <w:vAlign w:val="bottom"/>
          </w:tcPr>
          <w:p>
            <w:pPr>
              <w:spacing w:after="0"/>
              <w:rPr>
                <w:sz w:val="1"/>
                <w:szCs w:val="1"/>
                <w:color w:val="auto"/>
              </w:rPr>
            </w:pPr>
          </w:p>
        </w:tc>
      </w:tr>
      <w:tr>
        <w:trPr>
          <w:trHeight w:val="84"/>
        </w:trPr>
        <w:tc>
          <w:tcPr>
            <w:tcW w:w="1400" w:type="dxa"/>
            <w:vAlign w:val="bottom"/>
            <w:vMerge w:val="continue"/>
          </w:tcPr>
          <w:p>
            <w:pPr>
              <w:spacing w:after="0"/>
              <w:rPr>
                <w:sz w:val="7"/>
                <w:szCs w:val="7"/>
                <w:color w:val="auto"/>
              </w:rPr>
            </w:pPr>
          </w:p>
        </w:tc>
        <w:tc>
          <w:tcPr>
            <w:tcW w:w="248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3420" w:type="dxa"/>
            <w:vAlign w:val="bottom"/>
            <w:vMerge w:val="restart"/>
          </w:tcPr>
          <w:p>
            <w:pPr>
              <w:jc w:val="center"/>
              <w:ind w:right="37"/>
              <w:spacing w:after="0"/>
              <w:rPr>
                <w:sz w:val="20"/>
                <w:szCs w:val="20"/>
                <w:color w:val="auto"/>
              </w:rPr>
            </w:pPr>
            <w:r>
              <w:rPr>
                <w:rFonts w:ascii="Arial" w:cs="Arial" w:eastAsia="Arial" w:hAnsi="Arial"/>
                <w:sz w:val="13"/>
                <w:szCs w:val="13"/>
                <w:color w:val="auto"/>
                <w:w w:val="97"/>
              </w:rPr>
              <w:t>motor function</w:t>
            </w:r>
          </w:p>
        </w:tc>
        <w:tc>
          <w:tcPr>
            <w:tcW w:w="2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400" w:type="dxa"/>
            <w:vAlign w:val="bottom"/>
          </w:tcPr>
          <w:p>
            <w:pPr>
              <w:spacing w:after="0"/>
              <w:rPr>
                <w:sz w:val="5"/>
                <w:szCs w:val="5"/>
                <w:color w:val="auto"/>
              </w:rPr>
            </w:pP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rPr>
              <w:t>(rat)</w:t>
            </w: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6"/>
              </w:rPr>
              <w:t>2006</w:t>
            </w:r>
          </w:p>
        </w:tc>
        <w:tc>
          <w:tcPr>
            <w:tcW w:w="0" w:type="dxa"/>
            <w:vAlign w:val="bottom"/>
          </w:tcPr>
          <w:p>
            <w:pPr>
              <w:spacing w:after="0"/>
              <w:rPr>
                <w:sz w:val="1"/>
                <w:szCs w:val="1"/>
                <w:color w:val="auto"/>
              </w:rPr>
            </w:pPr>
          </w:p>
        </w:tc>
      </w:tr>
      <w:tr>
        <w:trPr>
          <w:trHeight w:val="138"/>
        </w:trPr>
        <w:tc>
          <w:tcPr>
            <w:tcW w:w="140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jc w:val="center"/>
              <w:spacing w:after="0"/>
              <w:rPr>
                <w:sz w:val="20"/>
                <w:szCs w:val="20"/>
                <w:color w:val="auto"/>
              </w:rPr>
            </w:pPr>
            <w:r>
              <w:rPr>
                <w:rFonts w:ascii="Arial" w:cs="Arial" w:eastAsia="Arial" w:hAnsi="Arial"/>
                <w:sz w:val="13"/>
                <w:szCs w:val="13"/>
                <w:color w:val="auto"/>
                <w:w w:val="96"/>
              </w:rPr>
              <w:t>Brain ischemia</w:t>
            </w:r>
          </w:p>
        </w:tc>
        <w:tc>
          <w:tcPr>
            <w:tcW w:w="2480" w:type="dxa"/>
            <w:vAlign w:val="bottom"/>
            <w:shd w:val="clear" w:color="auto" w:fill="EAEFF7"/>
          </w:tcPr>
          <w:p>
            <w:pPr>
              <w:jc w:val="center"/>
              <w:ind w:left="77"/>
              <w:spacing w:after="0"/>
              <w:rPr>
                <w:sz w:val="20"/>
                <w:szCs w:val="20"/>
                <w:color w:val="auto"/>
              </w:rPr>
            </w:pPr>
            <w:r>
              <w:rPr>
                <w:rFonts w:ascii="Arial" w:cs="Arial" w:eastAsia="Arial" w:hAnsi="Arial"/>
                <w:sz w:val="13"/>
                <w:szCs w:val="13"/>
                <w:color w:val="auto"/>
                <w:w w:val="97"/>
              </w:rPr>
              <w:t>Transient ischemia</w:t>
            </w:r>
          </w:p>
        </w:tc>
        <w:tc>
          <w:tcPr>
            <w:tcW w:w="1920" w:type="dxa"/>
            <w:vAlign w:val="bottom"/>
            <w:shd w:val="clear" w:color="auto" w:fill="EAEFF7"/>
          </w:tcPr>
          <w:p>
            <w:pPr>
              <w:jc w:val="center"/>
              <w:ind w:left="237"/>
              <w:spacing w:after="0"/>
              <w:rPr>
                <w:sz w:val="20"/>
                <w:szCs w:val="20"/>
                <w:color w:val="auto"/>
              </w:rPr>
            </w:pPr>
            <w:r>
              <w:rPr>
                <w:rFonts w:ascii="Arial" w:cs="Arial" w:eastAsia="Arial" w:hAnsi="Arial"/>
                <w:sz w:val="13"/>
                <w:szCs w:val="13"/>
                <w:color w:val="auto"/>
                <w:w w:val="97"/>
              </w:rPr>
              <w:t>Injection of HGF protein</w:t>
            </w:r>
          </w:p>
        </w:tc>
        <w:tc>
          <w:tcPr>
            <w:tcW w:w="3420" w:type="dxa"/>
            <w:vAlign w:val="bottom"/>
            <w:shd w:val="clear" w:color="auto" w:fill="EAEFF7"/>
          </w:tcPr>
          <w:p>
            <w:pPr>
              <w:jc w:val="center"/>
              <w:ind w:right="57"/>
              <w:spacing w:after="0"/>
              <w:rPr>
                <w:sz w:val="20"/>
                <w:szCs w:val="20"/>
                <w:color w:val="auto"/>
              </w:rPr>
            </w:pPr>
            <w:r>
              <w:rPr>
                <w:rFonts w:ascii="Arial" w:cs="Arial" w:eastAsia="Arial" w:hAnsi="Arial"/>
                <w:sz w:val="13"/>
                <w:szCs w:val="13"/>
                <w:color w:val="auto"/>
                <w:w w:val="96"/>
              </w:rPr>
              <w:t>Improved neuronal survival</w:t>
            </w:r>
          </w:p>
        </w:tc>
        <w:tc>
          <w:tcPr>
            <w:tcW w:w="2020" w:type="dxa"/>
            <w:vAlign w:val="bottom"/>
            <w:shd w:val="clear" w:color="auto" w:fill="EAEFF7"/>
          </w:tcPr>
          <w:p>
            <w:pPr>
              <w:jc w:val="center"/>
              <w:ind w:right="197"/>
              <w:spacing w:after="0"/>
              <w:rPr>
                <w:sz w:val="20"/>
                <w:szCs w:val="20"/>
                <w:color w:val="auto"/>
              </w:rPr>
            </w:pPr>
            <w:r>
              <w:rPr>
                <w:rFonts w:ascii="Arial" w:cs="Arial" w:eastAsia="Arial" w:hAnsi="Arial"/>
                <w:sz w:val="13"/>
                <w:szCs w:val="13"/>
                <w:color w:val="auto"/>
                <w:w w:val="95"/>
              </w:rPr>
              <w:t>Miyazawa et. al. 2007</w:t>
            </w: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spacing w:after="0"/>
              <w:rPr>
                <w:sz w:val="12"/>
                <w:szCs w:val="12"/>
                <w:color w:val="auto"/>
              </w:rPr>
            </w:pPr>
          </w:p>
        </w:tc>
        <w:tc>
          <w:tcPr>
            <w:tcW w:w="2480" w:type="dxa"/>
            <w:vAlign w:val="bottom"/>
            <w:shd w:val="clear" w:color="auto" w:fill="EAEFF7"/>
          </w:tcPr>
          <w:p>
            <w:pPr>
              <w:jc w:val="center"/>
              <w:ind w:left="97"/>
              <w:spacing w:after="0"/>
              <w:rPr>
                <w:sz w:val="20"/>
                <w:szCs w:val="20"/>
                <w:color w:val="auto"/>
              </w:rPr>
            </w:pPr>
            <w:r>
              <w:rPr>
                <w:rFonts w:ascii="Arial" w:cs="Arial" w:eastAsia="Arial" w:hAnsi="Arial"/>
                <w:sz w:val="13"/>
                <w:szCs w:val="13"/>
                <w:color w:val="auto"/>
                <w:w w:val="98"/>
              </w:rPr>
              <w:t>(gerbil)</w:t>
            </w: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7"/>
              </w:rPr>
              <w:t>ALS</w:t>
            </w:r>
          </w:p>
        </w:tc>
        <w:tc>
          <w:tcPr>
            <w:tcW w:w="2480" w:type="dxa"/>
            <w:vAlign w:val="bottom"/>
            <w:vMerge w:val="restart"/>
          </w:tcPr>
          <w:p>
            <w:pPr>
              <w:jc w:val="center"/>
              <w:ind w:left="77"/>
              <w:spacing w:after="0"/>
              <w:rPr>
                <w:sz w:val="20"/>
                <w:szCs w:val="20"/>
                <w:color w:val="auto"/>
              </w:rPr>
            </w:pPr>
            <w:r>
              <w:rPr>
                <w:rFonts w:ascii="Arial" w:cs="Arial" w:eastAsia="Arial" w:hAnsi="Arial"/>
                <w:sz w:val="13"/>
                <w:szCs w:val="13"/>
                <w:color w:val="auto"/>
                <w:w w:val="96"/>
              </w:rPr>
              <w:t>SOD1-G93)</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37"/>
              <w:spacing w:after="0" w:line="143" w:lineRule="exact"/>
              <w:rPr>
                <w:sz w:val="20"/>
                <w:szCs w:val="20"/>
                <w:color w:val="auto"/>
              </w:rPr>
            </w:pPr>
            <w:r>
              <w:rPr>
                <w:rFonts w:ascii="Arial" w:cs="Arial" w:eastAsia="Arial" w:hAnsi="Arial"/>
                <w:sz w:val="13"/>
                <w:szCs w:val="13"/>
                <w:color w:val="auto"/>
                <w:w w:val="96"/>
              </w:rPr>
              <w:t>Improved survival of motor neurons, prolonged</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5"/>
              </w:rPr>
              <w:t>Sun et. al.</w:t>
            </w:r>
          </w:p>
        </w:tc>
        <w:tc>
          <w:tcPr>
            <w:tcW w:w="0" w:type="dxa"/>
            <w:vAlign w:val="bottom"/>
          </w:tcPr>
          <w:p>
            <w:pPr>
              <w:spacing w:after="0"/>
              <w:rPr>
                <w:sz w:val="1"/>
                <w:szCs w:val="1"/>
                <w:color w:val="auto"/>
              </w:rPr>
            </w:pPr>
          </w:p>
        </w:tc>
      </w:tr>
      <w:tr>
        <w:trPr>
          <w:trHeight w:val="84"/>
        </w:trPr>
        <w:tc>
          <w:tcPr>
            <w:tcW w:w="1400" w:type="dxa"/>
            <w:vAlign w:val="bottom"/>
            <w:vMerge w:val="continue"/>
          </w:tcPr>
          <w:p>
            <w:pPr>
              <w:spacing w:after="0"/>
              <w:rPr>
                <w:sz w:val="7"/>
                <w:szCs w:val="7"/>
                <w:color w:val="auto"/>
              </w:rPr>
            </w:pPr>
          </w:p>
        </w:tc>
        <w:tc>
          <w:tcPr>
            <w:tcW w:w="248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3420" w:type="dxa"/>
            <w:vAlign w:val="bottom"/>
            <w:vMerge w:val="restart"/>
          </w:tcPr>
          <w:p>
            <w:pPr>
              <w:jc w:val="center"/>
              <w:ind w:right="37"/>
              <w:spacing w:after="0"/>
              <w:rPr>
                <w:sz w:val="20"/>
                <w:szCs w:val="20"/>
                <w:color w:val="auto"/>
              </w:rPr>
            </w:pPr>
            <w:r>
              <w:rPr>
                <w:rFonts w:ascii="Arial" w:cs="Arial" w:eastAsia="Arial" w:hAnsi="Arial"/>
                <w:sz w:val="13"/>
                <w:szCs w:val="13"/>
                <w:color w:val="auto"/>
                <w:w w:val="98"/>
              </w:rPr>
              <w:t>lifespan</w:t>
            </w:r>
          </w:p>
        </w:tc>
        <w:tc>
          <w:tcPr>
            <w:tcW w:w="2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400" w:type="dxa"/>
            <w:vAlign w:val="bottom"/>
          </w:tcPr>
          <w:p>
            <w:pPr>
              <w:spacing w:after="0"/>
              <w:rPr>
                <w:sz w:val="5"/>
                <w:szCs w:val="5"/>
                <w:color w:val="auto"/>
              </w:rPr>
            </w:pPr>
          </w:p>
        </w:tc>
        <w:tc>
          <w:tcPr>
            <w:tcW w:w="2480" w:type="dxa"/>
            <w:vAlign w:val="bottom"/>
            <w:vMerge w:val="restart"/>
          </w:tcPr>
          <w:p>
            <w:pPr>
              <w:jc w:val="center"/>
              <w:ind w:left="77"/>
              <w:spacing w:after="0"/>
              <w:rPr>
                <w:sz w:val="20"/>
                <w:szCs w:val="20"/>
                <w:color w:val="auto"/>
              </w:rPr>
            </w:pPr>
            <w:r>
              <w:rPr>
                <w:rFonts w:ascii="Arial" w:cs="Arial" w:eastAsia="Arial" w:hAnsi="Arial"/>
                <w:sz w:val="13"/>
                <w:szCs w:val="13"/>
                <w:color w:val="auto"/>
                <w:w w:val="96"/>
              </w:rPr>
              <w:t>(mouse)</w:t>
            </w: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6"/>
              </w:rPr>
              <w:t>2002</w:t>
            </w:r>
          </w:p>
        </w:tc>
        <w:tc>
          <w:tcPr>
            <w:tcW w:w="0" w:type="dxa"/>
            <w:vAlign w:val="bottom"/>
          </w:tcPr>
          <w:p>
            <w:pPr>
              <w:spacing w:after="0"/>
              <w:rPr>
                <w:sz w:val="1"/>
                <w:szCs w:val="1"/>
                <w:color w:val="auto"/>
              </w:rPr>
            </w:pPr>
          </w:p>
        </w:tc>
      </w:tr>
      <w:tr>
        <w:trPr>
          <w:trHeight w:val="138"/>
        </w:trPr>
        <w:tc>
          <w:tcPr>
            <w:tcW w:w="140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400" w:type="dxa"/>
            <w:vAlign w:val="bottom"/>
            <w:vMerge w:val="restart"/>
            <w:shd w:val="clear" w:color="auto" w:fill="EAEFF7"/>
          </w:tcPr>
          <w:p>
            <w:pPr>
              <w:jc w:val="center"/>
              <w:spacing w:after="0"/>
              <w:rPr>
                <w:sz w:val="20"/>
                <w:szCs w:val="20"/>
                <w:color w:val="auto"/>
              </w:rPr>
            </w:pPr>
            <w:r>
              <w:rPr>
                <w:rFonts w:ascii="Arial" w:cs="Arial" w:eastAsia="Arial" w:hAnsi="Arial"/>
                <w:sz w:val="13"/>
                <w:szCs w:val="13"/>
                <w:color w:val="auto"/>
                <w:w w:val="97"/>
              </w:rPr>
              <w:t>Cerebral infarction</w:t>
            </w:r>
          </w:p>
        </w:tc>
        <w:tc>
          <w:tcPr>
            <w:tcW w:w="2480" w:type="dxa"/>
            <w:vAlign w:val="bottom"/>
            <w:vMerge w:val="restart"/>
            <w:shd w:val="clear" w:color="auto" w:fill="EAEFF7"/>
          </w:tcPr>
          <w:p>
            <w:pPr>
              <w:jc w:val="center"/>
              <w:ind w:left="97"/>
              <w:spacing w:after="0"/>
              <w:rPr>
                <w:sz w:val="20"/>
                <w:szCs w:val="20"/>
                <w:color w:val="auto"/>
              </w:rPr>
            </w:pPr>
            <w:r>
              <w:rPr>
                <w:rFonts w:ascii="Arial" w:cs="Arial" w:eastAsia="Arial" w:hAnsi="Arial"/>
                <w:sz w:val="13"/>
                <w:szCs w:val="13"/>
                <w:color w:val="auto"/>
                <w:w w:val="98"/>
              </w:rPr>
              <w:t>Embolism</w:t>
            </w:r>
          </w:p>
        </w:tc>
        <w:tc>
          <w:tcPr>
            <w:tcW w:w="1920" w:type="dxa"/>
            <w:vAlign w:val="bottom"/>
            <w:vMerge w:val="restart"/>
            <w:shd w:val="clear" w:color="auto" w:fill="EAEFF7"/>
          </w:tcPr>
          <w:p>
            <w:pPr>
              <w:jc w:val="center"/>
              <w:ind w:left="237"/>
              <w:spacing w:after="0"/>
              <w:rPr>
                <w:sz w:val="20"/>
                <w:szCs w:val="20"/>
                <w:color w:val="auto"/>
              </w:rPr>
            </w:pPr>
            <w:r>
              <w:rPr>
                <w:rFonts w:ascii="Arial" w:cs="Arial" w:eastAsia="Arial" w:hAnsi="Arial"/>
                <w:sz w:val="13"/>
                <w:szCs w:val="13"/>
                <w:color w:val="auto"/>
                <w:w w:val="97"/>
              </w:rPr>
              <w:t>Injection of HGF protein</w:t>
            </w:r>
          </w:p>
        </w:tc>
        <w:tc>
          <w:tcPr>
            <w:tcW w:w="3420" w:type="dxa"/>
            <w:vAlign w:val="bottom"/>
            <w:shd w:val="clear" w:color="auto" w:fill="EAEFF7"/>
          </w:tcPr>
          <w:p>
            <w:pPr>
              <w:jc w:val="center"/>
              <w:ind w:right="57"/>
              <w:spacing w:after="0" w:line="143" w:lineRule="exact"/>
              <w:rPr>
                <w:sz w:val="20"/>
                <w:szCs w:val="20"/>
                <w:color w:val="auto"/>
              </w:rPr>
            </w:pPr>
            <w:r>
              <w:rPr>
                <w:rFonts w:ascii="Arial" w:cs="Arial" w:eastAsia="Arial" w:hAnsi="Arial"/>
                <w:sz w:val="13"/>
                <w:szCs w:val="13"/>
                <w:color w:val="auto"/>
                <w:w w:val="96"/>
              </w:rPr>
              <w:t>Improvement in learning and memory, improved</w:t>
            </w: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5"/>
              </w:rPr>
              <w:t>Date et. al.</w:t>
            </w:r>
          </w:p>
        </w:tc>
        <w:tc>
          <w:tcPr>
            <w:tcW w:w="0" w:type="dxa"/>
            <w:vAlign w:val="bottom"/>
          </w:tcPr>
          <w:p>
            <w:pPr>
              <w:spacing w:after="0"/>
              <w:rPr>
                <w:sz w:val="1"/>
                <w:szCs w:val="1"/>
                <w:color w:val="auto"/>
              </w:rPr>
            </w:pPr>
          </w:p>
        </w:tc>
      </w:tr>
      <w:tr>
        <w:trPr>
          <w:trHeight w:val="84"/>
        </w:trPr>
        <w:tc>
          <w:tcPr>
            <w:tcW w:w="1400" w:type="dxa"/>
            <w:vAlign w:val="bottom"/>
            <w:vMerge w:val="continue"/>
            <w:shd w:val="clear" w:color="auto" w:fill="EAEFF7"/>
          </w:tcPr>
          <w:p>
            <w:pPr>
              <w:spacing w:after="0"/>
              <w:rPr>
                <w:sz w:val="7"/>
                <w:szCs w:val="7"/>
                <w:color w:val="auto"/>
              </w:rPr>
            </w:pPr>
          </w:p>
        </w:tc>
        <w:tc>
          <w:tcPr>
            <w:tcW w:w="2480" w:type="dxa"/>
            <w:vAlign w:val="bottom"/>
            <w:vMerge w:val="continue"/>
            <w:shd w:val="clear" w:color="auto" w:fill="EAEFF7"/>
          </w:tcPr>
          <w:p>
            <w:pPr>
              <w:spacing w:after="0"/>
              <w:rPr>
                <w:sz w:val="7"/>
                <w:szCs w:val="7"/>
                <w:color w:val="auto"/>
              </w:rPr>
            </w:pPr>
          </w:p>
        </w:tc>
        <w:tc>
          <w:tcPr>
            <w:tcW w:w="1920" w:type="dxa"/>
            <w:vAlign w:val="bottom"/>
            <w:vMerge w:val="continue"/>
            <w:shd w:val="clear" w:color="auto" w:fill="EAEFF7"/>
          </w:tcPr>
          <w:p>
            <w:pPr>
              <w:spacing w:after="0"/>
              <w:rPr>
                <w:sz w:val="7"/>
                <w:szCs w:val="7"/>
                <w:color w:val="auto"/>
              </w:rPr>
            </w:pPr>
          </w:p>
        </w:tc>
        <w:tc>
          <w:tcPr>
            <w:tcW w:w="3420" w:type="dxa"/>
            <w:vAlign w:val="bottom"/>
            <w:vMerge w:val="restart"/>
            <w:shd w:val="clear" w:color="auto" w:fill="EAEFF7"/>
          </w:tcPr>
          <w:p>
            <w:pPr>
              <w:jc w:val="center"/>
              <w:ind w:right="57"/>
              <w:spacing w:after="0" w:line="141" w:lineRule="exact"/>
              <w:rPr>
                <w:sz w:val="20"/>
                <w:szCs w:val="20"/>
                <w:color w:val="auto"/>
              </w:rPr>
            </w:pPr>
            <w:r>
              <w:rPr>
                <w:rFonts w:ascii="Arial" w:cs="Arial" w:eastAsia="Arial" w:hAnsi="Arial"/>
                <w:sz w:val="13"/>
                <w:szCs w:val="13"/>
                <w:color w:val="auto"/>
                <w:w w:val="95"/>
              </w:rPr>
              <w:t>neuronal survival</w:t>
            </w:r>
          </w:p>
        </w:tc>
        <w:tc>
          <w:tcPr>
            <w:tcW w:w="2020" w:type="dxa"/>
            <w:vAlign w:val="bottom"/>
            <w:vMerge w:val="continue"/>
            <w:shd w:val="clear" w:color="auto" w:fill="EAEFF7"/>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400" w:type="dxa"/>
            <w:vAlign w:val="bottom"/>
            <w:shd w:val="clear" w:color="auto" w:fill="EAEFF7"/>
          </w:tcPr>
          <w:p>
            <w:pPr>
              <w:spacing w:after="0"/>
              <w:rPr>
                <w:sz w:val="4"/>
                <w:szCs w:val="4"/>
                <w:color w:val="auto"/>
              </w:rPr>
            </w:pPr>
          </w:p>
        </w:tc>
        <w:tc>
          <w:tcPr>
            <w:tcW w:w="2480" w:type="dxa"/>
            <w:vAlign w:val="bottom"/>
            <w:vMerge w:val="restart"/>
            <w:shd w:val="clear" w:color="auto" w:fill="EAEFF7"/>
          </w:tcPr>
          <w:p>
            <w:pPr>
              <w:jc w:val="center"/>
              <w:ind w:left="97"/>
              <w:spacing w:after="0"/>
              <w:rPr>
                <w:sz w:val="20"/>
                <w:szCs w:val="20"/>
                <w:color w:val="auto"/>
              </w:rPr>
            </w:pPr>
            <w:r>
              <w:rPr>
                <w:rFonts w:ascii="Arial" w:cs="Arial" w:eastAsia="Arial" w:hAnsi="Arial"/>
                <w:sz w:val="13"/>
                <w:szCs w:val="13"/>
                <w:color w:val="auto"/>
              </w:rPr>
              <w:t>(rat)</w:t>
            </w:r>
          </w:p>
        </w:tc>
        <w:tc>
          <w:tcPr>
            <w:tcW w:w="1920" w:type="dxa"/>
            <w:vAlign w:val="bottom"/>
            <w:shd w:val="clear" w:color="auto" w:fill="EAEFF7"/>
          </w:tcPr>
          <w:p>
            <w:pPr>
              <w:spacing w:after="0"/>
              <w:rPr>
                <w:sz w:val="4"/>
                <w:szCs w:val="4"/>
                <w:color w:val="auto"/>
              </w:rPr>
            </w:pPr>
          </w:p>
        </w:tc>
        <w:tc>
          <w:tcPr>
            <w:tcW w:w="3420" w:type="dxa"/>
            <w:vAlign w:val="bottom"/>
            <w:vMerge w:val="continue"/>
            <w:shd w:val="clear" w:color="auto" w:fill="EAEFF7"/>
          </w:tcPr>
          <w:p>
            <w:pPr>
              <w:spacing w:after="0"/>
              <w:rPr>
                <w:sz w:val="4"/>
                <w:szCs w:val="4"/>
                <w:color w:val="auto"/>
              </w:rPr>
            </w:pP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6"/>
              </w:rPr>
              <w:t>2004</w:t>
            </w: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spacing w:after="0"/>
              <w:rPr>
                <w:sz w:val="12"/>
                <w:szCs w:val="12"/>
                <w:color w:val="auto"/>
              </w:rPr>
            </w:pPr>
          </w:p>
        </w:tc>
        <w:tc>
          <w:tcPr>
            <w:tcW w:w="2480" w:type="dxa"/>
            <w:vAlign w:val="bottom"/>
            <w:vMerge w:val="continue"/>
            <w:shd w:val="clear" w:color="auto" w:fill="EAEFF7"/>
          </w:tcPr>
          <w:p>
            <w:pPr>
              <w:spacing w:after="0"/>
              <w:rPr>
                <w:sz w:val="12"/>
                <w:szCs w:val="12"/>
                <w:color w:val="auto"/>
              </w:rPr>
            </w:pP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vMerge w:val="continue"/>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6"/>
              </w:rPr>
              <w:t>Spinal cord injury</w:t>
            </w:r>
          </w:p>
        </w:tc>
        <w:tc>
          <w:tcPr>
            <w:tcW w:w="2480" w:type="dxa"/>
            <w:vAlign w:val="bottom"/>
            <w:vMerge w:val="restart"/>
          </w:tcPr>
          <w:p>
            <w:pPr>
              <w:jc w:val="center"/>
              <w:ind w:left="77"/>
              <w:spacing w:after="0"/>
              <w:rPr>
                <w:sz w:val="20"/>
                <w:szCs w:val="20"/>
                <w:color w:val="auto"/>
              </w:rPr>
            </w:pPr>
            <w:r>
              <w:rPr>
                <w:rFonts w:ascii="Arial" w:cs="Arial" w:eastAsia="Arial" w:hAnsi="Arial"/>
                <w:sz w:val="13"/>
                <w:szCs w:val="13"/>
                <w:color w:val="auto"/>
                <w:w w:val="93"/>
              </w:rPr>
              <w:t>Trauma</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37"/>
              <w:spacing w:after="0" w:line="143" w:lineRule="exact"/>
              <w:rPr>
                <w:sz w:val="20"/>
                <w:szCs w:val="20"/>
                <w:color w:val="auto"/>
              </w:rPr>
            </w:pPr>
            <w:r>
              <w:rPr>
                <w:rFonts w:ascii="Arial" w:cs="Arial" w:eastAsia="Arial" w:hAnsi="Arial"/>
                <w:sz w:val="13"/>
                <w:szCs w:val="13"/>
                <w:color w:val="auto"/>
                <w:w w:val="96"/>
              </w:rPr>
              <w:t>Promoted neuron survival and axonal regrowth,</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6"/>
              </w:rPr>
              <w:t>Kitamura et. al. 2007</w:t>
            </w:r>
          </w:p>
        </w:tc>
        <w:tc>
          <w:tcPr>
            <w:tcW w:w="0" w:type="dxa"/>
            <w:vAlign w:val="bottom"/>
          </w:tcPr>
          <w:p>
            <w:pPr>
              <w:spacing w:after="0"/>
              <w:rPr>
                <w:sz w:val="1"/>
                <w:szCs w:val="1"/>
                <w:color w:val="auto"/>
              </w:rPr>
            </w:pPr>
          </w:p>
        </w:tc>
      </w:tr>
      <w:tr>
        <w:trPr>
          <w:trHeight w:val="84"/>
        </w:trPr>
        <w:tc>
          <w:tcPr>
            <w:tcW w:w="1400" w:type="dxa"/>
            <w:vAlign w:val="bottom"/>
            <w:vMerge w:val="continue"/>
          </w:tcPr>
          <w:p>
            <w:pPr>
              <w:spacing w:after="0"/>
              <w:rPr>
                <w:sz w:val="7"/>
                <w:szCs w:val="7"/>
                <w:color w:val="auto"/>
              </w:rPr>
            </w:pPr>
          </w:p>
        </w:tc>
        <w:tc>
          <w:tcPr>
            <w:tcW w:w="248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3420" w:type="dxa"/>
            <w:vAlign w:val="bottom"/>
            <w:vMerge w:val="restart"/>
          </w:tcPr>
          <w:p>
            <w:pPr>
              <w:jc w:val="center"/>
              <w:ind w:right="57"/>
              <w:spacing w:after="0"/>
              <w:rPr>
                <w:sz w:val="20"/>
                <w:szCs w:val="20"/>
                <w:color w:val="auto"/>
              </w:rPr>
            </w:pPr>
            <w:r>
              <w:rPr>
                <w:rFonts w:ascii="Arial" w:cs="Arial" w:eastAsia="Arial" w:hAnsi="Arial"/>
                <w:sz w:val="13"/>
                <w:szCs w:val="13"/>
                <w:color w:val="auto"/>
                <w:w w:val="97"/>
              </w:rPr>
              <w:t>improved functional recovery</w:t>
            </w:r>
          </w:p>
        </w:tc>
        <w:tc>
          <w:tcPr>
            <w:tcW w:w="2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400" w:type="dxa"/>
            <w:vAlign w:val="bottom"/>
          </w:tcPr>
          <w:p>
            <w:pPr>
              <w:spacing w:after="0"/>
              <w:rPr>
                <w:sz w:val="5"/>
                <w:szCs w:val="5"/>
                <w:color w:val="auto"/>
              </w:rPr>
            </w:pP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rPr>
              <w:t>(rat)</w:t>
            </w: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40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400" w:type="dxa"/>
            <w:vAlign w:val="bottom"/>
            <w:vMerge w:val="restart"/>
            <w:shd w:val="clear" w:color="auto" w:fill="EAEFF7"/>
          </w:tcPr>
          <w:p>
            <w:pPr>
              <w:jc w:val="center"/>
              <w:spacing w:after="0"/>
              <w:rPr>
                <w:sz w:val="20"/>
                <w:szCs w:val="20"/>
                <w:color w:val="auto"/>
              </w:rPr>
            </w:pPr>
            <w:r>
              <w:rPr>
                <w:rFonts w:ascii="Arial" w:cs="Arial" w:eastAsia="Arial" w:hAnsi="Arial"/>
                <w:sz w:val="13"/>
                <w:szCs w:val="13"/>
                <w:color w:val="auto"/>
              </w:rPr>
              <w:t>MS</w:t>
            </w: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9"/>
              </w:rPr>
              <w:t>EAE</w:t>
            </w:r>
          </w:p>
        </w:tc>
        <w:tc>
          <w:tcPr>
            <w:tcW w:w="1920" w:type="dxa"/>
            <w:vAlign w:val="bottom"/>
            <w:vMerge w:val="restart"/>
            <w:shd w:val="clear" w:color="auto" w:fill="EAEFF7"/>
          </w:tcPr>
          <w:p>
            <w:pPr>
              <w:jc w:val="center"/>
              <w:ind w:left="237"/>
              <w:spacing w:after="0"/>
              <w:rPr>
                <w:sz w:val="20"/>
                <w:szCs w:val="20"/>
                <w:color w:val="auto"/>
              </w:rPr>
            </w:pPr>
            <w:r>
              <w:rPr>
                <w:rFonts w:ascii="Arial" w:cs="Arial" w:eastAsia="Arial" w:hAnsi="Arial"/>
                <w:sz w:val="13"/>
                <w:szCs w:val="13"/>
                <w:color w:val="auto"/>
                <w:w w:val="97"/>
              </w:rPr>
              <w:t>Injection of HGF protein</w:t>
            </w:r>
          </w:p>
        </w:tc>
        <w:tc>
          <w:tcPr>
            <w:tcW w:w="3420" w:type="dxa"/>
            <w:vAlign w:val="bottom"/>
            <w:shd w:val="clear" w:color="auto" w:fill="EAEFF7"/>
          </w:tcPr>
          <w:p>
            <w:pPr>
              <w:jc w:val="center"/>
              <w:ind w:right="57"/>
              <w:spacing w:after="0" w:line="143" w:lineRule="exact"/>
              <w:rPr>
                <w:sz w:val="20"/>
                <w:szCs w:val="20"/>
                <w:color w:val="auto"/>
              </w:rPr>
            </w:pPr>
            <w:r>
              <w:rPr>
                <w:rFonts w:ascii="Arial" w:cs="Arial" w:eastAsia="Arial" w:hAnsi="Arial"/>
                <w:sz w:val="13"/>
                <w:szCs w:val="13"/>
                <w:color w:val="auto"/>
                <w:w w:val="96"/>
              </w:rPr>
              <w:t>Promoted remyelination of damaged axons, improved</w:t>
            </w: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6"/>
              </w:rPr>
              <w:t>Bai et al., 2012</w:t>
            </w:r>
          </w:p>
        </w:tc>
        <w:tc>
          <w:tcPr>
            <w:tcW w:w="0" w:type="dxa"/>
            <w:vAlign w:val="bottom"/>
          </w:tcPr>
          <w:p>
            <w:pPr>
              <w:spacing w:after="0"/>
              <w:rPr>
                <w:sz w:val="1"/>
                <w:szCs w:val="1"/>
                <w:color w:val="auto"/>
              </w:rPr>
            </w:pPr>
          </w:p>
        </w:tc>
      </w:tr>
      <w:tr>
        <w:trPr>
          <w:trHeight w:val="84"/>
        </w:trPr>
        <w:tc>
          <w:tcPr>
            <w:tcW w:w="1400" w:type="dxa"/>
            <w:vAlign w:val="bottom"/>
            <w:vMerge w:val="continue"/>
            <w:shd w:val="clear" w:color="auto" w:fill="EAEFF7"/>
          </w:tcPr>
          <w:p>
            <w:pPr>
              <w:spacing w:after="0"/>
              <w:rPr>
                <w:sz w:val="7"/>
                <w:szCs w:val="7"/>
                <w:color w:val="auto"/>
              </w:rPr>
            </w:pPr>
          </w:p>
        </w:tc>
        <w:tc>
          <w:tcPr>
            <w:tcW w:w="2480" w:type="dxa"/>
            <w:vAlign w:val="bottom"/>
            <w:vMerge w:val="continue"/>
            <w:shd w:val="clear" w:color="auto" w:fill="EAEFF7"/>
          </w:tcPr>
          <w:p>
            <w:pPr>
              <w:spacing w:after="0"/>
              <w:rPr>
                <w:sz w:val="7"/>
                <w:szCs w:val="7"/>
                <w:color w:val="auto"/>
              </w:rPr>
            </w:pPr>
          </w:p>
        </w:tc>
        <w:tc>
          <w:tcPr>
            <w:tcW w:w="1920" w:type="dxa"/>
            <w:vAlign w:val="bottom"/>
            <w:vMerge w:val="continue"/>
            <w:shd w:val="clear" w:color="auto" w:fill="EAEFF7"/>
          </w:tcPr>
          <w:p>
            <w:pPr>
              <w:spacing w:after="0"/>
              <w:rPr>
                <w:sz w:val="7"/>
                <w:szCs w:val="7"/>
                <w:color w:val="auto"/>
              </w:rPr>
            </w:pPr>
          </w:p>
        </w:tc>
        <w:tc>
          <w:tcPr>
            <w:tcW w:w="3420" w:type="dxa"/>
            <w:vAlign w:val="bottom"/>
            <w:vMerge w:val="restart"/>
            <w:shd w:val="clear" w:color="auto" w:fill="EAEFF7"/>
          </w:tcPr>
          <w:p>
            <w:pPr>
              <w:jc w:val="center"/>
              <w:ind w:right="57"/>
              <w:spacing w:after="0" w:line="141" w:lineRule="exact"/>
              <w:rPr>
                <w:sz w:val="20"/>
                <w:szCs w:val="20"/>
                <w:color w:val="auto"/>
              </w:rPr>
            </w:pPr>
            <w:r>
              <w:rPr>
                <w:rFonts w:ascii="Arial" w:cs="Arial" w:eastAsia="Arial" w:hAnsi="Arial"/>
                <w:sz w:val="13"/>
                <w:szCs w:val="13"/>
                <w:color w:val="auto"/>
                <w:w w:val="96"/>
              </w:rPr>
              <w:t>clinical scoring</w:t>
            </w:r>
          </w:p>
        </w:tc>
        <w:tc>
          <w:tcPr>
            <w:tcW w:w="2020" w:type="dxa"/>
            <w:vAlign w:val="bottom"/>
            <w:vMerge w:val="continue"/>
            <w:shd w:val="clear" w:color="auto" w:fill="EAEFF7"/>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400" w:type="dxa"/>
            <w:vAlign w:val="bottom"/>
            <w:shd w:val="clear" w:color="auto" w:fill="EAEFF7"/>
          </w:tcPr>
          <w:p>
            <w:pPr>
              <w:spacing w:after="0"/>
              <w:rPr>
                <w:sz w:val="4"/>
                <w:szCs w:val="4"/>
                <w:color w:val="auto"/>
              </w:rPr>
            </w:pP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6"/>
              </w:rPr>
              <w:t>(mouse)</w:t>
            </w:r>
          </w:p>
        </w:tc>
        <w:tc>
          <w:tcPr>
            <w:tcW w:w="1920" w:type="dxa"/>
            <w:vAlign w:val="bottom"/>
            <w:shd w:val="clear" w:color="auto" w:fill="EAEFF7"/>
          </w:tcPr>
          <w:p>
            <w:pPr>
              <w:spacing w:after="0"/>
              <w:rPr>
                <w:sz w:val="4"/>
                <w:szCs w:val="4"/>
                <w:color w:val="auto"/>
              </w:rPr>
            </w:pPr>
          </w:p>
        </w:tc>
        <w:tc>
          <w:tcPr>
            <w:tcW w:w="3420" w:type="dxa"/>
            <w:vAlign w:val="bottom"/>
            <w:vMerge w:val="continue"/>
            <w:shd w:val="clear" w:color="auto" w:fill="EAEFF7"/>
          </w:tcPr>
          <w:p>
            <w:pPr>
              <w:spacing w:after="0"/>
              <w:rPr>
                <w:sz w:val="4"/>
                <w:szCs w:val="4"/>
                <w:color w:val="auto"/>
              </w:rPr>
            </w:pPr>
          </w:p>
        </w:tc>
        <w:tc>
          <w:tcPr>
            <w:tcW w:w="2020" w:type="dxa"/>
            <w:vAlign w:val="bottom"/>
            <w:shd w:val="clear" w:color="auto" w:fill="EAEFF7"/>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spacing w:after="0"/>
              <w:rPr>
                <w:sz w:val="12"/>
                <w:szCs w:val="12"/>
                <w:color w:val="auto"/>
              </w:rPr>
            </w:pPr>
          </w:p>
        </w:tc>
        <w:tc>
          <w:tcPr>
            <w:tcW w:w="2480" w:type="dxa"/>
            <w:vAlign w:val="bottom"/>
            <w:vMerge w:val="continue"/>
            <w:shd w:val="clear" w:color="auto" w:fill="EAEFF7"/>
          </w:tcPr>
          <w:p>
            <w:pPr>
              <w:spacing w:after="0"/>
              <w:rPr>
                <w:sz w:val="12"/>
                <w:szCs w:val="12"/>
                <w:color w:val="auto"/>
              </w:rPr>
            </w:pP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00" w:type="dxa"/>
            <w:vAlign w:val="bottom"/>
          </w:tcPr>
          <w:p>
            <w:pPr>
              <w:spacing w:after="0"/>
              <w:rPr>
                <w:sz w:val="12"/>
                <w:szCs w:val="12"/>
                <w:color w:val="auto"/>
              </w:rPr>
            </w:pP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w w:val="96"/>
              </w:rPr>
              <w:t>Nerve crush</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57"/>
              <w:spacing w:after="0" w:line="143" w:lineRule="exact"/>
              <w:rPr>
                <w:sz w:val="20"/>
                <w:szCs w:val="20"/>
                <w:color w:val="auto"/>
              </w:rPr>
            </w:pPr>
            <w:r>
              <w:rPr>
                <w:rFonts w:ascii="Arial" w:cs="Arial" w:eastAsia="Arial" w:hAnsi="Arial"/>
                <w:sz w:val="13"/>
                <w:szCs w:val="13"/>
                <w:color w:val="auto"/>
                <w:w w:val="97"/>
              </w:rPr>
              <w:t>Promoted regeneration of nerve tissue by recruitment</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6"/>
              </w:rPr>
              <w:t>Peripheral neuropathy</w:t>
            </w:r>
          </w:p>
        </w:tc>
        <w:tc>
          <w:tcPr>
            <w:tcW w:w="248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3420" w:type="dxa"/>
            <w:vAlign w:val="bottom"/>
            <w:vMerge w:val="restart"/>
          </w:tcPr>
          <w:p>
            <w:pPr>
              <w:jc w:val="center"/>
              <w:ind w:right="57"/>
              <w:spacing w:after="0"/>
              <w:rPr>
                <w:sz w:val="20"/>
                <w:szCs w:val="20"/>
                <w:color w:val="auto"/>
              </w:rPr>
            </w:pPr>
            <w:r>
              <w:rPr>
                <w:rFonts w:ascii="Arial" w:cs="Arial" w:eastAsia="Arial" w:hAnsi="Arial"/>
                <w:sz w:val="13"/>
                <w:szCs w:val="13"/>
                <w:color w:val="auto"/>
                <w:w w:val="97"/>
              </w:rPr>
              <w:t>of Schwann cells and remyelination</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5"/>
              </w:rPr>
              <w:t>Ko et al., 2018</w:t>
            </w:r>
          </w:p>
        </w:tc>
        <w:tc>
          <w:tcPr>
            <w:tcW w:w="0" w:type="dxa"/>
            <w:vAlign w:val="bottom"/>
          </w:tcPr>
          <w:p>
            <w:pPr>
              <w:spacing w:after="0"/>
              <w:rPr>
                <w:sz w:val="1"/>
                <w:szCs w:val="1"/>
                <w:color w:val="auto"/>
              </w:rPr>
            </w:pPr>
          </w:p>
        </w:tc>
      </w:tr>
      <w:tr>
        <w:trPr>
          <w:trHeight w:val="64"/>
        </w:trPr>
        <w:tc>
          <w:tcPr>
            <w:tcW w:w="1400" w:type="dxa"/>
            <w:vAlign w:val="bottom"/>
            <w:vMerge w:val="continue"/>
          </w:tcPr>
          <w:p>
            <w:pPr>
              <w:spacing w:after="0"/>
              <w:rPr>
                <w:sz w:val="5"/>
                <w:szCs w:val="5"/>
                <w:color w:val="auto"/>
              </w:rPr>
            </w:pPr>
          </w:p>
        </w:tc>
        <w:tc>
          <w:tcPr>
            <w:tcW w:w="24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2480"/>
        <w:spacing w:after="0"/>
        <w:rPr>
          <w:sz w:val="20"/>
          <w:szCs w:val="20"/>
          <w:color w:val="auto"/>
        </w:rPr>
      </w:pPr>
      <w:r>
        <w:rPr>
          <w:rFonts w:ascii="Arial" w:cs="Arial" w:eastAsia="Arial" w:hAnsi="Arial"/>
          <w:sz w:val="13"/>
          <w:szCs w:val="13"/>
          <w:color w:val="auto"/>
        </w:rPr>
        <w:t>(mouse)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i w:val="1"/>
          <w:iCs w:val="1"/>
          <w:color w:val="auto"/>
        </w:rPr>
        <w:t>6-OHDA: 6-hydroxydopamine; BDNF: brain-derived neurotrophic factor; EAE: experimental autoimmune encephalomyelitis</w:t>
      </w:r>
    </w:p>
    <w:p>
      <w:pPr>
        <w:spacing w:after="0" w:line="217" w:lineRule="exact"/>
        <w:rPr>
          <w:sz w:val="20"/>
          <w:szCs w:val="20"/>
          <w:color w:val="auto"/>
        </w:rPr>
      </w:pPr>
    </w:p>
    <w:p>
      <w:pPr>
        <w:ind w:right="320" w:firstLine="576"/>
        <w:spacing w:after="0" w:line="238" w:lineRule="auto"/>
        <w:rPr>
          <w:sz w:val="20"/>
          <w:szCs w:val="20"/>
          <w:color w:val="auto"/>
        </w:rPr>
      </w:pPr>
      <w:r>
        <w:rPr>
          <w:rFonts w:ascii="Arial" w:cs="Arial" w:eastAsia="Arial" w:hAnsi="Arial"/>
          <w:sz w:val="18"/>
          <w:szCs w:val="18"/>
          <w:color w:val="auto"/>
        </w:rPr>
        <w:t>As demonstrated by these studies, HGF/MET has long been known as a promising therapeutic target for CNS disorders, but the delivery of large proteins or gene therapy to the CNS to augment HGF/MET has been problematic and fraught with challenges. These approaches are not BBB-penetrating and require invasive methods to deliver to the CNS, which increases the risk of an immune reaction. Further, they are also expensive and more challenging to scale which might limit their availability to patients.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Challenges with Approved and Traditional Neuronal and AD Therapy Approaches</w:t>
      </w:r>
    </w:p>
    <w:p>
      <w:pPr>
        <w:spacing w:after="0" w:line="126"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The development of neuronal therapies presents unique challenges including: an imperfect understanding of the biology, the presence of the BBB that restricts the flow of drugs to the brain, and a lack of translatability of preclinical study results in human trials. Currently approved neuronal therapies have limited efficacy, poor side effect profiles, and minimal impact on quality of life. There remains an urgent need for new and novel approaches to address most neuronal disorders including progressive and severe conditions such as AD, PDD, MS, and others.</w:t>
      </w:r>
    </w:p>
    <w:p>
      <w:pPr>
        <w:spacing w:after="0" w:line="202"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Specific to AD, each of the currently approved therapies only works on a single neurotransmitter target with limited and transient effects on cognition and low tolerability, which negatively impacts compliance and minimally reduces the caregiver burden. Other therapies in development that target a slowdown in disease progression have a marginal benefit on clinical decline and are mainly focused on mild cognitive impairment, or MCI, and early-mild AD, and lack any immediate benefit in reducing the burden on people impacted by the disease. These approaches rely on the body’s repair mechanisms, which may be damaged, and do not promote additional activation of regenerative pathways. This can lead to variability of treatment outcomes and longer clinical development timelines.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6" w:name="page117"/>
    <w:bookmarkEnd w:id="116"/>
    <w:p>
      <w:pPr>
        <w:ind w:firstLine="576"/>
        <w:spacing w:after="0" w:line="237" w:lineRule="auto"/>
        <w:rPr>
          <w:sz w:val="20"/>
          <w:szCs w:val="20"/>
          <w:color w:val="auto"/>
        </w:rPr>
      </w:pPr>
      <w:r>
        <w:rPr>
          <w:rFonts w:ascii="Arial" w:cs="Arial" w:eastAsia="Arial" w:hAnsi="Arial"/>
          <w:sz w:val="18"/>
          <w:szCs w:val="18"/>
          <w:color w:val="auto"/>
        </w:rPr>
        <w:t>Further complicating drug development in AD has been the lack of utilization of biomarkers and measures that are able to detect early signs of efficacy and find promising candidates to take forward into larger trials. These methods have revolutionized clinical research in oncology and other therapeutic areas, but traditionally not in AD. Historically, AD testing in clinical trials has relied heavily on imaging techniques to assess changes in amyloid PET scans over several years, creating enormous costs and elongated timelines for the development process while not showing any direct correlation to cognitive functional improvement. We believe that these traditional methods can be replaced or supplemented by the use of rapid, non-invasive markers of brain activity and cognitive processing, like EEG and ERP.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Differentiated Approach</w:t>
      </w:r>
    </w:p>
    <w:p>
      <w:pPr>
        <w:spacing w:after="0" w:line="126"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We believe our ATH platform of small molecules will promote neuronal health and function through stimulating the HGF/MET system. Our small molecules are BBB-penetrating, can be delivered non-invasively, have very low risk of an immune reaction and are more cost efficient to manufacture and distribute. Boosting the HGF/MET system leads to the following primary downstream effects:</w:t>
      </w:r>
    </w:p>
    <w:p>
      <w:pPr>
        <w:spacing w:after="0" w:line="77" w:lineRule="exact"/>
        <w:rPr>
          <w:sz w:val="20"/>
          <w:szCs w:val="20"/>
          <w:color w:val="auto"/>
        </w:rPr>
      </w:pPr>
    </w:p>
    <w:p>
      <w:pPr>
        <w:ind w:left="1300" w:hanging="442"/>
        <w:spacing w:after="0" w:line="245"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Modulation of NMDA neurotransmitter system by enhancing synaptic localization and signaling</w:t>
      </w:r>
      <w:r>
        <w:rPr>
          <w:rFonts w:ascii="Arial" w:cs="Arial" w:eastAsia="Arial" w:hAnsi="Arial"/>
          <w:sz w:val="18"/>
          <w:szCs w:val="18"/>
          <w:color w:val="auto"/>
        </w:rPr>
        <w:t>, leading to a rapid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brain network function. The NMDA receptor plays a key role in memory and learning. Other approaches work directly on the NMDA receptors and lack the specificity to modulate the NMDA receptor to the synaptic cleft, which is required to increase transmission of brain signals.</w:t>
      </w:r>
    </w:p>
    <w:p>
      <w:pPr>
        <w:spacing w:after="0" w:line="180" w:lineRule="exact"/>
        <w:rPr>
          <w:rFonts w:ascii="Arial" w:cs="Arial" w:eastAsia="Arial" w:hAnsi="Arial"/>
          <w:sz w:val="18"/>
          <w:szCs w:val="18"/>
          <w:color w:val="auto"/>
        </w:rPr>
      </w:pPr>
    </w:p>
    <w:p>
      <w:pPr>
        <w:ind w:left="1300" w:right="100" w:hanging="442"/>
        <w:spacing w:after="0" w:line="250"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Restoration of traditional neuronal growth factor pathways </w:t>
      </w:r>
      <w:r>
        <w:rPr>
          <w:rFonts w:ascii="Arial" w:cs="Arial" w:eastAsia="Arial" w:hAnsi="Arial"/>
          <w:sz w:val="18"/>
          <w:szCs w:val="18"/>
          <w:color w:val="auto"/>
        </w:rPr>
        <w:t>that are critical to neuronal survival, and activate brain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that reduce oxidative stress, which is expected to reduce damage and slow down disease progression and improve network activity. Many therapies in development are focused only on slowing disease progression.</w:t>
      </w:r>
    </w:p>
    <w:p>
      <w:pPr>
        <w:spacing w:after="0" w:line="176" w:lineRule="exact"/>
        <w:rPr>
          <w:rFonts w:ascii="Arial" w:cs="Arial" w:eastAsia="Arial" w:hAnsi="Arial"/>
          <w:sz w:val="18"/>
          <w:szCs w:val="18"/>
          <w:color w:val="auto"/>
        </w:rPr>
      </w:pPr>
    </w:p>
    <w:p>
      <w:pPr>
        <w:ind w:left="1300" w:right="140" w:hanging="442"/>
        <w:spacing w:after="0" w:line="267"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Improvement in cerebral blood flow, as well as reducing inflammation </w:t>
      </w:r>
      <w:r>
        <w:rPr>
          <w:rFonts w:ascii="Arial" w:cs="Arial" w:eastAsia="Arial" w:hAnsi="Arial"/>
          <w:sz w:val="18"/>
          <w:szCs w:val="18"/>
          <w:color w:val="auto"/>
        </w:rPr>
        <w:t>by modulating inflammatory cytokine expression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glia. Many other therapies only have a single mode of activity.</w:t>
      </w:r>
    </w:p>
    <w:p>
      <w:pPr>
        <w:spacing w:after="0" w:line="178" w:lineRule="exact"/>
        <w:rPr>
          <w:sz w:val="20"/>
          <w:szCs w:val="20"/>
          <w:color w:val="auto"/>
        </w:rPr>
      </w:pPr>
    </w:p>
    <w:p>
      <w:pPr>
        <w:jc w:val="both"/>
        <w:ind w:right="340" w:firstLine="576"/>
        <w:spacing w:after="0"/>
        <w:rPr>
          <w:sz w:val="20"/>
          <w:szCs w:val="20"/>
          <w:color w:val="auto"/>
        </w:rPr>
      </w:pPr>
      <w:r>
        <w:rPr>
          <w:rFonts w:ascii="Arial" w:cs="Arial" w:eastAsia="Arial" w:hAnsi="Arial"/>
          <w:sz w:val="18"/>
          <w:szCs w:val="18"/>
          <w:color w:val="auto"/>
        </w:rPr>
        <w:t>These factors positively impact neuronal health and function, not only by slowing down disease progression but also by improving brain network activity and function. We believe these effects position Athira, and initially ATH-1017, to address the complex pathology in neurodegenerative diseases.</w:t>
      </w:r>
    </w:p>
    <w:p>
      <w:pPr>
        <w:spacing w:after="0" w:line="203" w:lineRule="exact"/>
        <w:rPr>
          <w:sz w:val="20"/>
          <w:szCs w:val="20"/>
          <w:color w:val="auto"/>
        </w:rPr>
      </w:pPr>
    </w:p>
    <w:p>
      <w:pPr>
        <w:ind w:right="180" w:firstLine="576"/>
        <w:spacing w:after="0" w:line="246" w:lineRule="auto"/>
        <w:rPr>
          <w:sz w:val="20"/>
          <w:szCs w:val="20"/>
          <w:color w:val="auto"/>
        </w:rPr>
      </w:pPr>
      <w:r>
        <w:rPr>
          <w:rFonts w:ascii="Arial" w:cs="Arial" w:eastAsia="Arial" w:hAnsi="Arial"/>
          <w:sz w:val="18"/>
          <w:szCs w:val="18"/>
          <w:color w:val="auto"/>
        </w:rPr>
        <w:t>We have designed ATH-1017 to enhance the ability of HGF to activate MET. This substantially increases MET activation levels, and amplifies the beneficial effects downstream of the HGF/MET system.</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17" w:name="page118"/>
    <w:bookmarkEnd w:id="117"/>
    <w:p>
      <w:pPr>
        <w:ind w:firstLine="576"/>
        <w:spacing w:after="0" w:line="267" w:lineRule="auto"/>
        <w:rPr>
          <w:sz w:val="20"/>
          <w:szCs w:val="20"/>
          <w:color w:val="auto"/>
        </w:rPr>
      </w:pPr>
      <w:r>
        <w:rPr>
          <w:rFonts w:ascii="Arial" w:cs="Arial" w:eastAsia="Arial" w:hAnsi="Arial"/>
          <w:sz w:val="18"/>
          <w:szCs w:val="18"/>
          <w:i w:val="1"/>
          <w:iCs w:val="1"/>
          <w:color w:val="auto"/>
        </w:rPr>
        <w:t>Figure 5. Our ATH Small Molecule Candidates Enhance the HGF/MET System and Promote Multiple Beneficial Effects with the Potential to Improve Connectivity and Brain Function in Neurodegenerative Diseases.</w:t>
      </w:r>
    </w:p>
    <w:p>
      <w:pPr>
        <w:spacing w:after="0" w:line="156"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HGF Activity is Responsible for Healthy Brain Function and Is Reduced in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148590</wp:posOffset>
            </wp:positionV>
            <wp:extent cx="4663440" cy="62750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663440" cy="6275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00"/>
          </w:cols>
          <w:pgMar w:left="320" w:top="688" w:right="879" w:bottom="1440" w:gutter="0" w:footer="0" w:header="0"/>
        </w:sectPr>
      </w:pPr>
    </w:p>
    <w:bookmarkStart w:id="118" w:name="page119"/>
    <w:bookmarkEnd w:id="118"/>
    <w:p>
      <w:pPr>
        <w:jc w:val="center"/>
        <w:ind w:right="-179"/>
        <w:spacing w:after="0"/>
        <w:rPr>
          <w:sz w:val="20"/>
          <w:szCs w:val="20"/>
          <w:color w:val="auto"/>
        </w:rPr>
      </w:pPr>
      <w:r>
        <w:rPr>
          <w:rFonts w:ascii="Arial" w:cs="Arial" w:eastAsia="Arial" w:hAnsi="Arial"/>
          <w:sz w:val="18"/>
          <w:szCs w:val="18"/>
          <w:b w:val="1"/>
          <w:bCs w:val="1"/>
          <w:color w:val="auto"/>
        </w:rPr>
        <w:t>ATH-1017 Enhances HGF Activity to Promote Brain Health and Neuronal Regeneration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148590</wp:posOffset>
            </wp:positionV>
            <wp:extent cx="4337685" cy="62750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37685" cy="6275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Brain networks are comprised of connected neurons. By enhancing neuron health and function ATH helps to restore brain networks. Improved Connectivity and Brain Function Neuron Microglia Capillary Regulates Immune System ATH Promotes Neuronal Health Supports Vascular Function ATH enhances HGF activity Neurons are connected and communicate through synapses. ATH enhances the function of synapses to promote neural activity. ATH interacts with HGF and MET on the surface of cells to promote</w:t>
      </w: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576" w:right="499" w:bottom="1440" w:gutter="0" w:footer="0" w:header="0"/>
        </w:sectPr>
      </w:pPr>
    </w:p>
    <w:bookmarkStart w:id="119" w:name="page120"/>
    <w:bookmarkEnd w:id="119"/>
    <w:p>
      <w:pPr>
        <w:ind w:right="340"/>
        <w:spacing w:after="0"/>
        <w:rPr>
          <w:sz w:val="20"/>
          <w:szCs w:val="20"/>
          <w:color w:val="auto"/>
        </w:rPr>
      </w:pPr>
      <w:r>
        <w:rPr>
          <w:rFonts w:ascii="Arial" w:cs="Arial" w:eastAsia="Arial" w:hAnsi="Arial"/>
          <w:sz w:val="18"/>
          <w:szCs w:val="18"/>
          <w:color w:val="auto"/>
        </w:rPr>
        <w:t>MET activation ATH NMDA Receptor Synaptic cleft Increaased synaptic localization and activation of NMDA receptors MET Promotion of neuronal signaling pathways Enhanced survival and repair of neuronal damage Improved neuronal function and memory formation Formation of new neuronal connections (synapses)</w:t>
      </w:r>
    </w:p>
    <w:p>
      <w:pPr>
        <w:spacing w:after="0" w:line="243" w:lineRule="exact"/>
        <w:rPr>
          <w:sz w:val="20"/>
          <w:szCs w:val="20"/>
          <w:color w:val="auto"/>
        </w:rPr>
      </w:pPr>
    </w:p>
    <w:p>
      <w:pPr>
        <w:ind w:right="460" w:firstLine="576"/>
        <w:spacing w:after="0" w:line="237" w:lineRule="auto"/>
        <w:rPr>
          <w:sz w:val="20"/>
          <w:szCs w:val="20"/>
          <w:color w:val="auto"/>
        </w:rPr>
      </w:pPr>
      <w:r>
        <w:rPr>
          <w:rFonts w:ascii="Arial" w:cs="Arial" w:eastAsia="Arial" w:hAnsi="Arial"/>
          <w:sz w:val="18"/>
          <w:szCs w:val="18"/>
          <w:color w:val="auto"/>
        </w:rPr>
        <w:t>By promoting endogenous pro-survival and regenerative mechanisms orchestrated by HGF/MET signaling, our ATH platform represents a novel path to treat AD and neurodegeneration using a systemic approach. Activation of the HGF/MET system captures the modulation of the NMDA neurotransmitter pathway. Modulation of neurotransmitter systems serves as the basis for the four currently approved AD drugs. However, unlike these currently approved AD drugs, ATH-1017 is designed to also activate regenerative and anti-inflammatory pathways. Figure 6 below illustrates the typical timing of the different beneficial effects as an outcome of activating the HGF/MET system.</w:t>
      </w:r>
    </w:p>
    <w:p>
      <w:pPr>
        <w:spacing w:after="0" w:line="187"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i w:val="1"/>
          <w:iCs w:val="1"/>
          <w:color w:val="auto"/>
        </w:rPr>
        <w:t xml:space="preserve">Figure 6. Our ATH Candidates Promote the HGF/MET System Which May Lead to Both Rapid and Long-term Beneficial Effects. </w:t>
      </w:r>
      <w:r>
        <w:rPr>
          <w:rFonts w:ascii="Arial" w:cs="Arial" w:eastAsia="Arial" w:hAnsi="Arial"/>
          <w:sz w:val="18"/>
          <w:szCs w:val="18"/>
          <w:color w:val="auto"/>
        </w:rPr>
        <w:t>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that following administration of ATH-1017, the HGF/MET system will activate and lead to several downstream effects. We anticipate that these effects may rapidly boost cognition with multiple regenerative mechanisms and lead to a stable and sustained recovery of the brain network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127000</wp:posOffset>
            </wp:positionV>
            <wp:extent cx="5349240" cy="2074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34924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20" w:firstLine="576"/>
        <w:spacing w:after="0" w:line="246" w:lineRule="auto"/>
        <w:rPr>
          <w:sz w:val="20"/>
          <w:szCs w:val="20"/>
          <w:color w:val="auto"/>
        </w:rPr>
      </w:pPr>
      <w:r>
        <w:rPr>
          <w:rFonts w:ascii="Arial" w:cs="Arial" w:eastAsia="Arial" w:hAnsi="Arial"/>
          <w:sz w:val="18"/>
          <w:szCs w:val="18"/>
          <w:color w:val="auto"/>
        </w:rPr>
        <w:t>For therapeutic applications in CNS disorders, particularly AD, treatments that target neuronal growth factors can potentially accomplish several therapeutic goals including rapid cognitive improvement and sustained neuroprotective effects.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Highly Translatable and Predictive Measures to Guide Clinical Development</w:t>
      </w:r>
    </w:p>
    <w:p>
      <w:pPr>
        <w:spacing w:after="0" w:line="126" w:lineRule="exact"/>
        <w:rPr>
          <w:sz w:val="20"/>
          <w:szCs w:val="20"/>
          <w:color w:val="auto"/>
        </w:rPr>
      </w:pPr>
    </w:p>
    <w:p>
      <w:pPr>
        <w:ind w:right="360" w:firstLine="576"/>
        <w:spacing w:after="0" w:line="238" w:lineRule="auto"/>
        <w:rPr>
          <w:sz w:val="20"/>
          <w:szCs w:val="20"/>
          <w:color w:val="auto"/>
        </w:rPr>
      </w:pPr>
      <w:r>
        <w:rPr>
          <w:rFonts w:ascii="Arial" w:cs="Arial" w:eastAsia="Arial" w:hAnsi="Arial"/>
          <w:sz w:val="18"/>
          <w:szCs w:val="18"/>
          <w:color w:val="auto"/>
        </w:rPr>
        <w:t>We believe EEG and ERP have the potential to revolutionize the paradigm in AD clinical trials. EEG and ERP methods are highly translatable and predictive measures that can guide clinical dose decisions and provide predictable measures of potential clinical benefit. These methods focus on changes in cognition and function, can result in more efficient and cost-effective clinical trials, and potentially provide an accelerated development path compared to traditional AD drug development programs.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EEG and ERP Methods Reflect Brain Activity and Function</w:t>
      </w:r>
    </w:p>
    <w:p>
      <w:pPr>
        <w:spacing w:after="0" w:line="122"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Our focused drug development approach aims to understand the potential clinical benefit of a product candidate at the early stages of clinical development by utilizing EEG and ERP methods. Commonly used in clinical research and clinical practice, EEG and ERP methods provide valuable insight into cognitive function, but have been largely overlooked in AD clinical trials. At Athira, we are innovatively using these non-invasive methods to gain early insight into potential therapeutic effects. Improvement in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20" w:name="page121"/>
    <w:bookmarkEnd w:id="120"/>
    <w:p>
      <w:pPr>
        <w:ind w:right="80"/>
        <w:spacing w:after="0" w:line="237" w:lineRule="auto"/>
        <w:rPr>
          <w:sz w:val="20"/>
          <w:szCs w:val="20"/>
          <w:color w:val="auto"/>
        </w:rPr>
      </w:pPr>
      <w:r>
        <w:rPr>
          <w:rFonts w:ascii="Arial" w:cs="Arial" w:eastAsia="Arial" w:hAnsi="Arial"/>
          <w:sz w:val="18"/>
          <w:szCs w:val="18"/>
          <w:color w:val="auto"/>
        </w:rPr>
        <w:t>the brain network, as well as changes in neurotransmitter activity, can be captured in the electrical activity of the brain. EEG methods measure the brain’s electrical activity from electrodes on the scalp. This noninvasive look at brain activity is highly informative and can give insight into the brain penetration and neuroactivity of therapeutics directed to the brain. EEG is a measure of the brain at rest, while ERP is measured from the same electrodes but only arises in response to a task-related stimulus. EEG/ERP methods can give substantial insight into the overall brain health and connectivity, as these measures are significantly altered in disorders that lead to cognitive impairment, such as AD. Certain EEG/ERP components are valuable measures of cognition, such as quantitative EEG, or qEEG, an assessment of high frequency gamma power brain waves, and the P300 latency component of ERP.</w:t>
      </w:r>
    </w:p>
    <w:p>
      <w:pPr>
        <w:spacing w:after="0" w:line="203"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For ATH-1017, we incorporated a variety of translatable tools and measures into our clinical development plan. These measures, including both qEEG and P300 latency, have guided dose selection and provided predictive measures of cognitive improvement. By focusing on these direct measures of brain activity and cognition, we believe we will be able to more efficiently develop ATH-1017 for treatment of AD and broader dementia.</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Electroencephalogram: qEEG</w:t>
      </w:r>
    </w:p>
    <w:p>
      <w:pPr>
        <w:spacing w:after="0" w:line="122"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EEG is a way to measure the electrical activity of the brain using small electrodes placed on the scalp. Neurons communicate and perform all functions using electrical impulses. EEG captures this electrical activity through the scalp and displays these electrical impulses as waves, as illustrated in Figure 7 below. The electrical activity will present at different frequencies or waves which provide various insights into neuronal health. We are most focused on the faster, higher frequency gamma waves which are associated with learning, memory formation and higher cognitive functions. qEEG is a method to quantitatively determine the amount of electrical signal that resides in each waveform, often described as power.</w:t>
      </w:r>
    </w:p>
    <w:p>
      <w:pPr>
        <w:spacing w:after="0" w:line="29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7. Noninvasive EEG Recordings Reflect Brain Activity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146050</wp:posOffset>
            </wp:positionV>
            <wp:extent cx="4603115" cy="32575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60311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90" w:right="399" w:bottom="1440" w:gutter="0" w:footer="0" w:header="0"/>
        </w:sectPr>
      </w:pPr>
    </w:p>
    <w:bookmarkStart w:id="121" w:name="page122"/>
    <w:bookmarkEnd w:id="121"/>
    <w:p>
      <w:pPr>
        <w:ind w:firstLine="576"/>
        <w:spacing w:after="0" w:line="253" w:lineRule="auto"/>
        <w:rPr>
          <w:sz w:val="20"/>
          <w:szCs w:val="20"/>
          <w:color w:val="auto"/>
        </w:rPr>
      </w:pPr>
      <w:r>
        <w:rPr>
          <w:rFonts w:ascii="Arial" w:cs="Arial" w:eastAsia="Arial" w:hAnsi="Arial"/>
          <w:sz w:val="17"/>
          <w:szCs w:val="17"/>
          <w:color w:val="auto"/>
        </w:rPr>
        <w:t>Changes in qEEG power or shifts in the amount of activity in each waveform can be caused by several factors including response to stimulus, cognitive state (healthy or dementia), and CNS-directed therapies. Because qEEG is a non-invasive direct measure of brain activity, it represents a valuable tool for investigating therapies in AD and broader dementia. Changes in qEEG signals following administration of therapies targeting the brain indicate the therapy has reached the brain and likely engaged the intended target. Additionally, AD subjects present a general slowing of qEEG, where activity in higher frequency waves, such as gamma, is reduced. If therapies can reverse this pattern in AD, and increase gamma power, this may suggest treatment has helped improve brain activity. We utilized qEEG in our ATH-1017 Phase 1 clinical trial in healthy young, healthy elderly, and AD subjects as a measure of CNS penetration and target engagement.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Event-related Potential: P300</w:t>
      </w:r>
    </w:p>
    <w:p>
      <w:pPr>
        <w:spacing w:after="0" w:line="122"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ERP refers to changes in the electrical activity of the brain in response to external stimuli. Recording brain activity while a subject is presented with a task reveals neural activity related to cognitive processing. Presenting subjects with a stimulus associated with a task, such as counting specific tones within a sequence, induces a series of electrical peaks that represent cognitive processing and memory access</w:t>
      </w:r>
      <w:r>
        <w:rPr>
          <w:rFonts w:ascii="Arial" w:cs="Arial" w:eastAsia="Arial" w:hAnsi="Arial"/>
          <w:sz w:val="18"/>
          <w:szCs w:val="18"/>
          <w:i w:val="1"/>
          <w:iCs w:val="1"/>
          <w:color w:val="auto"/>
        </w:rPr>
        <w:t>.</w:t>
      </w:r>
      <w:r>
        <w:rPr>
          <w:rFonts w:ascii="Arial" w:cs="Arial" w:eastAsia="Arial" w:hAnsi="Arial"/>
          <w:sz w:val="18"/>
          <w:szCs w:val="18"/>
          <w:color w:val="auto"/>
        </w:rPr>
        <w:t xml:space="preserve"> P300 is the peak positive signal which is reported to typically arise 300 milliseconds after a tone stimulus and is the most studied component of the ERP waveform.</w:t>
      </w:r>
    </w:p>
    <w:p>
      <w:pPr>
        <w:spacing w:after="0" w:line="29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8. ERP Recording with an Auditory Oddball Paradigm.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146050</wp:posOffset>
            </wp:positionV>
            <wp:extent cx="4311650" cy="3977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1650" cy="397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40" w:firstLine="576"/>
        <w:spacing w:after="0" w:line="246" w:lineRule="auto"/>
        <w:rPr>
          <w:sz w:val="20"/>
          <w:szCs w:val="20"/>
          <w:color w:val="auto"/>
        </w:rPr>
      </w:pPr>
      <w:r>
        <w:rPr>
          <w:rFonts w:ascii="Arial" w:cs="Arial" w:eastAsia="Arial" w:hAnsi="Arial"/>
          <w:sz w:val="18"/>
          <w:szCs w:val="18"/>
          <w:color w:val="auto"/>
        </w:rPr>
        <w:t>The latency, or the amount of time that it takes to reach the peak of the positive wave following the stimulus, is typically reported to be 300 milliseconds in healthy, cognitively normal individuals. Numerous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22" w:name="page123"/>
    <w:bookmarkEnd w:id="122"/>
    <w:p>
      <w:pPr>
        <w:spacing w:after="0" w:line="236" w:lineRule="auto"/>
        <w:rPr>
          <w:sz w:val="20"/>
          <w:szCs w:val="20"/>
          <w:color w:val="auto"/>
        </w:rPr>
      </w:pPr>
      <w:r>
        <w:rPr>
          <w:rFonts w:ascii="Arial" w:cs="Arial" w:eastAsia="Arial" w:hAnsi="Arial"/>
          <w:sz w:val="18"/>
          <w:szCs w:val="18"/>
          <w:color w:val="auto"/>
        </w:rPr>
        <w:t>studies have shown that P300 latency is strongly correlated with cognition. P300 latency is increased and continues to worsen as AD and cognitive decline progresses. As an example, P300 latency is expected to be increased in subjects with severe AD, compared to subjects with mild AD. The connection between P300 latency and increased cognitive decline has been characterized in a number of diseases including AD, PDD, Lewy body dementia, Huntington’s, major depressive disorder with cognitive impairment, and traumatic brain injury. Loss of synaptic connections and neuronal dysfunction are well characterized in AD, and likely are the primary causes of the increased P300 latency. Figure 9 below illustrates the latency of cognitive processing as demonstrated by the delayed peaks in P300 in AD subjects compared to healthy, age-matched subjects. While the P300 amplitude is often reported as lower in AD subjects compared to healthy, age-matched subjects, this measure is much less consistent and not as strongly correlated to cognition as latency.</w:t>
      </w:r>
    </w:p>
    <w:p>
      <w:pPr>
        <w:spacing w:after="0" w:line="29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9. ERP Waveforms in AD Subjects Show Increased P300 Latency.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146050</wp:posOffset>
            </wp:positionV>
            <wp:extent cx="4663440" cy="30086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6634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Insights from Approved Therapies</w:t>
      </w:r>
    </w:p>
    <w:p>
      <w:pPr>
        <w:spacing w:after="0" w:line="126"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Companies with approved therapies have demonstrated parallel improvement in P300 latency and cognition as assessed by the Alzheimer’s Disease Assessment Scale-Cognitive Subscale, or ADAS-cog, as shown in Figure 10 below. ADAS-cog is a neuropsychological assessment used to assess the severity of cognitive symptoms of dementia. While these changes induced by acetylcholinesterase inhibitors are modest and often transient, these previously published results support the correlation of P300 latency and cognition in AD subjects.</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22" w:right="399" w:bottom="1440" w:gutter="0" w:footer="0" w:header="0"/>
        </w:sectPr>
      </w:pPr>
    </w:p>
    <w:bookmarkStart w:id="123" w:name="page124"/>
    <w:bookmarkEnd w:id="123"/>
    <w:p>
      <w:pPr>
        <w:ind w:left="580"/>
        <w:spacing w:after="0"/>
        <w:rPr>
          <w:sz w:val="20"/>
          <w:szCs w:val="20"/>
          <w:color w:val="auto"/>
        </w:rPr>
      </w:pPr>
      <w:r>
        <w:rPr>
          <w:rFonts w:ascii="Arial" w:cs="Arial" w:eastAsia="Arial" w:hAnsi="Arial"/>
          <w:sz w:val="18"/>
          <w:szCs w:val="18"/>
          <w:i w:val="1"/>
          <w:iCs w:val="1"/>
          <w:color w:val="auto"/>
        </w:rPr>
        <w:t>Figure 10. Changes in P300 Latency Correlate with Cognitive Outcomes with Treatment of Approved Therapies in AD Subjects.</w:t>
      </w:r>
    </w:p>
    <w:p>
      <w:pPr>
        <w:spacing w:after="0" w:line="316" w:lineRule="exact"/>
        <w:rPr>
          <w:sz w:val="20"/>
          <w:szCs w:val="20"/>
          <w:color w:val="auto"/>
        </w:rPr>
      </w:pPr>
    </w:p>
    <w:p>
      <w:pPr>
        <w:ind w:left="2320"/>
        <w:spacing w:after="0"/>
        <w:tabs>
          <w:tab w:leader="none" w:pos="7780" w:val="left"/>
        </w:tabs>
        <w:rPr>
          <w:sz w:val="20"/>
          <w:szCs w:val="20"/>
          <w:color w:val="auto"/>
        </w:rPr>
      </w:pPr>
      <w:r>
        <w:rPr>
          <w:rFonts w:ascii="Arial" w:cs="Arial" w:eastAsia="Arial" w:hAnsi="Arial"/>
          <w:sz w:val="18"/>
          <w:szCs w:val="18"/>
          <w:b w:val="1"/>
          <w:bCs w:val="1"/>
          <w:color w:val="auto"/>
        </w:rPr>
        <w:t>Donepezil</w:t>
      </w:r>
      <w:r>
        <w:rPr>
          <w:sz w:val="20"/>
          <w:szCs w:val="20"/>
          <w:color w:val="auto"/>
        </w:rPr>
        <w:tab/>
      </w:r>
      <w:r>
        <w:rPr>
          <w:rFonts w:ascii="Arial" w:cs="Arial" w:eastAsia="Arial" w:hAnsi="Arial"/>
          <w:sz w:val="18"/>
          <w:szCs w:val="18"/>
          <w:b w:val="1"/>
          <w:bCs w:val="1"/>
          <w:color w:val="auto"/>
        </w:rPr>
        <w:t>Rivastigmine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148590</wp:posOffset>
            </wp:positionV>
            <wp:extent cx="5280660" cy="16459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8066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Adapted from Thomas et al., 2001.</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11. Studies Suggest Changes in P300 Latency Have Been Predictive of Changes in 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146050</wp:posOffset>
            </wp:positionV>
            <wp:extent cx="5340350" cy="2186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340350"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67" w:lineRule="auto"/>
        <w:rPr>
          <w:sz w:val="20"/>
          <w:szCs w:val="20"/>
          <w:color w:val="auto"/>
        </w:rPr>
      </w:pPr>
      <w:r>
        <w:rPr>
          <w:rFonts w:ascii="Arial" w:cs="Arial" w:eastAsia="Arial" w:hAnsi="Arial"/>
          <w:sz w:val="18"/>
          <w:szCs w:val="18"/>
          <w:i w:val="1"/>
          <w:iCs w:val="1"/>
          <w:color w:val="auto"/>
        </w:rPr>
        <w:t>Source: Results for donepezil and rivastigmine adapted from Thomas et al., 2001; results for memantine adapted from Sallach et al., 2011, and results for scopolamine adapted from Potter et al., 2000.</w:t>
      </w:r>
    </w:p>
    <w:p>
      <w:pPr>
        <w:spacing w:after="0" w:line="1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40"/>
          </w:cols>
          <w:pgMar w:left="320" w:top="688" w:right="539" w:bottom="1440" w:gutter="0" w:footer="0" w:header="0"/>
        </w:sectPr>
      </w:pPr>
    </w:p>
    <w:bookmarkStart w:id="124" w:name="page125"/>
    <w:bookmarkEnd w:id="124"/>
    <w:p>
      <w:pPr>
        <w:ind w:firstLine="576"/>
        <w:spacing w:after="0" w:line="236" w:lineRule="auto"/>
        <w:rPr>
          <w:sz w:val="20"/>
          <w:szCs w:val="20"/>
          <w:color w:val="auto"/>
        </w:rPr>
      </w:pPr>
      <w:r>
        <w:rPr>
          <w:rFonts w:ascii="Arial" w:cs="Arial" w:eastAsia="Arial" w:hAnsi="Arial"/>
          <w:sz w:val="18"/>
          <w:szCs w:val="18"/>
          <w:color w:val="auto"/>
        </w:rPr>
        <w:t>The magnitude of effects in P300 latency measures for current AD treatments is shown in Figure 12 below. While the data presented for both donepezil and rivastigmine do not represent the results of a head-to-head trials between donepezil and rivastigmine and ATH-1017, the studies of donepezil and rivastigmine were conducted in patient populations at similar stages of disease (mild to moderate AD with an average P300 latency of 382.7 ms for the donepezil group and 382.3 ms for the rivastigmine group). Both studies were placebo-controlled and required no treatment with AD medications for at least one month prior to the baseline analysis as well as no concomitant use of any other CNS-active drugs. In addition, the P300 methodology used in both studies are similar and P300 is internally consistent with unvarying protocols and equipment. Given these similarities, we believe the large and rapid effect of ATH-1017 illustrated below further supports the likely translational therapeutic potential of ATH-1017 to impact cognition in AD.</w:t>
      </w:r>
    </w:p>
    <w:p>
      <w:pPr>
        <w:spacing w:after="0" w:line="29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12. ATH-1017 Had a Large and Rapid Effect on P300 Latency in AD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146050</wp:posOffset>
            </wp:positionV>
            <wp:extent cx="5340350" cy="51092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340350" cy="510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490" w:right="459" w:bottom="1440" w:gutter="0" w:footer="0" w:header="0"/>
        </w:sectPr>
      </w:pPr>
    </w:p>
    <w:bookmarkStart w:id="125" w:name="page126"/>
    <w:bookmarkEnd w:id="125"/>
    <w:p>
      <w:pPr>
        <w:ind w:right="20"/>
        <w:spacing w:after="0" w:line="239" w:lineRule="auto"/>
        <w:rPr>
          <w:sz w:val="20"/>
          <w:szCs w:val="20"/>
          <w:color w:val="auto"/>
        </w:rPr>
      </w:pPr>
      <w:r>
        <w:rPr>
          <w:rFonts w:ascii="Arial" w:cs="Arial" w:eastAsia="Arial" w:hAnsi="Arial"/>
          <w:sz w:val="18"/>
          <w:szCs w:val="18"/>
          <w:i w:val="1"/>
          <w:iCs w:val="1"/>
          <w:color w:val="auto"/>
        </w:rPr>
        <w:t>Source: Data for donepezil and rivastigmine adapted from Thomas et al., 2001. ATH-1017 was not tested for the same duration as donepezil and rivastigmine and the comparisons shown in the figure above are not based on data resulting from head-to-head trials and are not direct comparisons. The donepezil study referenced above was conducted with 20 subjects and tested doses up to 10mg/day for six months. The rivastigmine study was conducted with 20 subjects and tested doses up to 12mg/day for six months. Our Phase 1a and Phase 1b ATH-1017 clinical trials were conducted with 88 subjects at doses up to 90mg/day for 9 days. Different protocol designs, trial designs, patient selection and populations, number of patients, trial endpoints, trial objectives and other parameters that are not the same between the relevant trials may lead to bias in the results causing comparisons of results from different trials to be unreliable. Any such comparisons would not be permitted by the FDA to support an application for approval to market ATH-1017.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*Reduced P300 latency is correlated with improved cognition.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Applications to Our ATH Platform</w:t>
      </w:r>
    </w:p>
    <w:p>
      <w:pPr>
        <w:spacing w:after="0" w:line="12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In CNS disorders, fluid or imaging biomarkers have been extensively used in drug development. However, these can be invasive and expensive, and inconclusive in determining the connection of these biomarkers to cognition. We sought to develop a translational strategy for ATH that was highly correlated to brain function and cognition which led us to use EEG/ERP for the clinical development of ATH-1017. We believe these measures are particularly well-suited to provide insight into early therapeutic effects in AD, given that as cognitive decline progresses, subjects display a decrease in EEG gamma power, and a progressive increase in ERP P300 latency.</w:t>
      </w:r>
    </w:p>
    <w:p>
      <w:pPr>
        <w:spacing w:after="0" w:line="20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Utilizing EEG/ERP as non-invasive and efficient translatable measures early in clinical development allows us to assess therapeutic effects and helps to inform future clinical trial design. Positive changes in EEG and ERP P300 latency potentially indicate a positive cognitive effect of our ATH treatments, which increases our confidence that these effects may translate to clinical benefit in later-stage clinical trials.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ATH-1017 for the Potential Treatment of AD and Other Neuronal Diseases</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are developing our lead product candidate, ATH-1017, for the treatment of neurodegenerative disorders, with an initial focus on AD. ATH-1017 is designed to improve neuronal health and promote regeneration, thereby improving symptoms in cognitively impaired subjects. As we continue to develop ATH-1017, we will plan to assess additional functional and behavioral benefits. In our Phase 1a and Phase 1b clinical trials, ATH-1017 for the treatment of AD was well tolerated with no serious adverse events across 88 subjects, including 11 subjects with mild-to-moderate AD. Additionally, ATH-1017 treatment led to improvements in brain network activity that indicated potentially positive effects on brain function. In the AD subjects, multiple dosing of ATH-1017 significantly improved brain activity as measured by P300 latency, a functional measure that is highly correlated with cognition. We identified ATH-1017 in 2016 and less than five years later, we are planning to initiate our Phase 2/3 LIFT-AD trial, which has the potential to provide pivotal data in support of registration. By the end of 2020, we plan to initiate our LIFT-AD clinical trial for ATH-1017 for the treatment of mild-to-moderate AD, with topline results expected by the end of 2022. By the end of 2020, we also plan to initiate our P300 Phase 2 clinical trial in mild-to-moderate AD to evaluate the overall effects of ATH-1017 on working memory processing speed and cognitive measurements, with topline results expected by early 2022, which will inform our strategy with respect to an additional Phase 3 clinical trial. We believe that ATH-1017 has the potential to provide meaningful benefit to individuals impacted by AD and substantially enhance overall quality of life for the subjects and their families.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126" w:lineRule="exact"/>
        <w:rPr>
          <w:sz w:val="20"/>
          <w:szCs w:val="20"/>
          <w:color w:val="auto"/>
        </w:rPr>
      </w:pPr>
    </w:p>
    <w:p>
      <w:pPr>
        <w:ind w:right="340" w:firstLine="576"/>
        <w:spacing w:after="0" w:line="238" w:lineRule="auto"/>
        <w:rPr>
          <w:sz w:val="20"/>
          <w:szCs w:val="20"/>
          <w:color w:val="auto"/>
        </w:rPr>
      </w:pPr>
      <w:r>
        <w:rPr>
          <w:rFonts w:ascii="Arial" w:cs="Arial" w:eastAsia="Arial" w:hAnsi="Arial"/>
          <w:sz w:val="18"/>
          <w:szCs w:val="18"/>
          <w:color w:val="auto"/>
        </w:rPr>
        <w:t>Growing evidence suggests that complex CNS disorders, such as AD, are unlikely to be caused by a single route of pathology. Modulation of a neuronal growth factor has gained considerable attention for the potential treatment of neurodegenerative disorders. Our lead candidate, ATH-1017, is a small molecule therapeutic specifically designed to promote the ability of HGF to activate MET. This promotion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04" w:right="379" w:bottom="1440" w:gutter="0" w:footer="0" w:header="0"/>
        </w:sectPr>
      </w:pPr>
    </w:p>
    <w:bookmarkStart w:id="126" w:name="page127"/>
    <w:bookmarkEnd w:id="126"/>
    <w:p>
      <w:pPr>
        <w:spacing w:after="0" w:line="246" w:lineRule="auto"/>
        <w:rPr>
          <w:sz w:val="20"/>
          <w:szCs w:val="20"/>
          <w:color w:val="auto"/>
        </w:rPr>
      </w:pPr>
      <w:r>
        <w:rPr>
          <w:rFonts w:ascii="Arial" w:cs="Arial" w:eastAsia="Arial" w:hAnsi="Arial"/>
          <w:sz w:val="18"/>
          <w:szCs w:val="18"/>
          <w:color w:val="auto"/>
        </w:rPr>
        <w:t>substantially increases MET activation levels and amplifies the beneficial downstream effects of the HGF/MET system, with several attributes relevant to AD:</w:t>
      </w:r>
    </w:p>
    <w:p>
      <w:pPr>
        <w:spacing w:after="0" w:line="89" w:lineRule="exact"/>
        <w:rPr>
          <w:sz w:val="20"/>
          <w:szCs w:val="20"/>
          <w:color w:val="auto"/>
        </w:rPr>
      </w:pPr>
    </w:p>
    <w:p>
      <w:pPr>
        <w:ind w:left="1300" w:hanging="442"/>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HGF/MET is a critical neurotrophic factor for normative brain function and it is reduced in AD subjects;</w:t>
      </w:r>
    </w:p>
    <w:p>
      <w:pPr>
        <w:spacing w:after="0" w:line="225" w:lineRule="exact"/>
        <w:rPr>
          <w:rFonts w:ascii="Arial" w:cs="Arial" w:eastAsia="Arial" w:hAnsi="Arial"/>
          <w:sz w:val="18"/>
          <w:szCs w:val="18"/>
          <w:color w:val="auto"/>
        </w:rPr>
      </w:pPr>
    </w:p>
    <w:p>
      <w:pPr>
        <w:ind w:left="1300" w:right="100" w:hanging="442"/>
        <w:spacing w:after="0" w:line="246"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promotion of the HGF/MET system has shown in several animal models the potential to directly halt neurodegeneration and induce regeneration, improve cerebral blood flow, and reduce inflammation; and</w:t>
      </w:r>
    </w:p>
    <w:p>
      <w:pPr>
        <w:spacing w:after="0" w:line="196"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expect HGF/MET system activation to improve P300 latency, as observed in AD subjects after ATH-1017 treatment in our Phase 1a and Phase 1b clinical trials.</w:t>
      </w:r>
    </w:p>
    <w:p>
      <w:pPr>
        <w:spacing w:after="0" w:line="287" w:lineRule="exact"/>
        <w:rPr>
          <w:sz w:val="20"/>
          <w:szCs w:val="20"/>
          <w:color w:val="auto"/>
        </w:rPr>
      </w:pPr>
    </w:p>
    <w:p>
      <w:pPr>
        <w:ind w:right="160" w:firstLine="576"/>
        <w:spacing w:after="0" w:line="267" w:lineRule="auto"/>
        <w:rPr>
          <w:sz w:val="20"/>
          <w:szCs w:val="20"/>
          <w:color w:val="auto"/>
        </w:rPr>
      </w:pPr>
      <w:r>
        <w:rPr>
          <w:rFonts w:ascii="Arial" w:cs="Arial" w:eastAsia="Arial" w:hAnsi="Arial"/>
          <w:sz w:val="18"/>
          <w:szCs w:val="18"/>
          <w:i w:val="1"/>
          <w:iCs w:val="1"/>
          <w:color w:val="auto"/>
        </w:rPr>
        <w:t>Figure 13. ATH-1017 Is Designed to Increase HGF/MET Activity and May Promote Regeneration of Neurons, Reduce Inflammation, Enhance Cognitive Processing Represented by a Decreased P300 Latency, and Improve Overall Brain Health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113665</wp:posOffset>
            </wp:positionV>
            <wp:extent cx="5340350" cy="3068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34035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520" w:firstLine="576"/>
        <w:spacing w:after="0" w:line="246" w:lineRule="auto"/>
        <w:rPr>
          <w:sz w:val="20"/>
          <w:szCs w:val="20"/>
          <w:color w:val="auto"/>
        </w:rPr>
      </w:pPr>
      <w:r>
        <w:rPr>
          <w:rFonts w:ascii="Arial" w:cs="Arial" w:eastAsia="Arial" w:hAnsi="Arial"/>
          <w:sz w:val="18"/>
          <w:szCs w:val="18"/>
          <w:color w:val="auto"/>
        </w:rPr>
        <w:t>Unlike most approved or in development drugs, ATH-1017 has the potential to be regenerative, and is designed to slow, halt, or potentially reverse the effects of AD all while using a naturally modulated approach.</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1a and Phase 1b Clinical Trials</w:t>
      </w:r>
    </w:p>
    <w:p>
      <w:pPr>
        <w:spacing w:after="0" w:line="122"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The IND for ATH-1017 in AD was filed in September 2017. Since then, we have completed our Phase 1a and Phase 1b clinical trials, which enrolled a total of 88 subjects, including 11 AD subjects, as illustrated below in Figure 14. The clinical trials were randomized and double-blind and consisted of daily single injections over a nine-day period. While the primary endpoints of our Phase 1a single ascending dose, or SAD, and Phase 1b multiple ascending dose, or MAD, trials were focused on safety and assessment of human pharmacokinetics, we also included measures to evaluate effects of ATH-1017 on brain activity in AD subjects. Together, these clinical trials assessed qEEG as a measure of brain circuitry</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and network activity and ERP as a measure of working memory access and cognitive processes in the brain.</w:t>
      </w:r>
    </w:p>
    <w:p>
      <w:pPr>
        <w:spacing w:after="0" w:line="30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14. 88 Subjects Included in the Phase 1a and Phase 1b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146050</wp:posOffset>
            </wp:positionV>
            <wp:extent cx="5332095" cy="21170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33209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80" w:firstLine="576"/>
        <w:spacing w:after="0" w:line="238" w:lineRule="auto"/>
        <w:rPr>
          <w:sz w:val="20"/>
          <w:szCs w:val="20"/>
          <w:color w:val="auto"/>
        </w:rPr>
      </w:pPr>
      <w:r>
        <w:rPr>
          <w:rFonts w:ascii="Arial" w:cs="Arial" w:eastAsia="Arial" w:hAnsi="Arial"/>
          <w:sz w:val="18"/>
          <w:szCs w:val="18"/>
          <w:color w:val="auto"/>
        </w:rPr>
        <w:t>ATH-1017 was shown to be well tolerated with no serious adverse events across a wide dose range (2-90 mg) with single and multiple doses over 9 days. ATH-1017 demonstrated a pulsatile mode of target activation, and as shown in Figure 15, the PK profile is compelling, with linear dose relationship, no accumulation, and no sex or age effect. We did not have any subject dropout due to serious adverse events during these clinical trials.</w:t>
      </w:r>
    </w:p>
    <w:p>
      <w:pPr>
        <w:spacing w:after="0" w:line="29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15. ATH-1017 Demonstrated a Dose-Linear PK Profile and Did Not Accumulate with Multiple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163195</wp:posOffset>
            </wp:positionV>
            <wp:extent cx="5332095" cy="16459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33209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Translation of ATH-1017 Changes in Brain Circuitry Activity</w:t>
      </w:r>
    </w:p>
    <w:p>
      <w:pPr>
        <w:spacing w:after="0" w:line="122" w:lineRule="exact"/>
        <w:rPr>
          <w:sz w:val="20"/>
          <w:szCs w:val="20"/>
          <w:color w:val="auto"/>
        </w:rPr>
      </w:pPr>
    </w:p>
    <w:p>
      <w:pPr>
        <w:jc w:val="both"/>
        <w:ind w:firstLine="576"/>
        <w:spacing w:after="0"/>
        <w:rPr>
          <w:sz w:val="20"/>
          <w:szCs w:val="20"/>
          <w:color w:val="auto"/>
        </w:rPr>
      </w:pPr>
      <w:r>
        <w:rPr>
          <w:rFonts w:ascii="Arial" w:cs="Arial" w:eastAsia="Arial" w:hAnsi="Arial"/>
          <w:sz w:val="18"/>
          <w:szCs w:val="18"/>
          <w:color w:val="auto"/>
        </w:rPr>
        <w:t>qEEG was used as a translational tool to recapitulate the changes in brain network activity from ATH-1017 that were observed in our preclinical models and to help guide dose selection for late-stage clinical development. We collected qEEG recordings from healthy young, healthy elderly, and AD subjects to determine qEEG changes after the administration of ATH-1017.</w:t>
      </w:r>
    </w:p>
    <w:p>
      <w:pPr>
        <w:spacing w:after="0" w:line="203" w:lineRule="exact"/>
        <w:rPr>
          <w:sz w:val="20"/>
          <w:szCs w:val="20"/>
          <w:color w:val="auto"/>
        </w:rPr>
      </w:pPr>
    </w:p>
    <w:p>
      <w:pPr>
        <w:ind w:right="760" w:firstLine="576"/>
        <w:spacing w:after="0" w:line="246" w:lineRule="auto"/>
        <w:rPr>
          <w:sz w:val="20"/>
          <w:szCs w:val="20"/>
          <w:color w:val="auto"/>
        </w:rPr>
      </w:pPr>
      <w:r>
        <w:rPr>
          <w:rFonts w:ascii="Arial" w:cs="Arial" w:eastAsia="Arial" w:hAnsi="Arial"/>
          <w:sz w:val="18"/>
          <w:szCs w:val="18"/>
          <w:color w:val="auto"/>
        </w:rPr>
        <w:t>In the clinical trials, ATH-1017 increased the levels of the high frequency gamma power which is the frequency band that is associated with learning, memory, and cognitive function. Gamma is typically</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490" w:right="479" w:bottom="1440" w:gutter="0" w:footer="0" w:header="0"/>
        </w:sectPr>
      </w:pPr>
    </w:p>
    <w:bookmarkStart w:id="128" w:name="page129"/>
    <w:bookmarkEnd w:id="128"/>
    <w:p>
      <w:pPr>
        <w:ind w:right="60"/>
        <w:spacing w:after="0" w:line="246" w:lineRule="auto"/>
        <w:rPr>
          <w:sz w:val="20"/>
          <w:szCs w:val="20"/>
          <w:color w:val="auto"/>
        </w:rPr>
      </w:pPr>
      <w:r>
        <w:rPr>
          <w:rFonts w:ascii="Arial" w:cs="Arial" w:eastAsia="Arial" w:hAnsi="Arial"/>
          <w:sz w:val="18"/>
          <w:szCs w:val="18"/>
          <w:color w:val="auto"/>
        </w:rPr>
        <w:t>decreased in AD subjects. ATH-1017 showed dose-dependent and consistent changes in brain activity across all treated cohorts, consistent with the changes observed in non-clinical models.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EEG Changes Observed in the Phase 1a SAD Clinical Trial</w:t>
      </w:r>
    </w:p>
    <w:p>
      <w:pPr>
        <w:spacing w:after="0" w:line="122"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Rapid induction in the high frequency gamma power was observed after a single dose and is most likely explained by ATH-1017 promoting HGF/MET induced synaptic relocation of NMDA receptors and potentiation of NMDA receptor currents. A dose-dependent increase was observed across the low, mid, and high doses with statistically significant changes at the highest dose levels assessed. Figure 16 below shows the change in qEEG gamma power from baseline following administration of placebo, low dose ATH-1017 (2 and 6 mg, pooled), mid dose (20 and 40 mg, pooled), and high dose (60 and 90 mg, pooled).The p-value maps show the statistics based on analysis of covariance, or ANCOVA, analysis. There were 12 subjects for each of the low- and mid-dose groups, and 11 subjects for the high-dose group. A single subject from the high-dose group in the single-dose data set in Figure 16 below was excluded from analysis due to an inability to capture or analyze data as a result of technical issues such as electrode placement or subject movement. All AD subjects’ data were captured at all data points.</w:t>
      </w:r>
    </w:p>
    <w:p>
      <w:pPr>
        <w:spacing w:after="0" w:line="29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16. Single Dose of ATH-1017 Increased qEEG Gamma Power in Humans.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163195</wp:posOffset>
            </wp:positionV>
            <wp:extent cx="4594860" cy="17487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59486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EEG Changes Observed in Phase 1b MAD Clinical Trial in Healthy Elderly Subjects</w:t>
      </w:r>
    </w:p>
    <w:p>
      <w:pPr>
        <w:spacing w:after="0" w:line="122"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main qEEG effect of ATH-1017 administration at all doses (20, 40, and 60 mg) in the healthy elderly subjects was increased gamma power, both at 3 hours post-dose on Day 1 and across multiple data points collected on Days 4 and 8 for all assessed doses of ATH-1017. Figure 17 below shows the change in gamma power with once-daily administration of the 20 mg dose of ATH-1017 over 9 days. Similar results were observed for the 40 and 60 mg doses. All subjects completed the planned administration and data collection schedule; however, data from two of the healthy elderly subjects on Day 8 was lost due to an inability to capture or analyze that data as a result of technical issues such as electrode placement or subject movement. All AD subjects’ data were captured at all data points.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98" w:right="399" w:bottom="1440" w:gutter="0" w:footer="0" w:header="0"/>
        </w:sectPr>
      </w:pPr>
    </w:p>
    <w:bookmarkStart w:id="129" w:name="page130"/>
    <w:bookmarkEnd w:id="129"/>
    <w:p>
      <w:pPr>
        <w:ind w:left="580"/>
        <w:spacing w:after="0"/>
        <w:rPr>
          <w:sz w:val="20"/>
          <w:szCs w:val="20"/>
          <w:color w:val="auto"/>
        </w:rPr>
      </w:pPr>
      <w:r>
        <w:rPr>
          <w:rFonts w:ascii="Arial" w:cs="Arial" w:eastAsia="Arial" w:hAnsi="Arial"/>
          <w:sz w:val="18"/>
          <w:szCs w:val="18"/>
          <w:i w:val="1"/>
          <w:iCs w:val="1"/>
          <w:color w:val="auto"/>
        </w:rPr>
        <w:t>Figure 17. ATH-1017 Administration Increased qEEG Gamma Power in Elderly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146050</wp:posOffset>
            </wp:positionV>
            <wp:extent cx="4526280" cy="21088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52628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We also observed increased gamma power on Days 4 and 8 at the pre-dose recording: 24 hours after the last dose of ATH-1017, ATH-1017 was measured and shown to be completely cleared from the plasma. These results suggest that the beneficial effects of ATH-1017 are sustained. The increase in gamma power was specific to the treatment groups as no increase was observed in subjects receiving placebo.</w:t>
      </w:r>
    </w:p>
    <w:p>
      <w:pPr>
        <w:spacing w:after="0" w:line="205"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multiple dose clinical trial in AD subjects (40 mg subcutaneous injection once daily over 9 days) suggested a potential effect in AD subjects. Analysis of qEEG indicates an acute induction of gamma power (Day 4 and Day 8) after multiple doses. Figure 18 below shows emerging recovery of acute gamma power induction after 4 days of ATH-1017 treatment which continues to increase after 8 days of treatment. This pattern was not observed in subjects receiving placebo, where there was no consistent change in acute gamma power induction.</w:t>
      </w:r>
    </w:p>
    <w:p>
      <w:pPr>
        <w:spacing w:after="0" w:line="29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18. ATH-1017 Administration Rescued Acute Gamma Power Signal in AD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163195</wp:posOffset>
            </wp:positionV>
            <wp:extent cx="4337685" cy="23399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3768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0" w:firstLine="576"/>
        <w:spacing w:after="0" w:line="246" w:lineRule="auto"/>
        <w:rPr>
          <w:sz w:val="20"/>
          <w:szCs w:val="20"/>
          <w:color w:val="auto"/>
        </w:rPr>
      </w:pPr>
      <w:r>
        <w:rPr>
          <w:rFonts w:ascii="Arial" w:cs="Arial" w:eastAsia="Arial" w:hAnsi="Arial"/>
          <w:sz w:val="18"/>
          <w:szCs w:val="18"/>
          <w:color w:val="auto"/>
        </w:rPr>
        <w:t>Overall, the qEEG results in humans are indicative of CNS penetration and target engagement, suggesting an active dose range of ATH-1017 from 20 to 90 mg.</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i w:val="1"/>
          <w:iCs w:val="1"/>
          <w:color w:val="auto"/>
        </w:rPr>
        <w:t>Event-related Potential</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In our Phase 1b clinical trial, ERP P300 recordings were collected from the MAD healthy elderly and AD subjects. Analysis of these P300 data demonstrated that one daily dose of ATH-1017 improved P300 latency over an 8-day dosing period in AD subjects, as shown in Figures 19-21. P300 latency, a functional measure of working memory processing speed and executive function that highly correlates with cognition, was dramatically improved. All AD subjects tested had improved P300 latency after a single dose of ATH-1017 and average latency across the AD treatment group had returned to levels close to those observed in healthy elderly subjects by the end of an 8-day treatment cycle. The acute effect observed on Day 1 is likely the result of the rapid augmentation of NMDA neurotransmitter receptors. The sustained effects on P300 latency observed in the pre-dose recordings on subsequent testing days (the arrows in Figure 19 show the average P300 latency value from the ATH-1017 group as a heat map) most likely reflect the long-term regeneration of neuronal connections and the improvement in brain function; at these time points, which are 24 hours after the last dose, ATH-1017 was measured and shown to be completely cleared from the plasma. These data indicate ATH-1017 treatment potentially recovered disruptions to brain function and network connectivity, which we believe are likely through several components of the mechanism, including NMDA receptor modulation, increased connectivity through recovery of synaptic density, and improved overall neuronal health and function.</w:t>
      </w:r>
    </w:p>
    <w:p>
      <w:pPr>
        <w:spacing w:after="0" w:line="186" w:lineRule="exact"/>
        <w:rPr>
          <w:sz w:val="20"/>
          <w:szCs w:val="20"/>
          <w:color w:val="auto"/>
        </w:rPr>
      </w:pPr>
    </w:p>
    <w:p>
      <w:pPr>
        <w:ind w:firstLine="576"/>
        <w:spacing w:after="0" w:line="267" w:lineRule="auto"/>
        <w:rPr>
          <w:sz w:val="20"/>
          <w:szCs w:val="20"/>
          <w:color w:val="auto"/>
        </w:rPr>
      </w:pPr>
      <w:r>
        <w:rPr>
          <w:rFonts w:ascii="Arial" w:cs="Arial" w:eastAsia="Arial" w:hAnsi="Arial"/>
          <w:sz w:val="18"/>
          <w:szCs w:val="18"/>
          <w:i w:val="1"/>
          <w:iCs w:val="1"/>
          <w:color w:val="auto"/>
        </w:rPr>
        <w:t xml:space="preserve">Figure 19. ATH-1017 Treatment Led to Continued and Sustained Improvement in P300 Latency in AD Subjects. </w:t>
      </w:r>
      <w:r>
        <w:rPr>
          <w:rFonts w:ascii="Arial" w:cs="Arial" w:eastAsia="Arial" w:hAnsi="Arial"/>
          <w:sz w:val="18"/>
          <w:szCs w:val="18"/>
          <w:color w:val="auto"/>
        </w:rPr>
        <w:t>The arrows highlight</w:t>
      </w:r>
      <w:r>
        <w:rPr>
          <w:rFonts w:ascii="Arial" w:cs="Arial" w:eastAsia="Arial" w:hAnsi="Arial"/>
          <w:sz w:val="18"/>
          <w:szCs w:val="18"/>
          <w:i w:val="1"/>
          <w:iCs w:val="1"/>
          <w:color w:val="auto"/>
        </w:rPr>
        <w:t xml:space="preserve"> </w:t>
      </w:r>
      <w:r>
        <w:rPr>
          <w:rFonts w:ascii="Arial" w:cs="Arial" w:eastAsia="Arial" w:hAnsi="Arial"/>
          <w:sz w:val="18"/>
          <w:szCs w:val="18"/>
          <w:color w:val="auto"/>
        </w:rPr>
        <w:t>the sustained P300 latency benefit due to ATH-1017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113665</wp:posOffset>
            </wp:positionV>
            <wp:extent cx="5332095" cy="21685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33209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684" w:right="459" w:bottom="1440" w:gutter="0" w:footer="0" w:header="0"/>
        </w:sectPr>
      </w:pPr>
    </w:p>
    <w:bookmarkStart w:id="131" w:name="page132"/>
    <w:bookmarkEnd w:id="131"/>
    <w:p>
      <w:pPr>
        <w:jc w:val="both"/>
        <w:ind w:firstLine="576"/>
        <w:spacing w:after="0" w:line="250" w:lineRule="auto"/>
        <w:rPr>
          <w:sz w:val="20"/>
          <w:szCs w:val="20"/>
          <w:color w:val="auto"/>
        </w:rPr>
      </w:pPr>
      <w:r>
        <w:rPr>
          <w:rFonts w:ascii="Arial" w:cs="Arial" w:eastAsia="Arial" w:hAnsi="Arial"/>
          <w:sz w:val="18"/>
          <w:szCs w:val="18"/>
          <w:i w:val="1"/>
          <w:iCs w:val="1"/>
          <w:color w:val="auto"/>
        </w:rPr>
        <w:t xml:space="preserve">Figure 20. Quantification of the Change in P300 Latency from Baseline, ATH-1017 Significantly Reduced P300 Latency Compared to the Placebo Group on Day 8 Recordings. </w:t>
      </w:r>
      <w:r>
        <w:rPr>
          <w:rFonts w:ascii="Arial" w:cs="Arial" w:eastAsia="Arial" w:hAnsi="Arial"/>
          <w:sz w:val="18"/>
          <w:szCs w:val="18"/>
          <w:color w:val="auto"/>
        </w:rPr>
        <w:t>Data show average P300 latency values of 7 AD subjects treated with ATH-1017 vs. 4 AD subjects</w:t>
      </w:r>
      <w:r>
        <w:rPr>
          <w:rFonts w:ascii="Arial" w:cs="Arial" w:eastAsia="Arial" w:hAnsi="Arial"/>
          <w:sz w:val="18"/>
          <w:szCs w:val="18"/>
          <w:i w:val="1"/>
          <w:iCs w:val="1"/>
          <w:color w:val="auto"/>
        </w:rPr>
        <w:t xml:space="preserve"> </w:t>
      </w:r>
      <w:r>
        <w:rPr>
          <w:rFonts w:ascii="Arial" w:cs="Arial" w:eastAsia="Arial" w:hAnsi="Arial"/>
          <w:sz w:val="18"/>
          <w:szCs w:val="18"/>
          <w:color w:val="auto"/>
        </w:rPr>
        <w:t>on placebo * p≤0.05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141605</wp:posOffset>
            </wp:positionV>
            <wp:extent cx="3917315" cy="23914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917315"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0" w:firstLine="576"/>
        <w:spacing w:after="0" w:line="250" w:lineRule="auto"/>
        <w:rPr>
          <w:sz w:val="20"/>
          <w:szCs w:val="20"/>
          <w:color w:val="auto"/>
        </w:rPr>
      </w:pPr>
      <w:r>
        <w:rPr>
          <w:rFonts w:ascii="Arial" w:cs="Arial" w:eastAsia="Arial" w:hAnsi="Arial"/>
          <w:sz w:val="18"/>
          <w:szCs w:val="18"/>
          <w:i w:val="1"/>
          <w:iCs w:val="1"/>
          <w:color w:val="auto"/>
        </w:rPr>
        <w:t>Figure 21. Data from Each Subject in the Clinical Trial Showing the Change in P300 Latency from Baseline, What Is Clear Is that Every Subject Receiving ATH-1017 Showed a Level of Improvement in P300 Latency and Subjects Receiving Placebo Had No Consistent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141605</wp:posOffset>
            </wp:positionV>
            <wp:extent cx="3840480" cy="29832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4048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04" w:right="39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i w:val="1"/>
          <w:iCs w:val="1"/>
          <w:color w:val="auto"/>
        </w:rPr>
        <w:t>Safety</w:t>
      </w:r>
    </w:p>
    <w:p>
      <w:pPr>
        <w:spacing w:after="0" w:line="122" w:lineRule="exact"/>
        <w:rPr>
          <w:sz w:val="20"/>
          <w:szCs w:val="20"/>
          <w:color w:val="auto"/>
        </w:rPr>
      </w:pPr>
    </w:p>
    <w:p>
      <w:pPr>
        <w:ind w:right="220" w:firstLine="576"/>
        <w:spacing w:after="0" w:line="246" w:lineRule="auto"/>
        <w:rPr>
          <w:sz w:val="20"/>
          <w:szCs w:val="20"/>
          <w:color w:val="auto"/>
        </w:rPr>
      </w:pPr>
      <w:r>
        <w:rPr>
          <w:rFonts w:ascii="Arial" w:cs="Arial" w:eastAsia="Arial" w:hAnsi="Arial"/>
          <w:sz w:val="18"/>
          <w:szCs w:val="18"/>
          <w:color w:val="auto"/>
        </w:rPr>
        <w:t>ATH-1017 was well tolerated with no serious adverse events in our placebo-controlled double blind Phase 1a and Phase 1b clinical trials conducted to date where we enrolled 88 subjects including 11 subjects with mild-to-moderate AD.</w:t>
      </w:r>
    </w:p>
    <w:p>
      <w:pPr>
        <w:spacing w:after="0" w:line="197" w:lineRule="exact"/>
        <w:rPr>
          <w:sz w:val="20"/>
          <w:szCs w:val="20"/>
          <w:color w:val="auto"/>
        </w:rPr>
      </w:pPr>
    </w:p>
    <w:p>
      <w:pPr>
        <w:ind w:right="180" w:firstLine="576"/>
        <w:spacing w:after="0" w:line="238" w:lineRule="auto"/>
        <w:rPr>
          <w:sz w:val="20"/>
          <w:szCs w:val="20"/>
          <w:color w:val="auto"/>
        </w:rPr>
      </w:pPr>
      <w:r>
        <w:rPr>
          <w:rFonts w:ascii="Arial" w:cs="Arial" w:eastAsia="Arial" w:hAnsi="Arial"/>
          <w:sz w:val="18"/>
          <w:szCs w:val="18"/>
          <w:color w:val="auto"/>
        </w:rPr>
        <w:t>Additionally, standard 26-week chronic GLP toxicology studies in rats and dogs showed no adverse findings in clinical observations, behavior, and clinical pathology laboratory parameters. Daily subcutaneous administration of ATH-1017 to rats for 26 weeks was tolerated. The only adverse finding was necrosis of the injection site subcutaneous tissue in male animals that largely resolved after the 28-day recovery period. Moreover, GLP safety pharmacology studies on rats and dogs reported no effects on cardiovascular, respiratory, or CNS function.</w:t>
      </w:r>
    </w:p>
    <w:p>
      <w:pPr>
        <w:spacing w:after="0" w:line="202" w:lineRule="exact"/>
        <w:rPr>
          <w:sz w:val="20"/>
          <w:szCs w:val="20"/>
          <w:color w:val="auto"/>
        </w:rPr>
      </w:pPr>
    </w:p>
    <w:p>
      <w:pPr>
        <w:ind w:right="200" w:firstLine="576"/>
        <w:spacing w:after="0" w:line="238" w:lineRule="auto"/>
        <w:rPr>
          <w:sz w:val="20"/>
          <w:szCs w:val="20"/>
          <w:color w:val="auto"/>
        </w:rPr>
      </w:pPr>
      <w:r>
        <w:rPr>
          <w:rFonts w:ascii="Arial" w:cs="Arial" w:eastAsia="Arial" w:hAnsi="Arial"/>
          <w:sz w:val="18"/>
          <w:szCs w:val="18"/>
          <w:color w:val="auto"/>
        </w:rPr>
        <w:t>In summary, human exposures from the planned dose range of 20-80 mg for the Phase 2 clinical trials are well below the animal no observable adverse event level, or NOAEL, exposures. Furthermore, the NOAEL from the 26-week GLP toxicity study was defined by injection site reactions, which are monitorable and reversible, and may be less of a risk in humans due to greater surface area, a higher number of injection sites, and a lower volume of injection relative to body size.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ATH-1017 is delivered by once-daily subcutaneous injection. The ATH-1017 formulation is non-viscous, with a neutral pH, and is expected to be dispensed and administered at room temperature. These attributes and the use of small-gauge needles, and minimal volumes (≤ 1 mL) significantly optimize the ATH-1017 product profile for a subcutaneous route of administration. Subcutaneous injections are a common route of administration of chronic therapies, including those for diabetic or MS patients, and are easy to administer for patients and/or caregivers while being generally well tolerated. With the progression of neurodegenerative disorders, oral administration can become challenging as:</w:t>
      </w:r>
    </w:p>
    <w:p>
      <w:pPr>
        <w:spacing w:after="0" w:line="97" w:lineRule="exact"/>
        <w:rPr>
          <w:sz w:val="20"/>
          <w:szCs w:val="20"/>
          <w:color w:val="auto"/>
        </w:rPr>
      </w:pPr>
    </w:p>
    <w:p>
      <w:pPr>
        <w:ind w:left="1300" w:hanging="442"/>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safe swallowing often becomes increasingly difficult;</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daily trays of multiple solid oral dosage forms add to patient/caregiver burden; and</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potential resistance to care can also impact compliance.</w:t>
      </w:r>
    </w:p>
    <w:p>
      <w:pPr>
        <w:spacing w:after="0" w:line="225"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Subcutaneous injectables are expected to improve compliance and overall treatment outcomes. We have conducted a medication management research initiative, where we surveyed a number of caregivers and medical professionals to understand compliance challenges in the AD population. Top issues impeding compliance included forgetfulness, resistance to care, pill handling, and swallowing. The results of this study combined with the potential for a subcutaneous product profile to address several of these challenges, support ATH-1017 to be advanced as a once-daily subcutaneous injectable therapy for AD and dementia patients.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Plans for Alternative Delivery Devices for ATH-1017</w:t>
      </w:r>
    </w:p>
    <w:p>
      <w:pPr>
        <w:spacing w:after="0" w:line="122" w:lineRule="exact"/>
        <w:rPr>
          <w:sz w:val="20"/>
          <w:szCs w:val="20"/>
          <w:color w:val="auto"/>
        </w:rPr>
      </w:pPr>
    </w:p>
    <w:p>
      <w:pPr>
        <w:jc w:val="both"/>
        <w:ind w:right="100" w:firstLine="576"/>
        <w:spacing w:after="0"/>
        <w:rPr>
          <w:sz w:val="20"/>
          <w:szCs w:val="20"/>
          <w:color w:val="auto"/>
        </w:rPr>
      </w:pPr>
      <w:r>
        <w:rPr>
          <w:rFonts w:ascii="Arial" w:cs="Arial" w:eastAsia="Arial" w:hAnsi="Arial"/>
          <w:sz w:val="18"/>
          <w:szCs w:val="18"/>
          <w:color w:val="auto"/>
        </w:rPr>
        <w:t>ATH-1017 is initially being developed to be delivered via pre-filled syringes for Phase 2/3 clinical trials and initial market penetration. We are exploring the development of alternative delivery devices, including multi-dose pen injectors, to increase patient comfort and ease of use for patients and caregivers, with a view towards improving patient compliance and outcomes.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Strategy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LIFT-AD Trial: A 26-Week Phase 2/3 Clinical Trial in Mild-to-Moderate AD Subjects</w:t>
      </w:r>
    </w:p>
    <w:p>
      <w:pPr>
        <w:spacing w:after="0" w:line="122"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Based on the safety and translational Phase 1a and Phase 1b clinical trial results, including AD subjects, we plan to initiate LIFT-AD, a Phase 2/3 randomized, double-blind, placebo-controlled clinical trial. This clinical trial is designed to assess the efficacy, safety, and tolerability of two dose levels of ATH-1017 (low and high) in subjects with mild-to-moderate AD compared to placebo. The clinical trial is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133" w:name="page134"/>
    <w:bookmarkEnd w:id="133"/>
    <w:p>
      <w:pPr>
        <w:ind w:right="80"/>
        <w:spacing w:after="0" w:line="237" w:lineRule="auto"/>
        <w:rPr>
          <w:sz w:val="20"/>
          <w:szCs w:val="20"/>
          <w:color w:val="auto"/>
        </w:rPr>
      </w:pPr>
      <w:r>
        <w:rPr>
          <w:rFonts w:ascii="Arial" w:cs="Arial" w:eastAsia="Arial" w:hAnsi="Arial"/>
          <w:sz w:val="18"/>
          <w:szCs w:val="18"/>
          <w:color w:val="auto"/>
        </w:rPr>
        <w:t>intended to enroll approximately 240 to 300 AD subjects. Subjects enrolled in the clinical trial will have a severity range within the conventional boundaries for mild-to-moderate AD, based on MMSE 14-24 inclusive. Clinical dementia rating, or CDR, is a 5-point scale used to assess cognition and function in AD and related dementias. CDR 1 or 2 are an additional inclusion criterion to ensure overt dementia. We plan to initiate the LIFT-AD trial by the end of 2020, with topline results expected by the end of 2022. These topline results may provide pivotal data in support of registration, but the FDA or other regulators may still require additional trials even if results from the LIFT-AD trial are positive.</w:t>
      </w:r>
    </w:p>
    <w:p>
      <w:pPr>
        <w:spacing w:after="0" w:line="205" w:lineRule="exact"/>
        <w:rPr>
          <w:sz w:val="20"/>
          <w:szCs w:val="20"/>
          <w:color w:val="auto"/>
        </w:rPr>
      </w:pPr>
    </w:p>
    <w:p>
      <w:pPr>
        <w:jc w:val="both"/>
        <w:ind w:right="80" w:firstLine="576"/>
        <w:spacing w:after="0"/>
        <w:rPr>
          <w:sz w:val="20"/>
          <w:szCs w:val="20"/>
          <w:color w:val="auto"/>
        </w:rPr>
      </w:pPr>
      <w:r>
        <w:rPr>
          <w:rFonts w:ascii="Arial" w:cs="Arial" w:eastAsia="Arial" w:hAnsi="Arial"/>
          <w:sz w:val="18"/>
          <w:szCs w:val="18"/>
          <w:color w:val="auto"/>
        </w:rPr>
        <w:t>Compared to therapies focused on AD progression, which traditionally require multi-year clinical trials to measure changes in disease progression, we believe that ATH-1017 may induce a rapid boost in cognition, which enables us to design our trial with a 26-week treatment period and potentially accelerate the clinical development of ATH-1017.</w:t>
      </w:r>
    </w:p>
    <w:p>
      <w:pPr>
        <w:spacing w:after="0" w:line="203"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primary endpoint in this clinical trial will be the Global Statistical Test, or GST, and this outcome will provide proof-of-concept data. GST is based on actual psychometric performance tests of ADAS-cog-11 and ADCS-CGIC, both of which are key secondary endpoints and will potentially provide pivotal evidence to support registration. ADAS-cog-11 refers to the 11 tasks that make up the ADAS-cog neuropsychological assessment. ADCS-CGIC refers to the Alzheimer's Disease Cooperative Study-Clinical Global Impression of Change, a systematic method for assessing clinically significant change in a clinical trial. GST provides a more sensitive endpoint to the overall treatment effect of multiple variables and increases our chances of understanding the full impact of ATH-1017 clinical outcomes. If each of the key secondary endpoints – ADAS-cog-11 and ADCS-CGIC – is positive, then GST will also be positive. Positive GST data will support proof of concept and positive results from the key secondary endpoints will potentially provide pivotal evidence to support regulatory approval.</w:t>
      </w:r>
    </w:p>
    <w:p>
      <w:pPr>
        <w:spacing w:after="0" w:line="207" w:lineRule="exact"/>
        <w:rPr>
          <w:sz w:val="20"/>
          <w:szCs w:val="20"/>
          <w:color w:val="auto"/>
        </w:rPr>
      </w:pPr>
    </w:p>
    <w:p>
      <w:pPr>
        <w:ind w:right="300" w:firstLine="576"/>
        <w:spacing w:after="0"/>
        <w:rPr>
          <w:sz w:val="20"/>
          <w:szCs w:val="20"/>
          <w:color w:val="auto"/>
        </w:rPr>
      </w:pPr>
      <w:r>
        <w:rPr>
          <w:rFonts w:ascii="Arial" w:cs="Arial" w:eastAsia="Arial" w:hAnsi="Arial"/>
          <w:sz w:val="18"/>
          <w:szCs w:val="18"/>
          <w:color w:val="auto"/>
        </w:rPr>
        <w:t>Further secondary endpoints will include the Controlled Oral Word Association Test, or COWAT, to specifically assess changes in executive memory function, the Disability Assessment for Dementia, or DAD, scale to assess instrumental activities of daily living, and the Neuropsychiatric Inventory, or NPI, to assess any changes in behavior.</w:t>
      </w:r>
    </w:p>
    <w:p>
      <w:pPr>
        <w:spacing w:after="0" w:line="203" w:lineRule="exact"/>
        <w:rPr>
          <w:sz w:val="20"/>
          <w:szCs w:val="20"/>
          <w:color w:val="auto"/>
        </w:rPr>
      </w:pPr>
    </w:p>
    <w:p>
      <w:pPr>
        <w:ind w:right="680" w:firstLine="576"/>
        <w:spacing w:after="0" w:line="246" w:lineRule="auto"/>
        <w:rPr>
          <w:sz w:val="20"/>
          <w:szCs w:val="20"/>
          <w:color w:val="auto"/>
        </w:rPr>
      </w:pPr>
      <w:r>
        <w:rPr>
          <w:rFonts w:ascii="Arial" w:cs="Arial" w:eastAsia="Arial" w:hAnsi="Arial"/>
          <w:sz w:val="18"/>
          <w:szCs w:val="18"/>
          <w:color w:val="auto"/>
        </w:rPr>
        <w:t>Exploratory pharmaco-economic outcomes will be comprised of validated scales to capture resource utilization (RUD-lite 3.3), caregiver burden (Zarit Burden Interview) and the EQ-5D-5L.</w:t>
      </w:r>
    </w:p>
    <w:p>
      <w:pPr>
        <w:spacing w:after="0" w:line="197" w:lineRule="exact"/>
        <w:rPr>
          <w:sz w:val="20"/>
          <w:szCs w:val="20"/>
          <w:color w:val="auto"/>
        </w:rPr>
      </w:pPr>
    </w:p>
    <w:p>
      <w:pPr>
        <w:ind w:right="800" w:firstLine="576"/>
        <w:spacing w:after="0"/>
        <w:rPr>
          <w:sz w:val="20"/>
          <w:szCs w:val="20"/>
          <w:color w:val="auto"/>
        </w:rPr>
      </w:pPr>
      <w:r>
        <w:rPr>
          <w:rFonts w:ascii="Arial" w:cs="Arial" w:eastAsia="Arial" w:hAnsi="Arial"/>
          <w:sz w:val="18"/>
          <w:szCs w:val="18"/>
          <w:color w:val="auto"/>
        </w:rPr>
        <w:t>The clinical trial design for LIFT-AD was informed by our previous interactions and discussions with the FDA. In order to be considered a pivotal trial supportive of FDA approval for mild to moderate AD, LIFT-AD will need to achieve a statistically significant improvement separately on both the ADAS-Cog11 and ADCS-CGIC.</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P300 Trial: A 26-Week Phase 2 Clinical Trial in Mild-to-Moderate AD Subjects</w:t>
      </w:r>
    </w:p>
    <w:p>
      <w:pPr>
        <w:spacing w:after="0" w:line="12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In addition to LIFT-AD, we are planning a randomized, placebo-controlled P300 Phase 2 clinical trial that will be initiated in parallel. This clinical trial is designed to test the same dose levels of ATH-1017 (low and high) in subjects with mild-to-moderate AD compared to placebo. We intend to enroll approximately 60 to 75 mild-to-moderate AD subjects using the same enrollment criteria as described above and include a 26-week treatment period.</w:t>
      </w:r>
    </w:p>
    <w:p>
      <w:pPr>
        <w:spacing w:after="0" w:line="205"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primary endpoint of this clinical trial is to establish the correlation of P300 latency changes due to ATH-1017 treatment to cognitive benefits, as previously shown for cholinergic drugs and cognitive therapies. Secondary endpoints include the GST as well as psychometric performance tests of ADAS-cog-11 and ADCS-CGIC, which are the primary endpoint and key secondary endpoints of LIFT-AD. This clinical trial will help define the safety profile and effect size of ATH-1017 in mild-to-moderate AD. Additionally, because this clinical trial is expected to have a faster readout due to a smaller sample size than LIFT-AD, it will help support strategic decisions around additional clinical trials, including any additional pivotal trials that we may initiate in parallel to the LIFT-AD trial if the results from the P300 Phase 2 clinical trial do not meet our expectations. By the end of 2020, we plan to initiate the P300 Phase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34" w:name="page135"/>
    <w:bookmarkEnd w:id="134"/>
    <w:p>
      <w:pPr>
        <w:ind w:right="660"/>
        <w:spacing w:after="0" w:line="246" w:lineRule="auto"/>
        <w:rPr>
          <w:sz w:val="20"/>
          <w:szCs w:val="20"/>
          <w:color w:val="auto"/>
        </w:rPr>
      </w:pPr>
      <w:r>
        <w:rPr>
          <w:rFonts w:ascii="Arial" w:cs="Arial" w:eastAsia="Arial" w:hAnsi="Arial"/>
          <w:sz w:val="18"/>
          <w:szCs w:val="18"/>
          <w:color w:val="auto"/>
        </w:rPr>
        <w:t>2 clinical trial in mild-to-moderate AD to better understand the overall effects of ATH-1017 on working memory processing speed and cognitive measures, with topline results expected by early 2022.</w:t>
      </w:r>
    </w:p>
    <w:p>
      <w:pPr>
        <w:spacing w:after="0" w:line="28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Expand Development of ATH-1017 to Include Additional Indications.</w:t>
      </w:r>
    </w:p>
    <w:p>
      <w:pPr>
        <w:spacing w:after="0" w:line="122" w:lineRule="exact"/>
        <w:rPr>
          <w:sz w:val="20"/>
          <w:szCs w:val="20"/>
          <w:color w:val="auto"/>
        </w:rPr>
      </w:pPr>
    </w:p>
    <w:p>
      <w:pPr>
        <w:ind w:firstLine="576"/>
        <w:spacing w:after="0" w:line="246" w:lineRule="auto"/>
        <w:rPr>
          <w:sz w:val="20"/>
          <w:szCs w:val="20"/>
          <w:color w:val="auto"/>
        </w:rPr>
      </w:pPr>
      <w:r>
        <w:rPr>
          <w:rFonts w:ascii="Arial" w:cs="Arial" w:eastAsia="Arial" w:hAnsi="Arial"/>
          <w:sz w:val="18"/>
          <w:szCs w:val="18"/>
          <w:color w:val="auto"/>
        </w:rPr>
        <w:t>We are developing ATH-1017 as a treatment for mild-to-moderate AD patients, but over time, we aim to expand development to cover all stages of AD. Ultimately, we believe that ATH-1017 can address the broader dementia patient population.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Proof-of-Concept Clinical Trial in PDD Subjects</w:t>
      </w:r>
    </w:p>
    <w:p>
      <w:pPr>
        <w:spacing w:after="0" w:line="122"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In addition to the two AD clinical trials, we are also planning to test the effects of ATH-1017 in PDD subjects. PDD is a disease that impacts neuronal health and leads to a progressive damage of the brain network, ultimately impacting function and cognition. Like AD, PDD subjects demonstrate an increase in their P300 latency, which increases the likelihood that ATH-1017 can potentially address dementia in PDD subjects. This clinical trial will be a randomized, placebo-controlled, Phase 2 proof-of-concept clinical trial in PDD subjects with a planned start by the end of 2021. The population severity will include Hoehn-Yahr stages 2 and 3, who will receive 40 mg ATH-1017 versus placebo. Endpoints will include P300 latency and Parkinson’s Disease-Cognitive Rating Scale, or PD-CRS.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Results</w:t>
      </w:r>
    </w:p>
    <w:p>
      <w:pPr>
        <w:spacing w:after="0" w:line="108" w:lineRule="exact"/>
        <w:rPr>
          <w:sz w:val="20"/>
          <w:szCs w:val="20"/>
          <w:color w:val="auto"/>
        </w:rPr>
      </w:pPr>
    </w:p>
    <w:p>
      <w:pPr>
        <w:ind w:right="100" w:firstLine="576"/>
        <w:spacing w:after="0" w:line="241" w:lineRule="auto"/>
        <w:rPr>
          <w:sz w:val="20"/>
          <w:szCs w:val="20"/>
          <w:color w:val="auto"/>
        </w:rPr>
      </w:pPr>
      <w:r>
        <w:rPr>
          <w:rFonts w:ascii="Arial" w:cs="Arial" w:eastAsia="Arial" w:hAnsi="Arial"/>
          <w:sz w:val="18"/>
          <w:szCs w:val="18"/>
          <w:color w:val="auto"/>
        </w:rPr>
        <w:t xml:space="preserve">ATH-1017 was assessed in multiple preclinical studies, including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and several animal models of memory deficits. ATH-1017 promoted the formation of new spines and functional synapses in hippocampal neurons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(neuronal cultures). ATH-1017 also activated HGF/MET, which in turn has been shown to enhance long-term potentiation. Long-term potentiation refers to a process at the individual neuron level, where memory formation is thought to involve a sustained increase in synaptic efficiency following repeated stimulation. In the aged animal model of dementia, ATH-1017 increased synaptic density and in multiple models of dementia improved performance in tests of spatial memory.</w:t>
      </w:r>
    </w:p>
    <w:p>
      <w:pPr>
        <w:spacing w:after="0" w:line="202"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Similar to the clinical findings, ATH-1017 treatment also increased the qEEG gamma power that is associated with cognitive processing and memory in a non-clinical AD animal model (APP1/PS1), as shown in Figure 22. Changes in gamma brain activity signals are highly translatable which helped guide our selection of the clinical doses.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135" w:name="page136"/>
    <w:bookmarkEnd w:id="135"/>
    <w:p>
      <w:pPr>
        <w:ind w:right="640" w:firstLine="576"/>
        <w:spacing w:after="0" w:line="267" w:lineRule="auto"/>
        <w:rPr>
          <w:sz w:val="20"/>
          <w:szCs w:val="20"/>
          <w:color w:val="auto"/>
        </w:rPr>
      </w:pPr>
      <w:r>
        <w:rPr>
          <w:rFonts w:ascii="Arial" w:cs="Arial" w:eastAsia="Arial" w:hAnsi="Arial"/>
          <w:sz w:val="18"/>
          <w:szCs w:val="18"/>
          <w:i w:val="1"/>
          <w:iCs w:val="1"/>
          <w:color w:val="auto"/>
        </w:rPr>
        <w:t>Figure 22. ATH-1017 Treatment Induces Acute Increases in Gamma Power within One Hour of Administration (left); and Daily Treatment for Two Weeks Followed by a Seven-Day Washout Shows a Sustained Effect on Gamma Power (right).</w:t>
      </w:r>
    </w:p>
    <w:p>
      <w:pPr>
        <w:sectPr>
          <w:pgSz w:w="11900" w:h="16838" w:orient="portrait"/>
          <w:cols w:equalWidth="0" w:num="1">
            <w:col w:w="11200"/>
          </w:cols>
          <w:pgMar w:left="320" w:top="688" w:right="379" w:bottom="1440" w:gutter="0" w:footer="0" w:header="0"/>
        </w:sectPr>
      </w:pPr>
    </w:p>
    <w:p>
      <w:pPr>
        <w:spacing w:after="0" w:line="156" w:lineRule="exact"/>
        <w:rPr>
          <w:sz w:val="20"/>
          <w:szCs w:val="20"/>
          <w:color w:val="auto"/>
        </w:rPr>
      </w:pPr>
    </w:p>
    <w:p>
      <w:pPr>
        <w:jc w:val="center"/>
        <w:ind w:left="60"/>
        <w:spacing w:after="0" w:line="271" w:lineRule="auto"/>
        <w:rPr>
          <w:sz w:val="20"/>
          <w:szCs w:val="20"/>
          <w:color w:val="auto"/>
        </w:rPr>
      </w:pPr>
      <w:r>
        <w:rPr>
          <w:rFonts w:ascii="Arial" w:cs="Arial" w:eastAsia="Arial" w:hAnsi="Arial"/>
          <w:sz w:val="18"/>
          <w:szCs w:val="18"/>
          <w:b w:val="1"/>
          <w:bCs w:val="1"/>
          <w:color w:val="auto"/>
        </w:rPr>
        <w:t>ATH-1017 Induces an Acute Dose-Dependent Increase in Gamma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111760</wp:posOffset>
            </wp:positionV>
            <wp:extent cx="2254250" cy="19291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254250" cy="1929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ind w:right="160"/>
        <w:spacing w:after="0" w:line="271" w:lineRule="auto"/>
        <w:rPr>
          <w:sz w:val="20"/>
          <w:szCs w:val="20"/>
          <w:color w:val="auto"/>
        </w:rPr>
      </w:pPr>
      <w:r>
        <w:rPr>
          <w:rFonts w:ascii="Arial" w:cs="Arial" w:eastAsia="Arial" w:hAnsi="Arial"/>
          <w:sz w:val="18"/>
          <w:szCs w:val="18"/>
          <w:b w:val="1"/>
          <w:bCs w:val="1"/>
          <w:color w:val="auto"/>
        </w:rPr>
        <w:t>Two Weeks of ATH-1017 Treatment Induced Increased Gamma Power That Was Sustained After Seven Days of Washout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111760</wp:posOffset>
            </wp:positionV>
            <wp:extent cx="2871470" cy="18942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871470" cy="18942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80" w:space="260"/>
            <w:col w:w="6060"/>
          </w:cols>
          <w:pgMar w:left="320" w:top="68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ATH Platform</w:t>
      </w:r>
    </w:p>
    <w:p>
      <w:pPr>
        <w:spacing w:after="0" w:line="126" w:lineRule="exact"/>
        <w:rPr>
          <w:sz w:val="20"/>
          <w:szCs w:val="20"/>
          <w:color w:val="auto"/>
        </w:rPr>
      </w:pPr>
    </w:p>
    <w:p>
      <w:pPr>
        <w:ind w:firstLine="576"/>
        <w:spacing w:after="0" w:line="257" w:lineRule="auto"/>
        <w:rPr>
          <w:sz w:val="20"/>
          <w:szCs w:val="20"/>
          <w:color w:val="auto"/>
        </w:rPr>
      </w:pPr>
      <w:r>
        <w:rPr>
          <w:rFonts w:ascii="Arial" w:cs="Arial" w:eastAsia="Arial" w:hAnsi="Arial"/>
          <w:sz w:val="17"/>
          <w:szCs w:val="17"/>
          <w:color w:val="auto"/>
        </w:rPr>
        <w:t>Our ATH platform leverages the activity of a validated regenerative pathway, the HGF/MET system, that is critical for normal brain function. We believe that our ability to enhance the body’s repair mechanism of HGF/MET through our ATH platform has the potential to address a wide range of clinical applications ranging from CNS disorders, such as AD, PDD, MS, and ALS, to more peripheral conditions such as neuropathy. In addition, we believe that HGF/MET biology plays a role in neuropsychiatric disorders such as depression and anxiety.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Aspects of Our ATH Platform</w:t>
      </w:r>
    </w:p>
    <w:p>
      <w:pPr>
        <w:spacing w:after="0" w:line="126" w:lineRule="exact"/>
        <w:rPr>
          <w:sz w:val="20"/>
          <w:szCs w:val="20"/>
          <w:color w:val="auto"/>
        </w:rPr>
      </w:pPr>
    </w:p>
    <w:p>
      <w:pPr>
        <w:jc w:val="both"/>
        <w:ind w:right="380" w:firstLine="576"/>
        <w:spacing w:after="0"/>
        <w:rPr>
          <w:sz w:val="20"/>
          <w:szCs w:val="20"/>
          <w:color w:val="auto"/>
        </w:rPr>
      </w:pPr>
      <w:r>
        <w:rPr>
          <w:rFonts w:ascii="Arial" w:cs="Arial" w:eastAsia="Arial" w:hAnsi="Arial"/>
          <w:sz w:val="18"/>
          <w:szCs w:val="18"/>
          <w:color w:val="auto"/>
        </w:rPr>
        <w:t>Our ATH platform utilizes proprietary technology to target and enhance the activity of a vital neuronal growth factor that promotes neuronal health and regeneration. We believe that our ATH platform has multiple advantages compared to previous strategies that have targeted growth factors, including:</w:t>
      </w:r>
    </w:p>
    <w:p>
      <w:pPr>
        <w:spacing w:after="0" w:line="77" w:lineRule="exact"/>
        <w:rPr>
          <w:sz w:val="20"/>
          <w:szCs w:val="20"/>
          <w:color w:val="auto"/>
        </w:rPr>
      </w:pPr>
    </w:p>
    <w:p>
      <w:pPr>
        <w:ind w:left="1300" w:right="120" w:hanging="442"/>
        <w:spacing w:after="0" w:line="250"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Small molecules</w:t>
      </w:r>
      <w:r>
        <w:rPr>
          <w:rFonts w:ascii="Arial" w:cs="Arial" w:eastAsia="Arial" w:hAnsi="Arial"/>
          <w:sz w:val="18"/>
          <w:szCs w:val="18"/>
          <w:color w:val="auto"/>
        </w:rPr>
        <w:t>. Previous attempts to promote neurotrophic factor activity with recombinant proteins or stem cells involved</w:t>
      </w:r>
      <w:r>
        <w:rPr>
          <w:rFonts w:ascii="Arial" w:cs="Arial" w:eastAsia="Arial" w:hAnsi="Arial"/>
          <w:sz w:val="18"/>
          <w:szCs w:val="18"/>
          <w:i w:val="1"/>
          <w:iCs w:val="1"/>
          <w:color w:val="auto"/>
        </w:rPr>
        <w:t xml:space="preserve"> </w:t>
      </w:r>
      <w:r>
        <w:rPr>
          <w:rFonts w:ascii="Arial" w:cs="Arial" w:eastAsia="Arial" w:hAnsi="Arial"/>
          <w:sz w:val="18"/>
          <w:szCs w:val="18"/>
          <w:color w:val="auto"/>
        </w:rPr>
        <w:t>invasive surgeries or risked immune response. Our small molecules overcome these challenges, allowing for non-invasive systemic drug delivery through subcutaneous or oral routes that distribute to the nervous system.</w:t>
      </w:r>
    </w:p>
    <w:p>
      <w:pPr>
        <w:spacing w:after="0" w:line="176" w:lineRule="exact"/>
        <w:rPr>
          <w:rFonts w:ascii="Arial" w:cs="Arial" w:eastAsia="Arial" w:hAnsi="Arial"/>
          <w:sz w:val="18"/>
          <w:szCs w:val="18"/>
          <w:color w:val="auto"/>
        </w:rPr>
      </w:pPr>
    </w:p>
    <w:p>
      <w:pPr>
        <w:ind w:left="1300" w:right="120" w:hanging="442"/>
        <w:spacing w:after="0" w:line="267"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Efficient and scalable manufacturing process</w:t>
      </w:r>
      <w:r>
        <w:rPr>
          <w:rFonts w:ascii="Arial" w:cs="Arial" w:eastAsia="Arial" w:hAnsi="Arial"/>
          <w:sz w:val="18"/>
          <w:szCs w:val="18"/>
          <w:color w:val="auto"/>
        </w:rPr>
        <w:t>. Small molecules are manufactured using scalable chemical synthesis routes,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a cost and time efficient process that does not require custom manufacturing infrastructure.</w:t>
      </w:r>
    </w:p>
    <w:p>
      <w:pPr>
        <w:spacing w:after="0" w:line="160" w:lineRule="exact"/>
        <w:rPr>
          <w:rFonts w:ascii="Arial" w:cs="Arial" w:eastAsia="Arial" w:hAnsi="Arial"/>
          <w:sz w:val="18"/>
          <w:szCs w:val="18"/>
          <w:color w:val="auto"/>
        </w:rPr>
      </w:pPr>
    </w:p>
    <w:p>
      <w:pPr>
        <w:ind w:left="1300" w:right="60" w:hanging="442"/>
        <w:spacing w:after="0" w:line="250"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Avoids alteration of target system regulation</w:t>
      </w:r>
      <w:r>
        <w:rPr>
          <w:rFonts w:ascii="Arial" w:cs="Arial" w:eastAsia="Arial" w:hAnsi="Arial"/>
          <w:sz w:val="18"/>
          <w:szCs w:val="18"/>
          <w:color w:val="auto"/>
        </w:rPr>
        <w:t>. ATH compounds are designed to enhance the activity of the target system with</w:t>
      </w:r>
      <w:r>
        <w:rPr>
          <w:rFonts w:ascii="Arial" w:cs="Arial" w:eastAsia="Arial" w:hAnsi="Arial"/>
          <w:sz w:val="18"/>
          <w:szCs w:val="18"/>
          <w:i w:val="1"/>
          <w:iCs w:val="1"/>
          <w:color w:val="auto"/>
        </w:rPr>
        <w:t xml:space="preserve"> </w:t>
      </w:r>
      <w:r>
        <w:rPr>
          <w:rFonts w:ascii="Arial" w:cs="Arial" w:eastAsia="Arial" w:hAnsi="Arial"/>
          <w:sz w:val="18"/>
          <w:szCs w:val="18"/>
          <w:color w:val="auto"/>
        </w:rPr>
        <w:t>neither disruption to nor evasion of the normal regulatory processes that are in place to prevent hypo- or hyper-activation. This design aims to reduce safety risks.</w:t>
      </w:r>
    </w:p>
    <w:p>
      <w:pPr>
        <w:spacing w:after="0" w:line="195" w:lineRule="exact"/>
        <w:rPr>
          <w:sz w:val="20"/>
          <w:szCs w:val="20"/>
          <w:color w:val="auto"/>
        </w:rPr>
      </w:pPr>
    </w:p>
    <w:p>
      <w:pPr>
        <w:ind w:right="400" w:firstLine="576"/>
        <w:spacing w:after="0" w:line="246" w:lineRule="auto"/>
        <w:rPr>
          <w:sz w:val="20"/>
          <w:szCs w:val="20"/>
          <w:color w:val="auto"/>
        </w:rPr>
      </w:pPr>
      <w:r>
        <w:rPr>
          <w:rFonts w:ascii="Arial" w:cs="Arial" w:eastAsia="Arial" w:hAnsi="Arial"/>
          <w:sz w:val="18"/>
          <w:szCs w:val="18"/>
          <w:color w:val="auto"/>
        </w:rPr>
        <w:t>We believe that the ATH platform represents a significant opportunity to develop therapeutics for the treatment of diseases of the nervous system and has the potential to drive significant advancement in regenerative medicine.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18"/>
          <w:szCs w:val="18"/>
          <w:b w:val="1"/>
          <w:bCs w:val="1"/>
          <w:i w:val="1"/>
          <w:iCs w:val="1"/>
          <w:color w:val="auto"/>
        </w:rPr>
        <w:t>Our Therapeutic Discovery Process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utilize a rigorous process to identify small-molecule compounds that activate regenerative systems.</w:t>
      </w:r>
    </w:p>
    <w:p>
      <w:pPr>
        <w:spacing w:after="0" w:line="86" w:lineRule="exact"/>
        <w:rPr>
          <w:sz w:val="20"/>
          <w:szCs w:val="20"/>
          <w:color w:val="auto"/>
        </w:rPr>
      </w:pPr>
    </w:p>
    <w:p>
      <w:pPr>
        <w:ind w:left="1300" w:right="40" w:hanging="442"/>
        <w:spacing w:after="0" w:line="250"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Focus on activity</w:t>
      </w:r>
      <w:r>
        <w:rPr>
          <w:rFonts w:ascii="Arial" w:cs="Arial" w:eastAsia="Arial" w:hAnsi="Arial"/>
          <w:sz w:val="18"/>
          <w:szCs w:val="18"/>
          <w:color w:val="auto"/>
        </w:rPr>
        <w:t>. Our drug screening process is an efficient blend of modern and traditional methods, starting with extensive</w:t>
      </w:r>
      <w:r>
        <w:rPr>
          <w:rFonts w:ascii="Arial" w:cs="Arial" w:eastAsia="Arial" w:hAnsi="Arial"/>
          <w:sz w:val="18"/>
          <w:szCs w:val="18"/>
          <w:i w:val="1"/>
          <w:iCs w:val="1"/>
          <w:color w:val="auto"/>
        </w:rPr>
        <w:t xml:space="preserve"> </w:t>
      </w:r>
      <w:r>
        <w:rPr>
          <w:rFonts w:ascii="Arial" w:cs="Arial" w:eastAsia="Arial" w:hAnsi="Arial"/>
          <w:sz w:val="18"/>
          <w:szCs w:val="18"/>
          <w:color w:val="auto"/>
        </w:rPr>
        <w:t>modeling to create compound libraries. In our process, focus is placed on early activity assays, in which potential hits are advanced to further discovery.</w:t>
      </w:r>
    </w:p>
    <w:p>
      <w:pPr>
        <w:spacing w:after="0" w:line="176" w:lineRule="exact"/>
        <w:rPr>
          <w:rFonts w:ascii="Arial" w:cs="Arial" w:eastAsia="Arial" w:hAnsi="Arial"/>
          <w:sz w:val="18"/>
          <w:szCs w:val="18"/>
          <w:color w:val="auto"/>
        </w:rPr>
      </w:pPr>
    </w:p>
    <w:p>
      <w:pPr>
        <w:ind w:left="1300" w:hanging="442"/>
        <w:spacing w:after="0" w:line="250"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Maximize hit potential</w:t>
      </w:r>
      <w:r>
        <w:rPr>
          <w:rFonts w:ascii="Arial" w:cs="Arial" w:eastAsia="Arial" w:hAnsi="Arial"/>
          <w:sz w:val="18"/>
          <w:szCs w:val="18"/>
          <w:color w:val="auto"/>
        </w:rPr>
        <w:t>. When hits are identified, we employ a comprehensive set of studies to collect compound</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and optimize for drug-like characteristics with medicinal chemistry and structure-activity relationship studies to produce candidates ready for further development.</w:t>
      </w:r>
    </w:p>
    <w:p>
      <w:pPr>
        <w:spacing w:after="0" w:line="176" w:lineRule="exact"/>
        <w:rPr>
          <w:rFonts w:ascii="Arial" w:cs="Arial" w:eastAsia="Arial" w:hAnsi="Arial"/>
          <w:sz w:val="18"/>
          <w:szCs w:val="18"/>
          <w:color w:val="auto"/>
        </w:rPr>
      </w:pPr>
    </w:p>
    <w:p>
      <w:pPr>
        <w:jc w:val="both"/>
        <w:ind w:left="1300" w:right="280" w:hanging="442"/>
        <w:spacing w:after="0" w:line="296" w:lineRule="auto"/>
        <w:tabs>
          <w:tab w:leader="none" w:pos="1300"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Gain insight to inform future therapeutic development</w:t>
      </w:r>
      <w:r>
        <w:rPr>
          <w:rFonts w:ascii="Arial" w:cs="Arial" w:eastAsia="Arial" w:hAnsi="Arial"/>
          <w:sz w:val="17"/>
          <w:szCs w:val="17"/>
          <w:color w:val="auto"/>
        </w:rPr>
        <w:t>. We consider the drug discovery process as a cycle, with past work</w:t>
      </w:r>
      <w:r>
        <w:rPr>
          <w:rFonts w:ascii="Arial" w:cs="Arial" w:eastAsia="Arial" w:hAnsi="Arial"/>
          <w:sz w:val="17"/>
          <w:szCs w:val="17"/>
          <w:i w:val="1"/>
          <w:iCs w:val="1"/>
          <w:color w:val="auto"/>
        </w:rPr>
        <w:t xml:space="preserve"> </w:t>
      </w:r>
      <w:r>
        <w:rPr>
          <w:rFonts w:ascii="Arial" w:cs="Arial" w:eastAsia="Arial" w:hAnsi="Arial"/>
          <w:sz w:val="17"/>
          <w:szCs w:val="17"/>
          <w:color w:val="auto"/>
        </w:rPr>
        <w:t>continuously informing future drug design, ultimately optimizing the process as we advance our knowledge and expertise.</w:t>
      </w:r>
    </w:p>
    <w:p>
      <w:pPr>
        <w:spacing w:after="0" w:line="157" w:lineRule="exact"/>
        <w:rPr>
          <w:sz w:val="20"/>
          <w:szCs w:val="20"/>
          <w:color w:val="auto"/>
        </w:rPr>
      </w:pPr>
    </w:p>
    <w:p>
      <w:pPr>
        <w:ind w:right="180" w:firstLine="576"/>
        <w:spacing w:after="0" w:line="238" w:lineRule="auto"/>
        <w:rPr>
          <w:sz w:val="20"/>
          <w:szCs w:val="20"/>
          <w:color w:val="auto"/>
        </w:rPr>
      </w:pPr>
      <w:r>
        <w:rPr>
          <w:rFonts w:ascii="Arial" w:cs="Arial" w:eastAsia="Arial" w:hAnsi="Arial"/>
          <w:sz w:val="18"/>
          <w:szCs w:val="18"/>
          <w:color w:val="auto"/>
        </w:rPr>
        <w:t>This system has supported the identification of several candidates for development, including ATH-1017. We are using our ATH platform and discovery engine to explore potential development of therapeutic candidates in additional nervous system disorders including ALS, MS, and neuropsychiatric disorders, as well as in peripheral indications such as peripheral neuropathy. We are also actively exploring the potential of expanding the focus of our discovery engine to multiple molecular targets relevant to nervous system disorders.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Development Opportunities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Neuropsychiatric Program (ATH-1019)</w:t>
      </w:r>
    </w:p>
    <w:p>
      <w:pPr>
        <w:spacing w:after="0" w:line="126"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We are currently developing ATH compounds for neuropsychiatric conditions including depression and anxiety. The lifetime prevalence of common mental disorders is reported to be almost 30% and, despite the sizable number of available treatments, a large portion of subjects show an unsatisfactory or a lack of response to treatment. This context, combined with slow responses to common treatments, results in a major burden for patients, public healthcare, and disability systems. ATH compounds represent a novel mechanism for the treatment of neuropsychiatric conditions with a fast onset of action that may help to reduce disease burden on multiple levels. ATH-1019 is a novel, orally active candidate that has been shown to activate the HGF/MET system, and distribute to the CNS, and is neuroactive in animal models.</w:t>
      </w:r>
    </w:p>
    <w:p>
      <w:pPr>
        <w:spacing w:after="0" w:line="203" w:lineRule="exact"/>
        <w:rPr>
          <w:sz w:val="20"/>
          <w:szCs w:val="20"/>
          <w:color w:val="auto"/>
        </w:rPr>
      </w:pPr>
    </w:p>
    <w:p>
      <w:pPr>
        <w:ind w:right="660" w:firstLine="576"/>
        <w:spacing w:after="0" w:line="246" w:lineRule="auto"/>
        <w:rPr>
          <w:sz w:val="20"/>
          <w:szCs w:val="20"/>
          <w:color w:val="auto"/>
        </w:rPr>
      </w:pPr>
      <w:r>
        <w:rPr>
          <w:rFonts w:ascii="Arial" w:cs="Arial" w:eastAsia="Arial" w:hAnsi="Arial"/>
          <w:sz w:val="18"/>
          <w:szCs w:val="18"/>
          <w:color w:val="auto"/>
        </w:rPr>
        <w:t>We believe the stimulating activity of ATH-1019 on the HGF/MET system is well-suited to address neuropsychiatric conditions because:</w:t>
      </w:r>
    </w:p>
    <w:p>
      <w:pPr>
        <w:spacing w:after="0" w:line="89" w:lineRule="exact"/>
        <w:rPr>
          <w:sz w:val="20"/>
          <w:szCs w:val="20"/>
          <w:color w:val="auto"/>
        </w:rPr>
      </w:pPr>
    </w:p>
    <w:p>
      <w:pPr>
        <w:ind w:left="1300" w:hanging="442"/>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HGF/MET signaling is deficient in neuropsychiatric patients and negatively correlated to disease severity;</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reductions in HGF/MET signaling is a causative agent of depression and anxiety behaviors in rodents; and</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enhancement of HGF concentrations in the brain has anti-depressive and anxiolytic effects in rodent models.</w:t>
      </w:r>
    </w:p>
    <w:p>
      <w:pPr>
        <w:spacing w:after="0" w:line="225" w:lineRule="exact"/>
        <w:rPr>
          <w:rFonts w:ascii="Arial" w:cs="Arial" w:eastAsia="Arial" w:hAnsi="Arial"/>
          <w:sz w:val="18"/>
          <w:szCs w:val="18"/>
          <w:color w:val="auto"/>
        </w:rPr>
      </w:pPr>
    </w:p>
    <w:p>
      <w:pPr>
        <w:ind w:left="5420"/>
        <w:spacing w:after="0"/>
        <w:rPr>
          <w:rFonts w:ascii="Arial" w:cs="Arial" w:eastAsia="Arial" w:hAnsi="Arial"/>
          <w:sz w:val="18"/>
          <w:szCs w:val="18"/>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37" w:name="page138"/>
    <w:bookmarkEnd w:id="137"/>
    <w:p>
      <w:pPr>
        <w:ind w:left="580"/>
        <w:spacing w:after="0"/>
        <w:rPr>
          <w:sz w:val="20"/>
          <w:szCs w:val="20"/>
          <w:color w:val="auto"/>
        </w:rPr>
      </w:pPr>
      <w:r>
        <w:rPr>
          <w:rFonts w:ascii="Arial" w:cs="Arial" w:eastAsia="Arial" w:hAnsi="Arial"/>
          <w:sz w:val="18"/>
          <w:szCs w:val="18"/>
          <w:i w:val="1"/>
          <w:iCs w:val="1"/>
          <w:color w:val="auto"/>
        </w:rPr>
        <w:t>Figure 23. ATH-1019 Has the Potential to Rescue HGF/MET Signaling and Promote Activity to Address Depression and Anxiety.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146050</wp:posOffset>
            </wp:positionV>
            <wp:extent cx="5340350" cy="3600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340350"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firstLine="576"/>
        <w:spacing w:after="0" w:line="251" w:lineRule="auto"/>
        <w:rPr>
          <w:sz w:val="20"/>
          <w:szCs w:val="20"/>
          <w:color w:val="auto"/>
        </w:rPr>
      </w:pPr>
      <w:r>
        <w:rPr>
          <w:rFonts w:ascii="Arial" w:cs="Arial" w:eastAsia="Arial" w:hAnsi="Arial"/>
          <w:sz w:val="17"/>
          <w:szCs w:val="17"/>
          <w:color w:val="auto"/>
        </w:rPr>
        <w:t>Further, patients suffering from major depression display reduced function and connectivity of neural pathways, resulting in prolonged P300 latency compared to healthy controls. This effect is particularly apparent in those experiencing cognitive dysfunction. The extent of P300 latency slowing is strongly correlated with the severity of depression, and a normalization of P300 latency is associated with response to treatment. Our HGF activator for the treatment of AD, ATH-1017, normalized the P300 latency of AD subjects in a Phase 1b clinical trial within 8 days of treatment. While the patient populations in neuropsychiatric conditions and AD are substantially different, the root cause of the diseases may not be, and properties of P300 latency have been shown to be conserved across many diseases. These results highlight the ability of HGF/MET activators to impact P300 latency, which when combined with the preexisting research on the effects of activating the HGF/MET system in neuropsychiatric disorders indicates that treatment with HGF/MET activating compounds may be capable of improving patient outcomes in neuropsychiatric indications. We are advancing ATH-1019 to further development for neuropsychiatric indications including depression and anxiety and are targeting an IND submission to the FDA for depression and/or anxiety in the first half of 2022.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Neuropathy Program (ATH-1018)</w:t>
      </w:r>
    </w:p>
    <w:p>
      <w:pPr>
        <w:spacing w:after="0" w:line="126" w:lineRule="exact"/>
        <w:rPr>
          <w:sz w:val="20"/>
          <w:szCs w:val="20"/>
          <w:color w:val="auto"/>
        </w:rPr>
      </w:pPr>
    </w:p>
    <w:p>
      <w:pPr>
        <w:ind w:right="220" w:firstLine="576"/>
        <w:spacing w:after="0" w:line="237" w:lineRule="auto"/>
        <w:rPr>
          <w:sz w:val="20"/>
          <w:szCs w:val="20"/>
          <w:color w:val="auto"/>
        </w:rPr>
      </w:pPr>
      <w:r>
        <w:rPr>
          <w:rFonts w:ascii="Arial" w:cs="Arial" w:eastAsia="Arial" w:hAnsi="Arial"/>
          <w:sz w:val="18"/>
          <w:szCs w:val="18"/>
          <w:color w:val="auto"/>
        </w:rPr>
        <w:t>We have initiated a discovery program to evaluate ATH compounds for peripheral neuropathy. ATH-1018 is a novel, orally active candidate that has demonstrated ability to significantly promote the activity of the HGF/MET system. We are planning to administer ATH-1018 at doses that are expected to largely relegate its activity to the periphery. ATH-1018 potentially represents a new strategy to address neuropathy by promoting the regenerative power of the HGF/MET system with a small molecule therapy. Consideration of HGF/MET activators as a therapeutic approach for neuropathy was initiated following review of studies demonstrating that HGF/MET activating treatment repaired peripheral nerve injury and reduced neuropathy.</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138" w:name="page139"/>
    <w:bookmarkEnd w:id="138"/>
    <w:p>
      <w:pPr>
        <w:ind w:right="20" w:firstLine="576"/>
        <w:spacing w:after="0" w:line="238" w:lineRule="auto"/>
        <w:rPr>
          <w:sz w:val="20"/>
          <w:szCs w:val="20"/>
          <w:color w:val="auto"/>
        </w:rPr>
      </w:pPr>
      <w:r>
        <w:rPr>
          <w:rFonts w:ascii="Arial" w:cs="Arial" w:eastAsia="Arial" w:hAnsi="Arial"/>
          <w:sz w:val="18"/>
          <w:szCs w:val="18"/>
          <w:color w:val="auto"/>
        </w:rPr>
        <w:t>Despite a reported prevalence of up to 10% of the population, neuropathy has proven difficult to manage, and clinical outcomes are unsatisfactory. Management of pain symptoms with opiates serves as a common form of pain therapy and the only reliable one but is palliative only. As well, opiates are fraught with major clinical liabilities. Nerve injury and subsequent neuropathy are typically caused by lesion or disease, commonly diabetes, MS, or stroke. The nerve injury is then followed by an inflammatory response and upregulation of pain signaling factors, which lead to chronic neuropathy.</w:t>
      </w:r>
    </w:p>
    <w:p>
      <w:pPr>
        <w:spacing w:after="0" w:line="202" w:lineRule="exact"/>
        <w:rPr>
          <w:sz w:val="20"/>
          <w:szCs w:val="20"/>
          <w:color w:val="auto"/>
        </w:rPr>
      </w:pPr>
    </w:p>
    <w:p>
      <w:pPr>
        <w:ind w:firstLine="576"/>
        <w:spacing w:after="0" w:line="246" w:lineRule="auto"/>
        <w:rPr>
          <w:sz w:val="20"/>
          <w:szCs w:val="20"/>
          <w:color w:val="auto"/>
        </w:rPr>
      </w:pPr>
      <w:r>
        <w:rPr>
          <w:rFonts w:ascii="Arial" w:cs="Arial" w:eastAsia="Arial" w:hAnsi="Arial"/>
          <w:sz w:val="18"/>
          <w:szCs w:val="18"/>
          <w:color w:val="auto"/>
        </w:rPr>
        <w:t>We believe the activity of ATH compounds, through enhancement of the HGF/MET system, is well-suited to address neuropathy given that HGF/MET signaling has been shown to:</w:t>
      </w:r>
    </w:p>
    <w:p>
      <w:pPr>
        <w:spacing w:after="0" w:line="89" w:lineRule="exact"/>
        <w:rPr>
          <w:sz w:val="20"/>
          <w:szCs w:val="20"/>
          <w:color w:val="auto"/>
        </w:rPr>
      </w:pPr>
    </w:p>
    <w:p>
      <w:pPr>
        <w:ind w:left="1300" w:hanging="442"/>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promote regeneration of damaged peripheral nerves, mediated through Schwann cell activity;</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inhibit inflammation by reduction of the expression of pro-inflammatory cytokines; and</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down-regulate the expression of pain-related genes in damaged peripheral neurons, including ATF3.</w:t>
      </w:r>
    </w:p>
    <w:p>
      <w:pPr>
        <w:spacing w:after="0" w:line="315" w:lineRule="exact"/>
        <w:rPr>
          <w:sz w:val="20"/>
          <w:szCs w:val="20"/>
          <w:color w:val="auto"/>
        </w:rPr>
      </w:pPr>
    </w:p>
    <w:p>
      <w:pPr>
        <w:ind w:right="220" w:firstLine="576"/>
        <w:spacing w:after="0" w:line="267" w:lineRule="auto"/>
        <w:rPr>
          <w:sz w:val="20"/>
          <w:szCs w:val="20"/>
          <w:color w:val="auto"/>
        </w:rPr>
      </w:pPr>
      <w:r>
        <w:rPr>
          <w:rFonts w:ascii="Arial" w:cs="Arial" w:eastAsia="Arial" w:hAnsi="Arial"/>
          <w:sz w:val="18"/>
          <w:szCs w:val="18"/>
          <w:i w:val="1"/>
          <w:iCs w:val="1"/>
          <w:color w:val="auto"/>
        </w:rPr>
        <w:t>Figure 24. ATH-1018 Activity Has the Potential Both to Block Several Processes that Lead to Neuropathy and to Promote Neuronal Regeneration.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113665</wp:posOffset>
            </wp:positionV>
            <wp:extent cx="4671695" cy="44062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671695" cy="440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40" w:firstLine="576"/>
        <w:spacing w:after="0" w:line="246" w:lineRule="auto"/>
        <w:rPr>
          <w:sz w:val="20"/>
          <w:szCs w:val="20"/>
          <w:color w:val="auto"/>
        </w:rPr>
      </w:pPr>
      <w:r>
        <w:rPr>
          <w:rFonts w:ascii="Arial" w:cs="Arial" w:eastAsia="Arial" w:hAnsi="Arial"/>
          <w:sz w:val="18"/>
          <w:szCs w:val="18"/>
          <w:color w:val="auto"/>
        </w:rPr>
        <w:t>Furthermore, previous clinical trials have shown that with HGF plasmid therapy, designed to increase circulating HGF, promoting the HGF/MET system significantly reduced pain in patients with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39" w:name="page140"/>
    <w:bookmarkEnd w:id="139"/>
    <w:p>
      <w:pPr>
        <w:spacing w:after="0" w:line="237" w:lineRule="auto"/>
        <w:rPr>
          <w:sz w:val="20"/>
          <w:szCs w:val="20"/>
          <w:color w:val="auto"/>
        </w:rPr>
      </w:pPr>
      <w:r>
        <w:rPr>
          <w:rFonts w:ascii="Arial" w:cs="Arial" w:eastAsia="Arial" w:hAnsi="Arial"/>
          <w:sz w:val="18"/>
          <w:szCs w:val="18"/>
          <w:color w:val="auto"/>
        </w:rPr>
        <w:t>diabetic peripheral neuropathy. We believe these clinical trials provide a proof of concept for the therapeutic target. However, our oral small-molecule candidates offer distinct advantages over plasmid therapies, including controlled dose and ease of administration. Targeting HGF/MET signaling for the treatment of neuropathy is supported by both preclinical and clinical research, and we are evaluating the next generation oral ATH compounds for activity to address neuropathy. Validated methods for the assessment of peripheral nerve function (neurography) and pain (VAS rating) are well established. We are advancing ATH-1018 to further development for neuropathy indications and are targeting an IND submission to the FDA by the end of 2022.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and Dementia</w:t>
      </w:r>
    </w:p>
    <w:p>
      <w:pPr>
        <w:spacing w:after="0" w:line="126" w:lineRule="exact"/>
        <w:rPr>
          <w:sz w:val="20"/>
          <w:szCs w:val="20"/>
          <w:color w:val="auto"/>
        </w:rPr>
      </w:pPr>
    </w:p>
    <w:p>
      <w:pPr>
        <w:ind w:right="140" w:firstLine="576"/>
        <w:spacing w:after="0" w:line="237" w:lineRule="auto"/>
        <w:rPr>
          <w:sz w:val="20"/>
          <w:szCs w:val="20"/>
          <w:color w:val="auto"/>
        </w:rPr>
      </w:pPr>
      <w:r>
        <w:rPr>
          <w:rFonts w:ascii="Arial" w:cs="Arial" w:eastAsia="Arial" w:hAnsi="Arial"/>
          <w:sz w:val="18"/>
          <w:szCs w:val="18"/>
          <w:color w:val="auto"/>
        </w:rPr>
        <w:t>ATH-1017 is being advanced for mild-to-moderate AD patients initially. The AD dementia market today in 2020 is reported to be 5.8 million Americans and is projected to reach nearly 14 million by 2050 in the U.S. Worldwide, as many as 35 million people are estimated to have AD and the patient population was projected in 2007 to grow to over 100 million by 2050. Our strategy is to ultimately position ATH-1017 as a treatment for dementia broadly. Spanning all dementias globally, an estimated 50 million people are reported to be affected today in 2020 and this number is projected to be 150 million by 2050. Many factors contribute to the growing numbers of the potentially treatable population, including “baby boomers” reaching age 65 and increasing life expectancy beyond 80.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Target Indications</w:t>
      </w:r>
    </w:p>
    <w:p>
      <w:pPr>
        <w:spacing w:after="0" w:line="126" w:lineRule="exact"/>
        <w:rPr>
          <w:sz w:val="20"/>
          <w:szCs w:val="20"/>
          <w:color w:val="auto"/>
        </w:rPr>
      </w:pPr>
    </w:p>
    <w:p>
      <w:pPr>
        <w:ind w:right="260" w:firstLine="576"/>
        <w:spacing w:after="0" w:line="238" w:lineRule="auto"/>
        <w:rPr>
          <w:sz w:val="20"/>
          <w:szCs w:val="20"/>
          <w:color w:val="auto"/>
        </w:rPr>
      </w:pPr>
      <w:r>
        <w:rPr>
          <w:rFonts w:ascii="Arial" w:cs="Arial" w:eastAsia="Arial" w:hAnsi="Arial"/>
          <w:sz w:val="18"/>
          <w:szCs w:val="18"/>
          <w:color w:val="auto"/>
        </w:rPr>
        <w:t>Our immediate next pipeline opportunities include: ATH-1019 for neuropsychiatry and ATH-1018 for neuropathy. Neuropsychiatric indications, specifically depression, are estimated to affect 7% of all U.S. adults 18 and older representing an estimated addressable potential patient population of approximately 17 million adults as of 2017, and was projected in 2008 to reach approximately 37 million by 2050. Beyond depression, and with a reported lifetime prevalence of nearly 30% for all neuropsychiatric indications, the addressable 2020 patient population of adults 18 and older is reported to reach nearly 50 million in the U.S. alone.</w:t>
      </w:r>
    </w:p>
    <w:p>
      <w:pPr>
        <w:spacing w:after="0" w:line="202" w:lineRule="exact"/>
        <w:rPr>
          <w:sz w:val="20"/>
          <w:szCs w:val="20"/>
          <w:color w:val="auto"/>
        </w:rPr>
      </w:pPr>
    </w:p>
    <w:p>
      <w:pPr>
        <w:ind w:right="300" w:firstLine="576"/>
        <w:spacing w:after="0" w:line="238" w:lineRule="auto"/>
        <w:rPr>
          <w:sz w:val="20"/>
          <w:szCs w:val="20"/>
          <w:color w:val="auto"/>
        </w:rPr>
      </w:pPr>
      <w:r>
        <w:rPr>
          <w:rFonts w:ascii="Arial" w:cs="Arial" w:eastAsia="Arial" w:hAnsi="Arial"/>
          <w:sz w:val="18"/>
          <w:szCs w:val="18"/>
          <w:color w:val="auto"/>
        </w:rPr>
        <w:t>The estimated prevalence of neuropathy in the U.S. averages approximately 10% but could be higher due to a larger undiagnosed population. Conservatively, and with nearly 10% of the U.S. population over 30 years old estimated to be diagnosed with some form of neuropathy, the reported addressable patient population today is approximately 30 million patients for peripheral neuropathy, a type of neuropathic pain, alone.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Commercialization Plan</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ATH-1017 is initially being developed as a regenerative medicine for AD. For the initial target patient population of mild-to-moderate</w:t>
      </w:r>
    </w:p>
    <w:p>
      <w:pPr>
        <w:spacing w:after="0"/>
        <w:rPr>
          <w:sz w:val="20"/>
          <w:szCs w:val="20"/>
          <w:color w:val="auto"/>
        </w:rPr>
      </w:pPr>
      <w:r>
        <w:rPr>
          <w:rFonts w:ascii="Arial" w:cs="Arial" w:eastAsia="Arial" w:hAnsi="Arial"/>
          <w:sz w:val="18"/>
          <w:szCs w:val="18"/>
          <w:color w:val="auto"/>
        </w:rPr>
        <w:t>AD patients, our commercialization strategy of ATH-1017 will consider the following key elements:</w:t>
      </w:r>
    </w:p>
    <w:p>
      <w:pPr>
        <w:spacing w:after="0" w:line="104" w:lineRule="exact"/>
        <w:rPr>
          <w:sz w:val="20"/>
          <w:szCs w:val="20"/>
          <w:color w:val="auto"/>
        </w:rPr>
      </w:pPr>
    </w:p>
    <w:p>
      <w:pPr>
        <w:ind w:left="1300" w:hanging="442"/>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add-on therapy for patients on existing therapies;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monotherapy for patients who are not suitable for acetylcholinesterase inhibitors, or AChEIs;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monotherapy for patients who have stopped AChEIs due to loss of effect or side effects; and</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treatment to other dementias such as PDD, Lewy body dementia and Frontal temporal dementia over time.</w:t>
      </w:r>
    </w:p>
    <w:p>
      <w:pPr>
        <w:spacing w:after="0" w:line="225" w:lineRule="exact"/>
        <w:rPr>
          <w:rFonts w:ascii="Arial" w:cs="Arial" w:eastAsia="Arial" w:hAnsi="Arial"/>
          <w:sz w:val="18"/>
          <w:szCs w:val="18"/>
          <w:color w:val="auto"/>
        </w:rPr>
      </w:pPr>
    </w:p>
    <w:p>
      <w:pPr>
        <w:ind w:left="5420"/>
        <w:spacing w:after="0"/>
        <w:rPr>
          <w:rFonts w:ascii="Arial" w:cs="Arial" w:eastAsia="Arial" w:hAnsi="Arial"/>
          <w:sz w:val="18"/>
          <w:szCs w:val="18"/>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40" w:name="page141"/>
    <w:bookmarkEnd w:id="140"/>
    <w:p>
      <w:pPr>
        <w:ind w:right="80" w:firstLine="576"/>
        <w:spacing w:after="0"/>
        <w:rPr>
          <w:sz w:val="20"/>
          <w:szCs w:val="20"/>
          <w:color w:val="auto"/>
        </w:rPr>
      </w:pPr>
      <w:r>
        <w:rPr>
          <w:rFonts w:ascii="Arial" w:cs="Arial" w:eastAsia="Arial" w:hAnsi="Arial"/>
          <w:sz w:val="18"/>
          <w:szCs w:val="18"/>
          <w:color w:val="auto"/>
        </w:rPr>
        <w:t>We aim to demonstrate the unique short- and long-term value provided by ATH-1017 by linking the core symptoms of dementia (cognition and behavioral and psychological symptoms of dementia) to both improved outcomes and reduced costs and the benefits of ATH-1017 through increased compliance rates in our initial indications.</w:t>
      </w:r>
    </w:p>
    <w:p>
      <w:pPr>
        <w:spacing w:after="0" w:line="203"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We anticipate exploring two distribution strategies for ATH-1017, traditional wholesaler and specialty pharmacy. While the traditional wholesaler could be a suitable option, we believe that the additional patient services that could be provided through specialty pharmacy may offer more value to patients, caregivers, and their providers. Such services could include training on subcutaneous administration, patient counseling and assistance with reimbursement or insurance issues. This could also allow us to reduce the need for costly in house or field-based resources such as patient training or reimbursement support specialists.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6"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product candidates. We utilize third-party contract development and manufacturing organizations, or CDMOs, to manufacture and supply our preclinical and clinical materials during the development of our product candidates. We and various regulatory bodies have audited the CDMOs we contract with, and they have a proven track record of FDA-compliant manufacturing with an infrastructure to support large and commercial scale manufacturing.</w:t>
      </w:r>
    </w:p>
    <w:p>
      <w:pPr>
        <w:spacing w:after="0" w:line="205"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We have enough ATH-1017 supply to begin our planned LIFT-AD and our P300 Phase 2 clinical trials in AD. We believe the synthesis of ATH-1017 is reliable and reproducible and the synthetic routes can be further optimized to enable large-scale production that continues to avoid use of toxic materials or specialized equipment or handling during the manufacturing process. We continue to optimize the manufacturing process to support future large-scale and commercial supply. ATH-1017 is purified as a stable solid and then released to additional CDMOs for formulation and packaging into final drug product for use in clinical testing.</w:t>
      </w:r>
    </w:p>
    <w:p>
      <w:pPr>
        <w:spacing w:after="0" w:line="202"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The final drug product profile is a ready-to-use pre-filled syringe with a clear, non-viscous aqueous solution of ATH-1017. The syringes utilize materials and components that are readily available commercially. The ATH-1017 drug product has shown extended stability (at least 2 years) under storage conditions when stored in vials that were composed of identical materials to the syringes. Confirmatory stability studies in syringes are ongoing and data collected thus far support the translation of the extended stability from vials to syringes under refrigerated conditions as well as short-term dispensation and at-home storage in ambient conditions. Room temperature storage allows patients to avoid cumbersome storage requirements and reduces overall burden.</w:t>
      </w:r>
    </w:p>
    <w:p>
      <w:pPr>
        <w:spacing w:after="0" w:line="205" w:lineRule="exact"/>
        <w:rPr>
          <w:sz w:val="20"/>
          <w:szCs w:val="20"/>
          <w:color w:val="auto"/>
        </w:rPr>
      </w:pPr>
    </w:p>
    <w:p>
      <w:pPr>
        <w:ind w:right="420" w:firstLine="576"/>
        <w:spacing w:after="0" w:line="246" w:lineRule="auto"/>
        <w:rPr>
          <w:sz w:val="20"/>
          <w:szCs w:val="20"/>
          <w:color w:val="auto"/>
        </w:rPr>
      </w:pPr>
      <w:r>
        <w:rPr>
          <w:rFonts w:ascii="Arial" w:cs="Arial" w:eastAsia="Arial" w:hAnsi="Arial"/>
          <w:sz w:val="18"/>
          <w:szCs w:val="18"/>
          <w:color w:val="auto"/>
        </w:rPr>
        <w:t>We plan to maintain our focus to identify and develop small molecule product candidates that are expected to have cost-effective manufacturing using third party CDMOs.</w:t>
      </w:r>
    </w:p>
    <w:p>
      <w:pPr>
        <w:spacing w:after="0" w:line="197" w:lineRule="exact"/>
        <w:rPr>
          <w:sz w:val="20"/>
          <w:szCs w:val="20"/>
          <w:color w:val="auto"/>
        </w:rPr>
      </w:pPr>
    </w:p>
    <w:p>
      <w:pPr>
        <w:ind w:right="40" w:firstLine="576"/>
        <w:spacing w:after="0" w:line="246" w:lineRule="auto"/>
        <w:rPr>
          <w:sz w:val="20"/>
          <w:szCs w:val="20"/>
          <w:color w:val="auto"/>
        </w:rPr>
      </w:pPr>
      <w:r>
        <w:rPr>
          <w:rFonts w:ascii="Arial" w:cs="Arial" w:eastAsia="Arial" w:hAnsi="Arial"/>
          <w:sz w:val="18"/>
          <w:szCs w:val="18"/>
          <w:color w:val="auto"/>
        </w:rPr>
        <w:t>We expect to use similar contract resources for commercialization of our products, at least until our resources and operations are at a scale that justifies investment in internal manufacturing capabilities.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The biotechnology and biopharmaceuticals industries are characterized by rapid technological advancement, significant competition, and an emphasis on intellectual property. As a clinical-stage biopharmaceutical company developing small molecules to restore neuronal health and stop neurodegeneration, with our most advanced product candidates focused on the treatment of AD and dementia, we face, and in the future may face increased, competitive pressures from both large and small pharmaceutical companies and from established and emerging biotechnology companies, as well as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41" w:name="page142"/>
    <w:bookmarkEnd w:id="141"/>
    <w:p>
      <w:pPr>
        <w:ind w:right="20"/>
        <w:spacing w:after="0" w:line="237" w:lineRule="auto"/>
        <w:rPr>
          <w:sz w:val="20"/>
          <w:szCs w:val="20"/>
          <w:color w:val="auto"/>
        </w:rPr>
      </w:pPr>
      <w:r>
        <w:rPr>
          <w:rFonts w:ascii="Arial" w:cs="Arial" w:eastAsia="Arial" w:hAnsi="Arial"/>
          <w:sz w:val="18"/>
          <w:szCs w:val="18"/>
          <w:color w:val="auto"/>
        </w:rPr>
        <w:t>academic, government, and public and private research institutions. Any product candidates that we successfully develop and commercialize will compete with current treatments and new treatments that may become available in the future. With the advancement of ATH-1017 as a novel small molecule therapeutic activating a neurotrophic factor pathway, the HGF/MET system, and its liquid formulation as a subcutaneous deliverable, we also consider as competitors companies developing small molecule AD therapies targeting neurotrophic factors with or without a subcutaneous route of administration. Despite the immediate commercialization plan to launch ATH-1017, if approved, in pre-filled syringes with future plans for device innovation, including potentially smart multi-dose pen injectors, we do not view the medical device industry as competition but rather potential partners enabling the manufacture and commercialization of ATH-1017.</w:t>
      </w:r>
    </w:p>
    <w:p>
      <w:pPr>
        <w:spacing w:after="0" w:line="203"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Because of the range of potential competitors, many of our competitors, alone or with strategic partners, have greater access to financial resources, market presence, and resources and expertise in development, preclinical and clinical testing, manufacturing, commercialization, the regulatory approval process, and/or marketing and sales than we do. In addition, these same competitors, who may be in a clinical development stage, could also be competing with us for patient recruitment, clinical research organization, and operational resources. These entities also compete with us in the recruitment and retaining of qualified scientific and management personnel, as well as the acquisition of enabling or complementary technologies for advancing ATH-1017 across all competitors. Merger and acquisition activity in the biotechnology and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Our commercial opportunity could be substantially limited if our competitors develop and commercialize products that are more effective, safer, more convenient or less expensive than our comparable products. In geographies that are critical to our commercial success, competitors may also obtain regulatory approvals before us, resulting in our competitors building a strong market position in advance of the entry of our products. In addition, our ability to compete may be affected in many cases by insurers or other third-party payors seeking to encourage the use of other treatments.</w:t>
      </w:r>
    </w:p>
    <w:p>
      <w:pPr>
        <w:spacing w:after="0" w:line="203"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Key competitive forces that could potentially affect the success of our products, if approved, are safety, efficacy, price, adoption, convenience, time-to-market, level of promotional activity, intellectual property protection, and reimbursement likelihood from government and private payors. Despite these forces, we view our competitive advantage in not only our lead product candidate, ATH-1017, but also our novel pipeline of therapeutics with a focus on overall neuronal health. In particular, the following summarizes certain categories of our potential competition.</w:t>
      </w:r>
    </w:p>
    <w:p>
      <w:pPr>
        <w:spacing w:after="0" w:line="202"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auto"/>
        </w:rPr>
        <w:t>As a small molecule therapeutic targeting the HGF/MET system, we are aware of a number of potential competitors in this space, including ANG-3777, an HGF mimetic, developed by Angion for the treatment of kidney injury and Collategene developed by Mitsubishi Tanabe and AnGes as a gene therapy for the treatment of critical limb ischemia. ANG-3777 is currently in Phase 3 clinical trials while Collategene was launched in Japan in the third quarter of 2019. In addition, we are aware of p75 ligands being developed by PharmatrophiX for the treatment of neurodegenerative and other disorders, including AD, as well as VM-202, a regenerative plasmid DNA therapy candidate in development by Helixmith for the treatment of diabetic peripheral neuropathy. We are not aware of any direct competitors currently targeting the HGF/MET system for neurological conditions.</w:t>
      </w:r>
    </w:p>
    <w:p>
      <w:pPr>
        <w:spacing w:after="0" w:line="203"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ATH-1017 is being advanced as either a monotherapy or an add-on therapy for patients on AChEIs. In addition to being a potential add-on therapy to currently approved therapies, we do not anticipate ATH-1017 to be a direct competitor to, but rather complementary to, other therapeutic developments focused on Aβ, pTau, AChE, BACE inhibitors, inflammation and others. Similarly, because ATH-1017 presents a novel mechanism of action, we do not view monoclonal antibody therapies currently under development by large pharmaceutical companies of which we are aware, including Biogen, Eli Lilly and Roche, as competitors, but potentially as complementary to our approach.</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Intellectual Property</w:t>
      </w:r>
    </w:p>
    <w:p>
      <w:pPr>
        <w:spacing w:after="0" w:line="126" w:lineRule="exact"/>
        <w:rPr>
          <w:sz w:val="20"/>
          <w:szCs w:val="20"/>
          <w:color w:val="auto"/>
        </w:rPr>
      </w:pPr>
    </w:p>
    <w:p>
      <w:pPr>
        <w:ind w:right="120" w:firstLine="576"/>
        <w:spacing w:after="0" w:line="246" w:lineRule="auto"/>
        <w:rPr>
          <w:sz w:val="20"/>
          <w:szCs w:val="20"/>
          <w:color w:val="auto"/>
        </w:rPr>
      </w:pPr>
      <w:r>
        <w:rPr>
          <w:rFonts w:ascii="Arial" w:cs="Arial" w:eastAsia="Arial" w:hAnsi="Arial"/>
          <w:sz w:val="18"/>
          <w:szCs w:val="18"/>
          <w:color w:val="auto"/>
        </w:rPr>
        <w:t>We own or have in-licensed numerous patents and patent applications and possess substantial know-how and trade secrets relating to the development and commercialization of our product candidates, including related manufacturing processes and technologies.</w:t>
      </w:r>
    </w:p>
    <w:p>
      <w:pPr>
        <w:spacing w:after="0" w:line="197" w:lineRule="exact"/>
        <w:rPr>
          <w:sz w:val="20"/>
          <w:szCs w:val="20"/>
          <w:color w:val="auto"/>
        </w:rPr>
      </w:pPr>
    </w:p>
    <w:p>
      <w:pPr>
        <w:ind w:right="160" w:firstLine="576"/>
        <w:spacing w:after="0" w:line="237" w:lineRule="auto"/>
        <w:rPr>
          <w:sz w:val="20"/>
          <w:szCs w:val="20"/>
          <w:color w:val="auto"/>
        </w:rPr>
      </w:pPr>
      <w:r>
        <w:rPr>
          <w:rFonts w:ascii="Arial" w:cs="Arial" w:eastAsia="Arial" w:hAnsi="Arial"/>
          <w:sz w:val="18"/>
          <w:szCs w:val="18"/>
          <w:color w:val="auto"/>
        </w:rPr>
        <w:t>As of June 30, 2020, our patent portfolio consisted of nine owned or in-licensed U.S. issued patents, one owned or in-licensed U.S. pending patent application, 12 owned or in-licensed patents issued in jurisdictions outside of the United States, and nine owned or in-licensed pending patent applications in jurisdictions outside of the United States. The patents and patent applications issued and pending outside the United States are generally counterparts to the foregoing U.S. patents and patent applications and are held primarily in Europe, Canada, Japan, Australia, Hong Kong, India, and China. Our solely-owned and in-licensed patents and patent applications include, among others, claims directed to:</w:t>
      </w:r>
    </w:p>
    <w:p>
      <w:pPr>
        <w:spacing w:after="0" w:line="97" w:lineRule="exact"/>
        <w:rPr>
          <w:sz w:val="20"/>
          <w:szCs w:val="20"/>
          <w:color w:val="auto"/>
        </w:rPr>
      </w:pPr>
    </w:p>
    <w:p>
      <w:pPr>
        <w:ind w:left="1300" w:hanging="442"/>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ATH-1017 and related compounds;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methods of using ATH-1017; and</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methods of using related compounds.</w:t>
      </w:r>
    </w:p>
    <w:p>
      <w:pPr>
        <w:spacing w:after="0" w:line="225"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We intend to pursue, when possible, further composition, method of use, dosing, formulation, and device patent protection directed to the neuroregenerative products and processes we develop. We may also pursue patent protection with respect to manufacturing and drug development processes and technology.</w:t>
      </w:r>
    </w:p>
    <w:p>
      <w:pPr>
        <w:spacing w:after="0" w:line="203"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nonprovisional filing date. In addition, in certain instances, a patent term can be adjusted or extended to recapture a portion of the term effectively lost as a result of the USPTO delay and the FDA regulatory review period. The restoration period for FDA delay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nonprovisional filing date. Our in-licensed issued patents will expire on dates ranging from 2023 to 2035, exclusive of any patent term adjustment or patent term extension. If patents are issued on our pending patent applications, the resulting patents are projected to expire on dates ranging from 2032 to 2037, exclusive of any patent term adjustment or patent term extension.</w:t>
      </w:r>
    </w:p>
    <w:p>
      <w:pPr>
        <w:spacing w:after="0" w:line="20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We further seek to protect our technology and product candidates, in part, as trade secrets,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w:t>
      </w:r>
    </w:p>
    <w:p>
      <w:pPr>
        <w:spacing w:after="0" w:line="205" w:lineRule="exact"/>
        <w:rPr>
          <w:sz w:val="20"/>
          <w:szCs w:val="20"/>
          <w:color w:val="auto"/>
        </w:rPr>
      </w:pPr>
    </w:p>
    <w:p>
      <w:pPr>
        <w:ind w:right="720" w:firstLine="576"/>
        <w:spacing w:after="0" w:line="246" w:lineRule="auto"/>
        <w:rPr>
          <w:sz w:val="20"/>
          <w:szCs w:val="20"/>
          <w:color w:val="auto"/>
        </w:rPr>
      </w:pPr>
      <w:r>
        <w:rPr>
          <w:rFonts w:ascii="Arial" w:cs="Arial" w:eastAsia="Arial" w:hAnsi="Arial"/>
          <w:sz w:val="18"/>
          <w:szCs w:val="18"/>
          <w:color w:val="auto"/>
        </w:rPr>
        <w:t>Our trademark portfolio currently consists of two pending trademark applications in the United States, two pending trademark applications in Australia, and two issued trademark registrations in the European Union.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Collaboration and Grant Agreements</w:t>
      </w:r>
    </w:p>
    <w:p>
      <w:pPr>
        <w:spacing w:after="0" w:line="108" w:lineRule="exact"/>
        <w:rPr>
          <w:sz w:val="20"/>
          <w:szCs w:val="20"/>
          <w:color w:val="auto"/>
        </w:rPr>
      </w:pPr>
    </w:p>
    <w:p>
      <w:pPr>
        <w:ind w:right="320"/>
        <w:spacing w:after="0" w:line="267" w:lineRule="auto"/>
        <w:rPr>
          <w:sz w:val="20"/>
          <w:szCs w:val="20"/>
          <w:color w:val="auto"/>
        </w:rPr>
      </w:pPr>
      <w:r>
        <w:rPr>
          <w:rFonts w:ascii="Arial" w:cs="Arial" w:eastAsia="Arial" w:hAnsi="Arial"/>
          <w:sz w:val="18"/>
          <w:szCs w:val="18"/>
          <w:i w:val="1"/>
          <w:iCs w:val="1"/>
          <w:color w:val="auto"/>
        </w:rPr>
        <w:t>Washington State University Research Foundation License Agreement and Amended and Restated Washington State University License Agreement</w:t>
      </w:r>
    </w:p>
    <w:p>
      <w:pPr>
        <w:spacing w:after="0" w:line="70" w:lineRule="exact"/>
        <w:rPr>
          <w:sz w:val="20"/>
          <w:szCs w:val="20"/>
          <w:color w:val="auto"/>
        </w:rPr>
      </w:pPr>
    </w:p>
    <w:p>
      <w:pPr>
        <w:ind w:right="120" w:firstLine="576"/>
        <w:spacing w:after="0" w:line="261" w:lineRule="auto"/>
        <w:rPr>
          <w:sz w:val="20"/>
          <w:szCs w:val="20"/>
          <w:color w:val="auto"/>
        </w:rPr>
      </w:pPr>
      <w:r>
        <w:rPr>
          <w:rFonts w:ascii="Arial" w:cs="Arial" w:eastAsia="Arial" w:hAnsi="Arial"/>
          <w:sz w:val="17"/>
          <w:szCs w:val="17"/>
          <w:color w:val="auto"/>
        </w:rPr>
        <w:t>In December 2011, we entered into an exclusive license agreement with Washington State University Research Fund, or WSURF, which, after the dissolution of WSURF in 2013, was superseded by an amended and restated exclusive license agreement with Washington State University, or WSU, in September of 2015. Under this agreement, WSU granted us an exclusive license to make, use, sell,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43" w:name="page144"/>
    <w:bookmarkEnd w:id="143"/>
    <w:p>
      <w:pPr>
        <w:ind w:right="80"/>
        <w:spacing w:after="0" w:line="238" w:lineRule="auto"/>
        <w:rPr>
          <w:sz w:val="20"/>
          <w:szCs w:val="20"/>
          <w:color w:val="auto"/>
        </w:rPr>
      </w:pPr>
      <w:r>
        <w:rPr>
          <w:rFonts w:ascii="Arial" w:cs="Arial" w:eastAsia="Arial" w:hAnsi="Arial"/>
          <w:sz w:val="18"/>
          <w:szCs w:val="18"/>
          <w:color w:val="auto"/>
        </w:rPr>
        <w:t>offer for sale licensed products and licensed processes that embody the licensed patents (including WSU’s rights to a patent jointly owned with Pacific Norwest Biotechnology, Inc.) and that form the underlying technology of the drug therapies we are developing. The term of the license begins on the effective date and continues until the earlier of the date on which no valid claim remains enforceable or the payment of royalties ceases for more than four consecutive quarters after such royalty payments begin.</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obligated to pay to WSU the following if the related milestones are reached:</w:t>
      </w:r>
    </w:p>
    <w:p>
      <w:pPr>
        <w:spacing w:after="0" w:line="104" w:lineRule="exact"/>
        <w:rPr>
          <w:sz w:val="20"/>
          <w:szCs w:val="20"/>
          <w:color w:val="auto"/>
        </w:rPr>
      </w:pPr>
    </w:p>
    <w:p>
      <w:pPr>
        <w:ind w:left="1300" w:right="340" w:hanging="442"/>
        <w:spacing w:after="0" w:line="246"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$50,000 – At initiation of the first Phase 2 clinical trial in the United States, European Union or Japan for the first licensed product.</w:t>
      </w:r>
    </w:p>
    <w:p>
      <w:pPr>
        <w:spacing w:after="0" w:line="196" w:lineRule="exact"/>
        <w:rPr>
          <w:rFonts w:ascii="Arial" w:cs="Arial" w:eastAsia="Arial" w:hAnsi="Arial"/>
          <w:sz w:val="18"/>
          <w:szCs w:val="18"/>
          <w:color w:val="auto"/>
        </w:rPr>
      </w:pPr>
    </w:p>
    <w:p>
      <w:pPr>
        <w:ind w:left="1300" w:right="240" w:hanging="442"/>
        <w:spacing w:after="0" w:line="246"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3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obligated to pay WSU a royalty in the mid-single digits of net sales.</w:t>
      </w:r>
    </w:p>
    <w:p>
      <w:pPr>
        <w:spacing w:after="0" w:line="212" w:lineRule="exact"/>
        <w:rPr>
          <w:sz w:val="20"/>
          <w:szCs w:val="20"/>
          <w:color w:val="auto"/>
        </w:rPr>
      </w:pPr>
    </w:p>
    <w:p>
      <w:pPr>
        <w:ind w:right="180" w:firstLine="576"/>
        <w:spacing w:after="0"/>
        <w:rPr>
          <w:sz w:val="20"/>
          <w:szCs w:val="20"/>
          <w:color w:val="auto"/>
        </w:rPr>
      </w:pPr>
      <w:r>
        <w:rPr>
          <w:rFonts w:ascii="Arial" w:cs="Arial" w:eastAsia="Arial" w:hAnsi="Arial"/>
          <w:sz w:val="18"/>
          <w:szCs w:val="18"/>
          <w:color w:val="auto"/>
        </w:rPr>
        <w:t>Additionally, under the agreement we have the right to sublicense the licensed rights, subject to additional payments to WSU for sublicense consideration received. Such amounts are dependent on the terms of the underlying sublicense, and range from the mid-single digits to mid tens of any non-sales based payments received, and low twenties of net sales-based sublicense royalties.</w:t>
      </w:r>
    </w:p>
    <w:p>
      <w:pPr>
        <w:spacing w:after="0" w:line="203"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term of the agreement will continue until the earlier of the date that no valid claim in a licensed patent remains enforceable or payment of earned royalties, once such payments begin, ceases for more than four consecutive calendar quarters. We may terminate this agreement with 90 days’ prior written notice to WSU. WSU may terminate this agreement with 90 days’ prior written notice if we fail to achieve certain performance milestones by the agreed upon dates. WSU may also terminate this agreement with 90 days’ prior written notice (or thirty days’ prior written notice in the case of our failure to make a timely payment owed to WSU) following our failure to conduct certain development activities for two consecutive calendar quarters or upon our material breach of the agreement and our failure to cure any such breach within 90 days of our receipt of notice of such breach from WSU (or within 30 days in the case of our failure to make a timely payment owed to WSU).</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Liability</w:t>
      </w:r>
    </w:p>
    <w:p>
      <w:pPr>
        <w:spacing w:after="0" w:line="122"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In 2014 and 2015, we received $250,000 and $500,000, respectively, from the Washington Life Sciences Discovery Fund, or LSDF, under the terms of two matching grant award agreements. In connection with the agreements, LSDF retained the right to receive cash payments of up to twice the amounts received, or $1.5 million, upon the occurrence of specified triggering events, including the completion of this offering.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6"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 the drug’s quality, safety, and efficacy. Such data must then be organized into a format specific for each regulatory authority, submitted for review and approved by the regulatory authority.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the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04" w:lineRule="exact"/>
        <w:rPr>
          <w:sz w:val="20"/>
          <w:szCs w:val="20"/>
          <w:color w:val="auto"/>
        </w:rPr>
      </w:pPr>
    </w:p>
    <w:p>
      <w:pPr>
        <w:ind w:left="1300" w:right="100" w:hanging="442"/>
        <w:spacing w:after="0" w:line="246"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completion of nonclinical laboratory tests, animal studies, and formulation studies in accordance with FDA’s good laboratory practice requirements and other applicable regulations;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225" w:lineRule="exact"/>
        <w:rPr>
          <w:rFonts w:ascii="Arial" w:cs="Arial" w:eastAsia="Arial" w:hAnsi="Arial"/>
          <w:sz w:val="18"/>
          <w:szCs w:val="18"/>
          <w:color w:val="auto"/>
        </w:rPr>
      </w:pPr>
    </w:p>
    <w:p>
      <w:pPr>
        <w:ind w:left="1300" w:right="40" w:hanging="442"/>
        <w:spacing w:after="0" w:line="246"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approval by an independent IRB ethics committee, either centralized or with respect to each clinical site, before each clinical trial may be initiated;</w:t>
      </w:r>
    </w:p>
    <w:p>
      <w:pPr>
        <w:spacing w:after="0" w:line="196" w:lineRule="exact"/>
        <w:rPr>
          <w:rFonts w:ascii="Arial" w:cs="Arial" w:eastAsia="Arial" w:hAnsi="Arial"/>
          <w:sz w:val="18"/>
          <w:szCs w:val="18"/>
          <w:color w:val="auto"/>
        </w:rPr>
      </w:pPr>
    </w:p>
    <w:p>
      <w:pPr>
        <w:ind w:left="1300" w:right="380" w:hanging="442"/>
        <w:spacing w:after="0" w:line="246"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GCP requirements to establish the safety and efficacy of the proposed drug for its intended use;</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submission to the FDA of an NDA after completion of all pivotal trials;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determination by the FDA within 60 days of its receipt of an NDA to accept the filing for substantive review;</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cGMP requirements to ensure that the facilities, methods and controls are adequate to preserve the drug’s identity, strength, quality, and purity, and of selected clinical investigation sites to assess compliance with GCPs; and</w:t>
      </w:r>
    </w:p>
    <w:p>
      <w:pPr>
        <w:spacing w:after="0" w:line="202" w:lineRule="exact"/>
        <w:rPr>
          <w:rFonts w:ascii="Arial" w:cs="Arial" w:eastAsia="Arial" w:hAnsi="Arial"/>
          <w:sz w:val="18"/>
          <w:szCs w:val="18"/>
          <w:color w:val="auto"/>
        </w:rPr>
      </w:pPr>
    </w:p>
    <w:p>
      <w:pPr>
        <w:ind w:left="1300" w:right="200" w:hanging="442"/>
        <w:spacing w:after="0" w:line="246"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97"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207" w:lineRule="exact"/>
        <w:rPr>
          <w:sz w:val="20"/>
          <w:szCs w:val="20"/>
          <w:color w:val="auto"/>
        </w:rPr>
      </w:pPr>
    </w:p>
    <w:p>
      <w:pPr>
        <w:ind w:right="160" w:firstLine="576"/>
        <w:spacing w:after="0" w:line="238"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145" w:name="page146"/>
    <w:bookmarkEnd w:id="145"/>
    <w:p>
      <w:pPr>
        <w:ind w:right="140"/>
        <w:spacing w:after="0" w:line="236" w:lineRule="auto"/>
        <w:rPr>
          <w:sz w:val="20"/>
          <w:szCs w:val="20"/>
          <w:color w:val="auto"/>
        </w:rPr>
      </w:pPr>
      <w:r>
        <w:rPr>
          <w:rFonts w:ascii="Arial" w:cs="Arial" w:eastAsia="Arial" w:hAnsi="Arial"/>
          <w:sz w:val="18"/>
          <w:szCs w:val="18"/>
          <w:color w:val="auto"/>
        </w:rPr>
        <w:t>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and/or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86" w:lineRule="exact"/>
        <w:rPr>
          <w:sz w:val="20"/>
          <w:szCs w:val="20"/>
          <w:color w:val="auto"/>
        </w:rPr>
      </w:pPr>
    </w:p>
    <w:p>
      <w:pPr>
        <w:ind w:left="1300" w:right="100" w:hanging="442"/>
        <w:spacing w:after="0" w:line="260" w:lineRule="auto"/>
        <w:tabs>
          <w:tab w:leader="none" w:pos="1300" w:val="left"/>
        </w:tabs>
        <w:numPr>
          <w:ilvl w:val="0"/>
          <w:numId w:val="87"/>
        </w:numPr>
        <w:rPr>
          <w:rFonts w:ascii="Arial" w:cs="Arial" w:eastAsia="Arial" w:hAnsi="Arial"/>
          <w:sz w:val="17"/>
          <w:szCs w:val="17"/>
          <w:color w:val="auto"/>
        </w:rPr>
      </w:pPr>
      <w:r>
        <w:rPr>
          <w:rFonts w:ascii="Arial" w:cs="Arial" w:eastAsia="Arial" w:hAnsi="Arial"/>
          <w:sz w:val="17"/>
          <w:szCs w:val="17"/>
          <w:i w:val="1"/>
          <w:iCs w:val="1"/>
          <w:color w:val="auto"/>
        </w:rPr>
        <w:t>Phase 1</w:t>
      </w:r>
      <w:r>
        <w:rPr>
          <w:rFonts w:ascii="Arial" w:cs="Arial" w:eastAsia="Arial" w:hAnsi="Arial"/>
          <w:sz w:val="17"/>
          <w:szCs w:val="17"/>
          <w:color w:val="auto"/>
        </w:rPr>
        <w:t>: The product candidate is initially introduced into healthy human subjects or patients with the target disease or</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169" w:lineRule="exact"/>
        <w:rPr>
          <w:rFonts w:ascii="Arial" w:cs="Arial" w:eastAsia="Arial" w:hAnsi="Arial"/>
          <w:sz w:val="17"/>
          <w:szCs w:val="17"/>
          <w:color w:val="auto"/>
        </w:rPr>
      </w:pPr>
    </w:p>
    <w:p>
      <w:pPr>
        <w:ind w:left="1300" w:right="320" w:hanging="442"/>
        <w:spacing w:after="0" w:line="245" w:lineRule="auto"/>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product candidate is administered to a limited patient population with a specified disease or condition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80" w:lineRule="exact"/>
        <w:rPr>
          <w:rFonts w:ascii="Arial" w:cs="Arial" w:eastAsia="Arial" w:hAnsi="Arial"/>
          <w:sz w:val="18"/>
          <w:szCs w:val="18"/>
          <w:color w:val="auto"/>
        </w:rPr>
      </w:pPr>
    </w:p>
    <w:p>
      <w:pPr>
        <w:ind w:left="1300" w:hanging="442"/>
        <w:spacing w:after="0" w:line="245" w:lineRule="auto"/>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The product candidate is administered to an expanded patient population to further evaluate dosage,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99"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Post-approval clinical trials, sometimes referred to as Phase 4 studies, may be conducted after initial marketing approval. These clinical trials are used to gain additional experience from the treatment of patients in the intended therapeutic indication. In certain instances, the FDA may mandate the performance of Phase 4 clinical trials as a condition of approval of an NDA.</w:t>
      </w:r>
    </w:p>
    <w:p>
      <w:pPr>
        <w:spacing w:after="0" w:line="203"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clinical trial may move forward at designated check points based on access to certain data from the clinical trial.</w:t>
      </w:r>
    </w:p>
    <w:p>
      <w:pPr>
        <w:spacing w:after="0" w:line="205"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146" w:name="page147"/>
    <w:bookmarkEnd w:id="146"/>
    <w:p>
      <w:pPr>
        <w:ind w:right="240"/>
        <w:spacing w:after="0" w:line="246" w:lineRule="auto"/>
        <w:rPr>
          <w:sz w:val="20"/>
          <w:szCs w:val="20"/>
          <w:color w:val="auto"/>
        </w:rPr>
      </w:pPr>
      <w:r>
        <w:rPr>
          <w:rFonts w:ascii="Arial" w:cs="Arial" w:eastAsia="Arial" w:hAnsi="Arial"/>
          <w:sz w:val="18"/>
          <w:szCs w:val="18"/>
          <w:color w:val="auto"/>
        </w:rPr>
        <w:t>use the meetings at the end of the Phase 2 clinical trial to discuss Phase 2 clinical results and present plans for the pivotal Phase 3 clinical trials that they believe will support approval of the new drug.</w:t>
      </w:r>
    </w:p>
    <w:p>
      <w:pPr>
        <w:spacing w:after="0" w:line="197" w:lineRule="exact"/>
        <w:rPr>
          <w:sz w:val="20"/>
          <w:szCs w:val="20"/>
          <w:color w:val="auto"/>
        </w:rPr>
      </w:pPr>
    </w:p>
    <w:p>
      <w:pPr>
        <w:ind w:right="140" w:firstLine="576"/>
        <w:spacing w:after="0" w:line="237"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205"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Review and Approval Process</w:t>
      </w:r>
    </w:p>
    <w:p>
      <w:pPr>
        <w:spacing w:after="0" w:line="126" w:lineRule="exact"/>
        <w:rPr>
          <w:sz w:val="20"/>
          <w:szCs w:val="20"/>
          <w:color w:val="auto"/>
        </w:rPr>
      </w:pPr>
    </w:p>
    <w:p>
      <w:pPr>
        <w:ind w:right="220" w:firstLine="576"/>
        <w:spacing w:after="0" w:line="237"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205"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 standard NDA for a new molecular entity to review and act on the submission. This review typically takes 12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is also subject to review before the FDA accepts it for filing.</w:t>
      </w:r>
    </w:p>
    <w:p>
      <w:pPr>
        <w:spacing w:after="0" w:line="207" w:lineRule="exact"/>
        <w:rPr>
          <w:sz w:val="20"/>
          <w:szCs w:val="20"/>
          <w:color w:val="auto"/>
        </w:rPr>
      </w:pPr>
    </w:p>
    <w:p>
      <w:pPr>
        <w:ind w:right="180" w:firstLine="576"/>
        <w:spacing w:after="0" w:line="238"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05" w:lineRule="exact"/>
        <w:rPr>
          <w:sz w:val="20"/>
          <w:szCs w:val="20"/>
          <w:color w:val="auto"/>
        </w:rPr>
      </w:pPr>
    </w:p>
    <w:p>
      <w:pPr>
        <w:ind w:right="240" w:firstLine="576"/>
        <w:spacing w:after="0" w:line="237" w:lineRule="auto"/>
        <w:rPr>
          <w:sz w:val="20"/>
          <w:szCs w:val="20"/>
          <w:color w:val="auto"/>
        </w:rPr>
      </w:pPr>
      <w:r>
        <w:rPr>
          <w:rFonts w:ascii="Arial" w:cs="Arial" w:eastAsia="Arial" w:hAnsi="Arial"/>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47" w:name="page148"/>
    <w:bookmarkEnd w:id="147"/>
    <w:p>
      <w:pPr>
        <w:spacing w:after="0" w:line="246" w:lineRule="auto"/>
        <w:rPr>
          <w:sz w:val="20"/>
          <w:szCs w:val="20"/>
          <w:color w:val="auto"/>
        </w:rPr>
      </w:pPr>
      <w:r>
        <w:rPr>
          <w:rFonts w:ascii="Arial" w:cs="Arial" w:eastAsia="Arial" w:hAnsi="Arial"/>
          <w:sz w:val="18"/>
          <w:szCs w:val="18"/>
          <w:color w:val="auto"/>
        </w:rPr>
        <w:t>submission of any requested additional information, the FDA ultimately may decide that the application does not satisfy the regulatory criteria for approval.</w:t>
      </w:r>
    </w:p>
    <w:p>
      <w:pPr>
        <w:spacing w:after="0" w:line="197"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clinical trial or other significant and time-consuming requirements related to clinical trials, nonclinical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208"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REMS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 The FDA also may offer conditional approval subject to,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205" w:lineRule="exact"/>
        <w:rPr>
          <w:sz w:val="20"/>
          <w:szCs w:val="20"/>
          <w:color w:val="auto"/>
        </w:rPr>
      </w:pPr>
    </w:p>
    <w:p>
      <w:pPr>
        <w:ind w:right="160" w:firstLine="576"/>
        <w:spacing w:after="0" w:line="237" w:lineRule="auto"/>
        <w:rPr>
          <w:sz w:val="20"/>
          <w:szCs w:val="20"/>
          <w:color w:val="auto"/>
        </w:rPr>
      </w:pPr>
      <w:r>
        <w:rPr>
          <w:rFonts w:ascii="Arial" w:cs="Arial" w:eastAsia="Arial" w:hAnsi="Arial"/>
          <w:sz w:val="18"/>
          <w:szCs w:val="18"/>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203"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148" w:name="page149"/>
    <w:bookmarkEnd w:id="148"/>
    <w:p>
      <w:pPr>
        <w:ind w:right="260"/>
        <w:spacing w:after="0" w:line="238" w:lineRule="auto"/>
        <w:rPr>
          <w:sz w:val="20"/>
          <w:szCs w:val="20"/>
          <w:color w:val="auto"/>
        </w:rPr>
      </w:pPr>
      <w:r>
        <w:rPr>
          <w:rFonts w:ascii="Arial" w:cs="Arial" w:eastAsia="Arial" w:hAnsi="Arial"/>
          <w:sz w:val="18"/>
          <w:szCs w:val="18"/>
          <w:color w:val="auto"/>
        </w:rPr>
        <w:t>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202"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207" w:lineRule="exact"/>
        <w:rPr>
          <w:sz w:val="20"/>
          <w:szCs w:val="20"/>
          <w:color w:val="auto"/>
        </w:rPr>
      </w:pPr>
    </w:p>
    <w:p>
      <w:pPr>
        <w:ind w:right="200" w:firstLine="576"/>
        <w:spacing w:after="0" w:line="238"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26"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205" w:lineRule="exact"/>
        <w:rPr>
          <w:sz w:val="20"/>
          <w:szCs w:val="20"/>
          <w:color w:val="auto"/>
        </w:rPr>
      </w:pPr>
    </w:p>
    <w:p>
      <w:pPr>
        <w:ind w:right="280" w:firstLine="576"/>
        <w:spacing w:after="0" w:line="23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97" w:lineRule="exact"/>
        <w:rPr>
          <w:sz w:val="20"/>
          <w:szCs w:val="20"/>
          <w:color w:val="auto"/>
        </w:rPr>
      </w:pPr>
    </w:p>
    <w:p>
      <w:pPr>
        <w:ind w:left="1300" w:right="80" w:hanging="442"/>
        <w:spacing w:after="0" w:line="246" w:lineRule="auto"/>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clinical holds on post-approval or Phase IV clinical studies, if applicable;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49" w:name="page150"/>
    <w:bookmarkEnd w:id="149"/>
    <w:p>
      <w:pPr>
        <w:ind w:left="1300" w:right="40" w:hanging="442"/>
        <w:spacing w:after="0" w:line="246"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225" w:lineRule="exact"/>
        <w:rPr>
          <w:rFonts w:ascii="Arial" w:cs="Arial" w:eastAsia="Arial" w:hAnsi="Arial"/>
          <w:sz w:val="18"/>
          <w:szCs w:val="18"/>
          <w:color w:val="auto"/>
        </w:rPr>
      </w:pPr>
    </w:p>
    <w:p>
      <w:pPr>
        <w:ind w:left="1300" w:right="620" w:hanging="442"/>
        <w:spacing w:after="0" w:line="246"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Market exclusivity provisions authorized under the FDCA can delay the submission and approval of certain marketing applications for products containing the same active ingredient. The FDCA permits patent term restoration of up to five years as compensation for a patent term lost during product development and FDA regulatory review process to the first applicant to obtain approval of an NDA for a new chemical entity in the United States. Patent-term restoration, however, cannot extend the remaining term of a patent beyond a total of 14 years from the product’s approval date.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205"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90" w:right="419" w:bottom="1440" w:gutter="0" w:footer="0" w:header="0"/>
        </w:sectPr>
      </w:pPr>
    </w:p>
    <w:bookmarkStart w:id="150" w:name="page151"/>
    <w:bookmarkEnd w:id="150"/>
    <w:p>
      <w:pPr>
        <w:spacing w:after="0" w:line="246" w:lineRule="auto"/>
        <w:rPr>
          <w:sz w:val="20"/>
          <w:szCs w:val="20"/>
          <w:color w:val="auto"/>
        </w:rPr>
      </w:pPr>
      <w:r>
        <w:rPr>
          <w:rFonts w:ascii="Arial" w:cs="Arial" w:eastAsia="Arial" w:hAnsi="Arial"/>
          <w:sz w:val="18"/>
          <w:szCs w:val="18"/>
          <w:color w:val="auto"/>
        </w:rPr>
        <w:t>submission or approval of a full NDA. However, an applicant submitting a full NDA would be required to conduct or obtain a right of reference to any nonclinical studies and adequate and well-controlled clinical trials necessary to demonstrate safety and effectiveness.</w:t>
      </w:r>
    </w:p>
    <w:p>
      <w:pPr>
        <w:spacing w:after="0" w:line="197" w:lineRule="exact"/>
        <w:rPr>
          <w:sz w:val="20"/>
          <w:szCs w:val="20"/>
          <w:color w:val="auto"/>
        </w:rPr>
      </w:pPr>
    </w:p>
    <w:p>
      <w:pPr>
        <w:jc w:val="both"/>
        <w:ind w:right="460" w:firstLine="576"/>
        <w:spacing w:after="0" w:line="238"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26"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Pharmaceutical manufacturers are subject to additional healthcare laws, regulation, and enforcement by the federal government and by authorities in the states and foreign jurisdictions in which they conduct their business. Such laws include, without limitation, U.S. federal anti-kickback, anti-self-referral, false claims, transparency, including the federal Physician Payments Sunshine Act, consumer fraud, pricing reporting, data privacy, data protection, and security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the tracking of gifts and other remuneration and any transfer of value provided to physicians, other healthcare providers and entities; and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HIPAA, thus complicating compliance efforts.</w:t>
      </w:r>
    </w:p>
    <w:p>
      <w:pPr>
        <w:spacing w:after="0" w:line="213"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risk of our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Actual or alleged violation of any such laws or regulations may lead to investigations and other claims and proceedings by regulatory authorities and in certain cases, private actors, and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2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98" w:right="399" w:bottom="1440" w:gutter="0" w:footer="0" w:header="0"/>
        </w:sectPr>
      </w:pPr>
    </w:p>
    <w:bookmarkStart w:id="151" w:name="page152"/>
    <w:bookmarkEnd w:id="151"/>
    <w:p>
      <w:pPr>
        <w:ind w:right="220"/>
        <w:spacing w:after="0" w:line="238" w:lineRule="auto"/>
        <w:rPr>
          <w:sz w:val="20"/>
          <w:szCs w:val="20"/>
          <w:color w:val="auto"/>
        </w:rPr>
      </w:pPr>
      <w:r>
        <w:rPr>
          <w:rFonts w:ascii="Arial" w:cs="Arial" w:eastAsia="Arial" w:hAnsi="Arial"/>
          <w:sz w:val="18"/>
          <w:szCs w:val="18"/>
          <w:color w:val="auto"/>
        </w:rPr>
        <w:t>cover a particular product does not ensure that other payors will also provide coverage for the product. As a result, the coverage determination process can require manufacturers to provide scientific details, information on cost-effectiveness, and clinical support for the use of a product to each payor separately. This can be a time-consuming process, with no assurance that coverage and adequate reimbursement will be applied consistently or obtained in the first instance.</w:t>
      </w:r>
    </w:p>
    <w:p>
      <w:pPr>
        <w:spacing w:after="0" w:line="205"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In addition, third-party payors are increasingly reducing reimbursements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203"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of 2010, or collectively, the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it required collection of rebates for drugs paid by Medicaid managed care organizations; imposed a non-deductible annual fee on pharmaceutical manufacturers or importers who sell certain “branded prescription drugs” to specified federal government programs; it implemented a new methodology under which rebates owed by manufacturers under the Medicaid Drug Rebate Program are calculated for drugs that are inhaled, infused, instilled, implanted, or injected; it expanded the eligibility criteria for Medicaid programs; it created a new Patient-Centered Outcomes Research Institute to oversee, identify priorities in, and conduct comparative clinical effectiveness research, along with funding for such research; and it established a Center for Medicare Innovation at the Centers for Medicare &amp; Medicaid Services, or CMS, to test innovative payment and service delivery models to lower Medicare and Medicaid spending, potentially including prescription drug spending.</w:t>
      </w:r>
    </w:p>
    <w:p>
      <w:pPr>
        <w:spacing w:after="0" w:line="204"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Since its enactment, there have been executive, judicial and Congressional challenges to certain aspects of the ACA, and we expect there will be additional challenges and amendments to the ACA in the future. Since January 2017, President Trump has signed several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52" w:name="page153"/>
    <w:bookmarkEnd w:id="152"/>
    <w:p>
      <w:pPr>
        <w:spacing w:after="0" w:line="236" w:lineRule="auto"/>
        <w:rPr>
          <w:sz w:val="20"/>
          <w:szCs w:val="20"/>
          <w:color w:val="auto"/>
        </w:rPr>
      </w:pPr>
      <w:r>
        <w:rPr>
          <w:rFonts w:ascii="Arial" w:cs="Arial" w:eastAsia="Arial" w:hAnsi="Arial"/>
          <w:sz w:val="18"/>
          <w:szCs w:val="18"/>
          <w:color w:val="auto"/>
        </w:rPr>
        <w:t>comprehensive repeal legislation, several bills affecting the implementation of certain taxes under the ACA have passed. For example, in 2017, Congress enacted the Tax Act, which eliminated the tax-based shared responsibility payment imposed by the ACA on certain individuals who fail to maintain qualifying health coverage for all or part of a year, a process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eliminates the health insurer tax. On December 14, 2018, a Texas U.S. District Court Judge ruled that the individual mandate is a critical and inseverable feature of the ACA, and therefore, because it was repealed as part of the Tax Act, the remaining provisions of the ACA are invalid as well. On December 18, 2019, the U.S. Court of Appeals for the 5th Circuit ruled that the individual mandate was unconstitutional and remanded the case back to the District Court to determine whether the remaining provisions of the ACA are invalid as well. On March 2, 2020, the U.S. Supreme Court granted the petitions for writs of certiorari to review the case, although it is unclear when a decision will be made or how the Supreme Court will rule. In addition, there may be other efforts to challenge, repeal, or replace the ACA. We are continuing to monitor any changes to the ACA that, in turn, may potentially impact our business in the future.</w:t>
      </w:r>
    </w:p>
    <w:p>
      <w:pPr>
        <w:spacing w:after="0" w:line="204"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Other legislative changes have been proposed and adopted since the ACA was enacted. These changes include aggregate reductions to Medicare payments to providers of up to 2% per fiscal year, effective April 1, 2013, which, due to subsequent legislative amendments, will stay in effect through 2030 unless additional congressional action is taken. The CARES Act, which was signed into law on March 27, 2020, and which is designed to provide financial support and resources to individuals and businesses affected by the COVID-19 pandemic, suspended the 2% Medicare sequester from May 1, 2020, through December 31, 2020, and extended the end date of the sequester by one year, through 2030, in order to offset the 2020 suspension.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at the federal level, the Trump administration released a “Blueprint”, designed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administration’s budget proposal for the fiscal year 2021 includes a $ 135 billion allowance to support legislative proposals seeking to reduce drug prices, increase competition, lower out-of-pocket drug costs for patients, and increase patient access to lower-cost generic drugs. Although a number of these and other measures may require additional authorization to become effective, Congress and the Trump administration have each indicated that they will continue to seek new legislative and/or administrative measures to control drug costs. 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It is possible that additional governmental action may be taken to address the COVID-19 pandemic. Furthermore, there has been increased interest by third party payors and governmental authorities in reference to pricing systems and publication of discounts and list prices.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6" w:lineRule="exact"/>
        <w:rPr>
          <w:sz w:val="20"/>
          <w:szCs w:val="20"/>
          <w:color w:val="auto"/>
        </w:rPr>
      </w:pPr>
    </w:p>
    <w:p>
      <w:pPr>
        <w:ind w:right="140" w:firstLine="576"/>
        <w:spacing w:after="0"/>
        <w:rPr>
          <w:sz w:val="20"/>
          <w:szCs w:val="20"/>
          <w:color w:val="auto"/>
        </w:rPr>
      </w:pPr>
      <w:r>
        <w:rPr>
          <w:rFonts w:ascii="Arial" w:cs="Arial" w:eastAsia="Arial" w:hAnsi="Arial"/>
          <w:sz w:val="18"/>
          <w:szCs w:val="18"/>
          <w:color w:val="auto"/>
        </w:rPr>
        <w:t>As of June 30, 2020, we had 15 employees, 14 of whom were full-time and eight of whom were engaged in research and development activities. Nine of our employees hold Ph.D. or M.D. degrees. Substantially all our employees are located in or around Seattle, Washington. None of our employees are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53" w:name="page154"/>
    <w:bookmarkEnd w:id="153"/>
    <w:p>
      <w:pPr>
        <w:ind w:right="200"/>
        <w:spacing w:after="0" w:line="246" w:lineRule="auto"/>
        <w:rPr>
          <w:sz w:val="20"/>
          <w:szCs w:val="20"/>
          <w:color w:val="auto"/>
        </w:rPr>
      </w:pPr>
      <w:r>
        <w:rPr>
          <w:rFonts w:ascii="Arial" w:cs="Arial" w:eastAsia="Arial" w:hAnsi="Arial"/>
          <w:sz w:val="18"/>
          <w:szCs w:val="18"/>
          <w:color w:val="auto"/>
        </w:rPr>
        <w:t>represented by a labor union or covered under a collective bargaining agreement. We consider our relationship with our employees to be good.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Our corporate headquarters are located in Seattle, Washington, where we currently lease approximately 1,270 square feet of laboratory and office space. Our Seattle lease expires in June 2021. We intend to relocate to facilities in Bothell, Washington starting in September 2020 as we add employees and scale our operations. We believe these facilities will be adequate for the foreseeable future and that suitable additional or substitute space will be available as and when needed.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6" w:lineRule="exact"/>
        <w:rPr>
          <w:sz w:val="20"/>
          <w:szCs w:val="20"/>
          <w:color w:val="auto"/>
        </w:rPr>
      </w:pPr>
    </w:p>
    <w:p>
      <w:pPr>
        <w:ind w:right="220" w:firstLine="576"/>
        <w:spacing w:after="0" w:line="238" w:lineRule="auto"/>
        <w:rPr>
          <w:sz w:val="20"/>
          <w:szCs w:val="20"/>
          <w:color w:val="auto"/>
        </w:rPr>
      </w:pPr>
      <w:r>
        <w:rPr>
          <w:rFonts w:ascii="Arial" w:cs="Arial" w:eastAsia="Arial" w:hAnsi="Arial"/>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490" w:right="49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August 26, 2020:</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Age</w:t>
            </w:r>
          </w:p>
        </w:tc>
        <w:tc>
          <w:tcPr>
            <w:tcW w:w="4340" w:type="dxa"/>
            <w:vAlign w:val="bottom"/>
          </w:tcPr>
          <w:p>
            <w:pPr>
              <w:ind w:left="188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Executive Officers</w:t>
            </w:r>
          </w:p>
        </w:tc>
        <w:tc>
          <w:tcPr>
            <w:tcW w:w="16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340" w:type="dxa"/>
            <w:vAlign w:val="bottom"/>
            <w:tcBorders>
              <w:top w:val="single" w:sz="8" w:color="auto"/>
            </w:tcBorders>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Leen Kawas, Ph.D.</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35</w:t>
            </w:r>
          </w:p>
        </w:tc>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Glenna Mileson</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62</w:t>
            </w: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Chief Financial Officer and Corporate Secretary</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Mark Litton, Ph.D.</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Hans Moebius, M.D, Ph.D.</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64</w:t>
            </w: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Chief Medical Officer</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Kevin Church, Ph.D.</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36</w:t>
            </w:r>
          </w:p>
        </w:tc>
        <w:tc>
          <w:tcPr>
            <w:tcW w:w="1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Vice President of Discovery</w:t>
            </w:r>
          </w:p>
        </w:tc>
      </w:tr>
      <w:tr>
        <w:trPr>
          <w:trHeight w:val="203"/>
        </w:trPr>
        <w:tc>
          <w:tcPr>
            <w:tcW w:w="5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Non-Employee Directors</w:t>
            </w: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Tadataka Yamada, M.D.</w:t>
            </w:r>
            <w:r>
              <w:rPr>
                <w:rFonts w:ascii="Arial" w:cs="Arial" w:eastAsia="Arial" w:hAnsi="Arial"/>
                <w:sz w:val="15"/>
                <w:szCs w:val="15"/>
                <w:color w:val="auto"/>
              </w:rPr>
              <w:t>(2)(3)</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75</w:t>
            </w:r>
          </w:p>
        </w:tc>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(2)(3)</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65</w:t>
            </w: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Director</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(1)(3)</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77</w:t>
            </w:r>
          </w:p>
        </w:tc>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James A. Johnson</w:t>
            </w:r>
            <w:r>
              <w:rPr>
                <w:rFonts w:ascii="Arial" w:cs="Arial" w:eastAsia="Arial" w:hAnsi="Arial"/>
                <w:sz w:val="15"/>
                <w:szCs w:val="15"/>
                <w:color w:val="auto"/>
              </w:rPr>
              <w:t>(1)(2)</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64</w:t>
            </w: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972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74" w:lineRule="exact"/>
        <w:rPr>
          <w:sz w:val="20"/>
          <w:szCs w:val="20"/>
          <w:color w:val="auto"/>
        </w:rPr>
      </w:pPr>
    </w:p>
    <w:p>
      <w:pPr>
        <w:ind w:left="480" w:hanging="472"/>
        <w:spacing w:after="0"/>
        <w:tabs>
          <w:tab w:leader="none" w:pos="4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08" w:lineRule="exact"/>
        <w:rPr>
          <w:sz w:val="20"/>
          <w:szCs w:val="20"/>
          <w:color w:val="auto"/>
        </w:rPr>
      </w:pPr>
    </w:p>
    <w:p>
      <w:pPr>
        <w:ind w:right="20" w:firstLine="576"/>
        <w:spacing w:after="0"/>
        <w:rPr>
          <w:sz w:val="20"/>
          <w:szCs w:val="20"/>
          <w:color w:val="auto"/>
        </w:rPr>
      </w:pPr>
      <w:r>
        <w:rPr>
          <w:rFonts w:ascii="Arial" w:cs="Arial" w:eastAsia="Arial" w:hAnsi="Arial"/>
          <w:sz w:val="18"/>
          <w:szCs w:val="18"/>
          <w:i w:val="1"/>
          <w:iCs w:val="1"/>
          <w:color w:val="auto"/>
        </w:rPr>
        <w:t>Leen Kawas, Ph.D.</w:t>
      </w:r>
      <w:r>
        <w:rPr>
          <w:rFonts w:ascii="Arial" w:cs="Arial" w:eastAsia="Arial" w:hAnsi="Arial"/>
          <w:sz w:val="18"/>
          <w:szCs w:val="18"/>
          <w:color w:val="auto"/>
        </w:rPr>
        <w:t>, has served as our chief executive officer and as a member of our board of directors since January 2014.</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Dr. Kawas served as our vice president. Dr. Kawas serves on multiple boards, including the Washington Governor’s Life Science Advisory Board, Scientific Review Board for the Alzheimer’s Drug Discovery Foundation, and Alzheimer’s Association – Washington Chapter Board. She also served as the co-chair of the International Alzheimer's Association Business Consortium. Dr. Kawas earned a Ph.D. in molecular pharmacology from Washington State University in 2011 and a pharmacy degree from the University of Jordan in 2008. We believe Dr. Kawas’s scientific and professional training, her instrumental role in building Athira Pharma, Inc., and her extensive understanding of our business, operations and strategy qualify her to serve on our board of directors.</w:t>
      </w:r>
    </w:p>
    <w:p>
      <w:pPr>
        <w:spacing w:after="0" w:line="185"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i w:val="1"/>
          <w:iCs w:val="1"/>
          <w:color w:val="auto"/>
        </w:rPr>
        <w:t xml:space="preserve">Glenna Mileson </w:t>
      </w:r>
      <w:r>
        <w:rPr>
          <w:rFonts w:ascii="Arial" w:cs="Arial" w:eastAsia="Arial" w:hAnsi="Arial"/>
          <w:sz w:val="18"/>
          <w:szCs w:val="18"/>
          <w:color w:val="auto"/>
        </w:rPr>
        <w:t>has served as our chief financial officer since October 2015. Before she served as our chief financial officer, Ms.</w:t>
      </w:r>
      <w:r>
        <w:rPr>
          <w:rFonts w:ascii="Arial" w:cs="Arial" w:eastAsia="Arial" w:hAnsi="Arial"/>
          <w:sz w:val="18"/>
          <w:szCs w:val="18"/>
          <w:i w:val="1"/>
          <w:iCs w:val="1"/>
          <w:color w:val="auto"/>
        </w:rPr>
        <w:t xml:space="preserve"> </w:t>
      </w:r>
      <w:r>
        <w:rPr>
          <w:rFonts w:ascii="Arial" w:cs="Arial" w:eastAsia="Arial" w:hAnsi="Arial"/>
          <w:sz w:val="18"/>
          <w:szCs w:val="18"/>
          <w:color w:val="auto"/>
        </w:rPr>
        <w:t>Mileson provided outsourced financial management services to us as a partner at B2B CFO Partners LLC. While at B2B CFO Partners LLC from May 2008 until July 2020, Ms. Mileson also provided financial management services to a variety of mid-size companies, including to Precision Genome Engineering, Inc. (Pregenen), a biotech company developing gene editing and cell signaling technologies, from 2012 to 2014. Before that, Ms. Mileson held a variety of accounting and finance leadership positions including vice president of finance at POP, a marketing and advertising company, from 2006 to 2008 and chief financial officer/director of finance at DDB Seattle, an advertising firm owned by Omnicom Group Inc., from 1997 to 2006. Ms. Mileson began her career as an auditor and information systems consultant with Laventhol &amp; Horwath, a national public accounting firm, where she earned certification as a certified public accountant. Ms. Mileson earned a B.A. in business administration from the University of Washington in 1980.</w:t>
      </w:r>
    </w:p>
    <w:p>
      <w:pPr>
        <w:spacing w:after="0" w:line="191" w:lineRule="exact"/>
        <w:rPr>
          <w:sz w:val="20"/>
          <w:szCs w:val="20"/>
          <w:color w:val="auto"/>
        </w:rPr>
      </w:pPr>
    </w:p>
    <w:p>
      <w:pPr>
        <w:ind w:right="220" w:firstLine="576"/>
        <w:spacing w:after="0" w:line="250" w:lineRule="auto"/>
        <w:rPr>
          <w:sz w:val="20"/>
          <w:szCs w:val="20"/>
          <w:color w:val="auto"/>
        </w:rPr>
      </w:pPr>
      <w:r>
        <w:rPr>
          <w:rFonts w:ascii="Arial" w:cs="Arial" w:eastAsia="Arial" w:hAnsi="Arial"/>
          <w:sz w:val="18"/>
          <w:szCs w:val="18"/>
          <w:i w:val="1"/>
          <w:iCs w:val="1"/>
          <w:color w:val="auto"/>
        </w:rPr>
        <w:t>Mark Litton, M.B.A., Ph.D.</w:t>
      </w:r>
      <w:r>
        <w:rPr>
          <w:rFonts w:ascii="Arial" w:cs="Arial" w:eastAsia="Arial" w:hAnsi="Arial"/>
          <w:sz w:val="18"/>
          <w:szCs w:val="18"/>
          <w:color w:val="auto"/>
        </w:rPr>
        <w:t>, has served as our chief operating officer since July 2019. Prior to joining Athira Pharma, Inc., Dr. Litton</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the president and chief operating officer of Alpine Immune Sciences, Inc., a publicly traded biotechnology company, from August 2018 to April 2019. Dr. Litton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5" w:name="page156"/>
    <w:bookmarkEnd w:id="155"/>
    <w:p>
      <w:pPr>
        <w:spacing w:after="0" w:line="236" w:lineRule="auto"/>
        <w:rPr>
          <w:sz w:val="20"/>
          <w:szCs w:val="20"/>
          <w:color w:val="auto"/>
        </w:rPr>
      </w:pPr>
      <w:r>
        <w:rPr>
          <w:rFonts w:ascii="Arial" w:cs="Arial" w:eastAsia="Arial" w:hAnsi="Arial"/>
          <w:sz w:val="18"/>
          <w:szCs w:val="18"/>
          <w:color w:val="auto"/>
        </w:rPr>
        <w:t>served as the chief business officer, treasurer, and secretary from 2004 to 2018 of Alder BioPharmaceuticals, Inc., a publicly traded biopharmaceutical company co-founded by Dr. Litton in 2004, which was acquired by Lundbeck A/S in October 2019. From 1999 to 2004, Dr. Litton served as vice president of business development for Celltech Group, where he was responsible for securing, commercializing, and partnering on numerous novel discoveries and therapeutic programs. In 1999, Dr. Litton joined Celltech Group as an employee of Chiroscience Group plc and was later promoted to vice president of business development after Chiroscience’s merger with Celltech Group in 1999. From 1997 to 1999, Dr. Litton served as the manager of business development for Ribozyme Pharmaceuticals Inc. (now Sirna Therapeutics, Inc.), a biopharmaceutical company and wholly owned subsidiary of Alnylam Pharmaceuticals, Inc., where he helped form relationships with Eli Lilly and Company, Roche Bioscience and GlaxoWellcome plc (now GlaxoSmithKline plc) a biopharmaceutical company. From 1991 to 1994, Dr. Litton served as a research associate for DNAX Research Institute, a research facility of Schering-Plough (now Merck &amp; Co., a publicly traded pharmaceutical company). Dr. Litton earned a Ph.D. in immunology from Stockholm University in 1997, an M.B.A. from Santa Clara University in 1994 and a B.S. in biochemistry from the University of California Santa Cruz in 1990.</w:t>
      </w:r>
    </w:p>
    <w:p>
      <w:pPr>
        <w:spacing w:after="0" w:line="187"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i w:val="1"/>
          <w:iCs w:val="1"/>
          <w:color w:val="auto"/>
        </w:rPr>
        <w:t xml:space="preserve">Hans Moebius, M.D., Ph.D., </w:t>
      </w:r>
      <w:r>
        <w:rPr>
          <w:rFonts w:ascii="Arial" w:cs="Arial" w:eastAsia="Arial" w:hAnsi="Arial"/>
          <w:sz w:val="18"/>
          <w:szCs w:val="18"/>
          <w:color w:val="auto"/>
        </w:rPr>
        <w:t>has served as our chief medical officer since April 2019. Prior to joining Athira Pharma, Inc., Dr. Moebius</w:t>
      </w:r>
      <w:r>
        <w:rPr>
          <w:rFonts w:ascii="Arial" w:cs="Arial" w:eastAsia="Arial" w:hAnsi="Arial"/>
          <w:sz w:val="18"/>
          <w:szCs w:val="18"/>
          <w:i w:val="1"/>
          <w:iCs w:val="1"/>
          <w:color w:val="auto"/>
        </w:rPr>
        <w:t xml:space="preserve"> </w:t>
      </w:r>
      <w:r>
        <w:rPr>
          <w:rFonts w:ascii="Arial" w:cs="Arial" w:eastAsia="Arial" w:hAnsi="Arial"/>
          <w:sz w:val="18"/>
          <w:szCs w:val="18"/>
          <w:color w:val="auto"/>
        </w:rPr>
        <w:t>co-founded Exciva GmbH, a company focusing on targeted drug rescue, and served as its chief executive officer and chief medical officer from 2016 to 2019, and again as acting chief medical officer since April 2020. Dr. Moebius also served as scientific advisory board member at Rodin Therapeutics from October 2016 until the company was sold to Alkermes in December 2019. At Rodin Therapeutics, he also served as acting chief medical officer from December 2016 to April 2018. Prior to that, Dr. Moebius served as executive vice president of clinical research at CHASE Pharmaceuticals, until the company was acquired by Allergan in 2016. Dr. Moebius earned his Ph.D. in experimental pharmacology from the University of Heidelberg in 1983 and a B.S. in chemistry from the University of Kaiserslautern, Germany, in 1976. Dr. Moebius completed his medical studies at the Karls University of Heidelberg in 1982 and was board certified in neurology and psychiatry after completion of residencies at the Goethe University Frankfurt/Main from 1986-1991. During his research tenure at the Max-Planck-Institute for Brain Research from 1984-1986, he lectured in neuropathology and neuroscience. Dr. Moebius also holds the European Certificate in Pharmaceutical Medicine (ECPM) from the EUCOR Universities Basel/Switzerland, Freiburg/Germany and Strasbourg/France.</w:t>
      </w:r>
    </w:p>
    <w:p>
      <w:pPr>
        <w:spacing w:after="0" w:line="186" w:lineRule="exact"/>
        <w:rPr>
          <w:sz w:val="20"/>
          <w:szCs w:val="20"/>
          <w:color w:val="auto"/>
        </w:rPr>
      </w:pPr>
    </w:p>
    <w:p>
      <w:pPr>
        <w:ind w:right="20" w:firstLine="576"/>
        <w:spacing w:after="0"/>
        <w:rPr>
          <w:sz w:val="20"/>
          <w:szCs w:val="20"/>
          <w:color w:val="auto"/>
        </w:rPr>
      </w:pPr>
      <w:r>
        <w:rPr>
          <w:rFonts w:ascii="Arial" w:cs="Arial" w:eastAsia="Arial" w:hAnsi="Arial"/>
          <w:sz w:val="18"/>
          <w:szCs w:val="18"/>
          <w:i w:val="1"/>
          <w:iCs w:val="1"/>
          <w:color w:val="auto"/>
        </w:rPr>
        <w:t xml:space="preserve">Kevin Church, Ph.D., </w:t>
      </w:r>
      <w:r>
        <w:rPr>
          <w:rFonts w:ascii="Arial" w:cs="Arial" w:eastAsia="Arial" w:hAnsi="Arial"/>
          <w:sz w:val="18"/>
          <w:szCs w:val="18"/>
          <w:color w:val="auto"/>
        </w:rPr>
        <w:t>has served in various roles at Athira since 2016, including research scientist, director of discovery, now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discovery. Dr. Church has research experience in diverse fields of study including neurodegenerative diseases, wound healing, and cancer. Dr. Church earned his Ph.D. in molecular biosciences from Washington State University in 2016, and prior to that earned his B.S. in microbiology from the University of Idaho in 2006. While in graduate school, Dr. Church was recognized for excellence in his graduate teaching assistantships. Dr. Church’s graduate work primarily focused on the development of novel therapeutics for the treatment of pancreatic cancer, but also included research relating to the treatment of diabetic ulcers and neurodegenerative diseases such as Parkinson’s disease dementia and Alzheimer’s disease.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Board of Directors</w:t>
      </w:r>
    </w:p>
    <w:p>
      <w:pPr>
        <w:spacing w:after="0" w:line="108" w:lineRule="exact"/>
        <w:rPr>
          <w:sz w:val="20"/>
          <w:szCs w:val="20"/>
          <w:color w:val="auto"/>
        </w:rPr>
      </w:pPr>
    </w:p>
    <w:p>
      <w:pPr>
        <w:ind w:right="20" w:firstLine="576"/>
        <w:spacing w:after="0" w:line="254" w:lineRule="auto"/>
        <w:rPr>
          <w:sz w:val="20"/>
          <w:szCs w:val="20"/>
          <w:color w:val="auto"/>
        </w:rPr>
      </w:pPr>
      <w:r>
        <w:rPr>
          <w:rFonts w:ascii="Arial" w:cs="Arial" w:eastAsia="Arial" w:hAnsi="Arial"/>
          <w:sz w:val="17"/>
          <w:szCs w:val="17"/>
          <w:i w:val="1"/>
          <w:iCs w:val="1"/>
          <w:color w:val="auto"/>
        </w:rPr>
        <w:t>Tadataka Yamada, M.D.</w:t>
      </w:r>
      <w:r>
        <w:rPr>
          <w:rFonts w:ascii="Arial" w:cs="Arial" w:eastAsia="Arial" w:hAnsi="Arial"/>
          <w:sz w:val="17"/>
          <w:szCs w:val="17"/>
          <w:color w:val="auto"/>
        </w:rPr>
        <w:t>, has served on our board of directors since June 2019 and as the chair of our board of directors since</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2020. He is also a venture partner at Frazier Healthcare and co-founder of, and currently serves on the board of directors for, Phathom Pharmaceuticals, Passage Bio, Scout Bio, and Outpost Medicine. Dr. Yamada also serves on the board of directors of Agilent Technologies, Inc., as board of directors chair at the Clinton Health Access Initiative and is a member of the Council of the National Academy of Medicine. He is also a fellow of the Imperial College of Medicine, a master of the American College of Physicians, a fellow of the Royal College of Physicians, a member of the American Academy of Arts and Sciences and a past-president of the American Gastroenterological Association and the Association of American Physicians. Previously, Dr. Yamada held executive leadership roles at Takeda Pharmaceuticals, the Bill and Melinda Gates Foundation, GlaxoSmithKline, and at the University of Michigan in Ann Arbor. Dr. Yamada received his M.D. from New York University School of Medicine in 1971 and a B.A. in history from Stanford University 1967. In recognition of his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56" w:name="page157"/>
    <w:bookmarkEnd w:id="156"/>
    <w:p>
      <w:pPr>
        <w:spacing w:after="0" w:line="236" w:lineRule="auto"/>
        <w:rPr>
          <w:sz w:val="20"/>
          <w:szCs w:val="20"/>
          <w:color w:val="auto"/>
        </w:rPr>
      </w:pPr>
      <w:r>
        <w:rPr>
          <w:rFonts w:ascii="Arial" w:cs="Arial" w:eastAsia="Arial" w:hAnsi="Arial"/>
          <w:sz w:val="18"/>
          <w:szCs w:val="18"/>
          <w:color w:val="auto"/>
        </w:rPr>
        <w:t>contributions to medicine and science he has been elected to membership in the National Academy of Medicine (U.S.), the Academy of Medical Sciences (U.K.) and the National Academy of Medicine (Mexico). He has been awarded the Order of the Rising Sun, Gold and Silver Star by the Government of Japan, received an honorary appointment as Knight Commander of the Most Excellent Order of the British Empire (KBE), and been conferred the degree of D.Sc. h.c. from five universities. He has also been the recipient of numerous awards including the Distinguished Achievement Award in Gastrointestinal Physiology from the American Physiological Society, the Friedenwald Medal from the American Gastroenterological Association, and the Watanabe Prize in Translational Research from Indiana University and Eli Lilly &amp; Co. We believe that Dr. Yamada’s extensive background in medical and biopharmaceutical research, as well as his service as a director or officer of other healthcare companies, qualifies him to serve as chair of our board of directors.</w:t>
      </w:r>
    </w:p>
    <w:p>
      <w:pPr>
        <w:spacing w:after="0" w:line="190" w:lineRule="exact"/>
        <w:rPr>
          <w:sz w:val="20"/>
          <w:szCs w:val="20"/>
          <w:color w:val="auto"/>
        </w:rPr>
      </w:pPr>
    </w:p>
    <w:p>
      <w:pPr>
        <w:ind w:right="60" w:firstLine="576"/>
        <w:spacing w:after="0"/>
        <w:rPr>
          <w:sz w:val="20"/>
          <w:szCs w:val="20"/>
          <w:color w:val="auto"/>
        </w:rPr>
      </w:pPr>
      <w:r>
        <w:rPr>
          <w:rFonts w:ascii="Arial" w:cs="Arial" w:eastAsia="Arial" w:hAnsi="Arial"/>
          <w:sz w:val="18"/>
          <w:szCs w:val="18"/>
          <w:i w:val="1"/>
          <w:iCs w:val="1"/>
          <w:color w:val="auto"/>
        </w:rPr>
        <w:t xml:space="preserve">Joseph Edelman </w:t>
      </w:r>
      <w:r>
        <w:rPr>
          <w:rFonts w:ascii="Arial" w:cs="Arial" w:eastAsia="Arial" w:hAnsi="Arial"/>
          <w:sz w:val="18"/>
          <w:szCs w:val="18"/>
          <w:color w:val="auto"/>
        </w:rPr>
        <w:t>has served on our board of directors since May 2020. Mr. Edelman is founder, chief executive officer, and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Perceptive Advisors. Prior to founding Perceptive Advisors, Mr. Edelman was a senior analyst at Aries Fund, a Paramount Capital Asset Management biotechnology hedge fund, from 1994 through 1998. Prior to that position, Mr. Edelman was a senior biotechnology analyst at Prudential Securities from 1990 to 1994. Mr. Edelman started his career in the healthcare sector of the securities industry as a biotechnology analyst at Labe, Simpson from 1987 to 1990. Mr. Edelman earned an M.B.A. from New York University in 1986 and a B.A., magna cum laude, in psychology from the University of California San Diego in 1978. We believe Mr. Edelman’s experience as a board member and investor in many successful biotechnology companies qualifies him to serve on our board of directors.</w:t>
      </w:r>
    </w:p>
    <w:p>
      <w:pPr>
        <w:spacing w:after="0" w:line="185"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i w:val="1"/>
          <w:iCs w:val="1"/>
          <w:color w:val="auto"/>
        </w:rPr>
        <w:t xml:space="preserve">John M. Fluke, Jr. </w:t>
      </w:r>
      <w:r>
        <w:rPr>
          <w:rFonts w:ascii="Arial" w:cs="Arial" w:eastAsia="Arial" w:hAnsi="Arial"/>
          <w:sz w:val="18"/>
          <w:szCs w:val="18"/>
          <w:color w:val="auto"/>
        </w:rPr>
        <w:t>has served on our board of directors since December 2014. Mr. Fluke is chairman of Fluke Capital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L.P., which he founded in 1976, and was chairman and chief executive officer of the John Fluke Manufacturing Co. until 1990. Mr. Fluke previously served on the boards of PACCAR Inc., CellCyte Genetics Corporation, Cell Therapeutics, Primus International, and American Seafoods Group. Mr. Fluke is a current trustee of the Greater Seattle Chamber of Commerce (formerly serving as its chairman) and previously served as chairman of the Washington State China Relations Council and a trustee emeritus of the Museum of Flight. He also previously served as chairman of the Washington Technology Center at the University of Washington, which is an organization responsible for managing technology transfers from public universities in Washington state to the private sector for commercialization. Mr. Fluke has also served as chairman of the trustees of Junior Achievement of Washington and president of the Seattle Council of Boy Scouts of America. Mr. Fluke earned an M.S. in electrical engineering from Stanford University in 1966 and a B.S. in electrical engineering from the University of Washington in 1964. We believe Mr. Fluke’s extensive leadership experience and background as an investor in many successful companies qualifies him to serve on our board of directors.</w:t>
      </w:r>
    </w:p>
    <w:p>
      <w:pPr>
        <w:spacing w:after="0" w:line="186"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i w:val="1"/>
          <w:iCs w:val="1"/>
          <w:color w:val="auto"/>
        </w:rPr>
        <w:t xml:space="preserve">James A. Johnson </w:t>
      </w:r>
      <w:r>
        <w:rPr>
          <w:rFonts w:ascii="Arial" w:cs="Arial" w:eastAsia="Arial" w:hAnsi="Arial"/>
          <w:sz w:val="18"/>
          <w:szCs w:val="18"/>
          <w:color w:val="auto"/>
        </w:rPr>
        <w:t>has served on our board of directors since August 2020. Mr. Johnson previously served as the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Nohla Therapeutics, a cell therapy company. Prior to Nohla, Mr. Johnson served for five years as the chief financial officer of NanoString Technologies, a publicly held provider of life science tools for translational research and molecular diagnostics. During his tenure as chief financial officer at NanoString, Mr. Johnson oversaw strategic and corporate finance activities from private stage through the company’s initial public offering and additional rounds of financing, marking the third initial public offering in his career as a chief financial officer. Prior to joining NanoString, Mr. Johnson served as chief financial officer of Relypsa, Inc., a clinical-stage biopharmaceutical company. Prior to Relypsa, Mr. Johnson served for nearly 10 years as chief financial officer of ZymoGenetics, Inc., until the company was acquired by Bristol-Myers Squibb in October 2010. Previously, he served for seven years as chief financial officer of Targeted Genetics Corporation (now C3J Therapeutics) and as Vice President of Finance at Immunex Corporation during its evolution from product development to commercial operations. Mr. Johnson received a B.A. in business administration from the University of Washington in 1979. We believe Mr. Johnson’s depth of experience in the biopharmaceuticals industry, including as chief financial officer of a number of publicly traded biopharmaceutical companies, qualifies him to serve on our board of directors.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Family Relationships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Risk Oversight</w:t>
      </w:r>
    </w:p>
    <w:p>
      <w:pPr>
        <w:spacing w:after="0" w:line="12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Our board of directors is currently composed of five members. Each of our directors other than Dr. Kawas is independent within the meaning of the independent director guidelines of the Nasdaq Global Market. All of the directors other than Dr. Kawas were elected to our board of directors pursuant to a voting agreement that will terminate automatically by its terms upon the completion of a qualified initial public offering. Our certificate of incorporation and bylaws to be in effect upon the completion of this offering provide that the number of our directors shall be at least one and will be fixed from time to time by resolution of our board of directors.</w:t>
      </w:r>
    </w:p>
    <w:p>
      <w:pPr>
        <w:spacing w:after="0" w:line="20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Immediately prior to the completion of this offering, our board of directors will be divided into three classes of directors. At each annual meeting of stockholders, a class of directors will be elected for a three -year term to succeed the class whose terms are then expiring. The terms of the directors will expire upon the election and qualification of successor directors at the annual meeting of stockholders to be held during the years 2021 for the Class I directors, 2022 for the Class II directors and 2023 for the Class III director.</w:t>
      </w:r>
    </w:p>
    <w:p>
      <w:pPr>
        <w:spacing w:after="0" w:line="97" w:lineRule="exact"/>
        <w:rPr>
          <w:sz w:val="20"/>
          <w:szCs w:val="20"/>
          <w:color w:val="auto"/>
        </w:rPr>
      </w:pPr>
    </w:p>
    <w:p>
      <w:pPr>
        <w:ind w:left="1300" w:hanging="442"/>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Class I directors will be Tadataka Yamada and Leen Kawas.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Class II directors will be Joseph Edelman and John M. Fluke, Jr.</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Class III director will be James A. Johnson.</w:t>
      </w:r>
    </w:p>
    <w:p>
      <w:pPr>
        <w:spacing w:after="0" w:line="225" w:lineRule="exact"/>
        <w:rPr>
          <w:sz w:val="20"/>
          <w:szCs w:val="20"/>
          <w:color w:val="auto"/>
        </w:rPr>
      </w:pPr>
    </w:p>
    <w:p>
      <w:pPr>
        <w:ind w:right="260" w:firstLine="576"/>
        <w:spacing w:after="0" w:line="238"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a change of our management or a change in control. See the section of this prospectus titled “Description of Capital Stock—Anti-Takeover Effects of Delaware and Washington Law and Our Certificate of Incorporation and Bylaws” for a discussion of other anti-takeover provisions found in our certificate of incorporation.</w:t>
      </w:r>
    </w:p>
    <w:p>
      <w:pPr>
        <w:spacing w:after="0" w:line="205"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The board of directors is responsible for general oversight of risks and regular review of information regarding our risks, including credit risks, liquidity risks and operational risks. Our compensation committee is responsible for overseeing the management of risks relating to our executive compensation plans and arrangements. Our audit committee is responsible for overseeing the management of our risks relating to accounting matters and financial reporting. Our nominating and corporate governance committee is responsible for overseeing the management of our risks associated with the independence of our board of directors and potential conflicts of interest. While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affected the board of directors’ leadership structure.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6"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auto"/>
        </w:rPr>
        <w:t>Upon the completion of this offering, we anticipate that our common stock will be listed on the Nasdaq Global Market. Under the rules of the Nasdaq Global Market, independent directors must comprise a majority of a listed company’s board of directors within a specified period of the completion of this offering. In addition, the rules of the Nasdaq Global Market require that, subject to specified exceptions, each member of a listed company’s audit, compensation and nominating and corporate governance committees be independent. Audit committee members must also satisfy the independence criteria set forth in Rule 10A-3 under the Exchange Act. Under the rules of the Nasdaq Global Market, a director will only qualify as an “independent director” if, in the opinion of that company’s board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8" w:name="page159"/>
    <w:bookmarkEnd w:id="158"/>
    <w:p>
      <w:pPr>
        <w:ind w:right="760"/>
        <w:spacing w:after="0" w:line="246" w:lineRule="auto"/>
        <w:rPr>
          <w:sz w:val="20"/>
          <w:szCs w:val="20"/>
          <w:color w:val="auto"/>
        </w:rPr>
      </w:pPr>
      <w:r>
        <w:rPr>
          <w:rFonts w:ascii="Arial" w:cs="Arial" w:eastAsia="Arial" w:hAnsi="Arial"/>
          <w:sz w:val="18"/>
          <w:szCs w:val="18"/>
          <w:color w:val="auto"/>
        </w:rPr>
        <w:t>directors, that person does not have a relationship that would interfere with the exercise of independent judgment in carrying out the responsibilities of a director.</w:t>
      </w:r>
    </w:p>
    <w:p>
      <w:pPr>
        <w:spacing w:after="0" w:line="197"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205"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In August 2020, our board of directors undertook a review of its composition, the composition of its committees and the independence of our directors and considered whether any director has a material relationship with us that could compromise his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other than Dr. Kawas, none of our directors has a relationship that would interfere with the exercise of independent judgment in carrying out the responsibilities of a director and that each of these directors is “independent” as that term is defined under the rules of the Nasdaq Global Market. In August 2020, our board of directors also determined that Messrs. Johnson and Fluke, who comprise our audit committee; Dr. Yamada and Messrs. Edelman and Johnson, who comprise our compensation committee; and Dr. Yamada and Messrs. Edelman and Fluke, who comprise our nominating and corporate governance committee, satisfy the independence standards for those committees established by applicable SEC rules and the rules of the Nasdaq Global Market. In making this determination, our board of directors considered the relationships that each non-employee director has with us and all other facts and circumstances our board of directors deemed relevant in determining their independence, including the beneficial ownership of our capital stock by each non-employee director.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6"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Dr. Yamada serves as the chairman of the board of directors, and Dr. Kawas serves as our president and chief executive officer. The roles of chief executive officer and chairman of the board of directors are currently separated in recognition of the differences between the two roles. We believe that it is in the best interests of our stockholders for the board of directors to make a determination regarding the separation or combination of these roles each time it elects a new chairman or appoints a chief executive officer, based on the relevant facts and circumstances applicable at such time. In 2014, when Dr. Kawas was first appointed as our president and chief executive officer, the Board determined it was in the best interests of our stockholders to continue to maintain an independent chairman to allow Dr. Kawas to focus on her primary responsibility for the operational leadership and strategic direction of our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6" w:lineRule="exact"/>
        <w:rPr>
          <w:sz w:val="20"/>
          <w:szCs w:val="20"/>
          <w:color w:val="auto"/>
        </w:rPr>
      </w:pPr>
    </w:p>
    <w:p>
      <w:pPr>
        <w:ind w:right="240" w:firstLine="576"/>
        <w:spacing w:after="0" w:line="246"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has the composition and the responsibilities described below.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6"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The members of our audit committee are Messrs. Johnson and Fluke, each of whom is a non-employee member of our board of directors. Our audit committee chairman, Mr. Johnson, is our audit committee financial expert, as that term is defined under the SEC rules implementing Section 407 of the Sarbanes-Oxley Act of 2002, and possesses financial sophistication, as defined under the rules of the Nasdaq Global Market. Our audit committee oversees our corporate accounting and financial reporting process and assists our board of directors in monitoring our financial systems. Our audit committee operates under a written charter that specifies its duties and responsibilities and satisfies the applicable listing standards of the Nasdaq Global Market. Our board of directors has determined that each of Messrs. Johnson and Fluke is independent for audit committee purposes, as that term is defined in the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59" w:name="page160"/>
    <w:bookmarkEnd w:id="159"/>
    <w:p>
      <w:pPr>
        <w:ind w:right="80"/>
        <w:spacing w:after="0" w:line="238" w:lineRule="auto"/>
        <w:rPr>
          <w:sz w:val="20"/>
          <w:szCs w:val="20"/>
          <w:color w:val="auto"/>
        </w:rPr>
      </w:pPr>
      <w:r>
        <w:rPr>
          <w:rFonts w:ascii="Arial" w:cs="Arial" w:eastAsia="Arial" w:hAnsi="Arial"/>
          <w:sz w:val="18"/>
          <w:szCs w:val="18"/>
          <w:color w:val="auto"/>
        </w:rPr>
        <w:t>rules of the SEC and the applicable Nasdaq rules, and have sufficient knowledge in financial and auditing matters to serve on the audit committee. We intend to rely on the phase-in provisions of Rule 10A-3 of the Exchange Act and the Nasdaq transition rules applicable to companies completing an initial public offering, and we plan to have an audit committee comprised entirely of at least three directors that are independent for purposes of serving on an audit committee within one year after our listing.</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audit committee will:</w:t>
      </w:r>
    </w:p>
    <w:p>
      <w:pPr>
        <w:spacing w:after="0" w:line="104" w:lineRule="exact"/>
        <w:rPr>
          <w:sz w:val="20"/>
          <w:szCs w:val="20"/>
          <w:color w:val="auto"/>
        </w:rPr>
      </w:pPr>
    </w:p>
    <w:p>
      <w:pPr>
        <w:ind w:left="1300" w:right="860" w:hanging="442"/>
        <w:spacing w:after="0" w:line="246" w:lineRule="auto"/>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select, retain, compensate, evaluate, oversee and, where appropriate, terminate our independent registered public accounting firm;</w:t>
      </w:r>
    </w:p>
    <w:p>
      <w:pPr>
        <w:spacing w:after="0" w:line="88" w:lineRule="exact"/>
        <w:rPr>
          <w:rFonts w:ascii="Arial" w:cs="Arial" w:eastAsia="Arial" w:hAnsi="Arial"/>
          <w:sz w:val="18"/>
          <w:szCs w:val="18"/>
          <w:color w:val="auto"/>
        </w:rPr>
      </w:pPr>
    </w:p>
    <w:p>
      <w:pPr>
        <w:ind w:left="1300" w:right="260" w:hanging="442"/>
        <w:spacing w:after="0" w:line="246" w:lineRule="auto"/>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 and approve the scope and plans for the audits and the audit fees and approve all non-audit and tax services to be performed by the independent audit;</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evaluate the independence and qualification of the independent registered public accounting firm;</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 internal controls and integrity of financial statements;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 financial information presentation, earnings press releases and guidance;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oversee the design, implementation and performance of our internal audit function, if any;</w:t>
      </w:r>
    </w:p>
    <w:p>
      <w:pPr>
        <w:spacing w:after="0" w:line="117" w:lineRule="exact"/>
        <w:rPr>
          <w:rFonts w:ascii="Arial" w:cs="Arial" w:eastAsia="Arial" w:hAnsi="Arial"/>
          <w:sz w:val="18"/>
          <w:szCs w:val="18"/>
          <w:color w:val="auto"/>
        </w:rPr>
      </w:pPr>
    </w:p>
    <w:p>
      <w:pPr>
        <w:ind w:left="1300" w:right="480" w:hanging="442"/>
        <w:spacing w:after="0" w:line="246" w:lineRule="auto"/>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set hiring policies with regard to the hiring of employees and former employees of our independent auditor and oversee compliance with such policies;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 approve and monitor related party transactions;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adopt and oversee procedures to address complaints regarding accounting, internal accounting controls or auditing matters;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 and discuss with our management and the independent auditor our compliance with various laws;</w:t>
      </w:r>
    </w:p>
    <w:p>
      <w:pPr>
        <w:spacing w:after="0" w:line="117" w:lineRule="exact"/>
        <w:rPr>
          <w:rFonts w:ascii="Arial" w:cs="Arial" w:eastAsia="Arial" w:hAnsi="Arial"/>
          <w:sz w:val="18"/>
          <w:szCs w:val="18"/>
          <w:color w:val="auto"/>
        </w:rPr>
      </w:pPr>
    </w:p>
    <w:p>
      <w:pPr>
        <w:ind w:left="1300" w:right="560" w:hanging="442"/>
        <w:spacing w:after="0" w:line="246" w:lineRule="auto"/>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 and discuss with management our independent auditor guidelines and policies to identify, monitor, and address enterprise risks;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engage independent legal, accounting and other advisors;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provide appropriate funding for compensation to independent registered accounting firm, advisers and related expenses;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 the adequacy of the audit committee charter and recommend any proposed changes to our board of directors.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members of our compensation committee are Dr. Yamada and Messrs. Edelman and Johnson. Dr. Yamada is the chairman of our compensation committee. Our compensation committee oversees our compensation policies, plans and benefits programs. Our compensation committee operates under a written charter that specifies its duties and responsibilities and satisfies the applicable listing standards of the Nasdaq Global Market. The compensation committee will:</w:t>
      </w:r>
    </w:p>
    <w:p>
      <w:pPr>
        <w:spacing w:after="0" w:line="97" w:lineRule="exact"/>
        <w:rPr>
          <w:sz w:val="20"/>
          <w:szCs w:val="20"/>
          <w:color w:val="auto"/>
        </w:rPr>
      </w:pPr>
    </w:p>
    <w:p>
      <w:pPr>
        <w:ind w:left="1300" w:hanging="442"/>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 and approve the corporate goals and objectives applicable to the compensation of our chief executive officer;</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 and approve the compensation and benefits for our executive officers;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 approve, and administer employee compensation plans;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advise on proposals to stockholders on executive compensation matters;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oversee compensation plans and programs;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60" w:name="page161"/>
    <w:bookmarkEnd w:id="160"/>
    <w:p>
      <w:pPr>
        <w:ind w:left="1300" w:hanging="442"/>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 and discuss our compensation policies and practices and the risks related thereto;</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monitor compliance with any stock ownership guidelines;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approve the creation or revision of any clawback policy allowing us to recoup compensation paid to employees;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oversee regulatory compliance with respect to compensation matters;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retain or obtain the advice of compensation consultants; and</w:t>
      </w:r>
    </w:p>
    <w:p>
      <w:pPr>
        <w:spacing w:after="0" w:line="117" w:lineRule="exact"/>
        <w:rPr>
          <w:rFonts w:ascii="Arial" w:cs="Arial" w:eastAsia="Arial" w:hAnsi="Arial"/>
          <w:sz w:val="18"/>
          <w:szCs w:val="18"/>
          <w:color w:val="auto"/>
        </w:rPr>
      </w:pPr>
    </w:p>
    <w:p>
      <w:pPr>
        <w:ind w:left="1300" w:right="700" w:hanging="442"/>
        <w:spacing w:after="0" w:line="246" w:lineRule="auto"/>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 the adequacy of the compensation committee charter and recommend any proposed changes to our board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ectPr>
          <w:pgSz w:w="11900" w:h="16838" w:orient="portrait"/>
          <w:cols w:equalWidth="0" w:num="1">
            <w:col w:w="11240"/>
          </w:cols>
          <w:pgMar w:left="320" w:top="490" w:right="339" w:bottom="1440" w:gutter="0" w:footer="0" w:header="0"/>
        </w:sectPr>
      </w:pPr>
    </w:p>
    <w:p>
      <w:pPr>
        <w:spacing w:after="0" w:line="121"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The members of our nominating and corporate governance committee are Dr. Yamada and Messrs. Edelman and Fluke.</w:t>
      </w:r>
    </w:p>
    <w:p>
      <w:pPr>
        <w:jc w:val="center"/>
        <w:spacing w:after="0"/>
        <w:rPr>
          <w:sz w:val="20"/>
          <w:szCs w:val="20"/>
          <w:color w:val="auto"/>
        </w:rPr>
      </w:pPr>
      <w:r>
        <w:rPr>
          <w:rFonts w:ascii="Arial" w:cs="Arial" w:eastAsia="Arial" w:hAnsi="Arial"/>
          <w:sz w:val="17"/>
          <w:szCs w:val="17"/>
          <w:color w:val="auto"/>
        </w:rPr>
        <w:t>chairman of our nominating and corporate governance committee. Our nominating and corporate governance committee oversees and</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is the</w:t>
      </w:r>
    </w:p>
    <w:p>
      <w:pPr>
        <w:spacing w:after="0" w:line="223" w:lineRule="exact"/>
        <w:rPr>
          <w:sz w:val="20"/>
          <w:szCs w:val="20"/>
          <w:color w:val="auto"/>
        </w:rPr>
      </w:pPr>
    </w:p>
    <w:p>
      <w:pPr>
        <w:sectPr>
          <w:pgSz w:w="11900" w:h="16838" w:orient="portrait"/>
          <w:cols w:equalWidth="0" w:num="2">
            <w:col w:w="10700" w:space="100"/>
            <w:col w:w="440"/>
          </w:cols>
          <w:pgMar w:left="320" w:top="490" w:right="339" w:bottom="1440" w:gutter="0" w:footer="0" w:header="0"/>
          <w:type w:val="continuous"/>
        </w:sectPr>
      </w:pPr>
    </w:p>
    <w:p>
      <w:pPr>
        <w:ind w:right="120"/>
        <w:spacing w:after="0" w:line="234" w:lineRule="auto"/>
        <w:rPr>
          <w:sz w:val="20"/>
          <w:szCs w:val="20"/>
          <w:color w:val="auto"/>
        </w:rPr>
      </w:pPr>
      <w:r>
        <w:rPr>
          <w:rFonts w:ascii="Arial" w:cs="Arial" w:eastAsia="Arial" w:hAnsi="Arial"/>
          <w:sz w:val="18"/>
          <w:szCs w:val="18"/>
          <w:color w:val="auto"/>
        </w:rPr>
        <w:t>assists our board of directors in reviewing and recommending nominees for election as directors. Our nominating and corporate governance committee operates under a written charter that specifies its duties and responsibilities and satisfies the applicable listing standards of the Nasdaq Global Market. The nominating and corporate governance committee will:</w:t>
      </w:r>
    </w:p>
    <w:p>
      <w:pPr>
        <w:spacing w:after="0" w:line="96" w:lineRule="exact"/>
        <w:rPr>
          <w:sz w:val="20"/>
          <w:szCs w:val="20"/>
          <w:color w:val="auto"/>
        </w:rPr>
      </w:pPr>
    </w:p>
    <w:p>
      <w:pPr>
        <w:ind w:left="1300" w:hanging="442"/>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establish procedures for the submission of candidates for election to our board of directors;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conduct a periodic review of our succession planning process for the executive management team;</w:t>
      </w:r>
    </w:p>
    <w:p>
      <w:pPr>
        <w:spacing w:after="0" w:line="117" w:lineRule="exact"/>
        <w:rPr>
          <w:rFonts w:ascii="Arial" w:cs="Arial" w:eastAsia="Arial" w:hAnsi="Arial"/>
          <w:sz w:val="18"/>
          <w:szCs w:val="18"/>
          <w:color w:val="auto"/>
        </w:rPr>
      </w:pPr>
    </w:p>
    <w:p>
      <w:pPr>
        <w:ind w:left="1300" w:right="20" w:hanging="442"/>
        <w:spacing w:after="0" w:line="246" w:lineRule="auto"/>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 the structure and composition of each committee of our board of directors and make recommendations for changes to the committees;</w:t>
      </w:r>
    </w:p>
    <w:p>
      <w:pPr>
        <w:spacing w:after="0" w:line="88" w:lineRule="exact"/>
        <w:rPr>
          <w:rFonts w:ascii="Arial" w:cs="Arial" w:eastAsia="Arial" w:hAnsi="Arial"/>
          <w:sz w:val="18"/>
          <w:szCs w:val="18"/>
          <w:color w:val="auto"/>
        </w:rPr>
      </w:pPr>
    </w:p>
    <w:p>
      <w:pPr>
        <w:ind w:left="1300" w:right="600" w:hanging="442"/>
        <w:spacing w:after="0" w:line="246" w:lineRule="auto"/>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develop and recommend to the board of directors corporate governance guidelines and annually review the corporate governance guidelines and their application;</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oversee governance practices;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oversee our director orientation and continuing education;</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oversee the evaluation of our board of directors and its committees;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develop, approve, review and monitor compliance with our Code of Business Conduct and Ethics;</w:t>
      </w:r>
    </w:p>
    <w:p>
      <w:pPr>
        <w:spacing w:after="0" w:line="117" w:lineRule="exact"/>
        <w:rPr>
          <w:rFonts w:ascii="Arial" w:cs="Arial" w:eastAsia="Arial" w:hAnsi="Arial"/>
          <w:sz w:val="18"/>
          <w:szCs w:val="18"/>
          <w:color w:val="auto"/>
        </w:rPr>
      </w:pPr>
    </w:p>
    <w:p>
      <w:pPr>
        <w:ind w:left="1300" w:right="700" w:hanging="442"/>
        <w:spacing w:after="0" w:line="246" w:lineRule="auto"/>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administer policies and procedures for various constituencies that are involved with us to communicate with the non-management members of our board of directors; and</w:t>
      </w:r>
    </w:p>
    <w:p>
      <w:pPr>
        <w:spacing w:after="0" w:line="88"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 the adequacy of the nominating and corporate governance committee charter and recommend any proposed changes to our board of directors.</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6" w:lineRule="exact"/>
        <w:rPr>
          <w:sz w:val="20"/>
          <w:szCs w:val="20"/>
          <w:color w:val="auto"/>
        </w:rPr>
      </w:pPr>
    </w:p>
    <w:p>
      <w:pPr>
        <w:ind w:right="220" w:firstLine="576"/>
        <w:spacing w:after="0" w:line="206" w:lineRule="exact"/>
        <w:rPr>
          <w:sz w:val="20"/>
          <w:szCs w:val="20"/>
          <w:color w:val="auto"/>
        </w:rPr>
      </w:pPr>
      <w:r>
        <w:rPr>
          <w:rFonts w:ascii="Arial" w:cs="Arial" w:eastAsia="Arial" w:hAnsi="Arial"/>
          <w:sz w:val="18"/>
          <w:szCs w:val="18"/>
          <w:color w:val="auto"/>
        </w:rPr>
        <w:t>Prior to this offering, we did not have a formal policy with respect to compensation payable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for their service as directors. From time to time, we have granted equity awards to attract them to join our board of directors and for their continued service on our board of directors. We also have reimbursed our directors for expenses associated with attending meetings of our board of directors and its committees.</w:t>
      </w:r>
    </w:p>
    <w:p>
      <w:pPr>
        <w:spacing w:after="0" w:line="205" w:lineRule="exact"/>
        <w:rPr>
          <w:sz w:val="20"/>
          <w:szCs w:val="20"/>
          <w:color w:val="auto"/>
        </w:rPr>
      </w:pPr>
    </w:p>
    <w:p>
      <w:pPr>
        <w:ind w:right="160" w:firstLine="576"/>
        <w:spacing w:after="0" w:line="246" w:lineRule="auto"/>
        <w:rPr>
          <w:sz w:val="20"/>
          <w:szCs w:val="20"/>
          <w:color w:val="auto"/>
        </w:rPr>
      </w:pPr>
      <w:r>
        <w:rPr>
          <w:rFonts w:ascii="Arial" w:cs="Arial" w:eastAsia="Arial" w:hAnsi="Arial"/>
          <w:sz w:val="18"/>
          <w:szCs w:val="18"/>
          <w:color w:val="auto"/>
        </w:rPr>
        <w:t>In 2020, our compensation committee retained Radford, a third-party compensation consultant, to provide our board of directors and its compensation committee with an analysis of publicly available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type w:val="continuous"/>
        </w:sectPr>
      </w:pPr>
    </w:p>
    <w:bookmarkStart w:id="161" w:name="page162"/>
    <w:bookmarkEnd w:id="161"/>
    <w:p>
      <w:pPr>
        <w:ind w:right="100"/>
        <w:spacing w:after="0" w:line="206" w:lineRule="exact"/>
        <w:rPr>
          <w:sz w:val="20"/>
          <w:szCs w:val="20"/>
          <w:color w:val="auto"/>
        </w:rPr>
      </w:pPr>
      <w:r>
        <w:rPr>
          <w:rFonts w:ascii="Arial" w:cs="Arial" w:eastAsia="Arial" w:hAnsi="Arial"/>
          <w:sz w:val="18"/>
          <w:szCs w:val="18"/>
          <w:color w:val="auto"/>
        </w:rPr>
        <w:t>market data and assistance in determining compensation to be provided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on and after the effective date of the registration statement of which this prospectus forms a part. Based on the discussions with and assistance from Radford, prior to the completion of this offering, our board of directors intends to adopt, and we expect our stockholders will approve, an Outside Director Compensation Policy that will provide for certain compensation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on and after the effective date of the registration statement of which this prospectus forms a part.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122" w:lineRule="exact"/>
        <w:rPr>
          <w:sz w:val="20"/>
          <w:szCs w:val="20"/>
          <w:color w:val="auto"/>
        </w:rPr>
      </w:pPr>
    </w:p>
    <w:p>
      <w:pPr>
        <w:ind w:right="160" w:firstLine="576"/>
        <w:spacing w:after="0" w:line="210" w:lineRule="exact"/>
        <w:rPr>
          <w:sz w:val="20"/>
          <w:szCs w:val="20"/>
          <w:color w:val="auto"/>
        </w:rPr>
      </w:pPr>
      <w:r>
        <w:rPr>
          <w:rFonts w:ascii="Arial" w:cs="Arial" w:eastAsia="Arial" w:hAnsi="Arial"/>
          <w:sz w:val="18"/>
          <w:szCs w:val="18"/>
          <w:color w:val="auto"/>
        </w:rPr>
        <w:t>The Outside Director Compensation Policy will provide for the following cash compensation program for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starting on the effective date of the registration statement of which this prospectus forms a part:</w:t>
      </w:r>
    </w:p>
    <w:p>
      <w:pPr>
        <w:spacing w:after="0" w:line="94" w:lineRule="exact"/>
        <w:rPr>
          <w:sz w:val="20"/>
          <w:szCs w:val="20"/>
          <w:color w:val="auto"/>
        </w:rPr>
      </w:pPr>
    </w:p>
    <w:p>
      <w:pPr>
        <w:ind w:left="1300" w:hanging="442"/>
        <w:spacing w:after="0" w:line="207" w:lineRule="exact"/>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$35,000 per year for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$30,000 per year for service as chair of the board of directors;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$15,000 per year for service as chair of the audit committee;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$7,500 per year for service as a member of the audit committee;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$10,000 per year for service as chair of the compensation committee;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$5,000 per year for service as a member of the compensation committee;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$8,000 per year for service as chair of the nominating and corporate governance committee;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$4,000 per year for service as a member of the nominating and corporate governance committee.</w:t>
      </w:r>
    </w:p>
    <w:p>
      <w:pPr>
        <w:spacing w:after="0" w:line="225" w:lineRule="exact"/>
        <w:rPr>
          <w:sz w:val="20"/>
          <w:szCs w:val="20"/>
          <w:color w:val="auto"/>
        </w:rPr>
      </w:pPr>
    </w:p>
    <w:p>
      <w:pPr>
        <w:ind w:right="60" w:firstLine="576"/>
        <w:spacing w:after="0" w:line="206" w:lineRule="exact"/>
        <w:rPr>
          <w:sz w:val="20"/>
          <w:szCs w:val="20"/>
          <w:color w:val="auto"/>
        </w:rPr>
      </w:pPr>
      <w:r>
        <w:rPr>
          <w:rFonts w:ascii="Arial" w:cs="Arial" w:eastAsia="Arial" w:hAnsi="Arial"/>
          <w:sz w:val="18"/>
          <w:szCs w:val="18"/>
          <w:color w:val="auto"/>
        </w:rPr>
        <w:t>Each non</w:t>
      </w:r>
      <w:r>
        <w:rPr>
          <w:rFonts w:ascii="MS PGothic" w:cs="MS PGothic" w:eastAsia="MS PGothic" w:hAnsi="MS PGothic"/>
          <w:sz w:val="18"/>
          <w:szCs w:val="18"/>
          <w:color w:val="auto"/>
        </w:rPr>
        <w:t>‑</w:t>
      </w:r>
      <w:r>
        <w:rPr>
          <w:rFonts w:ascii="Arial" w:cs="Arial" w:eastAsia="Arial" w:hAnsi="Arial"/>
          <w:sz w:val="18"/>
          <w:szCs w:val="18"/>
          <w:color w:val="auto"/>
        </w:rPr>
        <w:t>employee director who serves as a committee chair will receive only the cash retainer fee as the chair of the committee but not the cash retainer fee as a member of that committee. These fees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will be paid quarterly in arrears on a prorated basis. Under our Outside Director Compensation Policy, we also will reimburse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for reasonable travel expenses to attend meetings of our board of directors and its committees. The above-listed fees for service as chair or members of committees are payable in addition to the non-employee director retainer.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04" w:lineRule="exact"/>
        <w:rPr>
          <w:sz w:val="20"/>
          <w:szCs w:val="20"/>
          <w:color w:val="auto"/>
        </w:rPr>
      </w:pPr>
    </w:p>
    <w:p>
      <w:pPr>
        <w:ind w:right="220" w:firstLine="576"/>
        <w:spacing w:after="0" w:line="207" w:lineRule="exact"/>
        <w:rPr>
          <w:sz w:val="20"/>
          <w:szCs w:val="20"/>
          <w:color w:val="auto"/>
        </w:rPr>
      </w:pPr>
      <w:r>
        <w:rPr>
          <w:rFonts w:ascii="Arial" w:cs="Arial" w:eastAsia="Arial" w:hAnsi="Arial"/>
          <w:sz w:val="18"/>
          <w:szCs w:val="18"/>
          <w:i w:val="1"/>
          <w:iCs w:val="1"/>
          <w:color w:val="auto"/>
        </w:rPr>
        <w:t>Initial Award</w:t>
      </w:r>
      <w:r>
        <w:rPr>
          <w:rFonts w:ascii="Arial" w:cs="Arial" w:eastAsia="Arial" w:hAnsi="Arial"/>
          <w:sz w:val="18"/>
          <w:szCs w:val="18"/>
          <w:color w:val="auto"/>
        </w:rPr>
        <w:t>. Pursuant to our Outside Director Compensation Policy, each person who first becomes a non</w:t>
      </w:r>
      <w:r>
        <w:rPr>
          <w:rFonts w:ascii="MS PGothic" w:cs="MS PGothic" w:eastAsia="MS PGothic" w:hAnsi="MS PGothic"/>
          <w:sz w:val="18"/>
          <w:szCs w:val="18"/>
          <w:color w:val="auto"/>
        </w:rPr>
        <w:t>‑</w:t>
      </w:r>
      <w:r>
        <w:rPr>
          <w:rFonts w:ascii="Arial" w:cs="Arial" w:eastAsia="Arial" w:hAnsi="Arial"/>
          <w:sz w:val="18"/>
          <w:szCs w:val="18"/>
          <w:color w:val="auto"/>
        </w:rPr>
        <w:t>employee director after</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date of such policy will receive, on the first trading day on or after the date that the person first becomes a non</w:t>
      </w:r>
      <w:r>
        <w:rPr>
          <w:rFonts w:ascii="MS PGothic" w:cs="MS PGothic" w:eastAsia="MS PGothic" w:hAnsi="MS PGothic"/>
          <w:sz w:val="18"/>
          <w:szCs w:val="18"/>
          <w:color w:val="auto"/>
        </w:rPr>
        <w:t>‑</w:t>
      </w:r>
      <w:r>
        <w:rPr>
          <w:rFonts w:ascii="Arial" w:cs="Arial" w:eastAsia="Arial" w:hAnsi="Arial"/>
          <w:sz w:val="18"/>
          <w:szCs w:val="18"/>
          <w:color w:val="auto"/>
        </w:rPr>
        <w:t>employee director, an initial award (or, the Initial Award) of stock options to purchase 200,000 shares of our common stock. The Initial Award will be scheduled to vest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w:t>
      </w:r>
      <w:r>
        <w:rPr>
          <w:rFonts w:ascii="MS PGothic" w:cs="MS PGothic" w:eastAsia="MS PGothic" w:hAnsi="MS PGothic"/>
          <w:sz w:val="18"/>
          <w:szCs w:val="18"/>
          <w:color w:val="auto"/>
        </w:rPr>
        <w:t>‑</w:t>
      </w:r>
      <w:r>
        <w:rPr>
          <w:rFonts w:ascii="Arial" w:cs="Arial" w:eastAsia="Arial" w:hAnsi="Arial"/>
          <w:sz w:val="18"/>
          <w:szCs w:val="18"/>
          <w:color w:val="auto"/>
        </w:rPr>
        <w:t>employee director due to termination of employment will not entitle the person to an Initial Award.</w:t>
      </w:r>
    </w:p>
    <w:p>
      <w:pPr>
        <w:spacing w:after="0" w:line="185" w:lineRule="exact"/>
        <w:rPr>
          <w:sz w:val="20"/>
          <w:szCs w:val="20"/>
          <w:color w:val="auto"/>
        </w:rPr>
      </w:pPr>
    </w:p>
    <w:p>
      <w:pPr>
        <w:ind w:firstLine="576"/>
        <w:spacing w:after="0" w:line="208" w:lineRule="exact"/>
        <w:rPr>
          <w:sz w:val="20"/>
          <w:szCs w:val="20"/>
          <w:color w:val="auto"/>
        </w:rPr>
      </w:pPr>
      <w:r>
        <w:rPr>
          <w:rFonts w:ascii="Arial" w:cs="Arial" w:eastAsia="Arial" w:hAnsi="Arial"/>
          <w:sz w:val="18"/>
          <w:szCs w:val="18"/>
          <w:i w:val="1"/>
          <w:iCs w:val="1"/>
          <w:color w:val="auto"/>
        </w:rPr>
        <w:t>Annual Award</w:t>
      </w:r>
      <w:r>
        <w:rPr>
          <w:rFonts w:ascii="Arial" w:cs="Arial" w:eastAsia="Arial" w:hAnsi="Arial"/>
          <w:sz w:val="18"/>
          <w:szCs w:val="18"/>
          <w:color w:val="auto"/>
        </w:rPr>
        <w:t>. Each non</w:t>
      </w:r>
      <w:r>
        <w:rPr>
          <w:rFonts w:ascii="MS PGothic" w:cs="MS PGothic" w:eastAsia="MS PGothic" w:hAnsi="MS PGothic"/>
          <w:sz w:val="18"/>
          <w:szCs w:val="18"/>
          <w:color w:val="auto"/>
        </w:rPr>
        <w:t>‑</w:t>
      </w:r>
      <w:r>
        <w:rPr>
          <w:rFonts w:ascii="Arial" w:cs="Arial" w:eastAsia="Arial" w:hAnsi="Arial"/>
          <w:sz w:val="18"/>
          <w:szCs w:val="18"/>
          <w:color w:val="auto"/>
        </w:rPr>
        <w:t>employee director who has completed at least six months of continuous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will receive, on the first trading day immediately after the date of each annual meeting of our stockholders that occurs following the effective date of our Outside Director Compensation Policy, an annual award (or, the Annual Award) of stock options to purchase 100,000 shares of our common stock. Each Annual Award will be scheduled to vest on the earlier of the one-year anniversary of the grant date, or the day immediately before the day of the next annual meeting of stockholders that occurs after the grant date of the Annual Award, subject to continued services to us through the applicable vesting date.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62" w:name="page163"/>
    <w:bookmarkEnd w:id="162"/>
    <w:p>
      <w:pPr>
        <w:ind w:right="100" w:firstLine="576"/>
        <w:spacing w:after="0" w:line="214" w:lineRule="exact"/>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our change in control, as defined in our 2020 Equity Incentive Plan, each non</w:t>
      </w:r>
      <w:r>
        <w:rPr>
          <w:rFonts w:ascii="MS PGothic" w:cs="MS PGothic" w:eastAsia="MS PGothic" w:hAnsi="MS PGothic"/>
          <w:sz w:val="18"/>
          <w:szCs w:val="18"/>
          <w:color w:val="auto"/>
        </w:rPr>
        <w:t>‑</w:t>
      </w:r>
      <w:r>
        <w:rPr>
          <w:rFonts w:ascii="Arial" w:cs="Arial" w:eastAsia="Arial" w:hAnsi="Arial"/>
          <w:sz w:val="18"/>
          <w:szCs w:val="18"/>
          <w:color w:val="auto"/>
        </w:rPr>
        <w:t>employee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then outstanding equity awards covering shares of our common stock will accelerate vesting in full, provided that he or she remains a non</w:t>
      </w:r>
      <w:r>
        <w:rPr>
          <w:rFonts w:ascii="MS PGothic" w:cs="MS PGothic" w:eastAsia="MS PGothic" w:hAnsi="MS PGothic"/>
          <w:sz w:val="18"/>
          <w:szCs w:val="18"/>
          <w:color w:val="auto"/>
        </w:rPr>
        <w:t>‑</w:t>
      </w:r>
      <w:r>
        <w:rPr>
          <w:rFonts w:ascii="Arial" w:cs="Arial" w:eastAsia="Arial" w:hAnsi="Arial"/>
          <w:sz w:val="18"/>
          <w:szCs w:val="18"/>
          <w:color w:val="auto"/>
        </w:rPr>
        <w:t>employee director through the date of our change in control.</w:t>
      </w:r>
    </w:p>
    <w:p>
      <w:pPr>
        <w:spacing w:after="0" w:line="184" w:lineRule="exact"/>
        <w:rPr>
          <w:sz w:val="20"/>
          <w:szCs w:val="20"/>
          <w:color w:val="auto"/>
        </w:rPr>
      </w:pPr>
    </w:p>
    <w:p>
      <w:pPr>
        <w:ind w:right="160" w:firstLine="576"/>
        <w:spacing w:after="0" w:line="272" w:lineRule="auto"/>
        <w:rPr>
          <w:sz w:val="20"/>
          <w:szCs w:val="20"/>
          <w:color w:val="auto"/>
        </w:rPr>
      </w:pPr>
      <w:r>
        <w:rPr>
          <w:rFonts w:ascii="Arial" w:cs="Arial" w:eastAsia="Arial" w:hAnsi="Arial"/>
          <w:sz w:val="17"/>
          <w:szCs w:val="17"/>
          <w:i w:val="1"/>
          <w:iCs w:val="1"/>
          <w:color w:val="auto"/>
        </w:rPr>
        <w:t>Other Award Terms</w:t>
      </w:r>
      <w:r>
        <w:rPr>
          <w:rFonts w:ascii="Arial" w:cs="Arial" w:eastAsia="Arial" w:hAnsi="Arial"/>
          <w:sz w:val="17"/>
          <w:szCs w:val="17"/>
          <w:color w:val="auto"/>
        </w:rPr>
        <w:t>. Each Initial Award and Annual Award will be granted under our 2020 Equity Incentive Plan (or its successor</w:t>
      </w:r>
      <w:r>
        <w:rPr>
          <w:rFonts w:ascii="Arial" w:cs="Arial" w:eastAsia="Arial" w:hAnsi="Arial"/>
          <w:sz w:val="17"/>
          <w:szCs w:val="17"/>
          <w:i w:val="1"/>
          <w:iCs w:val="1"/>
          <w:color w:val="auto"/>
        </w:rPr>
        <w:t xml:space="preserve"> </w:t>
      </w:r>
      <w:r>
        <w:rPr>
          <w:rFonts w:ascii="Arial" w:cs="Arial" w:eastAsia="Arial" w:hAnsi="Arial"/>
          <w:sz w:val="17"/>
          <w:szCs w:val="17"/>
          <w:color w:val="auto"/>
        </w:rPr>
        <w:t>plan, as applicable) and form of award agreement under such plan. These awards will have a maximum term to expiration of 10 years from their grant and a per share exercise price equal to 100% of the fair market value of a share of our common stock on the award’s grant date.</w:t>
      </w:r>
    </w:p>
    <w:p>
      <w:pPr>
        <w:spacing w:after="0" w:line="159" w:lineRule="exact"/>
        <w:rPr>
          <w:sz w:val="20"/>
          <w:szCs w:val="20"/>
          <w:color w:val="auto"/>
        </w:rPr>
      </w:pPr>
    </w:p>
    <w:p>
      <w:pPr>
        <w:ind w:right="20" w:firstLine="576"/>
        <w:spacing w:after="0" w:line="207" w:lineRule="exact"/>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Our Outside Director Compensation Policy will provide that in any fiscal year,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may be paid cash compensation and granted equity awards with an aggregate value of no more than $500,000 (with the value of equity awards based on its grant date fair value determined in accordance with U.S. Generally Accepted Accounting Principles for purposes of this limit), with such limit increased to $ 750,000 for the fiscal year of his or her initial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 Equity awards granted or other compensation provided to a non</w:t>
      </w:r>
      <w:r>
        <w:rPr>
          <w:rFonts w:ascii="MS PGothic" w:cs="MS PGothic" w:eastAsia="MS PGothic" w:hAnsi="MS PGothic"/>
          <w:sz w:val="18"/>
          <w:szCs w:val="18"/>
          <w:color w:val="auto"/>
        </w:rPr>
        <w:t>‑</w:t>
      </w:r>
      <w:r>
        <w:rPr>
          <w:rFonts w:ascii="Arial" w:cs="Arial" w:eastAsia="Arial" w:hAnsi="Arial"/>
          <w:sz w:val="18"/>
          <w:szCs w:val="18"/>
          <w:color w:val="auto"/>
        </w:rPr>
        <w:t>employee director while he or she was an employee or consultant (other than a non</w:t>
      </w:r>
      <w:r>
        <w:rPr>
          <w:rFonts w:ascii="MS PGothic" w:cs="MS PGothic" w:eastAsia="MS PGothic" w:hAnsi="MS PGothic"/>
          <w:sz w:val="18"/>
          <w:szCs w:val="18"/>
          <w:color w:val="auto"/>
        </w:rPr>
        <w:t>‑</w:t>
      </w:r>
      <w:r>
        <w:rPr>
          <w:rFonts w:ascii="Arial" w:cs="Arial" w:eastAsia="Arial" w:hAnsi="Arial"/>
          <w:sz w:val="18"/>
          <w:szCs w:val="18"/>
          <w:color w:val="auto"/>
        </w:rPr>
        <w:t>employee director), or granted or provided prior to the effective date of the registration statement of which this prospectus forms a part, will not count toward this annual limit.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6" w:lineRule="exact"/>
        <w:rPr>
          <w:sz w:val="20"/>
          <w:szCs w:val="20"/>
          <w:color w:val="auto"/>
        </w:rPr>
      </w:pPr>
    </w:p>
    <w:p>
      <w:pPr>
        <w:ind w:right="180" w:firstLine="576"/>
        <w:spacing w:after="0" w:line="238" w:lineRule="auto"/>
        <w:rPr>
          <w:sz w:val="20"/>
          <w:szCs w:val="20"/>
          <w:color w:val="auto"/>
        </w:rPr>
      </w:pPr>
      <w:r>
        <w:rPr>
          <w:rFonts w:ascii="Arial" w:cs="Arial" w:eastAsia="Arial" w:hAnsi="Arial"/>
          <w:sz w:val="18"/>
          <w:szCs w:val="18"/>
          <w:color w:val="auto"/>
        </w:rPr>
        <w:t>In August 2020, we adopted a written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will become effective on the date of effectiveness of the registration statement of which this prospectus forms a part. Following this offering, a copy of the code will be posted on the investor section of our website.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6" w:lineRule="exact"/>
        <w:rPr>
          <w:sz w:val="20"/>
          <w:szCs w:val="20"/>
          <w:color w:val="auto"/>
        </w:rPr>
      </w:pPr>
    </w:p>
    <w:p>
      <w:pPr>
        <w:ind w:right="160" w:firstLine="576"/>
        <w:spacing w:after="0" w:line="238" w:lineRule="auto"/>
        <w:rPr>
          <w:sz w:val="20"/>
          <w:szCs w:val="20"/>
          <w:color w:val="auto"/>
        </w:rPr>
      </w:pPr>
      <w:r>
        <w:rPr>
          <w:rFonts w:ascii="Arial" w:cs="Arial" w:eastAsia="Arial" w:hAnsi="Arial"/>
          <w:sz w:val="18"/>
          <w:szCs w:val="18"/>
          <w:color w:val="auto"/>
        </w:rPr>
        <w:t>The members of our compensation committee are Dr. Yamada and Messrs. Edelman and Johnson. None of the members of our compensation committee is an officer or employee of our company. None of our executive officers currently serves, or in the past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12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Our certificate of incorporation and bylaws provide for the indemnification of our directors and officers to the fullest extent permitted under the Delaware General Corporation Law. In addition, our certificate of incorporation provides that our directors shall not be personally liable to us or our stockholders for monetary damages for breach of fiduciary duty as a director and that if the Delaware General Corporation Law is amended to authorize corporate action further limiting the personal liability of directors, then the liability of our directors shall be limited to the fullest extent permitted by the Delaware General Corporation Law, as so amended.</w:t>
      </w:r>
    </w:p>
    <w:p>
      <w:pPr>
        <w:spacing w:after="0" w:line="202" w:lineRule="exact"/>
        <w:rPr>
          <w:sz w:val="20"/>
          <w:szCs w:val="20"/>
          <w:color w:val="auto"/>
        </w:rPr>
      </w:pPr>
    </w:p>
    <w:p>
      <w:pPr>
        <w:ind w:right="120" w:firstLine="576"/>
        <w:spacing w:after="0" w:line="237" w:lineRule="auto"/>
        <w:rPr>
          <w:sz w:val="20"/>
          <w:szCs w:val="20"/>
          <w:color w:val="auto"/>
        </w:rPr>
      </w:pPr>
      <w:r>
        <w:rPr>
          <w:rFonts w:ascii="Arial" w:cs="Arial" w:eastAsia="Arial" w:hAnsi="Arial"/>
          <w:sz w:val="18"/>
          <w:szCs w:val="18"/>
          <w:color w:val="auto"/>
        </w:rPr>
        <w:t>As permitted by the Delaware General Corporation Law, we have entered into separate indemnification agreements with each of our directors and certain of our officers that require us, among other things, to indemnify them against certain liabilities which may arise by reason of their status as directors or officers. We expect to obtain and maintain insurance policies under which our directors and officers are insured, within the limits and subject to the limitations of those policies, against certain expenses in connection with the defense of, and certain liabilities that might be imposed as a result of, actions, suits or proceedings to which they are parties by reason of being or having been directors 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63" w:name="page164"/>
    <w:bookmarkEnd w:id="163"/>
    <w:p>
      <w:pPr>
        <w:spacing w:after="0" w:line="246" w:lineRule="auto"/>
        <w:rPr>
          <w:sz w:val="20"/>
          <w:szCs w:val="20"/>
          <w:color w:val="auto"/>
        </w:rPr>
      </w:pPr>
      <w:r>
        <w:rPr>
          <w:rFonts w:ascii="Arial" w:cs="Arial" w:eastAsia="Arial" w:hAnsi="Arial"/>
          <w:sz w:val="18"/>
          <w:szCs w:val="18"/>
          <w:color w:val="auto"/>
        </w:rPr>
        <w:t>officers. The coverage provided by these policies may apply whether or not we would have the power to indemnify such person against such liability under the provisions of the Delaware General Corporation Law.</w:t>
      </w:r>
    </w:p>
    <w:p>
      <w:pPr>
        <w:spacing w:after="0" w:line="197" w:lineRule="exact"/>
        <w:rPr>
          <w:sz w:val="20"/>
          <w:szCs w:val="20"/>
          <w:color w:val="auto"/>
        </w:rPr>
      </w:pPr>
    </w:p>
    <w:p>
      <w:pPr>
        <w:jc w:val="both"/>
        <w:ind w:right="140" w:firstLine="576"/>
        <w:spacing w:after="0"/>
        <w:rPr>
          <w:sz w:val="20"/>
          <w:szCs w:val="20"/>
          <w:color w:val="auto"/>
        </w:rPr>
      </w:pPr>
      <w:r>
        <w:rPr>
          <w:rFonts w:ascii="Arial" w:cs="Arial" w:eastAsia="Arial" w:hAnsi="Arial"/>
          <w:sz w:val="18"/>
          <w:szCs w:val="18"/>
          <w:color w:val="auto"/>
        </w:rPr>
        <w:t>We believe that these provisions and agreements are necessary to attract and retain qualified persons as our officers and directors. At present, there is no pending litigation or proceeding involving our directors or officers for whom indemnification is required or permitted, and we are not aware of any threatened litigation or proceeding that may result in a claim for indemnification.</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98" w:right="41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34" w:lineRule="exact"/>
        <w:rPr>
          <w:sz w:val="20"/>
          <w:szCs w:val="20"/>
          <w:color w:val="auto"/>
        </w:rPr>
      </w:pPr>
    </w:p>
    <w:p>
      <w:pPr>
        <w:ind w:right="140" w:firstLine="576"/>
        <w:spacing w:after="0"/>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subsection titled “—2019 Summary Compensation Table” below. For 2019, our “named executive officers” and their positions were as follows:</w:t>
      </w:r>
    </w:p>
    <w:p>
      <w:pPr>
        <w:spacing w:after="0" w:line="95" w:lineRule="exact"/>
        <w:rPr>
          <w:sz w:val="20"/>
          <w:szCs w:val="20"/>
          <w:color w:val="auto"/>
        </w:rPr>
      </w:pPr>
    </w:p>
    <w:p>
      <w:pPr>
        <w:ind w:left="1300" w:hanging="442"/>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Leen Kawas, Ph.D., our president and chief executive officer;</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Mark Litton, Ph.D., our chief operating officer;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Kevin Church, Ph.D., our vice president of discovery.</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Summary Compensation Table</w:t>
      </w:r>
    </w:p>
    <w:p>
      <w:pPr>
        <w:spacing w:after="0" w:line="126" w:lineRule="exact"/>
        <w:rPr>
          <w:sz w:val="20"/>
          <w:szCs w:val="20"/>
          <w:color w:val="auto"/>
        </w:rPr>
      </w:pPr>
    </w:p>
    <w:p>
      <w:pPr>
        <w:ind w:right="280" w:firstLine="576"/>
        <w:spacing w:after="0" w:line="246" w:lineRule="auto"/>
        <w:rPr>
          <w:sz w:val="20"/>
          <w:szCs w:val="20"/>
          <w:color w:val="auto"/>
        </w:rPr>
      </w:pPr>
      <w:r>
        <w:rPr>
          <w:rFonts w:ascii="Arial" w:cs="Arial" w:eastAsia="Arial" w:hAnsi="Arial"/>
          <w:sz w:val="18"/>
          <w:szCs w:val="18"/>
          <w:color w:val="auto"/>
        </w:rPr>
        <w:t>The following table represents information regarding the total compensation awarded to, earned by or paid to our named executive officers during 2019: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Option</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All Other</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Salary</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Awards</w:t>
            </w: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Bonus</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Compensation</w:t>
            </w:r>
          </w:p>
        </w:tc>
        <w:tc>
          <w:tcPr>
            <w:tcW w:w="100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r>
      <w:tr>
        <w:trPr>
          <w:trHeight w:val="175"/>
        </w:trPr>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($)(1)</w:t>
            </w:r>
          </w:p>
        </w:tc>
        <w:tc>
          <w:tcPr>
            <w:tcW w:w="20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20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5"/>
                <w:szCs w:val="15"/>
                <w:color w:val="auto"/>
              </w:rPr>
            </w:pPr>
          </w:p>
        </w:tc>
      </w:tr>
      <w:tr>
        <w:trPr>
          <w:trHeight w:val="198"/>
        </w:trPr>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Leen Kawas, Ph.D., President</w:t>
            </w: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7"/>
        </w:trPr>
        <w:tc>
          <w:tcPr>
            <w:tcW w:w="46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and Chief Executive Officer</w:t>
            </w:r>
          </w:p>
        </w:tc>
        <w:tc>
          <w:tcPr>
            <w:tcW w:w="10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jc w:val="center"/>
              <w:ind w:left="23"/>
              <w:spacing w:after="0"/>
              <w:rPr>
                <w:sz w:val="20"/>
                <w:szCs w:val="20"/>
                <w:color w:val="auto"/>
              </w:rPr>
            </w:pPr>
            <w:r>
              <w:rPr>
                <w:rFonts w:ascii="Arial" w:cs="Arial" w:eastAsia="Arial" w:hAnsi="Arial"/>
                <w:sz w:val="16"/>
                <w:szCs w:val="16"/>
                <w:color w:val="auto"/>
              </w:rPr>
              <w:t>284,999</w:t>
            </w:r>
          </w:p>
        </w:tc>
        <w:tc>
          <w:tcPr>
            <w:tcW w:w="2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9"/>
              </w:rPr>
              <w:t>—</w:t>
            </w: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9"/>
              </w:rPr>
              <w:t>—</w:t>
            </w:r>
          </w:p>
        </w:tc>
        <w:tc>
          <w:tcPr>
            <w:tcW w:w="1020" w:type="dxa"/>
            <w:vAlign w:val="bottom"/>
            <w:shd w:val="clear" w:color="auto" w:fill="CFF0FC"/>
          </w:tcPr>
          <w:p>
            <w:pPr>
              <w:jc w:val="right"/>
              <w:ind w:right="184"/>
              <w:spacing w:after="0"/>
              <w:rPr>
                <w:sz w:val="20"/>
                <w:szCs w:val="20"/>
                <w:color w:val="auto"/>
              </w:rPr>
            </w:pPr>
            <w:r>
              <w:rPr>
                <w:rFonts w:ascii="Arial" w:cs="Arial" w:eastAsia="Arial" w:hAnsi="Arial"/>
                <w:sz w:val="16"/>
                <w:szCs w:val="16"/>
                <w:color w:val="auto"/>
              </w:rPr>
              <w:t>2,016</w:t>
            </w:r>
          </w:p>
        </w:tc>
        <w:tc>
          <w:tcPr>
            <w:tcW w:w="2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287,015</w:t>
            </w:r>
          </w:p>
        </w:tc>
        <w:tc>
          <w:tcPr>
            <w:tcW w:w="100" w:type="dxa"/>
            <w:vAlign w:val="bottom"/>
            <w:shd w:val="clear" w:color="auto" w:fill="CFF0FC"/>
          </w:tcPr>
          <w:p>
            <w:pPr>
              <w:spacing w:after="0"/>
              <w:rPr>
                <w:sz w:val="16"/>
                <w:szCs w:val="16"/>
                <w:color w:val="auto"/>
              </w:rPr>
            </w:pPr>
          </w:p>
        </w:tc>
      </w:tr>
      <w:tr>
        <w:trPr>
          <w:trHeight w:val="203"/>
        </w:trPr>
        <w:tc>
          <w:tcPr>
            <w:tcW w:w="4660" w:type="dxa"/>
            <w:vAlign w:val="bottom"/>
            <w:gridSpan w:val="2"/>
          </w:tcPr>
          <w:p>
            <w:pPr>
              <w:spacing w:after="0"/>
              <w:rPr>
                <w:sz w:val="20"/>
                <w:szCs w:val="20"/>
                <w:color w:val="auto"/>
              </w:rPr>
            </w:pPr>
            <w:r>
              <w:rPr>
                <w:rFonts w:ascii="Arial" w:cs="Arial" w:eastAsia="Arial" w:hAnsi="Arial"/>
                <w:sz w:val="16"/>
                <w:szCs w:val="16"/>
                <w:color w:val="auto"/>
              </w:rPr>
              <w:t>Mark Litton, Ph.D., Chief Operating Officer</w:t>
            </w:r>
          </w:p>
        </w:tc>
        <w:tc>
          <w:tcPr>
            <w:tcW w:w="1000" w:type="dxa"/>
            <w:vAlign w:val="bottom"/>
          </w:tcPr>
          <w:p>
            <w:pPr>
              <w:jc w:val="center"/>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7"/>
                <w:szCs w:val="17"/>
                <w:color w:val="auto"/>
              </w:rPr>
            </w:pPr>
          </w:p>
        </w:tc>
        <w:tc>
          <w:tcPr>
            <w:tcW w:w="880" w:type="dxa"/>
            <w:vAlign w:val="bottom"/>
          </w:tcPr>
          <w:p>
            <w:pPr>
              <w:jc w:val="center"/>
              <w:ind w:left="23"/>
              <w:spacing w:after="0"/>
              <w:rPr>
                <w:sz w:val="20"/>
                <w:szCs w:val="20"/>
                <w:color w:val="auto"/>
              </w:rPr>
            </w:pPr>
            <w:r>
              <w:rPr>
                <w:rFonts w:ascii="Arial" w:cs="Arial" w:eastAsia="Arial" w:hAnsi="Arial"/>
                <w:sz w:val="16"/>
                <w:szCs w:val="16"/>
                <w:color w:val="auto"/>
              </w:rPr>
              <w:t>12,000</w:t>
            </w:r>
          </w:p>
        </w:tc>
        <w:tc>
          <w:tcPr>
            <w:tcW w:w="200" w:type="dxa"/>
            <w:vAlign w:val="bottom"/>
          </w:tcPr>
          <w:p>
            <w:pPr>
              <w:spacing w:after="0"/>
              <w:rPr>
                <w:sz w:val="17"/>
                <w:szCs w:val="17"/>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180,480</w:t>
            </w:r>
          </w:p>
        </w:tc>
        <w:tc>
          <w:tcPr>
            <w:tcW w:w="2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99"/>
              </w:rPr>
              <w:t>—</w:t>
            </w: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color w:val="auto"/>
                <w:w w:val="99"/>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192,480</w:t>
            </w:r>
          </w:p>
        </w:tc>
        <w:tc>
          <w:tcPr>
            <w:tcW w:w="100" w:type="dxa"/>
            <w:vAlign w:val="bottom"/>
          </w:tcPr>
          <w:p>
            <w:pPr>
              <w:spacing w:after="0"/>
              <w:rPr>
                <w:sz w:val="17"/>
                <w:szCs w:val="17"/>
                <w:color w:val="auto"/>
              </w:rPr>
            </w:pPr>
          </w:p>
        </w:tc>
      </w:tr>
      <w:tr>
        <w:trPr>
          <w:trHeight w:val="203"/>
        </w:trPr>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Kevin Church, Ph.D., Vice President of Discovery</w:t>
            </w:r>
          </w:p>
        </w:tc>
        <w:tc>
          <w:tcPr>
            <w:tcW w:w="10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center"/>
              <w:ind w:left="23"/>
              <w:spacing w:after="0"/>
              <w:rPr>
                <w:sz w:val="20"/>
                <w:szCs w:val="20"/>
                <w:color w:val="auto"/>
              </w:rPr>
            </w:pPr>
            <w:r>
              <w:rPr>
                <w:rFonts w:ascii="Arial" w:cs="Arial" w:eastAsia="Arial" w:hAnsi="Arial"/>
                <w:sz w:val="16"/>
                <w:szCs w:val="16"/>
                <w:color w:val="auto"/>
              </w:rPr>
              <w:t>113,666</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11,650</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10,000</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135,316</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34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1" w:lineRule="exact"/>
        <w:rPr>
          <w:sz w:val="20"/>
          <w:szCs w:val="20"/>
          <w:color w:val="auto"/>
        </w:rPr>
      </w:pPr>
    </w:p>
    <w:p>
      <w:pPr>
        <w:ind w:left="480" w:right="180" w:hanging="472"/>
        <w:spacing w:after="0" w:line="249" w:lineRule="auto"/>
        <w:tabs>
          <w:tab w:leader="none" w:pos="4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In accordance with SEC rules, amounts in this column reflect the aggregate grant date fair value of stock options granted during 2019 computed in accordance with Accounting Standards Codification (ASC) Topic 718, rather than the amounts paid or realized by the named executive officer. We provide information regarding the assumptions used to calculate the value of all stock options made to our directors in Note 12 to our audited financial statements included elsewhere in this prospectus.</w:t>
      </w:r>
    </w:p>
    <w:p>
      <w:pPr>
        <w:spacing w:after="0" w:line="25" w:lineRule="exact"/>
        <w:rPr>
          <w:rFonts w:ascii="Arial" w:cs="Arial" w:eastAsia="Arial" w:hAnsi="Arial"/>
          <w:sz w:val="14"/>
          <w:szCs w:val="14"/>
          <w:color w:val="auto"/>
        </w:rPr>
      </w:pPr>
    </w:p>
    <w:p>
      <w:pPr>
        <w:ind w:left="480" w:hanging="472"/>
        <w:spacing w:after="0"/>
        <w:tabs>
          <w:tab w:leader="none" w:pos="4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Reflects a discretionary bonus paid to Dr. Church.</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amounts in this column represent reimbursements paid to Dr. Kawas to cover parking fees.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2019</w:t>
      </w:r>
    </w:p>
    <w:p>
      <w:pPr>
        <w:spacing w:after="0" w:line="126" w:lineRule="exact"/>
        <w:rPr>
          <w:sz w:val="20"/>
          <w:szCs w:val="20"/>
          <w:color w:val="auto"/>
        </w:rPr>
      </w:pPr>
    </w:p>
    <w:p>
      <w:pPr>
        <w:ind w:right="40" w:firstLine="576"/>
        <w:spacing w:after="0" w:line="246" w:lineRule="auto"/>
        <w:rPr>
          <w:sz w:val="20"/>
          <w:szCs w:val="20"/>
          <w:color w:val="auto"/>
        </w:rPr>
      </w:pPr>
      <w:r>
        <w:rPr>
          <w:rFonts w:ascii="Arial" w:cs="Arial" w:eastAsia="Arial" w:hAnsi="Arial"/>
          <w:sz w:val="18"/>
          <w:szCs w:val="18"/>
          <w:color w:val="auto"/>
        </w:rPr>
        <w:t>The following table shows grants of stock options and stock awards to each of our named executive officers outstanding at December 31, 2019.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Vesting</w:t>
            </w:r>
          </w:p>
        </w:tc>
        <w:tc>
          <w:tcPr>
            <w:tcW w:w="1460" w:type="dxa"/>
            <w:vAlign w:val="bottom"/>
            <w:tcBorders>
              <w:bottom w:val="single" w:sz="8" w:color="auto"/>
            </w:tcBorders>
          </w:tcPr>
          <w:p>
            <w:pPr>
              <w:spacing w:after="0"/>
              <w:rPr>
                <w:sz w:val="15"/>
                <w:szCs w:val="15"/>
                <w:color w:val="auto"/>
              </w:rPr>
            </w:pPr>
          </w:p>
        </w:tc>
        <w:tc>
          <w:tcPr>
            <w:tcW w:w="5380" w:type="dxa"/>
            <w:vAlign w:val="bottom"/>
            <w:tcBorders>
              <w:bottom w:val="single" w:sz="8" w:color="auto"/>
            </w:tcBorders>
            <w:gridSpan w:val="7"/>
          </w:tcPr>
          <w:p>
            <w:pPr>
              <w:jc w:val="right"/>
              <w:ind w:right="1500"/>
              <w:spacing w:after="0"/>
              <w:rPr>
                <w:sz w:val="20"/>
                <w:szCs w:val="20"/>
                <w:color w:val="auto"/>
              </w:rPr>
            </w:pPr>
            <w:r>
              <w:rPr>
                <w:rFonts w:ascii="Arial" w:cs="Arial" w:eastAsia="Arial" w:hAnsi="Arial"/>
                <w:sz w:val="14"/>
                <w:szCs w:val="14"/>
                <w:b w:val="1"/>
                <w:bCs w:val="1"/>
                <w:color w:val="auto"/>
              </w:rPr>
              <w:t>Number of Securities Underlying Unexercised Options</w:t>
            </w:r>
          </w:p>
        </w:tc>
        <w:tc>
          <w:tcPr>
            <w:tcW w:w="0" w:type="dxa"/>
            <w:vAlign w:val="bottom"/>
          </w:tcPr>
          <w:p>
            <w:pPr>
              <w:spacing w:after="0"/>
              <w:rPr>
                <w:sz w:val="1"/>
                <w:szCs w:val="1"/>
                <w:color w:val="auto"/>
              </w:rPr>
            </w:pPr>
          </w:p>
        </w:tc>
      </w:tr>
      <w:tr>
        <w:trPr>
          <w:trHeight w:val="156"/>
        </w:trPr>
        <w:tc>
          <w:tcPr>
            <w:tcW w:w="2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center"/>
              <w:ind w:right="440"/>
              <w:spacing w:after="0" w:line="156" w:lineRule="exact"/>
              <w:rPr>
                <w:sz w:val="20"/>
                <w:szCs w:val="20"/>
                <w:color w:val="auto"/>
              </w:rPr>
            </w:pPr>
            <w:r>
              <w:rPr>
                <w:rFonts w:ascii="Arial" w:cs="Arial" w:eastAsia="Arial" w:hAnsi="Arial"/>
                <w:sz w:val="14"/>
                <w:szCs w:val="14"/>
                <w:b w:val="1"/>
                <w:bCs w:val="1"/>
                <w:color w:val="auto"/>
              </w:rPr>
              <w:t>Option Exercise</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Commencement</w:t>
            </w:r>
          </w:p>
        </w:tc>
        <w:tc>
          <w:tcPr>
            <w:tcW w:w="1460" w:type="dxa"/>
            <w:vAlign w:val="bottom"/>
          </w:tcPr>
          <w:p>
            <w:pPr>
              <w:jc w:val="right"/>
              <w:ind w:right="261"/>
              <w:spacing w:after="0"/>
              <w:rPr>
                <w:sz w:val="20"/>
                <w:szCs w:val="20"/>
                <w:color w:val="auto"/>
              </w:rPr>
            </w:pPr>
            <w:r>
              <w:rPr>
                <w:rFonts w:ascii="Arial" w:cs="Arial" w:eastAsia="Arial" w:hAnsi="Arial"/>
                <w:sz w:val="14"/>
                <w:szCs w:val="14"/>
                <w:b w:val="1"/>
                <w:bCs w:val="1"/>
                <w:color w:val="auto"/>
              </w:rPr>
              <w:t>Exercisable</w:t>
            </w:r>
          </w:p>
        </w:tc>
        <w:tc>
          <w:tcPr>
            <w:tcW w:w="280" w:type="dxa"/>
            <w:vAlign w:val="bottom"/>
          </w:tcPr>
          <w:p>
            <w:pPr>
              <w:spacing w:after="0"/>
              <w:rPr>
                <w:sz w:val="14"/>
                <w:szCs w:val="14"/>
                <w:color w:val="auto"/>
              </w:rPr>
            </w:pPr>
          </w:p>
        </w:tc>
        <w:tc>
          <w:tcPr>
            <w:tcW w:w="1460" w:type="dxa"/>
            <w:vAlign w:val="bottom"/>
          </w:tcPr>
          <w:p>
            <w:pPr>
              <w:jc w:val="right"/>
              <w:ind w:right="162"/>
              <w:spacing w:after="0"/>
              <w:rPr>
                <w:sz w:val="20"/>
                <w:szCs w:val="20"/>
                <w:color w:val="auto"/>
              </w:rPr>
            </w:pPr>
            <w:r>
              <w:rPr>
                <w:rFonts w:ascii="Arial" w:cs="Arial" w:eastAsia="Arial" w:hAnsi="Arial"/>
                <w:sz w:val="14"/>
                <w:szCs w:val="14"/>
                <w:b w:val="1"/>
                <w:bCs w:val="1"/>
                <w:color w:val="auto"/>
              </w:rPr>
              <w:t>Unexercisable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Prices</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0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Name</w:t>
            </w:r>
          </w:p>
        </w:tc>
        <w:tc>
          <w:tcPr>
            <w:tcW w:w="160" w:type="dxa"/>
            <w:vAlign w:val="bottom"/>
            <w:tcBorders>
              <w:bottom w:val="single" w:sz="8" w:color="CFF0FC"/>
            </w:tcBorders>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60" w:type="dxa"/>
            <w:vAlign w:val="bottom"/>
            <w:tcBorders>
              <w:bottom w:val="single" w:sz="8" w:color="CFF0FC"/>
            </w:tcBorders>
          </w:tcPr>
          <w:p>
            <w:pPr>
              <w:spacing w:after="0"/>
              <w:rPr>
                <w:sz w:val="15"/>
                <w:szCs w:val="15"/>
                <w:color w:val="auto"/>
              </w:rPr>
            </w:pPr>
          </w:p>
        </w:tc>
        <w:tc>
          <w:tcPr>
            <w:tcW w:w="14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FF0FC"/>
            </w:tcBorders>
          </w:tcPr>
          <w:p>
            <w:pPr>
              <w:spacing w:after="0"/>
              <w:rPr>
                <w:sz w:val="15"/>
                <w:szCs w:val="15"/>
                <w:color w:val="auto"/>
              </w:rPr>
            </w:pPr>
          </w:p>
        </w:tc>
        <w:tc>
          <w:tcPr>
            <w:tcW w:w="14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FF0FC"/>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Option Expiration Date</w:t>
            </w:r>
          </w:p>
        </w:tc>
        <w:tc>
          <w:tcPr>
            <w:tcW w:w="0" w:type="dxa"/>
            <w:vAlign w:val="bottom"/>
          </w:tcPr>
          <w:p>
            <w:pPr>
              <w:spacing w:after="0"/>
              <w:rPr>
                <w:sz w:val="1"/>
                <w:szCs w:val="1"/>
                <w:color w:val="auto"/>
              </w:rPr>
            </w:pPr>
          </w:p>
        </w:tc>
      </w:tr>
      <w:tr>
        <w:trPr>
          <w:trHeight w:val="196"/>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Leen Kawas, Ph.D.</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1/20/2014</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200,000</w:t>
            </w: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0.02</w:t>
            </w:r>
          </w:p>
        </w:tc>
        <w:tc>
          <w:tcPr>
            <w:tcW w:w="28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08/28/2024</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08/29/2014</w:t>
            </w: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400,000</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0.02</w:t>
            </w:r>
          </w:p>
        </w:tc>
        <w:tc>
          <w:tcPr>
            <w:tcW w:w="2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08/28/2024</w:t>
            </w:r>
          </w:p>
        </w:tc>
        <w:tc>
          <w:tcPr>
            <w:tcW w:w="0" w:type="dxa"/>
            <w:vAlign w:val="bottom"/>
          </w:tcPr>
          <w:p>
            <w:pPr>
              <w:spacing w:after="0"/>
              <w:rPr>
                <w:sz w:val="1"/>
                <w:szCs w:val="1"/>
                <w:color w:val="auto"/>
              </w:rPr>
            </w:pPr>
          </w:p>
        </w:tc>
      </w:tr>
      <w:tr>
        <w:trPr>
          <w:trHeight w:val="203"/>
        </w:trPr>
        <w:tc>
          <w:tcPr>
            <w:tcW w:w="2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10/24/2015</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1,800,000</w:t>
            </w: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0.06</w:t>
            </w:r>
          </w:p>
        </w:tc>
        <w:tc>
          <w:tcPr>
            <w:tcW w:w="28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10/23/2025</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12/01/2017</w:t>
            </w: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500,000</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0.17</w:t>
            </w:r>
          </w:p>
        </w:tc>
        <w:tc>
          <w:tcPr>
            <w:tcW w:w="2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01/21/2023</w:t>
            </w:r>
          </w:p>
        </w:tc>
        <w:tc>
          <w:tcPr>
            <w:tcW w:w="0" w:type="dxa"/>
            <w:vAlign w:val="bottom"/>
          </w:tcPr>
          <w:p>
            <w:pPr>
              <w:spacing w:after="0"/>
              <w:rPr>
                <w:sz w:val="1"/>
                <w:szCs w:val="1"/>
                <w:color w:val="auto"/>
              </w:rPr>
            </w:pPr>
          </w:p>
        </w:tc>
      </w:tr>
      <w:tr>
        <w:trPr>
          <w:trHeight w:val="243"/>
        </w:trPr>
        <w:tc>
          <w:tcPr>
            <w:tcW w:w="25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01/01/2019</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FF0FC"/>
          </w:tcPr>
          <w:p>
            <w:pPr>
              <w:jc w:val="right"/>
              <w:spacing w:after="0" w:line="242" w:lineRule="exact"/>
              <w:rPr>
                <w:sz w:val="20"/>
                <w:szCs w:val="20"/>
                <w:color w:val="auto"/>
              </w:rPr>
            </w:pPr>
            <w:r>
              <w:rPr>
                <w:rFonts w:ascii="Arial" w:cs="Arial" w:eastAsia="Arial" w:hAnsi="Arial"/>
                <w:sz w:val="16"/>
                <w:szCs w:val="16"/>
                <w:color w:val="auto"/>
              </w:rPr>
              <w:t>250,000</w:t>
            </w:r>
            <w:r>
              <w:rPr>
                <w:rFonts w:ascii="Arial" w:cs="Arial" w:eastAsia="Arial" w:hAnsi="Arial"/>
                <w:sz w:val="27"/>
                <w:szCs w:val="27"/>
                <w:color w:val="auto"/>
                <w:vertAlign w:val="superscript"/>
              </w:rPr>
              <w:t>(1)</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0.19</w:t>
            </w:r>
          </w:p>
        </w:tc>
        <w:tc>
          <w:tcPr>
            <w:tcW w:w="28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12/17/2023</w:t>
            </w:r>
          </w:p>
        </w:tc>
        <w:tc>
          <w:tcPr>
            <w:tcW w:w="0" w:type="dxa"/>
            <w:vAlign w:val="bottom"/>
          </w:tcPr>
          <w:p>
            <w:pPr>
              <w:spacing w:after="0"/>
              <w:rPr>
                <w:sz w:val="1"/>
                <w:szCs w:val="1"/>
                <w:color w:val="auto"/>
              </w:rPr>
            </w:pPr>
          </w:p>
        </w:tc>
      </w:tr>
      <w:tr>
        <w:trPr>
          <w:trHeight w:val="243"/>
        </w:trPr>
        <w:tc>
          <w:tcPr>
            <w:tcW w:w="2660" w:type="dxa"/>
            <w:vAlign w:val="bottom"/>
            <w:gridSpan w:val="2"/>
          </w:tcPr>
          <w:p>
            <w:pPr>
              <w:spacing w:after="0"/>
              <w:rPr>
                <w:sz w:val="20"/>
                <w:szCs w:val="20"/>
                <w:color w:val="auto"/>
              </w:rPr>
            </w:pPr>
            <w:r>
              <w:rPr>
                <w:rFonts w:ascii="Arial" w:cs="Arial" w:eastAsia="Arial" w:hAnsi="Arial"/>
                <w:sz w:val="16"/>
                <w:szCs w:val="16"/>
                <w:color w:val="auto"/>
              </w:rPr>
              <w:t>Mark Litton, Ph.D.</w:t>
            </w:r>
          </w:p>
        </w:tc>
        <w:tc>
          <w:tcPr>
            <w:tcW w:w="1580" w:type="dxa"/>
            <w:vAlign w:val="bottom"/>
          </w:tcPr>
          <w:p>
            <w:pPr>
              <w:jc w:val="right"/>
              <w:spacing w:after="0"/>
              <w:rPr>
                <w:sz w:val="20"/>
                <w:szCs w:val="20"/>
                <w:color w:val="auto"/>
              </w:rPr>
            </w:pPr>
            <w:r>
              <w:rPr>
                <w:rFonts w:ascii="Arial" w:cs="Arial" w:eastAsia="Arial" w:hAnsi="Arial"/>
                <w:sz w:val="16"/>
                <w:szCs w:val="16"/>
                <w:color w:val="auto"/>
              </w:rPr>
              <w:t>07/01/2019</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spacing w:after="0" w:line="242" w:lineRule="exact"/>
              <w:rPr>
                <w:sz w:val="20"/>
                <w:szCs w:val="20"/>
                <w:color w:val="auto"/>
              </w:rPr>
            </w:pPr>
            <w:r>
              <w:rPr>
                <w:rFonts w:ascii="Arial" w:cs="Arial" w:eastAsia="Arial" w:hAnsi="Arial"/>
                <w:sz w:val="16"/>
                <w:szCs w:val="16"/>
                <w:color w:val="auto"/>
              </w:rPr>
              <w:t>1,600,000</w:t>
            </w:r>
            <w:r>
              <w:rPr>
                <w:rFonts w:ascii="Arial" w:cs="Arial" w:eastAsia="Arial" w:hAnsi="Arial"/>
                <w:sz w:val="27"/>
                <w:szCs w:val="27"/>
                <w:color w:val="auto"/>
                <w:vertAlign w:val="superscript"/>
              </w:rPr>
              <w:t>(2)</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0.17</w:t>
            </w:r>
          </w:p>
        </w:tc>
        <w:tc>
          <w:tcPr>
            <w:tcW w:w="2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08/14/2029</w:t>
            </w: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Kevin Church, Ph.D.</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07/01/2016</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225,000</w:t>
            </w:r>
          </w:p>
        </w:tc>
        <w:tc>
          <w:tcPr>
            <w:tcW w:w="1740" w:type="dxa"/>
            <w:vAlign w:val="bottom"/>
            <w:gridSpan w:val="2"/>
            <w:shd w:val="clear" w:color="auto" w:fill="CFF0FC"/>
          </w:tcPr>
          <w:p>
            <w:pPr>
              <w:jc w:val="right"/>
              <w:spacing w:after="0" w:line="242" w:lineRule="exact"/>
              <w:rPr>
                <w:sz w:val="20"/>
                <w:szCs w:val="20"/>
                <w:color w:val="auto"/>
              </w:rPr>
            </w:pPr>
            <w:r>
              <w:rPr>
                <w:rFonts w:ascii="Arial" w:cs="Arial" w:eastAsia="Arial" w:hAnsi="Arial"/>
                <w:sz w:val="16"/>
                <w:szCs w:val="16"/>
                <w:color w:val="auto"/>
              </w:rPr>
              <w:t>75,000</w:t>
            </w:r>
            <w:r>
              <w:rPr>
                <w:rFonts w:ascii="Arial" w:cs="Arial" w:eastAsia="Arial" w:hAnsi="Arial"/>
                <w:sz w:val="27"/>
                <w:szCs w:val="27"/>
                <w:color w:val="auto"/>
                <w:vertAlign w:val="superscript"/>
              </w:rPr>
              <w:t>(2)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0.13</w:t>
            </w:r>
          </w:p>
        </w:tc>
        <w:tc>
          <w:tcPr>
            <w:tcW w:w="28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06/19/2026</w:t>
            </w:r>
          </w:p>
        </w:tc>
        <w:tc>
          <w:tcPr>
            <w:tcW w:w="0" w:type="dxa"/>
            <w:vAlign w:val="bottom"/>
          </w:tcPr>
          <w:p>
            <w:pPr>
              <w:spacing w:after="0"/>
              <w:rPr>
                <w:sz w:val="1"/>
                <w:szCs w:val="1"/>
                <w:color w:val="auto"/>
              </w:rPr>
            </w:pPr>
          </w:p>
        </w:tc>
      </w:tr>
      <w:tr>
        <w:trPr>
          <w:trHeight w:val="202"/>
        </w:trPr>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09/01/2016</w:t>
            </w: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50,000</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0.13</w:t>
            </w:r>
          </w:p>
        </w:tc>
        <w:tc>
          <w:tcPr>
            <w:tcW w:w="2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08/30/2026</w:t>
            </w:r>
          </w:p>
        </w:tc>
        <w:tc>
          <w:tcPr>
            <w:tcW w:w="0" w:type="dxa"/>
            <w:vAlign w:val="bottom"/>
          </w:tcPr>
          <w:p>
            <w:pPr>
              <w:spacing w:after="0"/>
              <w:rPr>
                <w:sz w:val="1"/>
                <w:szCs w:val="1"/>
                <w:color w:val="auto"/>
              </w:rPr>
            </w:pPr>
          </w:p>
        </w:tc>
      </w:tr>
      <w:tr>
        <w:trPr>
          <w:trHeight w:val="203"/>
        </w:trPr>
        <w:tc>
          <w:tcPr>
            <w:tcW w:w="2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06/19/2017</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25,000</w:t>
            </w: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0.15</w:t>
            </w:r>
          </w:p>
        </w:tc>
        <w:tc>
          <w:tcPr>
            <w:tcW w:w="28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06/19/2027</w:t>
            </w:r>
          </w:p>
        </w:tc>
        <w:tc>
          <w:tcPr>
            <w:tcW w:w="0" w:type="dxa"/>
            <w:vAlign w:val="bottom"/>
          </w:tcPr>
          <w:p>
            <w:pPr>
              <w:spacing w:after="0"/>
              <w:rPr>
                <w:sz w:val="1"/>
                <w:szCs w:val="1"/>
                <w:color w:val="auto"/>
              </w:rPr>
            </w:pPr>
          </w:p>
        </w:tc>
      </w:tr>
      <w:tr>
        <w:trPr>
          <w:trHeight w:val="402"/>
        </w:trPr>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01/01/2019</w:t>
            </w: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100,000</w:t>
            </w:r>
            <w:r>
              <w:rPr>
                <w:rFonts w:ascii="Arial" w:cs="Arial" w:eastAsia="Arial" w:hAnsi="Arial"/>
                <w:sz w:val="27"/>
                <w:szCs w:val="27"/>
                <w:color w:val="auto"/>
                <w:vertAlign w:val="superscript"/>
              </w:rPr>
              <w:t>(2)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0.17</w:t>
            </w:r>
          </w:p>
        </w:tc>
        <w:tc>
          <w:tcPr>
            <w:tcW w:w="2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12/17/2028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834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4" w:lineRule="exact"/>
        <w:rPr>
          <w:sz w:val="20"/>
          <w:szCs w:val="20"/>
          <w:color w:val="auto"/>
        </w:rPr>
      </w:pPr>
    </w:p>
    <w:p>
      <w:pPr>
        <w:ind w:left="480" w:right="20" w:hanging="472"/>
        <w:spacing w:after="0" w:line="258" w:lineRule="auto"/>
        <w:tabs>
          <w:tab w:leader="none" w:pos="4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Stock option vests over three years, with 1/3 vesting on each anniversary of the vesting commencement date, subject to continued service with us through the applicable vesting date.</w:t>
      </w:r>
    </w:p>
    <w:p>
      <w:pPr>
        <w:spacing w:after="0" w:line="18" w:lineRule="exact"/>
        <w:rPr>
          <w:rFonts w:ascii="Arial" w:cs="Arial" w:eastAsia="Arial" w:hAnsi="Arial"/>
          <w:sz w:val="14"/>
          <w:szCs w:val="14"/>
          <w:color w:val="auto"/>
        </w:rPr>
      </w:pPr>
    </w:p>
    <w:p>
      <w:pPr>
        <w:ind w:left="480" w:right="100" w:hanging="472"/>
        <w:spacing w:after="0" w:line="258" w:lineRule="auto"/>
        <w:tabs>
          <w:tab w:leader="none" w:pos="4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Stock option vests over four years, with 1/4 vesting on each anniversary of the vesting commencement date, subject to continued service with us through the applicable vesting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2020 Named Executive Officer Equity Awards</w:t>
      </w:r>
    </w:p>
    <w:p>
      <w:pPr>
        <w:spacing w:after="0" w:line="126"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In August 2020, our board of directors approved option awards to certain of our named executive officers to provide them additional incentives to remain with us and to promote further alignment between their interests and those of our stockholders. The number of shares subject to each option award was determined with input from Radford as follows: 1,665,000 (Dr. Kawas), 370,000 (Dr. Litton) and 555,000 (Dr. Church). These awards became effective as of the date that our board of directors approved the awards and were granted subject to the terms and conditions of the 2014 Equity Incentive Plan and form of option agreement thereunder. Each of the options is scheduled to vest as to 25% of the shares subject to the option on the one-, two-, three- and four-year anniversary of the grant date, in each case subject to continued service with us through each applicable vesting date, and further subject to vesting acceleration under certain circumstances as described under the subsection titled “—Change in Control and Severance Agreements.”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126" w:lineRule="exact"/>
        <w:rPr>
          <w:sz w:val="20"/>
          <w:szCs w:val="20"/>
          <w:color w:val="auto"/>
        </w:rPr>
      </w:pPr>
    </w:p>
    <w:p>
      <w:pPr>
        <w:ind w:right="20" w:firstLine="576"/>
        <w:spacing w:after="0" w:line="246" w:lineRule="auto"/>
        <w:rPr>
          <w:sz w:val="20"/>
          <w:szCs w:val="20"/>
          <w:color w:val="auto"/>
        </w:rPr>
      </w:pPr>
      <w:r>
        <w:rPr>
          <w:rFonts w:ascii="Arial" w:cs="Arial" w:eastAsia="Arial" w:hAnsi="Arial"/>
          <w:sz w:val="18"/>
          <w:szCs w:val="18"/>
          <w:color w:val="auto"/>
        </w:rPr>
        <w:t>Each of our named executive officers has executed our standard form of confidential information, invention assignment and arbitration agreement.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Leen Kawas</w:t>
      </w:r>
    </w:p>
    <w:p>
      <w:pPr>
        <w:spacing w:after="0" w:line="126"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Prior to the completion of this offering, we intend to enter into a confirmatory employment letter with Dr. Kawas, our president and chief executive officer. The confirmatory employment letter will have no specific term and will provide that Dr. Kawas is an at-will employee and will supersede all prior employment agreements between Dr. Kawas and us. Dr. Kawas’s current annual base salary is $285,000 and she is eligible for an annual target cash incentive payment equal to 50% of her annual base salary. Provided Dr. Kawas remains employed by us through the effective date of this offering, her annual base salary will be increased to $510,000.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Mark Litton</w:t>
      </w:r>
    </w:p>
    <w:p>
      <w:pPr>
        <w:spacing w:after="0" w:line="126"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Prior to the completion of this offering, we intend to enter into a confirmatory employment letter with Dr. Litton, our chief operating officer. The confirmatory employment letter will have no specific term and will provide that Dr. Litton is an at-will employee and will supersede all prior employment agreements between Dr. Litton and us. Dr. Litton’s current annual base salary is $250,000 and he is eligible for an annual target cash incentive payment equal to 40% of his annual base salary. Provided Dr. Litton remains employed by us through the effective date of this offering, his annual base salary will be increased to $430,000.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Kevin Church</w:t>
      </w:r>
    </w:p>
    <w:p>
      <w:pPr>
        <w:spacing w:after="0" w:line="12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Prior to the completion of this offering, we intend to enter into a confirmatory employment letter with Dr. Kevin Church, our vice president of discovery. The confirmatory employment letter will have no specific term and will provide that Dr. Church is an at-will employee and will supersede all prior employment agreements between Dr. Church and us. Dr. Church’s current annual base salary is $121,000 and he is eligible for an annual target cash incentive payment equal to 25% of his annual base salary. Provided Dr. Church remains employed by us through the effective date of this offering, his annual base salary will be increased to $230,000.</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Change in Control and Severance Agreements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Prior to the completion of this offering, we expect to enter into change in control and severance agreements with Dr. Kawas and Dr.</w:t>
      </w:r>
    </w:p>
    <w:p>
      <w:pPr>
        <w:spacing w:after="0"/>
        <w:rPr>
          <w:sz w:val="20"/>
          <w:szCs w:val="20"/>
          <w:color w:val="auto"/>
        </w:rPr>
      </w:pPr>
      <w:r>
        <w:rPr>
          <w:rFonts w:ascii="Arial" w:cs="Arial" w:eastAsia="Arial" w:hAnsi="Arial"/>
          <w:sz w:val="18"/>
          <w:szCs w:val="18"/>
          <w:color w:val="auto"/>
        </w:rPr>
        <w:t>Litton, which agreements would provide for certain severance and change in control benefits as described below.</w:t>
      </w:r>
    </w:p>
    <w:p>
      <w:pPr>
        <w:spacing w:after="0" w:line="212"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If the employment of a named executive officer with whom we have entered into a change in control and severance agreement is terminated outside the period beginning one month prior to the date of a change in control and ending 12 months following that change in control (the Change in Control Period) either (1) by the company without “cause” (excluding by reason of death or disability) or (2) by the named executive officer for “good reason” (as such terms are defined in the named executive officer’s change in control and severance agreement), the named executive officer will receive the following benefits if he or she timely signs and does not revoke a release of claims in our favor:</w:t>
      </w:r>
    </w:p>
    <w:p>
      <w:pPr>
        <w:spacing w:after="0" w:line="97" w:lineRule="exact"/>
        <w:rPr>
          <w:sz w:val="20"/>
          <w:szCs w:val="20"/>
          <w:color w:val="auto"/>
        </w:rPr>
      </w:pPr>
    </w:p>
    <w:p>
      <w:pPr>
        <w:ind w:left="1300" w:right="220" w:hanging="442"/>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lump-sum payment equal to 9 months (or 12 months in the case of Dr. Kawas) of the named executive officer’s annual base salary as in effect immediately prior to such termination (or if such termination is due to a resignation for good reason based on a material reduction in base salary, then as in effect immediately prior to the reduction);</w:t>
      </w:r>
    </w:p>
    <w:p>
      <w:pPr>
        <w:spacing w:after="0" w:line="94" w:lineRule="exact"/>
        <w:rPr>
          <w:rFonts w:ascii="Arial" w:cs="Arial" w:eastAsia="Arial" w:hAnsi="Arial"/>
          <w:sz w:val="18"/>
          <w:szCs w:val="18"/>
          <w:color w:val="auto"/>
        </w:rPr>
      </w:pPr>
    </w:p>
    <w:p>
      <w:pPr>
        <w:ind w:left="1300" w:right="160" w:hanging="442"/>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payment of premiums for coverage under the Consolidated Omnibus Budget Reconciliation Act of 1985, as amended (COBRA), for the named executive officer and his or her eligible dependents, if any, for up to 9 months (or 12 months in the case of Dr. Kawas); and</w:t>
      </w:r>
    </w:p>
    <w:p>
      <w:pPr>
        <w:spacing w:after="0" w:line="94" w:lineRule="exact"/>
        <w:rPr>
          <w:rFonts w:ascii="Arial" w:cs="Arial" w:eastAsia="Arial" w:hAnsi="Arial"/>
          <w:sz w:val="18"/>
          <w:szCs w:val="18"/>
          <w:color w:val="auto"/>
        </w:rPr>
      </w:pPr>
    </w:p>
    <w:p>
      <w:pPr>
        <w:ind w:left="1300" w:right="140" w:hanging="442"/>
        <w:spacing w:after="0" w:line="246" w:lineRule="auto"/>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with respect to Dr. Litton only, vesting acceleration of 25% of the shares subject to Dr. Litton’s 2019 Company option award to the extent outstanding and unvested as of the date of the qualifying termination.</w:t>
      </w:r>
    </w:p>
    <w:p>
      <w:pPr>
        <w:spacing w:after="0" w:line="197"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If, during the Change in Control Period, the employment of a named executive officer with whom we have entered into a change in control and severance agreement is terminated either (1) by the company without cause (excluding by reason of death or disability) or (2) by the named executive officer for good reason, the named executive officer will receive the following benefits if the named executive officer timely signs and does not revoke a separation agreement and release of claims in our favor:</w:t>
      </w:r>
    </w:p>
    <w:p>
      <w:pPr>
        <w:spacing w:after="0" w:line="97" w:lineRule="exact"/>
        <w:rPr>
          <w:sz w:val="20"/>
          <w:szCs w:val="20"/>
          <w:color w:val="auto"/>
        </w:rPr>
      </w:pPr>
    </w:p>
    <w:p>
      <w:pPr>
        <w:ind w:left="1300" w:right="180" w:hanging="442"/>
        <w:spacing w:after="0" w:line="238" w:lineRule="auto"/>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lump-sum payment equal to 12 months (or 18 months in the case of Dr. Kawas) of the named executive officer’s annual base salary as in effect immediately prior to such termination (or if such termination is due to a resignation for good reason based on a material reduction in base salary, then as in effect immediately prior to the reduction) or if greater, at the level in effect immediately prior to the change in control;</w:t>
      </w:r>
    </w:p>
    <w:p>
      <w:pPr>
        <w:spacing w:after="0" w:line="96" w:lineRule="exact"/>
        <w:rPr>
          <w:rFonts w:ascii="Arial" w:cs="Arial" w:eastAsia="Arial" w:hAnsi="Arial"/>
          <w:sz w:val="18"/>
          <w:szCs w:val="18"/>
          <w:color w:val="auto"/>
        </w:rPr>
      </w:pPr>
    </w:p>
    <w:p>
      <w:pPr>
        <w:ind w:left="1300" w:right="20" w:hanging="442"/>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lump-sum payment equal to 100% (or 150% in the case of Dr. Kawas) of the named executive officer’s target annual bonus as in effect for the fiscal year in which such termination occurs or if greater, at the level in effect, immediately prior to the change in control;</w:t>
      </w:r>
    </w:p>
    <w:p>
      <w:pPr>
        <w:spacing w:after="0" w:line="94" w:lineRule="exact"/>
        <w:rPr>
          <w:rFonts w:ascii="Arial" w:cs="Arial" w:eastAsia="Arial" w:hAnsi="Arial"/>
          <w:sz w:val="18"/>
          <w:szCs w:val="18"/>
          <w:color w:val="auto"/>
        </w:rPr>
      </w:pPr>
    </w:p>
    <w:p>
      <w:pPr>
        <w:ind w:left="1300" w:right="120" w:hanging="442"/>
        <w:spacing w:after="0" w:line="246" w:lineRule="auto"/>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payment of premiums for coverage under COBRA for the named executive officer and the named executive officer’s eligible dependents, if any, for up to 12 months (or 18 months in the case of Dr. Kawas); and</w:t>
      </w:r>
    </w:p>
    <w:p>
      <w:pPr>
        <w:spacing w:after="0" w:line="88" w:lineRule="exact"/>
        <w:rPr>
          <w:rFonts w:ascii="Arial" w:cs="Arial" w:eastAsia="Arial" w:hAnsi="Arial"/>
          <w:sz w:val="18"/>
          <w:szCs w:val="18"/>
          <w:color w:val="auto"/>
        </w:rPr>
      </w:pPr>
    </w:p>
    <w:p>
      <w:pPr>
        <w:ind w:left="1300" w:right="560" w:hanging="442"/>
        <w:spacing w:after="0" w:line="274" w:lineRule="auto"/>
        <w:tabs>
          <w:tab w:leader="none" w:pos="13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100% accelerated vesting and exercisability of all Company equity awards with service-based vesting (but that are not subject to performance-based vesting) that are outstanding and unvested as of the date of the qualifying termination.</w:t>
      </w:r>
    </w:p>
    <w:p>
      <w:pPr>
        <w:spacing w:after="0" w:line="175" w:lineRule="exact"/>
        <w:rPr>
          <w:sz w:val="20"/>
          <w:szCs w:val="20"/>
          <w:color w:val="auto"/>
        </w:rPr>
      </w:pPr>
    </w:p>
    <w:p>
      <w:pPr>
        <w:jc w:val="both"/>
        <w:ind w:right="360" w:firstLine="576"/>
        <w:spacing w:after="0"/>
        <w:rPr>
          <w:sz w:val="20"/>
          <w:szCs w:val="20"/>
          <w:color w:val="auto"/>
        </w:rPr>
      </w:pPr>
      <w:r>
        <w:rPr>
          <w:rFonts w:ascii="Arial" w:cs="Arial" w:eastAsia="Arial" w:hAnsi="Arial"/>
          <w:sz w:val="18"/>
          <w:szCs w:val="18"/>
          <w:color w:val="auto"/>
        </w:rPr>
        <w:t>In addition, the change in control and severance agreement provides for 100% accelerated vesting and exercisability of Company equity awards granted under our 2014 Equity Incentive Plan and held by such named executive officer to the extent such awards are not assumed or substituted for by the successor corporation in a change in control.</w:t>
      </w:r>
    </w:p>
    <w:p>
      <w:pPr>
        <w:spacing w:after="0" w:line="203" w:lineRule="exact"/>
        <w:rPr>
          <w:sz w:val="20"/>
          <w:szCs w:val="20"/>
          <w:color w:val="auto"/>
        </w:rPr>
      </w:pPr>
    </w:p>
    <w:p>
      <w:pPr>
        <w:ind w:right="60" w:firstLine="576"/>
        <w:spacing w:after="0" w:line="246" w:lineRule="auto"/>
        <w:rPr>
          <w:sz w:val="20"/>
          <w:szCs w:val="20"/>
          <w:color w:val="auto"/>
        </w:rPr>
      </w:pPr>
      <w:r>
        <w:rPr>
          <w:rFonts w:ascii="Arial" w:cs="Arial" w:eastAsia="Arial" w:hAnsi="Arial"/>
          <w:sz w:val="18"/>
          <w:szCs w:val="18"/>
          <w:color w:val="auto"/>
        </w:rPr>
        <w:t>If any of the amounts provided for under these change in control and severance agreements or otherwise payable to Dr. Kawas or Dr. Litton would constitute “parachute payments” within the meaning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7" w:name="page168"/>
    <w:bookmarkEnd w:id="167"/>
    <w:p>
      <w:pPr>
        <w:ind w:right="180"/>
        <w:spacing w:after="0" w:line="238" w:lineRule="auto"/>
        <w:rPr>
          <w:sz w:val="20"/>
          <w:szCs w:val="20"/>
          <w:color w:val="auto"/>
        </w:rPr>
      </w:pPr>
      <w:r>
        <w:rPr>
          <w:rFonts w:ascii="Arial" w:cs="Arial" w:eastAsia="Arial" w:hAnsi="Arial"/>
          <w:sz w:val="18"/>
          <w:szCs w:val="18"/>
          <w:color w:val="auto"/>
        </w:rPr>
        <w:t>Section 280G of the Internal Revenue Code and could be subject to the related excise tax, the named executive officer would be entitled to receive either full payment of benefits or such lesser amount which would result in no portion of the benefits being subject to the excise tax, whichever results in the greater amount of after-tax benefits to the named executive officer. The change in control and severance agreements do not require us to provide any tax gross-up payments.</w:t>
      </w:r>
    </w:p>
    <w:p>
      <w:pPr>
        <w:spacing w:after="0" w:line="205"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Under the change in control and severance agreement, ”cause” generally means the named executive officer’s: indictment or conviction of any felony or any crime involving dishonesty or moral turpitude; participation in any fraud against us or other dishonesty which is not the result of an innocent or inadvertent mistake by the named executive officer with respect to us; willful violation of his or her obligations to us after there has been delivered to the named executive officer a written demand for performance from the board of directors; continued violation or breach of any material written company policy, agreement with the us, or any statutory or fiduciary duty to us after we have delivered to the named executive officer a written notification of such violation or breach; or damaging or misappropriating or attempting to damage or misappropriate any of our property, including intellectual property.</w:t>
      </w:r>
    </w:p>
    <w:p>
      <w:pPr>
        <w:spacing w:after="0" w:line="203"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Under the change in control and severance agreement, “good reason” generally means that the named executive officer resigns from the company within 30 days following the end of our cure period (discussed below) as a result of any of the following that occurs without his or her consent: a material reduction in the named executive officer’s duties or responsibilities that is inconsistent with his or her position, provided that a mere change of title alone will not constitute such a material reduction; the requirement that the named executive officer change his or her principal office to a facility that increases his or her commute by more than 40 miles from his or her commute to the location at which the named executive officer was employed prior to such change; or a material reduction in base salary or a material reduction in his or her employee benefits (other than (1) in connection with a general decrease in salary or employee benefits of all similarly situated employees, and (2) following our change in control, to the extent necessary to make his or her salary or employee benefits commensurate with those of our other employees or our successor entity or parent entity who are similarly situated with him or her). For a resignation to qualify as “good reason,” the named executive officer also must provide written notice within 90 days following the initial existence of the good reason condition, and we must have failed to materially remedy such event within 30 days after receipt of such notice.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126" w:lineRule="exact"/>
        <w:rPr>
          <w:sz w:val="20"/>
          <w:szCs w:val="20"/>
          <w:color w:val="auto"/>
        </w:rPr>
      </w:pPr>
    </w:p>
    <w:p>
      <w:pPr>
        <w:ind w:right="300" w:firstLine="576"/>
        <w:spacing w:after="0" w:line="237" w:lineRule="auto"/>
        <w:rPr>
          <w:sz w:val="20"/>
          <w:szCs w:val="20"/>
          <w:color w:val="auto"/>
        </w:rPr>
      </w:pPr>
      <w:r>
        <w:rPr>
          <w:rFonts w:ascii="Arial" w:cs="Arial" w:eastAsia="Arial" w:hAnsi="Arial"/>
          <w:sz w:val="18"/>
          <w:szCs w:val="18"/>
          <w:color w:val="auto"/>
        </w:rPr>
        <w:t>Prior to the completion of this offering, our board of directors intends to adopt our Executive Incentive Compensation Plan. Our Executive Incentive Compensation Plan will be administered by our board of directors or a committee appointed by our board of directors. Unless and until our board of directors determines otherwise, our compensation committee will administer our Executive Incentive Compensation Plan. Our Executive Incentive Compensation Plan will allow us to grant incentive awards, generally payable in cash, to employees selected by the administrator, including our named executive officers, based upon any performance goals that may be established by the administrator.</w:t>
      </w:r>
    </w:p>
    <w:p>
      <w:pPr>
        <w:spacing w:after="0" w:line="205"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Under our Executive Incentive Compensation Plan, the administrator will determine any performance goals applicable to an award, which goals may include, without limitation,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68" w:name="page169"/>
    <w:bookmarkEnd w:id="168"/>
    <w:p>
      <w:pPr>
        <w:ind w:right="120"/>
        <w:spacing w:after="0" w:line="238" w:lineRule="auto"/>
        <w:rPr>
          <w:sz w:val="20"/>
          <w:szCs w:val="20"/>
          <w:color w:val="auto"/>
        </w:rPr>
      </w:pPr>
      <w:r>
        <w:rPr>
          <w:rFonts w:ascii="Arial" w:cs="Arial" w:eastAsia="Arial" w:hAnsi="Arial"/>
          <w:sz w:val="18"/>
          <w:szCs w:val="18"/>
          <w:color w:val="auto"/>
        </w:rPr>
        <w:t>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202" w:lineRule="exact"/>
        <w:rPr>
          <w:sz w:val="20"/>
          <w:szCs w:val="20"/>
          <w:color w:val="auto"/>
        </w:rPr>
      </w:pPr>
    </w:p>
    <w:p>
      <w:pPr>
        <w:ind w:right="480" w:firstLine="576"/>
        <w:spacing w:after="0" w:line="238" w:lineRule="auto"/>
        <w:rPr>
          <w:sz w:val="20"/>
          <w:szCs w:val="20"/>
          <w:color w:val="auto"/>
        </w:rPr>
      </w:pPr>
      <w:r>
        <w:rPr>
          <w:rFonts w:ascii="Arial" w:cs="Arial" w:eastAsia="Arial" w:hAnsi="Arial"/>
          <w:sz w:val="18"/>
          <w:szCs w:val="18"/>
          <w:color w:val="auto"/>
        </w:rPr>
        <w:t>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202"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 grant of an equity award under our then-current equity compensation plan, which equity award may have such terms and conditions, including vesting, as determined by the administrator. Payment of awards occurs as soon as administratively practicable after they are earned, but no later than the dates set forth in our Executive Incentive Compensation Plan.</w:t>
      </w:r>
    </w:p>
    <w:p>
      <w:pPr>
        <w:spacing w:after="0" w:line="205" w:lineRule="exact"/>
        <w:rPr>
          <w:sz w:val="20"/>
          <w:szCs w:val="20"/>
          <w:color w:val="auto"/>
        </w:rPr>
      </w:pPr>
    </w:p>
    <w:p>
      <w:pPr>
        <w:ind w:right="260" w:firstLine="576"/>
        <w:spacing w:after="0" w:line="237" w:lineRule="auto"/>
        <w:rPr>
          <w:sz w:val="20"/>
          <w:szCs w:val="20"/>
          <w:color w:val="auto"/>
        </w:rPr>
      </w:pPr>
      <w:r>
        <w:rPr>
          <w:rFonts w:ascii="Arial" w:cs="Arial" w:eastAsia="Arial" w:hAnsi="Arial"/>
          <w:sz w:val="18"/>
          <w:szCs w:val="18"/>
          <w:color w:val="auto"/>
        </w:rPr>
        <w:t>Awards under our Executive Incentive Compensation Plan are subject to any clawback policy of ours, which we may be required to adopt from time to time to comply with applicable laws. The administrator also may impose 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203"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administrator of our Executive Incentive Compensation Plan will have the authority to amend, alter, suspend or terminate our Executive Incentive Compensation Plan, provided such action does not impair the existing rights of any participant with respect to any earned awards. Our Executive Incentive Compensation Plan will remain in effect until terminated in accordance with its terms.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Equity Incentive Plan</w:t>
      </w:r>
    </w:p>
    <w:p>
      <w:pPr>
        <w:spacing w:after="0" w:line="126"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Our board of directors adopted our 2014 Equity Incentive Plan, or our 2014 Plan, on August 29, 2014 and our stockholders approved our 2014 Plan on March 3, 2015. Prior to the effectiveness of the registration statement of which this prospectus forms a part, our 2014 Plan will be terminated and we will not grant any additional awards under our 2014 Plan thereafter. However, our 2014 Plan will continue to govern the terms and conditions of the outstanding awards granted under our 2014 Plan prior to its termination.</w:t>
      </w:r>
    </w:p>
    <w:p>
      <w:pPr>
        <w:spacing w:after="0" w:line="205" w:lineRule="exact"/>
        <w:rPr>
          <w:sz w:val="20"/>
          <w:szCs w:val="20"/>
          <w:color w:val="auto"/>
        </w:rPr>
      </w:pPr>
    </w:p>
    <w:p>
      <w:pPr>
        <w:ind w:right="240" w:firstLine="576"/>
        <w:spacing w:after="0"/>
        <w:rPr>
          <w:sz w:val="20"/>
          <w:szCs w:val="20"/>
          <w:color w:val="auto"/>
        </w:rPr>
      </w:pPr>
      <w:r>
        <w:rPr>
          <w:rFonts w:ascii="Arial" w:cs="Arial" w:eastAsia="Arial" w:hAnsi="Arial"/>
          <w:sz w:val="18"/>
          <w:szCs w:val="18"/>
          <w:color w:val="auto"/>
        </w:rPr>
        <w:t>Our 2014 Plan allows for the grant of incentive stock options, within the meaning of Section 422 of the Code, nonstatutory stock options, stock appreciation rights, restricted stock awards and restricted stock units (each, an “award”) to eligible employees, directors and consultants.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122" w:lineRule="exact"/>
        <w:rPr>
          <w:sz w:val="20"/>
          <w:szCs w:val="20"/>
          <w:color w:val="auto"/>
        </w:rPr>
      </w:pPr>
    </w:p>
    <w:p>
      <w:pPr>
        <w:ind w:right="260" w:firstLine="576"/>
        <w:spacing w:after="0" w:line="246" w:lineRule="auto"/>
        <w:rPr>
          <w:sz w:val="20"/>
          <w:szCs w:val="20"/>
          <w:color w:val="auto"/>
        </w:rPr>
      </w:pPr>
      <w:r>
        <w:rPr>
          <w:rFonts w:ascii="Arial" w:cs="Arial" w:eastAsia="Arial" w:hAnsi="Arial"/>
          <w:sz w:val="18"/>
          <w:szCs w:val="18"/>
          <w:color w:val="auto"/>
        </w:rPr>
        <w:t>As of June 30, 2020, an aggregate of 28,895,000 shares of our common stock is reserved for issuance under our 2014 Plan. As of June 30, 2020, there were stock options covering 9,982,500 shares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69" w:name="page170"/>
    <w:bookmarkEnd w:id="169"/>
    <w:p>
      <w:pPr>
        <w:ind w:right="280"/>
        <w:spacing w:after="0" w:line="246" w:lineRule="auto"/>
        <w:rPr>
          <w:sz w:val="20"/>
          <w:szCs w:val="20"/>
          <w:color w:val="auto"/>
        </w:rPr>
      </w:pPr>
      <w:r>
        <w:rPr>
          <w:rFonts w:ascii="Arial" w:cs="Arial" w:eastAsia="Arial" w:hAnsi="Arial"/>
          <w:sz w:val="18"/>
          <w:szCs w:val="18"/>
          <w:color w:val="auto"/>
        </w:rPr>
        <w:t>of our common stock and restricted stock awards covering 100,000 shares of our common stock outstanding under our 2014 Plan, and no stock appreciation rights or restricted stock units outstanding under our 2014 Plan.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122"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Our board of directors or a committee thereof appointed by our board of directors administers the 2014 Plan. The administrator has authority and discretion to administer our 2014 Plan and to control its operation, including the authority to construe and interpret the terms of our 2014 Plan and the awards granted under it, determine the terms of awards, including the recipients, the number of shares subject to each award and the vesting schedule. The administrator may amend awards to reduce the exercise price of any outstanding options or stock appreciation rights, or provide that outstanding options or stock appreciation rights may be cancelled in exchange for awards of the same type (granted under the 2014 Plan or another equity plan of ours covering the same or different number of shares), restricted stock or restricted stock unit awards and/or cash or other consideration.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22"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Stock options have been granted under our 2014 Plan. The term of an option is stated in the applicable award agreement, but may not exceed 10 years from the grant date. The administrator determines the exercise price of options, which generally may not be less than 100% of the fair market value of our common stock on the grant date, except as provided for in the 2014 Plan. The administrator determines the method of payment of the exercise price as well as the period of time after a participant’s termination of service during which the participant may exercise his or her option, which generally must be at least 30 days (or at least six months in the event of the participant’s termination of service due to death or disability) following such termination of service. Vested options generally terminate immediately if a participant’s continuous service terminates due to “cause” (as defined in the 2014 Plan) unless the participant’s award agreement provides otherwise. In no event will an option remain exercisable beyond its original term. If a participant does not exercise his or her option within the time specified in the award agreement, the option will terminate.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22" w:lineRule="exact"/>
        <w:rPr>
          <w:sz w:val="20"/>
          <w:szCs w:val="20"/>
          <w:color w:val="auto"/>
        </w:rPr>
      </w:pPr>
    </w:p>
    <w:p>
      <w:pPr>
        <w:ind w:right="40" w:firstLine="576"/>
        <w:spacing w:after="0" w:line="234" w:lineRule="auto"/>
        <w:rPr>
          <w:sz w:val="20"/>
          <w:szCs w:val="20"/>
          <w:color w:val="auto"/>
        </w:rPr>
      </w:pPr>
      <w:r>
        <w:rPr>
          <w:rFonts w:ascii="Arial" w:cs="Arial" w:eastAsia="Arial" w:hAnsi="Arial"/>
          <w:sz w:val="18"/>
          <w:szCs w:val="18"/>
          <w:color w:val="auto"/>
        </w:rPr>
        <w:t>Restricted stock awards have been granted under our 2014 Plan. Restricted stock are shares of our common stock subject to transfer restrictions and a risk of forfeiture that lapses in accordance with a vesting schedule determined by the administrator and set forth in the applicable award agreement. Upon termination of the participant’s service, any shares that have not vested may be reacquired by the</w:t>
      </w:r>
    </w:p>
    <w:p>
      <w:pPr>
        <w:spacing w:after="0" w:line="2" w:lineRule="exact"/>
        <w:rPr>
          <w:sz w:val="20"/>
          <w:szCs w:val="20"/>
          <w:color w:val="auto"/>
        </w:rPr>
      </w:pPr>
    </w:p>
    <w:p>
      <w:pPr>
        <w:ind w:right="600"/>
        <w:spacing w:after="0"/>
        <w:rPr>
          <w:sz w:val="20"/>
          <w:szCs w:val="20"/>
          <w:color w:val="auto"/>
        </w:rPr>
      </w:pPr>
      <w:r>
        <w:rPr>
          <w:rFonts w:ascii="Arial" w:cs="Arial" w:eastAsia="Arial" w:hAnsi="Arial"/>
          <w:sz w:val="18"/>
          <w:szCs w:val="18"/>
          <w:color w:val="auto"/>
        </w:rPr>
        <w:t>us through a forfeiture condition or repurchase right. During any period of restriction, to the extent provided in an applicable award agreement, a participant holding shares of restricted stock will be entitled to receive all dividends provided that such dividends may be subject to any vesting restrictions applicable to the shares of restricted stock to which they relate.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Transferability of Awards</w:t>
      </w:r>
    </w:p>
    <w:p>
      <w:pPr>
        <w:spacing w:after="0" w:line="122" w:lineRule="exact"/>
        <w:rPr>
          <w:sz w:val="20"/>
          <w:szCs w:val="20"/>
          <w:color w:val="auto"/>
        </w:rPr>
      </w:pPr>
    </w:p>
    <w:p>
      <w:pPr>
        <w:ind w:right="200" w:firstLine="576"/>
        <w:spacing w:after="0" w:line="246" w:lineRule="auto"/>
        <w:rPr>
          <w:sz w:val="20"/>
          <w:szCs w:val="20"/>
          <w:color w:val="auto"/>
        </w:rPr>
      </w:pPr>
      <w:r>
        <w:rPr>
          <w:rFonts w:ascii="Arial" w:cs="Arial" w:eastAsia="Arial" w:hAnsi="Arial"/>
          <w:sz w:val="18"/>
          <w:szCs w:val="18"/>
          <w:color w:val="auto"/>
        </w:rPr>
        <w:t>Our 2014 Plan generally does not allow for the transfer of awards except by will or the laws of descent and distribution, and only the recipient of an award may exercise an option or stock appreciation right during his or her lifetime.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Adjustments</w:t>
      </w:r>
    </w:p>
    <w:p>
      <w:pPr>
        <w:spacing w:after="0" w:line="122"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In the event of certain changes in our capitalization, in order to prevent diminution or enlargement of the benefits or potential benefits intended to be made available under the 2014 Plan, the administrator will make proportionate adjustments to the number and class of shares that may be delivered under the 2014 Plan, the class and number of shares that may be issued on the exercise of incentive stock options, and the number, class and price of shares covered by each outstanding award. The administrator’s determination regarding such adjustments will be final, binding and conclusive.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i w:val="1"/>
          <w:iCs w:val="1"/>
          <w:color w:val="auto"/>
        </w:rPr>
        <w:t>Dissolution or Liquidation</w:t>
      </w:r>
    </w:p>
    <w:p>
      <w:pPr>
        <w:spacing w:after="0" w:line="122" w:lineRule="exact"/>
        <w:rPr>
          <w:sz w:val="20"/>
          <w:szCs w:val="20"/>
          <w:color w:val="auto"/>
        </w:rPr>
      </w:pPr>
    </w:p>
    <w:p>
      <w:pPr>
        <w:ind w:right="940" w:firstLine="576"/>
        <w:spacing w:after="0" w:line="246" w:lineRule="auto"/>
        <w:rPr>
          <w:sz w:val="20"/>
          <w:szCs w:val="20"/>
          <w:color w:val="auto"/>
        </w:rPr>
      </w:pPr>
      <w:r>
        <w:rPr>
          <w:rFonts w:ascii="Arial" w:cs="Arial" w:eastAsia="Arial" w:hAnsi="Arial"/>
          <w:sz w:val="18"/>
          <w:szCs w:val="18"/>
          <w:color w:val="auto"/>
        </w:rPr>
        <w:t>In the event of our dissolution or liquidation, all awards will terminate immediately prior to the completion of such proposed transaction.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Transactions</w:t>
      </w:r>
    </w:p>
    <w:p>
      <w:pPr>
        <w:spacing w:after="0" w:line="122"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Our 2014 Plan provides that in the event of our merger or other corporate transaction (as defined in our 2014 Plan) and except as otherwise provided in the award agreements, the administrator may provide that outstanding awards may be assumed or continued, substituted with equivalent awards, accelerated as to its vesting to a date prior to the corporate transaction and terminated if not exercised (if applicable), cancelled without consideration to the extent not vested or exercised, or cancelled in exchange for a payment equal to the value of property the participant would have received upon exercise of the award less the exercise price payable in connection with such exercise. The administrator need not take the same action with respect to all awards or with respect to all participants.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122" w:lineRule="exact"/>
        <w:rPr>
          <w:sz w:val="20"/>
          <w:szCs w:val="20"/>
          <w:color w:val="auto"/>
        </w:rPr>
      </w:pPr>
    </w:p>
    <w:p>
      <w:pPr>
        <w:ind w:right="220" w:firstLine="576"/>
        <w:spacing w:after="0" w:line="238" w:lineRule="auto"/>
        <w:rPr>
          <w:sz w:val="20"/>
          <w:szCs w:val="20"/>
          <w:color w:val="auto"/>
        </w:rPr>
      </w:pPr>
      <w:r>
        <w:rPr>
          <w:rFonts w:ascii="Arial" w:cs="Arial" w:eastAsia="Arial" w:hAnsi="Arial"/>
          <w:sz w:val="18"/>
          <w:szCs w:val="18"/>
          <w:color w:val="auto"/>
        </w:rPr>
        <w:t>Our board of directors has the authority to amend, suspend or terminate our 2014 Plan at any time. No amendment, suspension or termination of our 2014 Plan will impair the rights of a participant, unless mutually agreed otherwise between the participant and the administrator in writing. As noted above, it is expected that prior to the effectiveness of the registration statement of which this prospectus forms a part, our 2014 Plan will be terminated, and we will not grant any additional awards under our 2014 Plan thereafter.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Prior to the completion of this offering, our board of directors intends to adopt, and we expect our stockholders will approve, our 2020 Equity Incentive Plan, or, the 2020 Plan. We expect that the 2020 Plan will be effective on the business day immediately prior to the effective date of our registration statement of which this prospectus forms a part. Our 2020 Plan will provide for the grant of incentive stock options, within the meaning of Section 422 of the Internal Revenue Code of 1986, as amended (or, the Code), to our employees and any of our parent or subsidiary corporations’ employees, and for the grant of nonstatutory stock options, restricted stock, restricted stock units, stock appreciation rights, and performance awards to our employees, directors and consultants and any of our parent or subsidiary corporations’ employees and consultants.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number of shares of our common stock which will be reserved for issuance pursuant to our 2020 Plan will be equal to the greater</w:t>
      </w:r>
    </w:p>
    <w:p>
      <w:pPr>
        <w:spacing w:after="0"/>
        <w:tabs>
          <w:tab w:leader="none" w:pos="1000" w:val="left"/>
          <w:tab w:leader="none" w:pos="7620" w:val="left"/>
          <w:tab w:leader="none" w:pos="8540" w:val="left"/>
        </w:tabs>
        <w:rPr>
          <w:sz w:val="20"/>
          <w:szCs w:val="20"/>
          <w:color w:val="auto"/>
        </w:rPr>
      </w:pPr>
      <w:r>
        <w:rPr>
          <w:rFonts w:ascii="Arial" w:cs="Arial" w:eastAsia="Arial" w:hAnsi="Arial"/>
          <w:sz w:val="18"/>
          <w:szCs w:val="18"/>
          <w:color w:val="auto"/>
        </w:rPr>
        <w:t>of (1)</w:t>
      </w:r>
      <w:r>
        <w:rPr>
          <w:sz w:val="20"/>
          <w:szCs w:val="20"/>
          <w:color w:val="auto"/>
        </w:rPr>
        <w:tab/>
      </w:r>
      <w:r>
        <w:rPr>
          <w:rFonts w:ascii="Arial" w:cs="Arial" w:eastAsia="Arial" w:hAnsi="Arial"/>
          <w:sz w:val="18"/>
          <w:szCs w:val="18"/>
          <w:color w:val="auto"/>
        </w:rPr>
        <w:t>shares of common stock (determined on a pre-reverse stock split basis) and (2)</w:t>
      </w:r>
      <w:r>
        <w:rPr>
          <w:sz w:val="20"/>
          <w:szCs w:val="20"/>
          <w:color w:val="auto"/>
        </w:rPr>
        <w:tab/>
      </w:r>
      <w:r>
        <w:rPr>
          <w:rFonts w:ascii="Arial" w:cs="Arial" w:eastAsia="Arial" w:hAnsi="Arial"/>
          <w:sz w:val="18"/>
          <w:szCs w:val="18"/>
          <w:color w:val="auto"/>
        </w:rPr>
        <w:t>percent (</w:t>
      </w:r>
      <w:r>
        <w:rPr>
          <w:sz w:val="20"/>
          <w:szCs w:val="20"/>
          <w:color w:val="auto"/>
        </w:rPr>
        <w:tab/>
      </w:r>
      <w:r>
        <w:rPr>
          <w:rFonts w:ascii="Arial" w:cs="Arial" w:eastAsia="Arial" w:hAnsi="Arial"/>
          <w:sz w:val="17"/>
          <w:szCs w:val="17"/>
          <w:color w:val="auto"/>
        </w:rPr>
        <w:t>%) of the total number of shares</w:t>
      </w:r>
    </w:p>
    <w:p>
      <w:pPr>
        <w:spacing w:after="0" w:line="235" w:lineRule="auto"/>
        <w:rPr>
          <w:sz w:val="20"/>
          <w:szCs w:val="20"/>
          <w:color w:val="auto"/>
        </w:rPr>
      </w:pPr>
      <w:r>
        <w:rPr>
          <w:rFonts w:ascii="Arial" w:cs="Arial" w:eastAsia="Arial" w:hAnsi="Arial"/>
          <w:sz w:val="18"/>
          <w:szCs w:val="18"/>
          <w:color w:val="auto"/>
        </w:rPr>
        <w:t>to be issued and outstanding immediately after the closing of this offering, assuming the that the underwriters’ option to purchase additional</w:t>
      </w:r>
    </w:p>
    <w:p>
      <w:pPr>
        <w:spacing w:after="0" w:line="235" w:lineRule="auto"/>
        <w:rPr>
          <w:sz w:val="20"/>
          <w:szCs w:val="20"/>
          <w:color w:val="auto"/>
        </w:rPr>
      </w:pPr>
      <w:r>
        <w:rPr>
          <w:rFonts w:ascii="Arial" w:cs="Arial" w:eastAsia="Arial" w:hAnsi="Arial"/>
          <w:sz w:val="18"/>
          <w:szCs w:val="18"/>
          <w:color w:val="auto"/>
        </w:rPr>
        <w:t>shares is exercised in full (the Initial Shares) (determined on a post-reverse stock split basis), provided that the number of Initial Shares may</w:t>
      </w:r>
    </w:p>
    <w:p>
      <w:pPr>
        <w:jc w:val="both"/>
        <w:ind w:right="120"/>
        <w:spacing w:after="0" w:line="234" w:lineRule="auto"/>
        <w:rPr>
          <w:sz w:val="20"/>
          <w:szCs w:val="20"/>
          <w:color w:val="auto"/>
        </w:rPr>
      </w:pPr>
      <w:r>
        <w:rPr>
          <w:rFonts w:ascii="Arial" w:cs="Arial" w:eastAsia="Arial" w:hAnsi="Arial"/>
          <w:sz w:val="18"/>
          <w:szCs w:val="18"/>
          <w:color w:val="auto"/>
        </w:rPr>
        <w:t>not exceed shares (determined on a pre-reverse stock split basis). In addition, the shares reserved for issuance under our 2020 Plan will include shares of our common stock subject to awards granted under our 2014 Plan that, after the date the 2014 Plan is terminated, are terminated, cancelled, expire, or otherwise terminate without having been exercised in full or are forfeited to or repurchased by us, provided</w:t>
      </w:r>
    </w:p>
    <w:p>
      <w:pPr>
        <w:spacing w:after="0" w:line="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that the maximum number of shares that may be added to the 2020 Plan pursuant to this sentence is shares. The number of shares available for issuance under our 2020 Plan also will include an annual increase on the first day of each of our fiscal years for a period of ten years, beginning with our fiscal year 2021, equal to the least of:</w:t>
      </w:r>
    </w:p>
    <w:p>
      <w:pPr>
        <w:spacing w:after="0" w:line="95" w:lineRule="exact"/>
        <w:rPr>
          <w:sz w:val="20"/>
          <w:szCs w:val="20"/>
          <w:color w:val="auto"/>
        </w:rPr>
      </w:pPr>
    </w:p>
    <w:p>
      <w:pPr>
        <w:ind w:left="1840" w:hanging="982"/>
        <w:spacing w:after="0"/>
        <w:tabs>
          <w:tab w:leader="none" w:pos="18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shares;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171" w:name="page172"/>
    <w:bookmarkEnd w:id="171"/>
    <w:p>
      <w:pPr>
        <w:ind w:left="1300" w:right="380" w:hanging="442"/>
        <w:spacing w:after="0" w:line="246" w:lineRule="auto"/>
        <w:tabs>
          <w:tab w:leader="none" w:pos="1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percent ( %) of the outstanding shares of all classes of our common stock as of the last day of the immediately preceding fiscal year; and</w:t>
      </w:r>
    </w:p>
    <w:p>
      <w:pPr>
        <w:spacing w:after="0" w:line="88"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such number of shares as our board of directors may determine no later than the last day of our immediately preceding fiscal year.</w:t>
      </w:r>
    </w:p>
    <w:p>
      <w:pPr>
        <w:spacing w:after="0" w:line="197"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Shares issuable under our 2020 Plan will be authorized, but unissued, or reacquired shares of our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2020 Plan. With respect to stock appreciation rights, only the net shares actually issued will cease to be available under the 2020 Plan and all remaining shares under stock appreciation rights will remain available for future grant or sale under the 2020 Plan. Shares that have actually been issued under the 2020 Plan under any award will not be returned to the 2020 Plan; except if shares issued pursuant to awards of restricted stock, restricted stock units, or performance awards are repurchased or forfeited, such shares will become available for future grant under the 2020 Plan. Shares used to pay the exercise price of an award or satisfy the tax liabilities or withholding obligations related to an award will become available for future grant or sale under the 2020 Plan. To the extent an award is paid out in cash rather than shares, such cash payment will not result in a reduction in the number of shares available for issuance under the 2020 Plan.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122"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Our board of directors or one or more committees appointed by our board of directors will have authority to administer our 2020 Plan. We expect that the compensation committee of our board of directors initially will administer our 2020 Plan. In addition, if we determine it is desirable to qualify transactions under our 2020 Plan as exempt under Rule 16b-3 of the Exchange Act, such transactions will be structured to satisfy the requirements for exemption under Rule 16b-3. Subject to the provisions of our 2020 Plan, the administrator has the power to administer our 2020 Plan and make all determinations deemed necessary or advisable for administering the 2020 Plan, including but not limited to, the power to determine the fair market value of our common stock, select the service providers to whom awards may be granted, determine the number of shares covered by each award, approve forms of award agreements for use under the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2020 Plan and awards granted under it, prescribe, amend and rescind rules relating to our 2020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2020 Plan to a financial institution or other person or entity selected by the administrator, and to institute an exchange program by which outstanding awards granted under the 2020 Plan may be surrendered or cancelled in exchange for awards of the same type, which may have a higher or lower exercise price and/or different terms, awards of a different type and/or cash, or by which the exercise price of an outstanding award granted under the 2020 Plan is increased or reduced. The administrator’s decisions, interpretations and other actions are final and binding on all participants and will be given the maximum deference permitted by applicable law.</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i w:val="1"/>
          <w:iCs w:val="1"/>
          <w:color w:val="auto"/>
        </w:rPr>
        <w:t>Stock Options</w:t>
      </w:r>
    </w:p>
    <w:p>
      <w:pPr>
        <w:spacing w:after="0" w:line="122"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Stock options may be granted under our 2020 Plan. The exercise price of options granted under our 2020 Plan must be equal to at least 100% of the fair market value of a share of our common stock on the date of grant.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 years and the per share exercise price must equal at least 110% of the fair market value of a share of our common stock on the grant date. The administrator may grant incentive stock options under the 2020 Plan for a period of ten years from the earlier of the date our board of directors approves the 2020 Plan or the date that our stockholders approve the 2020 Plan. The administrator will determine the methods of payment of the exercise price of an option, which may include cash, certain shares, cashless exercise, net exercise,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three months following the termination of service. An option, however, may not be exercised later than the expiration of its term. Subject to the provisions of our 2020 Plan, the administrator determines the terms of options.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22"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Stock appreciation rights may be granted under our 2020 Plan. Stock appreciation rights allow the recipient to receive the appreciation in the fair market value of our common stock between the exercise date and the date of grant. The term of a stock appreciation right may not exceed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2020 Plan, the administrator determines the terms of stock appreciation rights, including when such rights become exercisable and whether to pay any increased appreciation in cash or with shares of our common stock, or a combination thereof, except that the per-share exercise price for the shares to be issued pursuant to the exercise of a stock appreciation right will be no less than 100% of the fair market value per share on the date of grant.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22"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Restricted stock may be granted under our 2020 Plan. Restricted stock awards are grants of shares of our common stock that may vest in accordance with terms and conditions established by the administrator. The administrator will determine the number of shares of restricted stock granted to any employee, director or consultant and, subject to the provisions of our 2020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and the administrator, in its sole discretion, may accelerate the time at which any restrictions will lapse or be removed. Recipients of restricted stock awards generally will have voting and dividend rights with respect to such shares upon grant, unless the administrator provides otherwise. Shares of restricted stock that do not vest are subject to our right of repurchase or forfeiture.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22" w:lineRule="exact"/>
        <w:rPr>
          <w:sz w:val="20"/>
          <w:szCs w:val="20"/>
          <w:color w:val="auto"/>
        </w:rPr>
      </w:pPr>
    </w:p>
    <w:p>
      <w:pPr>
        <w:ind w:firstLine="576"/>
        <w:spacing w:after="0" w:line="261" w:lineRule="auto"/>
        <w:rPr>
          <w:sz w:val="20"/>
          <w:szCs w:val="20"/>
          <w:color w:val="auto"/>
        </w:rPr>
      </w:pPr>
      <w:r>
        <w:rPr>
          <w:rFonts w:ascii="Arial" w:cs="Arial" w:eastAsia="Arial" w:hAnsi="Arial"/>
          <w:sz w:val="17"/>
          <w:szCs w:val="17"/>
          <w:color w:val="auto"/>
        </w:rPr>
        <w:t>Restricted stock units may be granted under our 2020 Plan. Restricted stock units are bookkeeping entries representing an amount equal to the fair market value of one share of our common stock. Subject to the provisions of our 2020 Plan, the administrator determines the terms and conditions of restricted stock units, including any vesting criteria and the form and timing of payment. The administrator may set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173" w:name="page174"/>
    <w:bookmarkEnd w:id="173"/>
    <w:p>
      <w:pPr>
        <w:ind w:right="80"/>
        <w:spacing w:after="0" w:line="238" w:lineRule="auto"/>
        <w:rPr>
          <w:sz w:val="20"/>
          <w:szCs w:val="20"/>
          <w:color w:val="auto"/>
        </w:rPr>
      </w:pPr>
      <w:r>
        <w:rPr>
          <w:rFonts w:ascii="Arial" w:cs="Arial" w:eastAsia="Arial" w:hAnsi="Arial"/>
          <w:sz w:val="18"/>
          <w:szCs w:val="18"/>
          <w:color w:val="auto"/>
        </w:rPr>
        <w:t>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Awards</w:t>
      </w:r>
    </w:p>
    <w:p>
      <w:pPr>
        <w:spacing w:after="0" w:line="122"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Performance awards may be granted under the 2020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2020 Plan, the administrator determines the terms and conditions of performance awards,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Outside Directors</w:t>
      </w:r>
    </w:p>
    <w:p>
      <w:pPr>
        <w:spacing w:after="0" w:line="122"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All outside (non-employee) directors will be eligible to receive all types of awards (except for incentive stock options) under our 2020 Plan. Prior to the completion of this offering, we intend to implement a formal Outside Director Compensation Policy pursuant to which our outside directors will be eligible to receive equity awards under our 2020 Plan. Our 2020 Plan will provide that in any given fiscal year, no outside director may be granted awards (the value of which will be based on their grant date fair value) under our 2020 Plan and be provided any other compensation (including without limitation any cash retainers and fees) that in the aggregate exceed $500,000, provided that in the fiscal year of the individual’s initial service as an outside director, such amount is increased to $750,000. The grant-date fair values of awards granted under our 2020 Plan will be determined according to U.S. Generally Accepted Accounting Principles. Any awards or other compensation provided to an individual for his or her services as an employee or a consultant (other than an outside director), or prior to the effective date of the registration statement of which this prospectus forms a part, will not count toward this limit. This maximum limit provision does not reflect the intended size of any potential grants or a commitment to make grants to our outside directors under our 2020 Plan in the future.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 of Awards</w:t>
      </w:r>
    </w:p>
    <w:p>
      <w:pPr>
        <w:spacing w:after="0" w:line="122"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Unless the administrator provides otherwise, our 2020 Plan generally does not allow for the transfer of awards other than by will or the laws of descent and distribution, and only the recipient of an award may exercise an award during his or her lifetime. If the administrator makes an award transferrable, such award will contain such additional terms and conditions as the administrator deems appropriate.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Adjustments</w:t>
      </w:r>
    </w:p>
    <w:p>
      <w:pPr>
        <w:spacing w:after="0" w:line="122"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In the event of certain changes in our capitalization, such as a dividend or other distribution, recapitalization, stock split, reverse stock split, reorganization, merger, consolidation, split-up, spin-off, combination, reclassification, repurchase or exchange of our shares or other securities or other change in our corporate structure affecting our shares (other than ordinary dividends or other ordinary distributions), to prevent diminution or enlargement of the benefits or potential benefits available under our 2020 Plan, the administrator will adjust the number and class of shares that may be delivered under our 2020 Plan and/or the number, class and price of shares covered by each outstanding award and any numerical share limits set forth in our 2020 Plan.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i w:val="1"/>
          <w:iCs w:val="1"/>
          <w:color w:val="auto"/>
        </w:rPr>
        <w:t>Dissolution or Liquidation</w:t>
      </w:r>
    </w:p>
    <w:p>
      <w:pPr>
        <w:spacing w:after="0" w:line="122" w:lineRule="exact"/>
        <w:rPr>
          <w:sz w:val="20"/>
          <w:szCs w:val="20"/>
          <w:color w:val="auto"/>
        </w:rPr>
      </w:pPr>
    </w:p>
    <w:p>
      <w:pPr>
        <w:ind w:right="200" w:firstLine="576"/>
        <w:spacing w:after="0" w:line="246" w:lineRule="auto"/>
        <w:rPr>
          <w:sz w:val="20"/>
          <w:szCs w:val="20"/>
          <w:color w:val="auto"/>
        </w:rPr>
      </w:pPr>
      <w:r>
        <w:rPr>
          <w:rFonts w:ascii="Arial" w:cs="Arial" w:eastAsia="Arial" w:hAnsi="Arial"/>
          <w:sz w:val="18"/>
          <w:szCs w:val="18"/>
          <w:color w:val="auto"/>
        </w:rPr>
        <w:t>In the event of our proposed liquidation or dissolution, the administrator will notify participants as soon as practicable and all awards will terminate immediately prior to the consummation of such proposed transaction.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or Change in Control</w:t>
      </w:r>
    </w:p>
    <w:p>
      <w:pPr>
        <w:spacing w:after="0" w:line="122"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Our 2020 Plan provides that in the event of our merger or change in control, as defined in our 2020 Plan, each outstanding award will be treated as the administrator determines, without a participant’s consent. The administrator may provide that awards granted under the 2020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205"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prior to the transaction, unless specifically provided otherwise under the applicable award agreement or other written agreement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207"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If an outside director’s awards are assumed or substituted for in our merger or change in control and the service of such outside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with the outside director.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w:t>
      </w:r>
    </w:p>
    <w:p>
      <w:pPr>
        <w:spacing w:after="0" w:line="122"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Awards are subject to any clawback policy of ours, which we may establish and/or amend from time to time to comply with applicable laws. The administrator also may specify in an award agreement that the participant’s rights, payments and benefits with respect to an award will be subject to reduction, cancellation, forfeiture or recoupment upon the occurrence of certain specified events. Our board of directors may require a participant to forfeit, return or reimburse us all or a portion of the award and any amounts paid under the award in order to comply with any clawback policy of ours or applicable laws.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Termination</w:t>
      </w:r>
    </w:p>
    <w:p>
      <w:pPr>
        <w:spacing w:after="0" w:line="122" w:lineRule="exact"/>
        <w:rPr>
          <w:sz w:val="20"/>
          <w:szCs w:val="20"/>
          <w:color w:val="auto"/>
        </w:rPr>
      </w:pPr>
    </w:p>
    <w:p>
      <w:pPr>
        <w:ind w:right="260" w:firstLine="576"/>
        <w:spacing w:after="0"/>
        <w:rPr>
          <w:sz w:val="20"/>
          <w:szCs w:val="20"/>
          <w:color w:val="auto"/>
        </w:rPr>
      </w:pPr>
      <w:r>
        <w:rPr>
          <w:rFonts w:ascii="Arial" w:cs="Arial" w:eastAsia="Arial" w:hAnsi="Arial"/>
          <w:sz w:val="18"/>
          <w:szCs w:val="18"/>
          <w:color w:val="auto"/>
        </w:rPr>
        <w:t>The administrator has the authority to amend, suspend or terminate our 2020 Plan, provided such action does not materially impair the rights of any participant unless mutually agreed otherwise. Our 2020 Plan will remain in effect until terminated in accordance with its terms.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26" w:lineRule="exact"/>
        <w:rPr>
          <w:sz w:val="20"/>
          <w:szCs w:val="20"/>
          <w:color w:val="auto"/>
        </w:rPr>
      </w:pPr>
    </w:p>
    <w:p>
      <w:pPr>
        <w:ind w:right="440" w:firstLine="576"/>
        <w:spacing w:after="0" w:line="246" w:lineRule="auto"/>
        <w:rPr>
          <w:sz w:val="20"/>
          <w:szCs w:val="20"/>
          <w:color w:val="auto"/>
        </w:rPr>
      </w:pPr>
      <w:r>
        <w:rPr>
          <w:rFonts w:ascii="Arial" w:cs="Arial" w:eastAsia="Arial" w:hAnsi="Arial"/>
          <w:sz w:val="18"/>
          <w:szCs w:val="18"/>
          <w:color w:val="auto"/>
        </w:rPr>
        <w:t>Prior to the completion of this offering, we expect that our board of directors will adopt, and our stockholders will approve, a 2020 Employee Stock Purchase Plan, or the ESPP. Our ESPP will be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5" w:name="page176"/>
    <w:bookmarkEnd w:id="175"/>
    <w:p>
      <w:pPr>
        <w:ind w:right="160"/>
        <w:spacing w:after="0" w:line="246" w:lineRule="auto"/>
        <w:rPr>
          <w:sz w:val="20"/>
          <w:szCs w:val="20"/>
          <w:color w:val="auto"/>
        </w:rPr>
      </w:pPr>
      <w:r>
        <w:rPr>
          <w:rFonts w:ascii="Arial" w:cs="Arial" w:eastAsia="Arial" w:hAnsi="Arial"/>
          <w:sz w:val="18"/>
          <w:szCs w:val="18"/>
          <w:color w:val="auto"/>
        </w:rPr>
        <w:t>effective upon the later of its adoption by our board of directors or one business day immediately before the effective date of the registration statement of which this prospectus forms a part.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122" w:lineRule="exact"/>
        <w:rPr>
          <w:sz w:val="20"/>
          <w:szCs w:val="20"/>
          <w:color w:val="auto"/>
        </w:rPr>
      </w:pPr>
    </w:p>
    <w:p>
      <w:pPr>
        <w:ind w:right="40" w:firstLine="576"/>
        <w:spacing w:after="0" w:line="234" w:lineRule="auto"/>
        <w:rPr>
          <w:sz w:val="20"/>
          <w:szCs w:val="20"/>
          <w:color w:val="auto"/>
        </w:rPr>
      </w:pPr>
      <w:r>
        <w:rPr>
          <w:rFonts w:ascii="Arial" w:cs="Arial" w:eastAsia="Arial" w:hAnsi="Arial"/>
          <w:sz w:val="18"/>
          <w:szCs w:val="18"/>
          <w:color w:val="auto"/>
        </w:rPr>
        <w:t>The maximum number of shares of our common stock that will be available for issuance under our ESPP will be equal to the greater of shares of our common stock (determined on a pre-reverse stock split basis) or one percent (1%) of the total number of shares of our</w:t>
      </w:r>
    </w:p>
    <w:p>
      <w:pPr>
        <w:spacing w:after="0" w:line="1" w:lineRule="exact"/>
        <w:rPr>
          <w:sz w:val="20"/>
          <w:szCs w:val="20"/>
          <w:color w:val="auto"/>
        </w:rPr>
      </w:pPr>
    </w:p>
    <w:p>
      <w:pPr>
        <w:ind w:right="260"/>
        <w:spacing w:after="0" w:line="248" w:lineRule="auto"/>
        <w:rPr>
          <w:sz w:val="20"/>
          <w:szCs w:val="20"/>
          <w:color w:val="auto"/>
        </w:rPr>
      </w:pPr>
      <w:r>
        <w:rPr>
          <w:rFonts w:ascii="Arial" w:cs="Arial" w:eastAsia="Arial" w:hAnsi="Arial"/>
          <w:sz w:val="17"/>
          <w:szCs w:val="17"/>
          <w:color w:val="auto"/>
        </w:rPr>
        <w:t>common stock to be issued and outstanding immediately after the closing of this offering assuming the underwriters’ option to purchase additional shares is exercised in full (or the Initial ESPP Shares) (determined on a post-reverse stock split basis), provided that in no event</w:t>
      </w:r>
    </w:p>
    <w:p>
      <w:pPr>
        <w:spacing w:after="0" w:line="1"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will the Initial ESPP Shares exceed shares. In addition, our ESPP will provide for annual increases in the number of shares of our common stock available for issuance under our ESPP on the first day of each of our fiscal years beginning with our fiscal year 2021, in an amount equal to the least of:</w:t>
      </w:r>
    </w:p>
    <w:p>
      <w:pPr>
        <w:spacing w:after="0" w:line="95" w:lineRule="exact"/>
        <w:rPr>
          <w:sz w:val="20"/>
          <w:szCs w:val="20"/>
          <w:color w:val="auto"/>
        </w:rPr>
      </w:pPr>
    </w:p>
    <w:p>
      <w:pPr>
        <w:ind w:left="1900" w:hanging="1042"/>
        <w:spacing w:after="0"/>
        <w:tabs>
          <w:tab w:leader="none" w:pos="1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shares;</w:t>
      </w:r>
    </w:p>
    <w:p>
      <w:pPr>
        <w:spacing w:after="0" w:line="117" w:lineRule="exact"/>
        <w:rPr>
          <w:rFonts w:ascii="Arial" w:cs="Arial" w:eastAsia="Arial" w:hAnsi="Arial"/>
          <w:sz w:val="18"/>
          <w:szCs w:val="18"/>
          <w:color w:val="auto"/>
        </w:rPr>
      </w:pPr>
    </w:p>
    <w:p>
      <w:pPr>
        <w:ind w:left="1300" w:right="120" w:hanging="442"/>
        <w:spacing w:after="0" w:line="246" w:lineRule="auto"/>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one percent (1%) of the outstanding shares of all classes of our common stock on the last day of our immediately preceding fiscal year; and</w:t>
      </w:r>
    </w:p>
    <w:p>
      <w:pPr>
        <w:spacing w:after="0" w:line="88" w:lineRule="exact"/>
        <w:rPr>
          <w:rFonts w:ascii="Arial" w:cs="Arial" w:eastAsia="Arial" w:hAnsi="Arial"/>
          <w:sz w:val="18"/>
          <w:szCs w:val="18"/>
          <w:color w:val="auto"/>
        </w:rPr>
      </w:pPr>
    </w:p>
    <w:p>
      <w:pPr>
        <w:ind w:left="1300" w:right="440" w:hanging="442"/>
        <w:spacing w:after="0" w:line="246" w:lineRule="auto"/>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such other number of shares as our board of directors may determine as of no later than the last day of our immediately preceding fiscal year.</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Shares issuable under the ESPP will be authorized, but unissued, or reacquired shares of our common stock.</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122" w:lineRule="exact"/>
        <w:rPr>
          <w:sz w:val="20"/>
          <w:szCs w:val="20"/>
          <w:color w:val="auto"/>
        </w:rPr>
      </w:pPr>
    </w:p>
    <w:p>
      <w:pPr>
        <w:ind w:right="160" w:firstLine="576"/>
        <w:spacing w:after="0" w:line="204" w:lineRule="exact"/>
        <w:rPr>
          <w:sz w:val="20"/>
          <w:szCs w:val="20"/>
          <w:color w:val="auto"/>
        </w:rPr>
      </w:pPr>
      <w:r>
        <w:rPr>
          <w:rFonts w:ascii="Arial" w:cs="Arial" w:eastAsia="Arial" w:hAnsi="Arial"/>
          <w:sz w:val="18"/>
          <w:szCs w:val="18"/>
          <w:color w:val="auto"/>
        </w:rPr>
        <w:t>Our board of directors or a committee appointed by our board of directors may administer the ESPP. We anticipate that our compensation committee will administer our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w:t>
      </w:r>
      <w:r>
        <w:rPr>
          <w:rFonts w:ascii="MS PGothic" w:cs="MS PGothic" w:eastAsia="MS PGothic" w:hAnsi="MS PGothic"/>
          <w:sz w:val="18"/>
          <w:szCs w:val="18"/>
          <w:color w:val="auto"/>
        </w:rPr>
        <w:t>‑</w:t>
      </w:r>
      <w:r>
        <w:rPr>
          <w:rFonts w:ascii="Arial" w:cs="Arial" w:eastAsia="Arial" w:hAnsi="Arial"/>
          <w:sz w:val="18"/>
          <w:szCs w:val="18"/>
          <w:color w:val="auto"/>
        </w:rPr>
        <w:t>U.S. nationals or employed outside the U.S. The administrator’s findings, decisions, and determinations are final and binding on all participants to the maximum extent permitted by law.</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122" w:lineRule="exact"/>
        <w:rPr>
          <w:sz w:val="20"/>
          <w:szCs w:val="20"/>
          <w:color w:val="auto"/>
        </w:rPr>
      </w:pPr>
    </w:p>
    <w:p>
      <w:pPr>
        <w:ind w:right="120" w:firstLine="576"/>
        <w:spacing w:after="0" w:line="234" w:lineRule="auto"/>
        <w:rPr>
          <w:sz w:val="20"/>
          <w:szCs w:val="20"/>
          <w:color w:val="auto"/>
        </w:rPr>
      </w:pPr>
      <w:r>
        <w:rPr>
          <w:rFonts w:ascii="Arial" w:cs="Arial" w:eastAsia="Arial" w:hAnsi="Arial"/>
          <w:sz w:val="18"/>
          <w:szCs w:val="18"/>
          <w:color w:val="auto"/>
        </w:rPr>
        <w:t>Generally, any of our employees are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 (1) has not completed at least two years of service (or a lesser period of time determined by the administrator) since the employee’s last hire date,</w:t>
      </w:r>
    </w:p>
    <w:p>
      <w:pPr>
        <w:spacing w:after="0" w:line="3" w:lineRule="exact"/>
        <w:rPr>
          <w:sz w:val="20"/>
          <w:szCs w:val="20"/>
          <w:color w:val="auto"/>
        </w:rPr>
      </w:pPr>
    </w:p>
    <w:p>
      <w:pPr>
        <w:ind w:firstLine="8"/>
        <w:spacing w:after="0" w:line="236" w:lineRule="auto"/>
        <w:tabs>
          <w:tab w:leader="none" w:pos="27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customarily works not more than 20 hours per week (or a lesser period of time determined by the administrator), (3) customarily works not more than five months per calendar year (or a lesser period of time determined by the administrator), (4) is a highly compensated employee within the meaning of Code Section 414(q), or (5) is a highly compensated employee within the meaning of Code Section 414(q) with compensation above a certain level or who is an officer or subject to disclosure requirements under Section 16(a) of the Exchange Act, is or is not eligible to participate in an offering. However, an employee may not be granted an option to purchase stock under our ESPP if the employee (1) immediately after the grant, would own stock and/or hold outstanding options to purchase such stock possessing 5% or more of the total combined voting power or value of all classes of our (or any of our parent’s or subsidiary’s) capital stock, or (2) holds rights to purchase stock under all of our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t>employee stock purchase plans that accrue at a rate that exceeds $25,000 worth of stock for each calendar year.</w:t>
      </w:r>
    </w:p>
    <w:p>
      <w:pPr>
        <w:spacing w:after="0" w:line="212" w:lineRule="exact"/>
        <w:rPr>
          <w:sz w:val="20"/>
          <w:szCs w:val="20"/>
          <w:color w:val="auto"/>
        </w:rPr>
      </w:pPr>
    </w:p>
    <w:p>
      <w:pPr>
        <w:ind w:right="60" w:firstLine="576"/>
        <w:spacing w:after="0" w:line="246" w:lineRule="auto"/>
        <w:rPr>
          <w:sz w:val="20"/>
          <w:szCs w:val="20"/>
          <w:color w:val="auto"/>
        </w:rPr>
      </w:pPr>
      <w:r>
        <w:rPr>
          <w:rFonts w:ascii="Arial" w:cs="Arial" w:eastAsia="Arial" w:hAnsi="Arial"/>
          <w:sz w:val="18"/>
          <w:szCs w:val="18"/>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Offering Periods and Purchase Periods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ESPP includes a component, or the 423 Component, that is intended to qualify as an “employee stock purchase plan” under</w:t>
      </w:r>
    </w:p>
    <w:p>
      <w:pPr>
        <w:spacing w:after="0" w:line="202" w:lineRule="exact"/>
        <w:rPr>
          <w:sz w:val="20"/>
          <w:szCs w:val="20"/>
          <w:color w:val="auto"/>
        </w:rPr>
      </w:pPr>
      <w:r>
        <w:rPr>
          <w:rFonts w:ascii="Arial" w:cs="Arial" w:eastAsia="Arial" w:hAnsi="Arial"/>
          <w:sz w:val="18"/>
          <w:szCs w:val="18"/>
          <w:color w:val="auto"/>
        </w:rPr>
        <w:t>Code Section 423, and a component that does not comply with Code Section 423, or the Non</w:t>
      </w:r>
      <w:r>
        <w:rPr>
          <w:rFonts w:ascii="MS PGothic" w:cs="MS PGothic" w:eastAsia="MS PGothic" w:hAnsi="MS PGothic"/>
          <w:sz w:val="18"/>
          <w:szCs w:val="18"/>
          <w:color w:val="auto"/>
        </w:rPr>
        <w:t>‑</w:t>
      </w:r>
      <w:r>
        <w:rPr>
          <w:rFonts w:ascii="Arial" w:cs="Arial" w:eastAsia="Arial" w:hAnsi="Arial"/>
          <w:sz w:val="18"/>
          <w:szCs w:val="18"/>
          <w:color w:val="auto"/>
        </w:rPr>
        <w:t>423 Component. For purposes of this</w:t>
      </w:r>
    </w:p>
    <w:p>
      <w:pPr>
        <w:spacing w:after="0" w:line="235" w:lineRule="auto"/>
        <w:rPr>
          <w:sz w:val="20"/>
          <w:szCs w:val="20"/>
          <w:color w:val="auto"/>
        </w:rPr>
      </w:pPr>
      <w:r>
        <w:rPr>
          <w:rFonts w:ascii="Arial" w:cs="Arial" w:eastAsia="Arial" w:hAnsi="Arial"/>
          <w:sz w:val="18"/>
          <w:szCs w:val="18"/>
          <w:color w:val="auto"/>
        </w:rPr>
        <w:t>summary, a reference to our ESPP generally will mean the terms and operations of the 423 Component. Our ESPP will provide for</w:t>
      </w:r>
    </w:p>
    <w:p>
      <w:pPr>
        <w:spacing w:after="0" w:line="235" w:lineRule="auto"/>
        <w:rPr>
          <w:sz w:val="20"/>
          <w:szCs w:val="20"/>
          <w:color w:val="auto"/>
        </w:rPr>
      </w:pPr>
      <w:r>
        <w:rPr>
          <w:rFonts w:ascii="Arial" w:cs="Arial" w:eastAsia="Arial" w:hAnsi="Arial"/>
          <w:sz w:val="18"/>
          <w:szCs w:val="18"/>
          <w:color w:val="auto"/>
        </w:rPr>
        <w:t>consecutive six-month offering periods. Each offering period will have one purchase period with the same duration as the offering</w:t>
      </w:r>
    </w:p>
    <w:p>
      <w:pPr>
        <w:spacing w:after="0" w:line="235" w:lineRule="auto"/>
        <w:rPr>
          <w:sz w:val="20"/>
          <w:szCs w:val="20"/>
          <w:color w:val="auto"/>
        </w:rPr>
      </w:pPr>
      <w:r>
        <w:rPr>
          <w:rFonts w:ascii="Arial" w:cs="Arial" w:eastAsia="Arial" w:hAnsi="Arial"/>
          <w:sz w:val="18"/>
          <w:szCs w:val="18"/>
          <w:color w:val="auto"/>
        </w:rPr>
        <w:t>period. The offering periods will be scheduled to begin on the first trading day on or after May 18</w:t>
      </w:r>
      <w:r>
        <w:rPr>
          <w:rFonts w:ascii="Arial" w:cs="Arial" w:eastAsia="Arial" w:hAnsi="Arial"/>
          <w:sz w:val="15"/>
          <w:szCs w:val="15"/>
          <w:color w:val="auto"/>
        </w:rPr>
        <w:t>th</w:t>
      </w:r>
      <w:r>
        <w:rPr>
          <w:rFonts w:ascii="Arial" w:cs="Arial" w:eastAsia="Arial" w:hAnsi="Arial"/>
          <w:sz w:val="18"/>
          <w:szCs w:val="18"/>
          <w:color w:val="auto"/>
        </w:rPr>
        <w:t xml:space="preserve"> and November 18</w:t>
      </w:r>
      <w:r>
        <w:rPr>
          <w:rFonts w:ascii="Arial" w:cs="Arial" w:eastAsia="Arial" w:hAnsi="Arial"/>
          <w:sz w:val="15"/>
          <w:szCs w:val="15"/>
          <w:color w:val="auto"/>
        </w:rPr>
        <w:t>th</w:t>
      </w:r>
      <w:r>
        <w:rPr>
          <w:rFonts w:ascii="Arial" w:cs="Arial" w:eastAsia="Arial" w:hAnsi="Arial"/>
          <w:sz w:val="18"/>
          <w:szCs w:val="18"/>
          <w:color w:val="auto"/>
        </w:rPr>
        <w:t xml:space="preserve"> of each year, except</w:t>
      </w:r>
    </w:p>
    <w:p>
      <w:pPr>
        <w:spacing w:after="0" w:line="235" w:lineRule="auto"/>
        <w:rPr>
          <w:sz w:val="20"/>
          <w:szCs w:val="20"/>
          <w:color w:val="auto"/>
        </w:rPr>
      </w:pPr>
      <w:r>
        <w:rPr>
          <w:rFonts w:ascii="Arial" w:cs="Arial" w:eastAsia="Arial" w:hAnsi="Arial"/>
          <w:sz w:val="18"/>
          <w:szCs w:val="18"/>
          <w:color w:val="auto"/>
        </w:rPr>
        <w:t>for the first offering period, which will begin on the first trading day on or after the effective date of the registration statement of which this</w:t>
      </w:r>
    </w:p>
    <w:p>
      <w:pPr>
        <w:spacing w:after="0" w:line="234" w:lineRule="auto"/>
        <w:rPr>
          <w:sz w:val="20"/>
          <w:szCs w:val="20"/>
          <w:color w:val="auto"/>
        </w:rPr>
      </w:pPr>
      <w:r>
        <w:rPr>
          <w:rFonts w:ascii="Arial" w:cs="Arial" w:eastAsia="Arial" w:hAnsi="Arial"/>
          <w:sz w:val="18"/>
          <w:szCs w:val="18"/>
          <w:color w:val="auto"/>
        </w:rPr>
        <w:t>prospectus forms a part and end on the first trading day on or after May 18, 2021. The administrator is authorized to change the duration of</w:t>
      </w:r>
    </w:p>
    <w:p>
      <w:pPr>
        <w:spacing w:after="0" w:line="235" w:lineRule="auto"/>
        <w:rPr>
          <w:sz w:val="20"/>
          <w:szCs w:val="20"/>
          <w:color w:val="auto"/>
        </w:rPr>
      </w:pPr>
      <w:r>
        <w:rPr>
          <w:rFonts w:ascii="Arial" w:cs="Arial" w:eastAsia="Arial" w:hAnsi="Arial"/>
          <w:sz w:val="18"/>
          <w:szCs w:val="18"/>
          <w:color w:val="auto"/>
        </w:rPr>
        <w:t>future offering periods and purchase periods under our ESPP, including the starting and ending dates of offering periods and purchase</w:t>
      </w:r>
    </w:p>
    <w:p>
      <w:pPr>
        <w:spacing w:after="0" w:line="235" w:lineRule="auto"/>
        <w:rPr>
          <w:sz w:val="20"/>
          <w:szCs w:val="20"/>
          <w:color w:val="auto"/>
        </w:rPr>
      </w:pPr>
      <w:r>
        <w:rPr>
          <w:rFonts w:ascii="Arial" w:cs="Arial" w:eastAsia="Arial" w:hAnsi="Arial"/>
          <w:sz w:val="18"/>
          <w:szCs w:val="18"/>
          <w:color w:val="auto"/>
        </w:rPr>
        <w:t>periods and the number of purchase periods in any offering periods, provided that no offering period will have a duration exceeding</w:t>
      </w:r>
    </w:p>
    <w:p>
      <w:pPr>
        <w:jc w:val="both"/>
        <w:ind w:right="120"/>
        <w:spacing w:after="0"/>
        <w:rPr>
          <w:sz w:val="20"/>
          <w:szCs w:val="20"/>
          <w:color w:val="auto"/>
        </w:rPr>
      </w:pPr>
      <w:r>
        <w:rPr>
          <w:rFonts w:ascii="Arial" w:cs="Arial" w:eastAsia="Arial" w:hAnsi="Arial"/>
          <w:sz w:val="18"/>
          <w:szCs w:val="18"/>
          <w:color w:val="auto"/>
        </w:rPr>
        <w:t>27 months. If the fair market value of a share of our common stock on a purchase date is less than the fair market value on the first trading day of the offering period, participants in that offering period will be withdrawn from that offering period following their purchase of shares on that purchase date and automatically will be enrolled in a new offering period.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Contributions</w:t>
      </w:r>
    </w:p>
    <w:p>
      <w:pPr>
        <w:spacing w:after="0" w:line="122" w:lineRule="exact"/>
        <w:rPr>
          <w:sz w:val="20"/>
          <w:szCs w:val="20"/>
          <w:color w:val="auto"/>
        </w:rPr>
      </w:pPr>
    </w:p>
    <w:p>
      <w:pPr>
        <w:ind w:right="540" w:firstLine="576"/>
        <w:spacing w:after="0"/>
        <w:rPr>
          <w:sz w:val="20"/>
          <w:szCs w:val="20"/>
          <w:color w:val="auto"/>
        </w:rPr>
      </w:pPr>
      <w:r>
        <w:rPr>
          <w:rFonts w:ascii="Arial" w:cs="Arial" w:eastAsia="Arial" w:hAnsi="Arial"/>
          <w:sz w:val="18"/>
          <w:szCs w:val="18"/>
          <w:color w:val="auto"/>
        </w:rPr>
        <w:t>Our ESPP permits participants to purchase shares of our common stock through payroll deductions of up 15% of their eligible compensation, which includes a participant’s base straight time gross earnings but excludes payments for overtime and shift premium, incentive compensation, bonuses, commissions, equity compensation, and other similar compensation.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Purchase Right</w:t>
      </w:r>
    </w:p>
    <w:p>
      <w:pPr>
        <w:spacing w:after="0" w:line="122"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Amounts deducted and accumulated by a participant under our ESPP are used to purchase shares of our common stock at the end of each purchase period. The purchase price of the shares will be 85% of the lower of (1) the fair market value of a share of our common stock on the first trading day of the offering period and (2) the fair market value of a share of our common stock on the exercise date. A participant will be permitted to purchase a maximum of 5,000 shares during each offering period.</w:t>
      </w:r>
    </w:p>
    <w:p>
      <w:pPr>
        <w:spacing w:after="0" w:line="295"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transferability</w:t>
      </w:r>
    </w:p>
    <w:p>
      <w:pPr>
        <w:spacing w:after="0" w:line="122" w:lineRule="exact"/>
        <w:rPr>
          <w:sz w:val="20"/>
          <w:szCs w:val="20"/>
          <w:color w:val="auto"/>
        </w:rPr>
      </w:pPr>
    </w:p>
    <w:p>
      <w:pPr>
        <w:ind w:right="180" w:firstLine="576"/>
        <w:spacing w:after="0" w:line="246" w:lineRule="auto"/>
        <w:rPr>
          <w:sz w:val="20"/>
          <w:szCs w:val="20"/>
          <w:color w:val="auto"/>
        </w:rPr>
      </w:pPr>
      <w:r>
        <w:rPr>
          <w:rFonts w:ascii="Arial" w:cs="Arial" w:eastAsia="Arial" w:hAnsi="Arial"/>
          <w:sz w:val="18"/>
          <w:szCs w:val="18"/>
          <w:color w:val="auto"/>
        </w:rPr>
        <w:t>A participant may not transfer the contributions credited to his or her ESPP account or rights granted under our ESPP, other than by will or the laws of descent and distribution.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Adjustments</w:t>
      </w:r>
    </w:p>
    <w:p>
      <w:pPr>
        <w:spacing w:after="0" w:line="122" w:lineRule="exact"/>
        <w:rPr>
          <w:sz w:val="20"/>
          <w:szCs w:val="20"/>
          <w:color w:val="auto"/>
        </w:rPr>
      </w:pPr>
    </w:p>
    <w:p>
      <w:pPr>
        <w:ind w:firstLine="576"/>
        <w:spacing w:after="0" w:line="205" w:lineRule="exact"/>
        <w:rPr>
          <w:sz w:val="20"/>
          <w:szCs w:val="20"/>
          <w:color w:val="auto"/>
        </w:rPr>
      </w:pPr>
      <w:r>
        <w:rPr>
          <w:rFonts w:ascii="Arial" w:cs="Arial" w:eastAsia="Arial" w:hAnsi="Arial"/>
          <w:sz w:val="18"/>
          <w:szCs w:val="18"/>
          <w:color w:val="auto"/>
        </w:rPr>
        <w:t>Our ESPP provides that if any dividend or other distribution (whether in the form of cash, our common stock, other securities, or other property), recapitalization, stock split, reverse stock split, reorganization, merger, consolidation, split</w:t>
      </w:r>
      <w:r>
        <w:rPr>
          <w:rFonts w:ascii="MS PGothic" w:cs="MS PGothic" w:eastAsia="MS PGothic" w:hAnsi="MS PGothic"/>
          <w:sz w:val="18"/>
          <w:szCs w:val="18"/>
          <w:color w:val="auto"/>
        </w:rPr>
        <w:t>‑</w:t>
      </w:r>
      <w:r>
        <w:rPr>
          <w:rFonts w:ascii="Arial" w:cs="Arial" w:eastAsia="Arial" w:hAnsi="Arial"/>
          <w:sz w:val="18"/>
          <w:szCs w:val="18"/>
          <w:color w:val="auto"/>
        </w:rPr>
        <w:t>up, spin</w:t>
      </w:r>
      <w:r>
        <w:rPr>
          <w:rFonts w:ascii="MS PGothic" w:cs="MS PGothic" w:eastAsia="MS PGothic" w:hAnsi="MS PGothic"/>
          <w:sz w:val="18"/>
          <w:szCs w:val="18"/>
          <w:color w:val="auto"/>
        </w:rPr>
        <w:t>‑</w:t>
      </w:r>
      <w:r>
        <w:rPr>
          <w:rFonts w:ascii="Arial" w:cs="Arial" w:eastAsia="Arial" w:hAnsi="Arial"/>
          <w:sz w:val="18"/>
          <w:szCs w:val="18"/>
          <w:color w:val="auto"/>
        </w:rPr>
        <w:t>off, combination, reclassification, repurchase, or exchange of our common stock or other securities of ours, or other change in our corporate structure affecting our common stock occurs (other than any ordinary dividends or other ordinary distributions), the administrator will make adjustments to the number and class of shares that may be delivered under our ESPP and/or the purchase price per share and number of shares covered by each option granted under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77" w:name="page178"/>
    <w:bookmarkEnd w:id="177"/>
    <w:p>
      <w:pPr>
        <w:jc w:val="both"/>
        <w:ind w:right="520"/>
        <w:spacing w:after="0"/>
        <w:rPr>
          <w:sz w:val="20"/>
          <w:szCs w:val="20"/>
          <w:color w:val="auto"/>
        </w:rPr>
      </w:pPr>
      <w:r>
        <w:rPr>
          <w:rFonts w:ascii="Arial" w:cs="Arial" w:eastAsia="Arial" w:hAnsi="Arial"/>
          <w:sz w:val="18"/>
          <w:szCs w:val="18"/>
          <w:color w:val="auto"/>
        </w:rPr>
        <w:t>our ESPP that has not yet been exercised, and the numerical share limits under our ESPP. 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or Change in Control</w:t>
      </w:r>
    </w:p>
    <w:p>
      <w:pPr>
        <w:spacing w:after="0" w:line="122" w:lineRule="exact"/>
        <w:rPr>
          <w:sz w:val="20"/>
          <w:szCs w:val="20"/>
          <w:color w:val="auto"/>
        </w:rPr>
      </w:pPr>
    </w:p>
    <w:p>
      <w:pPr>
        <w:ind w:right="160" w:firstLine="576"/>
        <w:spacing w:after="0" w:line="238" w:lineRule="auto"/>
        <w:rPr>
          <w:sz w:val="20"/>
          <w:szCs w:val="20"/>
          <w:color w:val="auto"/>
        </w:rPr>
      </w:pPr>
      <w:r>
        <w:rPr>
          <w:rFonts w:ascii="Arial" w:cs="Arial" w:eastAsia="Arial" w:hAnsi="Arial"/>
          <w:sz w:val="18"/>
          <w:szCs w:val="18"/>
          <w:color w:val="auto"/>
        </w:rPr>
        <w:t>In the event of our merger or change in control, as defined in our ESPP, a successor corporation may assume or substitute for each outstanding option. If the successor corporation does not assume or substitute for the options, the offering period then in progress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12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administrator has the authority to modify, amend, suspend, or terminate our ESPP except that, subject to certain exceptions described in our ESPP, no such action may adversely affect any outstanding rights to purchase shares of our common stock under our ESPP. Our ESPP will terminate automatically 20 years after the later of the date of the ESPP’s adoption by our board of directors or the business day immediately prior to the effective date of our registration statement of which this prospectus forms a part, unless we terminate it earlier.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26" w:lineRule="exact"/>
        <w:rPr>
          <w:sz w:val="20"/>
          <w:szCs w:val="20"/>
          <w:color w:val="auto"/>
        </w:rPr>
      </w:pPr>
    </w:p>
    <w:p>
      <w:pPr>
        <w:ind w:right="80" w:firstLine="576"/>
        <w:spacing w:after="0" w:line="253" w:lineRule="auto"/>
        <w:rPr>
          <w:sz w:val="20"/>
          <w:szCs w:val="20"/>
          <w:color w:val="auto"/>
        </w:rPr>
      </w:pPr>
      <w:r>
        <w:rPr>
          <w:rFonts w:ascii="Arial" w:cs="Arial" w:eastAsia="Arial" w:hAnsi="Arial"/>
          <w:sz w:val="17"/>
          <w:szCs w:val="17"/>
          <w:color w:val="auto"/>
        </w:rPr>
        <w:t>We maintain a 401(k) retirement savings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on a pre-tax basis, through contributions to the 401(k) plan. All of a participant’s contributions into the 401(k) plan are 100% vested when contributed. The 401(k) plan permits us to make contributions to eligible participants. The 401(k) plan is intended to qualify under Sections 401(a) and 501(a) of the Code. As a tax-qualified retirement plan, pre-tax contributions to the 401(k) plan and earnings on those pre-tax contributions are not taxable to the employees until distributed from the 401(k) plan.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12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Our certificate of incorporation and bylaws, each to be effective upon completion of this offering, will provide that we will indemnify our directors and officers, and may indemnify our employees and other agents, to the fullest extent permitted by the Delaware General Corporation Law, which prohibits us from limiting the liability of our directors for the following:</w:t>
      </w:r>
    </w:p>
    <w:p>
      <w:pPr>
        <w:spacing w:after="0" w:line="95" w:lineRule="exact"/>
        <w:rPr>
          <w:sz w:val="20"/>
          <w:szCs w:val="20"/>
          <w:color w:val="auto"/>
        </w:rPr>
      </w:pPr>
    </w:p>
    <w:p>
      <w:pPr>
        <w:ind w:left="1300" w:hanging="442"/>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to our stockholders;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160" w:firstLine="576"/>
        <w:spacing w:after="0"/>
        <w:rPr>
          <w:sz w:val="20"/>
          <w:szCs w:val="20"/>
          <w:color w:val="auto"/>
        </w:rPr>
      </w:pPr>
      <w:r>
        <w:rPr>
          <w:rFonts w:ascii="Arial" w:cs="Arial" w:eastAsia="Arial" w:hAnsi="Arial"/>
          <w:sz w:val="18"/>
          <w:szCs w:val="18"/>
          <w:color w:val="auto"/>
        </w:rPr>
        <w:t>If Delaware law is amended to authorize corporate action further limiting the personal liability of a director, then the liability of our directors will be limited to the fullest extent permitted by Delaware law, as so amended. Our certificate of incorporation does not eliminate a director’s duty of care and, in appropriate circumstances, equitable remedies, such as injunctive or other forms of non-monetary relief,</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178" w:name="page179"/>
    <w:bookmarkEnd w:id="178"/>
    <w:p>
      <w:pPr>
        <w:ind w:right="220"/>
        <w:spacing w:after="0"/>
        <w:rPr>
          <w:sz w:val="20"/>
          <w:szCs w:val="20"/>
          <w:color w:val="auto"/>
        </w:rPr>
      </w:pPr>
      <w:r>
        <w:rPr>
          <w:rFonts w:ascii="Arial" w:cs="Arial" w:eastAsia="Arial" w:hAnsi="Arial"/>
          <w:sz w:val="18"/>
          <w:szCs w:val="18"/>
          <w:color w:val="auto"/>
        </w:rPr>
        <w:t>remain available under Delaware law. This provision also does not affect a director’s responsibilities under any other laws, such as the federal securities laws or other state or federal laws. Under our bylaws, we will also be empowered to purchase insurance on behalf of any person whom we are required or permitted to indemnify.</w:t>
      </w:r>
    </w:p>
    <w:p>
      <w:pPr>
        <w:spacing w:after="0" w:line="203"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In addition to the indemnification required in our certificate of incorporation and bylaws, we have entered into indemnification agreements with each of our current directors, officers and some employees. These agreements provide for the indemnification of our directors, officers and some employees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us,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us or any of our subsidiaries, no indemnification will be provided for any claim where a court determines that the indemnified party is prohibited from receiving indemnification. We believe that these bylaw provisions and indemnification agreements are necessary to attract and retain qualified persons as directors and officers. We also maintain directors’ and officers’ liability insurance.</w:t>
      </w:r>
    </w:p>
    <w:p>
      <w:pPr>
        <w:spacing w:after="0" w:line="20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limitation of liability and indemnification provisions in our certificate of incorporation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79" w:name="page180"/>
    <w:bookmarkEnd w:id="179"/>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4"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following is a summary of transactions since January 1, 2017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which are described under the section of this prospectus titled “Executive Compensation.”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Related-Person Transactions Policy</w:t>
      </w:r>
    </w:p>
    <w:p>
      <w:pPr>
        <w:spacing w:after="0" w:line="126" w:lineRule="exact"/>
        <w:rPr>
          <w:sz w:val="20"/>
          <w:szCs w:val="20"/>
          <w:color w:val="auto"/>
        </w:rPr>
      </w:pPr>
    </w:p>
    <w:p>
      <w:pPr>
        <w:ind w:right="160" w:firstLine="576"/>
        <w:spacing w:after="0" w:line="237" w:lineRule="auto"/>
        <w:rPr>
          <w:sz w:val="20"/>
          <w:szCs w:val="20"/>
          <w:color w:val="auto"/>
        </w:rPr>
      </w:pPr>
      <w:r>
        <w:rPr>
          <w:rFonts w:ascii="Arial" w:cs="Arial" w:eastAsia="Arial" w:hAnsi="Arial"/>
          <w:sz w:val="18"/>
          <w:szCs w:val="18"/>
          <w:color w:val="auto"/>
        </w:rPr>
        <w:t>We have a formal, written policy, which will become effective on the date of effectiveness of the registration statement of which this prospectus forms a part, that our executive officers, directors (including director nominees), holders of more than 5% of any class of our voting securities and any member of the immediate family of or any entities affiliated with any of the foregoing persons, are not permitted to enter into a related-person transaction with us without the prior approval or, in the case of pending or ongoing related-person transactions, ratification of our audit committee. For purposes of our policy, a related-person transaction is a transaction, arrangement or relationship where we were, are or will be involved and in which a related-person had, has or will have a direct or indirect material interest.</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Certain transactions with related persons, however, are exempted from pre-approval including, but not limited to:</w:t>
      </w:r>
    </w:p>
    <w:p>
      <w:pPr>
        <w:spacing w:after="0" w:line="104" w:lineRule="exact"/>
        <w:rPr>
          <w:sz w:val="20"/>
          <w:szCs w:val="20"/>
          <w:color w:val="auto"/>
        </w:rPr>
      </w:pPr>
    </w:p>
    <w:p>
      <w:pPr>
        <w:ind w:left="1300" w:hanging="442"/>
        <w:spacing w:after="0"/>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compensation of our executive officers and directors that is otherwise disclosed in our public filings with the SEC;</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compensation, benefits and other transactions available to all of our employees generally;</w:t>
      </w:r>
    </w:p>
    <w:p>
      <w:pPr>
        <w:spacing w:after="0" w:line="225" w:lineRule="exact"/>
        <w:rPr>
          <w:rFonts w:ascii="Arial" w:cs="Arial" w:eastAsia="Arial" w:hAnsi="Arial"/>
          <w:sz w:val="18"/>
          <w:szCs w:val="18"/>
          <w:color w:val="auto"/>
        </w:rPr>
      </w:pPr>
    </w:p>
    <w:p>
      <w:pPr>
        <w:ind w:left="1300" w:right="240" w:hanging="442"/>
        <w:spacing w:after="0" w:line="246" w:lineRule="auto"/>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transactions where a related-person’s interest derives solely from his or her service as a director of another entity that is a party to the transaction;</w:t>
      </w:r>
    </w:p>
    <w:p>
      <w:pPr>
        <w:spacing w:after="0" w:line="196"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transactions where a related-person’s interest derives solely from his or her ownership of less than 10% of the equity interest in another entity that is a party to the transaction; and</w:t>
      </w:r>
    </w:p>
    <w:p>
      <w:pPr>
        <w:spacing w:after="0" w:line="196" w:lineRule="exact"/>
        <w:rPr>
          <w:rFonts w:ascii="Arial" w:cs="Arial" w:eastAsia="Arial" w:hAnsi="Arial"/>
          <w:sz w:val="18"/>
          <w:szCs w:val="18"/>
          <w:color w:val="auto"/>
        </w:rPr>
      </w:pPr>
    </w:p>
    <w:p>
      <w:pPr>
        <w:ind w:left="1300" w:right="40" w:hanging="442"/>
        <w:spacing w:after="0" w:line="246" w:lineRule="auto"/>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transactions where a related-person’s interest derives solely from his or her ownership of a class of our equity securities and all holders of that class received the same benefit on a pro rata basis.</w:t>
      </w:r>
    </w:p>
    <w:p>
      <w:pPr>
        <w:spacing w:after="0" w:line="305"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No member of the audit committee may participate in any review, consideration or approval of any related-person transaction where such member or any of his or her immediate family members is the related-person. In approving or rejecting the proposed agreement, our audit committee shall consider the relevant facts and circumstances available and deemed relevant to the audit committee, including, but not limited to:</w:t>
      </w:r>
    </w:p>
    <w:p>
      <w:pPr>
        <w:spacing w:after="0" w:line="97" w:lineRule="exact"/>
        <w:rPr>
          <w:sz w:val="20"/>
          <w:szCs w:val="20"/>
          <w:color w:val="auto"/>
        </w:rPr>
      </w:pPr>
    </w:p>
    <w:p>
      <w:pPr>
        <w:ind w:left="1300" w:hanging="442"/>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benefits and perceived benefits to us;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materiality and character of the related-person’s direct and indirect interest;</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availability of other sources for comparable products or services;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terms of the transaction; and</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terms available to unrelated third parties under the same or similar circumstances.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color w:val="auto"/>
        </w:rPr>
        <w:t>Sales of Securities</w:t>
      </w:r>
    </w:p>
    <w:p>
      <w:pPr>
        <w:spacing w:after="0" w:line="126" w:lineRule="exact"/>
        <w:rPr>
          <w:sz w:val="20"/>
          <w:szCs w:val="20"/>
          <w:color w:val="auto"/>
        </w:rPr>
      </w:pPr>
    </w:p>
    <w:p>
      <w:pPr>
        <w:jc w:val="both"/>
        <w:ind w:right="260" w:firstLine="576"/>
        <w:spacing w:after="0" w:line="261" w:lineRule="auto"/>
        <w:rPr>
          <w:sz w:val="20"/>
          <w:szCs w:val="20"/>
          <w:color w:val="auto"/>
        </w:rPr>
      </w:pPr>
      <w:r>
        <w:rPr>
          <w:rFonts w:ascii="Arial" w:cs="Arial" w:eastAsia="Arial" w:hAnsi="Arial"/>
          <w:sz w:val="17"/>
          <w:szCs w:val="17"/>
          <w:color w:val="auto"/>
        </w:rPr>
        <w:t>The following table sets forth a summary of the sale and issuance of our securities to related persons since January 1, 2017, other than compensation arrangements which are described under the sections of this prospectus titled “Management—Director Compensation” and “Executive Compensation.” For a description of beneficial ownership see the section of this prospectus titled “Principal Stockholders.”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Shares of</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Series B-1</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Convertible</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Preferred</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 of</w:t>
            </w: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Principal</w:t>
            </w: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Stock</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Shares of</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Series B</w:t>
            </w: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Amount of</w:t>
            </w: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Issued on</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Convertible</w:t>
            </w: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Convertible</w:t>
            </w: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Conversion of</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Preferred</w:t>
            </w: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Notes</w:t>
            </w: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Underlying</w:t>
            </w:r>
          </w:p>
        </w:tc>
        <w:tc>
          <w:tcPr>
            <w:tcW w:w="0" w:type="dxa"/>
            <w:vAlign w:val="bottom"/>
          </w:tcPr>
          <w:p>
            <w:pPr>
              <w:spacing w:after="0"/>
              <w:rPr>
                <w:sz w:val="1"/>
                <w:szCs w:val="1"/>
                <w:color w:val="auto"/>
              </w:rPr>
            </w:pPr>
          </w:p>
        </w:tc>
      </w:tr>
      <w:tr>
        <w:trPr>
          <w:trHeight w:val="175"/>
        </w:trPr>
        <w:tc>
          <w:tcPr>
            <w:tcW w:w="4980" w:type="dxa"/>
            <w:vAlign w:val="bottom"/>
          </w:tcPr>
          <w:p>
            <w:pPr>
              <w:spacing w:after="0"/>
              <w:rPr>
                <w:sz w:val="15"/>
                <w:szCs w:val="15"/>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Stock</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Notes</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209"/>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5% stockholders:</w:t>
            </w:r>
          </w:p>
        </w:tc>
        <w:tc>
          <w:tcPr>
            <w:tcW w:w="12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Perceptive Life Sciences Master Fund Ltd.</w:t>
            </w:r>
          </w:p>
        </w:tc>
        <w:tc>
          <w:tcPr>
            <w:tcW w:w="1260" w:type="dxa"/>
            <w:vAlign w:val="bottom"/>
          </w:tcPr>
          <w:p>
            <w:pPr>
              <w:jc w:val="right"/>
              <w:spacing w:after="0"/>
              <w:rPr>
                <w:sz w:val="20"/>
                <w:szCs w:val="20"/>
                <w:color w:val="auto"/>
              </w:rPr>
            </w:pPr>
            <w:r>
              <w:rPr>
                <w:rFonts w:ascii="Arial" w:cs="Arial" w:eastAsia="Arial" w:hAnsi="Arial"/>
                <w:sz w:val="18"/>
                <w:szCs w:val="18"/>
                <w:color w:val="auto"/>
              </w:rPr>
              <w:t>13,043,478</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3,260,869</w:t>
            </w:r>
            <w:r>
              <w:rPr>
                <w:rFonts w:ascii="Arial" w:cs="Arial" w:eastAsia="Arial" w:hAnsi="Arial"/>
                <w:sz w:val="15"/>
                <w:szCs w:val="15"/>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Entities affiliated with RTW Investments,</w:t>
            </w: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12,173,913</w:t>
            </w:r>
            <w:r>
              <w:rPr>
                <w:rFonts w:ascii="Arial" w:cs="Arial" w:eastAsia="Arial" w:hAnsi="Arial"/>
                <w:sz w:val="15"/>
                <w:szCs w:val="15"/>
                <w:color w:val="auto"/>
              </w:rPr>
              <w:t>(2)</w:t>
            </w: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3,043,477</w:t>
            </w:r>
            <w:r>
              <w:rPr>
                <w:rFonts w:ascii="Arial" w:cs="Arial" w:eastAsia="Arial" w:hAnsi="Arial"/>
                <w:sz w:val="15"/>
                <w:szCs w:val="15"/>
                <w:color w:val="auto"/>
              </w:rPr>
              <w:t>(3)</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LP</w:t>
            </w:r>
          </w:p>
        </w:tc>
        <w:tc>
          <w:tcPr>
            <w:tcW w:w="1260" w:type="dxa"/>
            <w:vAlign w:val="bottom"/>
            <w:vMerge w:val="continue"/>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8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80" w:type="dxa"/>
            <w:vAlign w:val="bottom"/>
          </w:tcPr>
          <w:p>
            <w:pPr>
              <w:spacing w:after="0"/>
              <w:rPr>
                <w:sz w:val="20"/>
                <w:szCs w:val="20"/>
                <w:color w:val="auto"/>
              </w:rPr>
            </w:pPr>
            <w:r>
              <w:rPr>
                <w:rFonts w:ascii="Arial" w:cs="Arial" w:eastAsia="Arial" w:hAnsi="Arial"/>
                <w:sz w:val="18"/>
                <w:szCs w:val="18"/>
                <w:color w:val="auto"/>
              </w:rPr>
              <w:t>Entities affiliated with Franklin Templeton</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6,086,956</w:t>
            </w:r>
            <w:r>
              <w:rPr>
                <w:rFonts w:ascii="Arial" w:cs="Arial" w:eastAsia="Arial" w:hAnsi="Arial"/>
                <w:sz w:val="15"/>
                <w:szCs w:val="15"/>
                <w:color w:val="auto"/>
              </w:rPr>
              <w:t>(4)</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1,521,738</w:t>
            </w:r>
            <w:r>
              <w:rPr>
                <w:rFonts w:ascii="Arial" w:cs="Arial" w:eastAsia="Arial" w:hAnsi="Arial"/>
                <w:sz w:val="15"/>
                <w:szCs w:val="15"/>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160"/>
              <w:spacing w:after="0" w:line="203" w:lineRule="exact"/>
              <w:rPr>
                <w:sz w:val="20"/>
                <w:szCs w:val="20"/>
                <w:color w:val="auto"/>
              </w:rPr>
            </w:pPr>
            <w:r>
              <w:rPr>
                <w:rFonts w:ascii="Arial" w:cs="Arial" w:eastAsia="Arial" w:hAnsi="Arial"/>
                <w:sz w:val="18"/>
                <w:szCs w:val="18"/>
                <w:color w:val="auto"/>
              </w:rPr>
              <w:t>Investments</w:t>
            </w:r>
          </w:p>
        </w:tc>
        <w:tc>
          <w:tcPr>
            <w:tcW w:w="12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Viking Global Opportunities Illiquid</w:t>
            </w:r>
          </w:p>
        </w:tc>
        <w:tc>
          <w:tcPr>
            <w:tcW w:w="1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2,173,913</w:t>
            </w:r>
            <w:r>
              <w:rPr>
                <w:rFonts w:ascii="Arial" w:cs="Arial" w:eastAsia="Arial" w:hAnsi="Arial"/>
                <w:sz w:val="15"/>
                <w:szCs w:val="15"/>
                <w:color w:val="auto"/>
              </w:rPr>
              <w:t>(1)</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Investments Sub-Master LP</w:t>
            </w:r>
          </w:p>
        </w:tc>
        <w:tc>
          <w:tcPr>
            <w:tcW w:w="12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8,695,652</w:t>
            </w:r>
          </w:p>
        </w:tc>
        <w:tc>
          <w:tcPr>
            <w:tcW w:w="4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8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Executive officers and directors:</w:t>
            </w: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(6)</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13,043,478</w:t>
            </w: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3,260,869</w:t>
            </w:r>
            <w:r>
              <w:rPr>
                <w:rFonts w:ascii="Arial" w:cs="Arial" w:eastAsia="Arial" w:hAnsi="Arial"/>
                <w:sz w:val="15"/>
                <w:szCs w:val="15"/>
                <w:color w:val="auto"/>
              </w:rPr>
              <w:t>(1)</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Mark Litton, Ph.D.</w:t>
            </w:r>
          </w:p>
        </w:tc>
        <w:tc>
          <w:tcPr>
            <w:tcW w:w="1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250,00</w:t>
            </w:r>
            <w:r>
              <w:rPr>
                <w:rFonts w:ascii="Arial" w:cs="Arial" w:eastAsia="Arial" w:hAnsi="Arial"/>
                <w:sz w:val="15"/>
                <w:szCs w:val="15"/>
                <w:color w:val="auto"/>
              </w:rPr>
              <w:t>(7)</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260,236</w:t>
            </w:r>
            <w:r>
              <w:rPr>
                <w:rFonts w:ascii="Arial" w:cs="Arial" w:eastAsia="Arial" w:hAnsi="Arial"/>
                <w:sz w:val="15"/>
                <w:szCs w:val="15"/>
                <w:color w:val="auto"/>
              </w:rPr>
              <w:t>(8)</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(9)</w:t>
            </w:r>
          </w:p>
        </w:tc>
        <w:tc>
          <w:tcPr>
            <w:tcW w:w="1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53,379</w:t>
            </w: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80" w:hanging="472"/>
        <w:spacing w:after="0"/>
        <w:tabs>
          <w:tab w:leader="none" w:pos="4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This warrant was fully exercised prior to August 26, 2020.</w:t>
      </w:r>
    </w:p>
    <w:p>
      <w:pPr>
        <w:spacing w:after="0" w:line="41" w:lineRule="exact"/>
        <w:rPr>
          <w:rFonts w:ascii="Arial" w:cs="Arial" w:eastAsia="Arial" w:hAnsi="Arial"/>
          <w:sz w:val="14"/>
          <w:szCs w:val="14"/>
          <w:color w:val="auto"/>
        </w:rPr>
      </w:pPr>
    </w:p>
    <w:p>
      <w:pPr>
        <w:ind w:left="480" w:right="80" w:hanging="472"/>
        <w:spacing w:after="0" w:line="258" w:lineRule="auto"/>
        <w:tabs>
          <w:tab w:leader="none" w:pos="4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12,173,913 shares of our Series B convertible preferred stock held of record in the aggregate by RTW Master Fund, Ltd., RTW Innovation Master Fund, Ltd. and RTW Venture Fund Limited.</w:t>
      </w:r>
    </w:p>
    <w:p>
      <w:pPr>
        <w:spacing w:after="0" w:line="18" w:lineRule="exact"/>
        <w:rPr>
          <w:rFonts w:ascii="Arial" w:cs="Arial" w:eastAsia="Arial" w:hAnsi="Arial"/>
          <w:sz w:val="14"/>
          <w:szCs w:val="14"/>
          <w:color w:val="auto"/>
        </w:rPr>
      </w:pPr>
    </w:p>
    <w:p>
      <w:pPr>
        <w:ind w:left="480" w:right="100" w:hanging="472"/>
        <w:spacing w:after="0" w:line="258" w:lineRule="auto"/>
        <w:tabs>
          <w:tab w:leader="none" w:pos="4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warrants to purchase an aggregate of 3,043,477 shares of our common stock held by RTW Innovation Master Fund, Ltd., RTW Master Fund, Ltd., and RTW Venture Fund Limited. Each of these warrants was fully exercised prior to August 26, 2020.</w:t>
      </w:r>
    </w:p>
    <w:p>
      <w:pPr>
        <w:spacing w:after="0" w:line="18" w:lineRule="exact"/>
        <w:rPr>
          <w:rFonts w:ascii="Arial" w:cs="Arial" w:eastAsia="Arial" w:hAnsi="Arial"/>
          <w:sz w:val="14"/>
          <w:szCs w:val="14"/>
          <w:color w:val="auto"/>
        </w:rPr>
      </w:pPr>
    </w:p>
    <w:p>
      <w:pPr>
        <w:ind w:left="480" w:right="440" w:hanging="472"/>
        <w:spacing w:after="0" w:line="258" w:lineRule="auto"/>
        <w:tabs>
          <w:tab w:leader="none" w:pos="4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2,587,975 shares of our Series B convertible preferred stock held by Franklin Strategic Series – Franklin Biotechnology Discovery Fund and 3,498,981 shares of our Series B convertible preferred stock held by Franklin Templeton Investment Funds – Franklin Biotechnology Discovery Fund.</w:t>
      </w:r>
    </w:p>
    <w:p>
      <w:pPr>
        <w:spacing w:after="0" w:line="18" w:lineRule="exact"/>
        <w:rPr>
          <w:rFonts w:ascii="Arial" w:cs="Arial" w:eastAsia="Arial" w:hAnsi="Arial"/>
          <w:sz w:val="14"/>
          <w:szCs w:val="14"/>
          <w:color w:val="auto"/>
        </w:rPr>
      </w:pPr>
    </w:p>
    <w:p>
      <w:pPr>
        <w:ind w:left="480" w:right="460" w:hanging="472"/>
        <w:spacing w:after="0" w:line="258" w:lineRule="auto"/>
        <w:tabs>
          <w:tab w:leader="none" w:pos="4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warrants to purchase 646,993 shares of our common stock held by Franklin Strategic Series – Franklin Biotechnology Discovery Fund and warrants to purchase 874,745 shares of our common stock held by Franklin Templeton Investment Funds – Franklin Biotechnology Discovery Fund.</w:t>
      </w:r>
    </w:p>
    <w:p>
      <w:pPr>
        <w:spacing w:after="0" w:line="18" w:lineRule="exact"/>
        <w:rPr>
          <w:rFonts w:ascii="Arial" w:cs="Arial" w:eastAsia="Arial" w:hAnsi="Arial"/>
          <w:sz w:val="14"/>
          <w:szCs w:val="14"/>
          <w:color w:val="auto"/>
        </w:rPr>
      </w:pPr>
    </w:p>
    <w:p>
      <w:pPr>
        <w:ind w:left="480" w:right="300" w:hanging="472"/>
        <w:spacing w:after="0" w:line="249" w:lineRule="auto"/>
        <w:tabs>
          <w:tab w:leader="none" w:pos="4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13,043,478 shares of our Series B convertible preferred stock and warrants to purchase 3,260,869 shares of our common stock held by Perceptive Life Sciences Master Fund, Ltd, which warrants were fully exercised prior to August 26, 2020. Joseph Edelman is the managing member of Perceptive Advisors LLC, the investment manager of Perceptive Life Sciences Master Fund Ltd., and may be deemed to beneficially own such securities.</w:t>
      </w:r>
    </w:p>
    <w:p>
      <w:pPr>
        <w:spacing w:after="0" w:line="25" w:lineRule="exact"/>
        <w:rPr>
          <w:rFonts w:ascii="Arial" w:cs="Arial" w:eastAsia="Arial" w:hAnsi="Arial"/>
          <w:sz w:val="14"/>
          <w:szCs w:val="14"/>
          <w:color w:val="auto"/>
        </w:rPr>
      </w:pPr>
    </w:p>
    <w:p>
      <w:pPr>
        <w:ind w:left="480" w:right="60" w:hanging="472"/>
        <w:spacing w:after="0" w:line="249" w:lineRule="auto"/>
        <w:tabs>
          <w:tab w:leader="none" w:pos="4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$100,000 in aggregate principal amount of convertible notes held jointly by Dr. Litton and Alicia Litton, his wife, and $150,000 in aggregate principal amount of convertible notes held by the Irrevocable Trust of OSL, the Irrevocable Trust of SWL, and the Irrevocable Trust of WGL, each of which are trusts held for the benefit of Dr. Litton’s children.</w:t>
      </w:r>
    </w:p>
    <w:p>
      <w:pPr>
        <w:spacing w:after="0" w:line="25" w:lineRule="exact"/>
        <w:rPr>
          <w:rFonts w:ascii="Arial" w:cs="Arial" w:eastAsia="Arial" w:hAnsi="Arial"/>
          <w:sz w:val="14"/>
          <w:szCs w:val="14"/>
          <w:color w:val="auto"/>
        </w:rPr>
      </w:pPr>
    </w:p>
    <w:p>
      <w:pPr>
        <w:ind w:left="480" w:right="300" w:hanging="472"/>
        <w:spacing w:after="0" w:line="249" w:lineRule="auto"/>
        <w:tabs>
          <w:tab w:leader="none" w:pos="4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104,095 shares of our Series B-1 convertible preferred stock held jointly by Dr. Litton and Alicia Litton, his wife, and an aggregate 156,141 shares of our Series B-1 convertible preferred stock held by the Irrevocable Trust of OSL, the Irrevocable Trust of SWL, and the Irrevocable Trust of WGL, each of which are trusts held for the benefit of Dr. Litton’s children.</w:t>
      </w:r>
    </w:p>
    <w:p>
      <w:pPr>
        <w:spacing w:after="0" w:line="25" w:lineRule="exact"/>
        <w:rPr>
          <w:rFonts w:ascii="Arial" w:cs="Arial" w:eastAsia="Arial" w:hAnsi="Arial"/>
          <w:sz w:val="14"/>
          <w:szCs w:val="14"/>
          <w:color w:val="auto"/>
        </w:rPr>
      </w:pPr>
    </w:p>
    <w:p>
      <w:pPr>
        <w:ind w:left="480" w:right="560" w:hanging="472"/>
        <w:spacing w:after="0" w:line="168" w:lineRule="exact"/>
        <w:tabs>
          <w:tab w:leader="none" w:pos="4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convertible notes and shares of our Series B</w:t>
      </w:r>
      <w:r>
        <w:rPr>
          <w:rFonts w:ascii="MS PGothic" w:cs="MS PGothic" w:eastAsia="MS PGothic" w:hAnsi="MS PGothic"/>
          <w:sz w:val="14"/>
          <w:szCs w:val="14"/>
          <w:color w:val="auto"/>
        </w:rPr>
        <w:t>‑</w:t>
      </w:r>
      <w:r>
        <w:rPr>
          <w:rFonts w:ascii="Arial" w:cs="Arial" w:eastAsia="Arial" w:hAnsi="Arial"/>
          <w:sz w:val="14"/>
          <w:szCs w:val="14"/>
          <w:color w:val="auto"/>
        </w:rPr>
        <w:t>1 convertible preferred stock held by Fluke Capital Management, L.P., of which John M. Fluke, Jr. has a beneficial ownership interest.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26"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From December 2018 to January 2020, we issued and sold $3.8 million in aggregate principal amount of our convertible notes. The notes accrue interest at a rate of 5% per month. Dr. Litton, our chief operating officer, and Alicia Litton, his wife, purchased $100,000 in aggregate principal amount of the notes. In addition, notes in an aggregate principal amount of $150,000 were purchased by the Irrevocable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1" w:name="page182"/>
    <w:bookmarkEnd w:id="181"/>
    <w:p>
      <w:pPr>
        <w:ind w:right="80"/>
        <w:spacing w:after="0" w:line="238" w:lineRule="auto"/>
        <w:rPr>
          <w:sz w:val="20"/>
          <w:szCs w:val="20"/>
          <w:color w:val="auto"/>
        </w:rPr>
      </w:pPr>
      <w:r>
        <w:rPr>
          <w:rFonts w:ascii="Arial" w:cs="Arial" w:eastAsia="Arial" w:hAnsi="Arial"/>
          <w:sz w:val="18"/>
          <w:szCs w:val="18"/>
          <w:color w:val="auto"/>
        </w:rPr>
        <w:t>Trust of OSL, the Irrevocable Trust of WGL, and the Irrevocable Trust of SWL, each of which are trusts held for the benefit of Dr. Litton’s children. Fluke Capital Management, L.P., of which John M. Fluke, Jr., a member of our board of directors, has a beneficial ownership interest, also purchased notes in an aggregate principal amount of $50,000. All outstanding notes to purchase our common stock converted into shares of our Series B-1 convertible preferred stock at a conversion price of $0.9775 per share in connection with our Series B financing in May 2020. The Series B financing is described below.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Financing</w:t>
      </w:r>
    </w:p>
    <w:p>
      <w:pPr>
        <w:spacing w:after="0" w:line="126"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From May 2020 to June 2020, we issued and sold to investors an aggregate of 74,328,105 shares of Series B convertible preferred stock at $1.15 per share for aggregate proceeds of $85.5 million, an aggregate of 4,067,148 shares of Series B-1 convertible preferred stock at a conversion price of $0.9775 per share upon conversion of outstanding convertible notes, and warrants to purchase 18,582,009 shares of our common stock at an exercise price of $0.01 per share. Perceptive Life Sciences Master Fund Ltd., entities affiliated with RTW Investments, LP, Viking Global Opportunities Illiquid Investments Sub-Master LP, and entities affiliated with Franklin Templeton Investments, are each significant stockholders of the company and participated in the Series B financing. Perceptive Advisors LLC serves as the investment manager of Perceptive Life Sciences Master Fund Ltd. Joseph Edelman, a member of our board of directors, is the managing member of Perceptive Advisors LLC and he may be deemed to beneficially own the shares held by Perceptive Life Sciences Master Fund Ltd.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have entered into an investors’ rights agreement with certain of our stockholders, including Dr. Kawas, our chief executive officer, Dr. Litton, our chief operating officer, and Fluke Capital Management, L.P., of which John M. Fluke, Jr., a member of our board of directors, has a beneficial ownership interest. In addition, Perceptive Life Sciences Master Fund Ltd., entities affiliated with RTW Investments, LP, Viking Global Opportunities Illiquid Investments Sub-Master LP, and entities affiliated with Franklin Templeton Investments, are each parties to the agreement. As of June 30, 2020, the holders of 117,760,047 shares of our common stock, including 99,151,789 shares of common stock issuable upon conversion of outstanding convertible preferred stock and 13,151,737 shares of common stock issuable upon exercise of outstanding warrants, or their transferees, are entitled to rights with respect to the registration of their shares under the Securities Act.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26" w:lineRule="exact"/>
        <w:rPr>
          <w:sz w:val="20"/>
          <w:szCs w:val="20"/>
          <w:color w:val="auto"/>
        </w:rPr>
      </w:pPr>
    </w:p>
    <w:p>
      <w:pPr>
        <w:ind w:right="280" w:firstLine="576"/>
        <w:spacing w:after="0"/>
        <w:rPr>
          <w:sz w:val="20"/>
          <w:szCs w:val="20"/>
          <w:color w:val="auto"/>
        </w:rPr>
      </w:pPr>
      <w:r>
        <w:rPr>
          <w:rFonts w:ascii="Arial" w:cs="Arial" w:eastAsia="Arial" w:hAnsi="Arial"/>
          <w:sz w:val="18"/>
          <w:szCs w:val="18"/>
          <w:color w:val="auto"/>
        </w:rPr>
        <w:t>The election of the members of the board of directors is governed by a voting agreement with certain of our stockholders, including Dr. Kawas, our chief executive officer, and Perceptive Life Sciences Master Fund Ltd. The parties to the voting agreement have agreed, subject to certain conditions, to vote their shares to elect as directors as follows:</w:t>
      </w:r>
    </w:p>
    <w:p>
      <w:pPr>
        <w:spacing w:after="0" w:line="95" w:lineRule="exact"/>
        <w:rPr>
          <w:sz w:val="20"/>
          <w:szCs w:val="20"/>
          <w:color w:val="auto"/>
        </w:rPr>
      </w:pPr>
    </w:p>
    <w:p>
      <w:pPr>
        <w:ind w:left="1300" w:hanging="442"/>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one nominee designated by Perceptive Life Sciences Master Fund Ltd., currently Mr. Edelman;</w:t>
      </w:r>
    </w:p>
    <w:p>
      <w:pPr>
        <w:spacing w:after="0" w:line="225" w:lineRule="exact"/>
        <w:rPr>
          <w:rFonts w:ascii="Arial" w:cs="Arial" w:eastAsia="Arial" w:hAnsi="Arial"/>
          <w:sz w:val="18"/>
          <w:szCs w:val="18"/>
          <w:color w:val="auto"/>
        </w:rPr>
      </w:pPr>
    </w:p>
    <w:p>
      <w:pPr>
        <w:ind w:left="1300" w:right="720" w:hanging="442"/>
        <w:spacing w:after="0" w:line="246" w:lineRule="auto"/>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four nominees, one of which must be our chief executive officer, designated by a majority vote of our common stock, currently Dr. Kawas, Dr. Yamada, and Messrs. Fluke and Johnson;</w:t>
      </w:r>
    </w:p>
    <w:p>
      <w:pPr>
        <w:spacing w:after="0" w:line="196" w:lineRule="exact"/>
        <w:rPr>
          <w:rFonts w:ascii="Arial" w:cs="Arial" w:eastAsia="Arial" w:hAnsi="Arial"/>
          <w:sz w:val="18"/>
          <w:szCs w:val="18"/>
          <w:color w:val="auto"/>
        </w:rPr>
      </w:pPr>
    </w:p>
    <w:p>
      <w:pPr>
        <w:ind w:left="1300" w:right="260" w:hanging="442"/>
        <w:spacing w:after="0" w:line="246" w:lineRule="auto"/>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one nominee not otherwise an affiliate of the company designated by Perceptive Life Sciences Master Fund Ltd., currently vacant; and</w:t>
      </w:r>
    </w:p>
    <w:p>
      <w:pPr>
        <w:spacing w:after="0" w:line="196" w:lineRule="exact"/>
        <w:rPr>
          <w:rFonts w:ascii="Arial" w:cs="Arial" w:eastAsia="Arial" w:hAnsi="Arial"/>
          <w:sz w:val="18"/>
          <w:szCs w:val="18"/>
          <w:color w:val="auto"/>
        </w:rPr>
      </w:pPr>
    </w:p>
    <w:p>
      <w:pPr>
        <w:ind w:left="1300" w:right="20" w:hanging="442"/>
        <w:spacing w:after="0" w:line="246" w:lineRule="auto"/>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one nominee not otherwise an affiliate of the company or of any investor, who is mutually acceptable to the other members of the board of directors.</w:t>
      </w:r>
    </w:p>
    <w:p>
      <w:pPr>
        <w:spacing w:after="0" w:line="305" w:lineRule="exact"/>
        <w:rPr>
          <w:sz w:val="20"/>
          <w:szCs w:val="20"/>
          <w:color w:val="auto"/>
        </w:rPr>
      </w:pPr>
    </w:p>
    <w:p>
      <w:pPr>
        <w:ind w:right="440" w:firstLine="576"/>
        <w:spacing w:after="0" w:line="238" w:lineRule="auto"/>
        <w:rPr>
          <w:sz w:val="20"/>
          <w:szCs w:val="20"/>
          <w:color w:val="auto"/>
        </w:rPr>
      </w:pPr>
      <w:r>
        <w:rPr>
          <w:rFonts w:ascii="Arial" w:cs="Arial" w:eastAsia="Arial" w:hAnsi="Arial"/>
          <w:sz w:val="18"/>
          <w:szCs w:val="18"/>
          <w:color w:val="auto"/>
        </w:rPr>
        <w:t>Upon the consummation of this offering, the obligations of the parties to the voting agreement to vote their shares to elect these nominees will terminate, and none of our stockholders will have any special rights regarding the nomination, election or designation of members of the board of directors. Our existing certificate of incorporation contains provisions that correspond to the voting agreement; however,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t>the certificate of incorporation that will be effective immediately prior to the closing of this offering will not include such provisions.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26" w:lineRule="exact"/>
        <w:rPr>
          <w:sz w:val="20"/>
          <w:szCs w:val="20"/>
          <w:color w:val="auto"/>
        </w:rPr>
      </w:pPr>
    </w:p>
    <w:p>
      <w:pPr>
        <w:ind w:right="180" w:firstLine="576"/>
        <w:spacing w:after="0" w:line="246" w:lineRule="auto"/>
        <w:rPr>
          <w:sz w:val="20"/>
          <w:szCs w:val="20"/>
          <w:color w:val="auto"/>
        </w:rPr>
      </w:pPr>
      <w:r>
        <w:rPr>
          <w:rFonts w:ascii="Arial" w:cs="Arial" w:eastAsia="Arial" w:hAnsi="Arial"/>
          <w:sz w:val="18"/>
          <w:szCs w:val="18"/>
          <w:color w:val="auto"/>
        </w:rPr>
        <w:t>In April 2016, we issued a promissory note to Dr. Kawas in the aggregate principal amount of $60,000. This note was repaid in full prior to the public filing of the registration statement of which this prospectus forms a part.</w:t>
      </w:r>
    </w:p>
    <w:p>
      <w:pPr>
        <w:spacing w:after="0" w:line="197"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We have entered into employment agreements with our executive officers and change in control and severance agreements with certain of our executive officers. For a description of these agreements, see the section of this prospectus titled “Executive Compensation – Executive Employment Arrangements.”</w:t>
      </w:r>
    </w:p>
    <w:p>
      <w:pPr>
        <w:spacing w:after="0" w:line="203"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We have granted stock options and issued common stock to our executive officers and to certain of our non-executive directors. For a description of these grants and issuances, see the sections of this prospectus titled “Management – Director Compensation” and “Executive Compensation.”</w:t>
      </w:r>
    </w:p>
    <w:p>
      <w:pPr>
        <w:spacing w:after="0" w:line="203" w:lineRule="exact"/>
        <w:rPr>
          <w:sz w:val="20"/>
          <w:szCs w:val="20"/>
          <w:color w:val="auto"/>
        </w:rPr>
      </w:pPr>
    </w:p>
    <w:p>
      <w:pPr>
        <w:ind w:right="140" w:firstLine="576"/>
        <w:spacing w:after="0" w:line="246" w:lineRule="auto"/>
        <w:rPr>
          <w:sz w:val="20"/>
          <w:szCs w:val="20"/>
          <w:color w:val="auto"/>
        </w:rPr>
      </w:pPr>
      <w:r>
        <w:rPr>
          <w:rFonts w:ascii="Arial" w:cs="Arial" w:eastAsia="Arial" w:hAnsi="Arial"/>
          <w:sz w:val="18"/>
          <w:szCs w:val="18"/>
          <w:color w:val="auto"/>
        </w:rPr>
        <w:t>We have entered into indemnification agreements with our directors and executive officers. For a description of these agreements, see the section of this prospectus titled “Management – Limitation of Liability and Indemnification Matters.”</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598" w:right="459" w:bottom="1440" w:gutter="0" w:footer="0" w:header="0"/>
        </w:sectPr>
      </w:pPr>
    </w:p>
    <w:bookmarkStart w:id="183" w:name="page184"/>
    <w:bookmarkEnd w:id="183"/>
    <w:p>
      <w:pPr>
        <w:jc w:val="center"/>
        <w:ind w:right="-19"/>
        <w:spacing w:after="0"/>
        <w:rPr>
          <w:sz w:val="20"/>
          <w:szCs w:val="20"/>
          <w:color w:val="auto"/>
        </w:rPr>
      </w:pPr>
      <w:r>
        <w:rPr>
          <w:rFonts w:ascii="Arial" w:cs="Arial" w:eastAsia="Arial" w:hAnsi="Arial"/>
          <w:sz w:val="18"/>
          <w:szCs w:val="18"/>
          <w:b w:val="1"/>
          <w:bCs w:val="1"/>
          <w:color w:val="auto"/>
        </w:rPr>
        <w:t>PRINCIPAL STOCKHOLDERS</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the beneficial ownership of our common stock as of August 26, 2020 by:</w:t>
      </w:r>
    </w:p>
    <w:p>
      <w:pPr>
        <w:spacing w:after="0" w:line="104" w:lineRule="exact"/>
        <w:rPr>
          <w:sz w:val="20"/>
          <w:szCs w:val="20"/>
          <w:color w:val="auto"/>
        </w:rPr>
      </w:pPr>
    </w:p>
    <w:p>
      <w:pPr>
        <w:ind w:left="1300" w:hanging="442"/>
        <w:spacing w:after="0"/>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of the named executive officers;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333" w:lineRule="exact"/>
        <w:rPr>
          <w:sz w:val="20"/>
          <w:szCs w:val="20"/>
          <w:color w:val="auto"/>
        </w:rPr>
      </w:pPr>
    </w:p>
    <w:p>
      <w:pPr>
        <w:ind w:right="220" w:firstLine="576"/>
        <w:spacing w:after="0" w:line="248" w:lineRule="auto"/>
        <w:rPr>
          <w:sz w:val="20"/>
          <w:szCs w:val="20"/>
          <w:color w:val="auto"/>
        </w:rPr>
      </w:pPr>
      <w:r>
        <w:rPr>
          <w:rFonts w:ascii="Arial" w:cs="Arial" w:eastAsia="Arial" w:hAnsi="Arial"/>
          <w:sz w:val="17"/>
          <w:szCs w:val="17"/>
          <w:color w:val="auto"/>
        </w:rPr>
        <w:t>The percentage of beneficial ownership prior to the offering shown in the table is based upon 140,141,787 shares of common stock outstanding as of August 26, 2020 assuming the automatic conversion of all outstanding shares of convertible preferred stock into an aggregate of 99,151,789 shares of common stock. The percentage of beneficial ownership after this offering shown in the table is based</w:t>
      </w:r>
    </w:p>
    <w:p>
      <w:pPr>
        <w:spacing w:after="0" w:line="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on shares of common stock outstanding after the closing of this offering, assuming no exercise of the underwriters’ option to purchase additional shares.</w:t>
      </w:r>
    </w:p>
    <w:p>
      <w:pPr>
        <w:spacing w:after="0" w:line="197"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take into account shares of common stock issuable pursuant to the exercise or conversion of stock options or warrants or convertible notes that are either immediately exercisable or convertible or exercisable or convertible on or before the 60th day after August 26, 2020. Certain of the options granted to our named executive officers may be exercised prior to the vesting of the underlying shares.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84" w:name="page185"/>
    <w:bookmarkEnd w:id="184"/>
    <w:p>
      <w:pPr>
        <w:ind w:right="460" w:firstLine="576"/>
        <w:spacing w:after="0" w:line="246" w:lineRule="auto"/>
        <w:rPr>
          <w:sz w:val="20"/>
          <w:szCs w:val="20"/>
          <w:color w:val="auto"/>
        </w:rPr>
      </w:pPr>
      <w:r>
        <w:rPr>
          <w:rFonts w:ascii="Arial" w:cs="Arial" w:eastAsia="Arial" w:hAnsi="Arial"/>
          <w:sz w:val="18"/>
          <w:szCs w:val="18"/>
          <w:color w:val="auto"/>
        </w:rPr>
        <w:t>Except as otherwise noted below, the address for each person or entity listed in the table is c/o Athira Pharma, Inc., 4000 Mason Road, Suite 300, Seattle, Washington 98195.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820" w:type="dxa"/>
            <w:vAlign w:val="bottom"/>
            <w:gridSpan w:val="4"/>
          </w:tcPr>
          <w:p>
            <w:pPr>
              <w:ind w:left="320"/>
              <w:spacing w:after="0"/>
              <w:rPr>
                <w:sz w:val="20"/>
                <w:szCs w:val="20"/>
                <w:color w:val="auto"/>
              </w:rPr>
            </w:pPr>
            <w:r>
              <w:rPr>
                <w:rFonts w:ascii="Arial" w:cs="Arial" w:eastAsia="Arial" w:hAnsi="Arial"/>
                <w:sz w:val="14"/>
                <w:szCs w:val="14"/>
                <w:b w:val="1"/>
                <w:bCs w:val="1"/>
                <w:color w:val="auto"/>
              </w:rPr>
              <w:t>Shares Beneficially Owned</w:t>
            </w:r>
          </w:p>
        </w:tc>
        <w:tc>
          <w:tcPr>
            <w:tcW w:w="2640" w:type="dxa"/>
            <w:vAlign w:val="bottom"/>
            <w:gridSpan w:val="3"/>
          </w:tcPr>
          <w:p>
            <w:pPr>
              <w:ind w:left="400"/>
              <w:spacing w:after="0"/>
              <w:rPr>
                <w:sz w:val="20"/>
                <w:szCs w:val="20"/>
                <w:color w:val="auto"/>
              </w:rPr>
            </w:pPr>
            <w:r>
              <w:rPr>
                <w:rFonts w:ascii="Arial" w:cs="Arial" w:eastAsia="Arial" w:hAnsi="Arial"/>
                <w:sz w:val="14"/>
                <w:szCs w:val="14"/>
                <w:b w:val="1"/>
                <w:bCs w:val="1"/>
                <w:color w:val="auto"/>
              </w:rPr>
              <w:t>Shares Beneficially Owned</w:t>
            </w:r>
          </w:p>
        </w:tc>
      </w:tr>
      <w:tr>
        <w:trPr>
          <w:trHeight w:val="175"/>
        </w:trPr>
        <w:tc>
          <w:tcPr>
            <w:tcW w:w="5780" w:type="dxa"/>
            <w:vAlign w:val="bottom"/>
          </w:tcPr>
          <w:p>
            <w:pPr>
              <w:spacing w:after="0"/>
              <w:rPr>
                <w:sz w:val="15"/>
                <w:szCs w:val="15"/>
                <w:color w:val="auto"/>
              </w:rPr>
            </w:pPr>
          </w:p>
        </w:tc>
        <w:tc>
          <w:tcPr>
            <w:tcW w:w="282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Prior to the Offering</w:t>
            </w:r>
          </w:p>
        </w:tc>
        <w:tc>
          <w:tcPr>
            <w:tcW w:w="2640" w:type="dxa"/>
            <w:vAlign w:val="bottom"/>
            <w:gridSpan w:val="3"/>
          </w:tcPr>
          <w:p>
            <w:pPr>
              <w:ind w:left="720"/>
              <w:spacing w:after="0"/>
              <w:rPr>
                <w:sz w:val="20"/>
                <w:szCs w:val="20"/>
                <w:color w:val="auto"/>
              </w:rPr>
            </w:pPr>
            <w:r>
              <w:rPr>
                <w:rFonts w:ascii="Arial" w:cs="Arial" w:eastAsia="Arial" w:hAnsi="Arial"/>
                <w:sz w:val="14"/>
                <w:szCs w:val="14"/>
                <w:b w:val="1"/>
                <w:bCs w:val="1"/>
                <w:color w:val="auto"/>
              </w:rPr>
              <w:t>After the Offering</w:t>
            </w:r>
          </w:p>
        </w:tc>
      </w:tr>
      <w:tr>
        <w:trPr>
          <w:trHeight w:val="156"/>
        </w:trPr>
        <w:tc>
          <w:tcPr>
            <w:tcW w:w="5780" w:type="dxa"/>
            <w:vAlign w:val="bottom"/>
          </w:tcPr>
          <w:p>
            <w:pPr>
              <w:spacing w:after="0"/>
              <w:rPr>
                <w:sz w:val="13"/>
                <w:szCs w:val="13"/>
                <w:color w:val="auto"/>
              </w:rPr>
            </w:pPr>
          </w:p>
        </w:tc>
        <w:tc>
          <w:tcPr>
            <w:tcW w:w="1360" w:type="dxa"/>
            <w:vAlign w:val="bottom"/>
            <w:tcBorders>
              <w:top w:val="single" w:sz="8" w:color="auto"/>
            </w:tcBorders>
            <w:gridSpan w:val="2"/>
          </w:tcPr>
          <w:p>
            <w:pPr>
              <w:ind w:left="200"/>
              <w:spacing w:after="0" w:line="156" w:lineRule="exact"/>
              <w:rPr>
                <w:sz w:val="20"/>
                <w:szCs w:val="20"/>
                <w:color w:val="auto"/>
              </w:rPr>
            </w:pPr>
            <w:r>
              <w:rPr>
                <w:rFonts w:ascii="Arial" w:cs="Arial" w:eastAsia="Arial" w:hAnsi="Arial"/>
                <w:sz w:val="14"/>
                <w:szCs w:val="14"/>
                <w:b w:val="1"/>
                <w:bCs w:val="1"/>
                <w:color w:val="auto"/>
              </w:rPr>
              <w:t>Number of</w:t>
            </w:r>
          </w:p>
        </w:tc>
        <w:tc>
          <w:tcPr>
            <w:tcW w:w="11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Borders>
              <w:top w:val="single" w:sz="8" w:color="auto"/>
            </w:tcBorders>
            <w:gridSpan w:val="2"/>
          </w:tcPr>
          <w:p>
            <w:pPr>
              <w:ind w:left="260"/>
              <w:spacing w:after="0" w:line="156" w:lineRule="exact"/>
              <w:rPr>
                <w:sz w:val="20"/>
                <w:szCs w:val="20"/>
                <w:color w:val="auto"/>
              </w:rPr>
            </w:pPr>
            <w:r>
              <w:rPr>
                <w:rFonts w:ascii="Arial" w:cs="Arial" w:eastAsia="Arial" w:hAnsi="Arial"/>
                <w:sz w:val="14"/>
                <w:szCs w:val="14"/>
                <w:b w:val="1"/>
                <w:bCs w:val="1"/>
                <w:color w:val="auto"/>
              </w:rPr>
              <w:t>Number of</w:t>
            </w:r>
          </w:p>
        </w:tc>
        <w:tc>
          <w:tcPr>
            <w:tcW w:w="1260" w:type="dxa"/>
            <w:vAlign w:val="bottom"/>
            <w:tcBorders>
              <w:top w:val="single" w:sz="8" w:color="auto"/>
            </w:tcBorders>
          </w:tcPr>
          <w:p>
            <w:pPr>
              <w:spacing w:after="0"/>
              <w:rPr>
                <w:sz w:val="13"/>
                <w:szCs w:val="13"/>
                <w:color w:val="auto"/>
              </w:rPr>
            </w:pPr>
          </w:p>
        </w:tc>
      </w:tr>
      <w:tr>
        <w:trPr>
          <w:trHeight w:val="175"/>
        </w:trPr>
        <w:tc>
          <w:tcPr>
            <w:tcW w:w="5780" w:type="dxa"/>
            <w:vAlign w:val="bottom"/>
          </w:tcPr>
          <w:p>
            <w:pPr>
              <w:spacing w:after="0"/>
              <w:rPr>
                <w:sz w:val="15"/>
                <w:szCs w:val="15"/>
                <w:color w:val="auto"/>
              </w:rPr>
            </w:pPr>
          </w:p>
        </w:tc>
        <w:tc>
          <w:tcPr>
            <w:tcW w:w="13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Percentage</w:t>
            </w:r>
          </w:p>
        </w:tc>
        <w:tc>
          <w:tcPr>
            <w:tcW w:w="138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1260" w:type="dxa"/>
            <w:vAlign w:val="bottom"/>
          </w:tcPr>
          <w:p>
            <w:pPr>
              <w:ind w:left="240"/>
              <w:spacing w:after="0"/>
              <w:rPr>
                <w:sz w:val="20"/>
                <w:szCs w:val="20"/>
                <w:color w:val="auto"/>
              </w:rPr>
            </w:pPr>
            <w:r>
              <w:rPr>
                <w:rFonts w:ascii="Arial" w:cs="Arial" w:eastAsia="Arial" w:hAnsi="Arial"/>
                <w:sz w:val="14"/>
                <w:szCs w:val="14"/>
                <w:b w:val="1"/>
                <w:bCs w:val="1"/>
                <w:color w:val="auto"/>
              </w:rPr>
              <w:t>Percentage</w:t>
            </w:r>
          </w:p>
        </w:tc>
      </w:tr>
      <w:tr>
        <w:trPr>
          <w:trHeight w:val="209"/>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5% and Greater Stockholders:</w:t>
            </w: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 xml:space="preserve">Leen Kawas </w:t>
            </w:r>
            <w:r>
              <w:rPr>
                <w:rFonts w:ascii="Arial" w:cs="Arial" w:eastAsia="Arial" w:hAnsi="Arial"/>
                <w:sz w:val="15"/>
                <w:szCs w:val="15"/>
                <w:color w:val="auto"/>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13,343,333</w:t>
            </w: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Perceptive Life Sciences Master Fund Ltd. </w:t>
            </w:r>
            <w:r>
              <w:rPr>
                <w:rFonts w:ascii="Arial" w:cs="Arial" w:eastAsia="Arial" w:hAnsi="Arial"/>
                <w:sz w:val="15"/>
                <w:szCs w:val="15"/>
                <w:color w:val="auto"/>
              </w:rPr>
              <w:t>(2)</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16,304,347</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11.6%</w:t>
            </w: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 xml:space="preserve">Entities affiliated with RTW Investments, LP </w:t>
            </w:r>
            <w:r>
              <w:rPr>
                <w:rFonts w:ascii="Arial" w:cs="Arial" w:eastAsia="Arial" w:hAnsi="Arial"/>
                <w:sz w:val="15"/>
                <w:szCs w:val="15"/>
                <w:color w:val="auto"/>
              </w:rPr>
              <w:t>(3)</w:t>
            </w:r>
          </w:p>
        </w:tc>
        <w:tc>
          <w:tcPr>
            <w:tcW w:w="1120" w:type="dxa"/>
            <w:vAlign w:val="bottom"/>
          </w:tcPr>
          <w:p>
            <w:pPr>
              <w:jc w:val="right"/>
              <w:spacing w:after="0"/>
              <w:rPr>
                <w:sz w:val="20"/>
                <w:szCs w:val="20"/>
                <w:color w:val="auto"/>
              </w:rPr>
            </w:pPr>
            <w:r>
              <w:rPr>
                <w:rFonts w:ascii="Arial" w:cs="Arial" w:eastAsia="Arial" w:hAnsi="Arial"/>
                <w:sz w:val="18"/>
                <w:szCs w:val="18"/>
                <w:color w:val="auto"/>
              </w:rPr>
              <w:t>15,217,390</w:t>
            </w: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Viking Global Opportunities Illiquid Investments</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06"/>
        </w:trPr>
        <w:tc>
          <w:tcPr>
            <w:tcW w:w="5780" w:type="dxa"/>
            <w:vAlign w:val="bottom"/>
            <w:shd w:val="clear" w:color="auto" w:fill="CFF0FC"/>
          </w:tcPr>
          <w:p>
            <w:pPr>
              <w:ind w:left="160"/>
              <w:spacing w:after="0" w:line="206" w:lineRule="exact"/>
              <w:rPr>
                <w:sz w:val="20"/>
                <w:szCs w:val="20"/>
                <w:color w:val="auto"/>
              </w:rPr>
            </w:pPr>
            <w:r>
              <w:rPr>
                <w:rFonts w:ascii="Arial" w:cs="Arial" w:eastAsia="Arial" w:hAnsi="Arial"/>
                <w:sz w:val="18"/>
                <w:szCs w:val="18"/>
                <w:color w:val="auto"/>
              </w:rPr>
              <w:t xml:space="preserve">Sub-Master LP </w:t>
            </w:r>
            <w:r>
              <w:rPr>
                <w:rFonts w:ascii="Arial" w:cs="Arial" w:eastAsia="Arial" w:hAnsi="Arial"/>
                <w:sz w:val="15"/>
                <w:szCs w:val="15"/>
                <w:color w:val="auto"/>
              </w:rPr>
              <w:t>(4)</w:t>
            </w:r>
          </w:p>
        </w:tc>
        <w:tc>
          <w:tcPr>
            <w:tcW w:w="112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10,869,565</w:t>
            </w:r>
          </w:p>
        </w:tc>
        <w:tc>
          <w:tcPr>
            <w:tcW w:w="2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60"/>
              <w:spacing w:after="0" w:line="206" w:lineRule="exact"/>
              <w:rPr>
                <w:sz w:val="20"/>
                <w:szCs w:val="20"/>
                <w:color w:val="auto"/>
              </w:rPr>
            </w:pPr>
            <w:r>
              <w:rPr>
                <w:rFonts w:ascii="Arial" w:cs="Arial" w:eastAsia="Arial" w:hAnsi="Arial"/>
                <w:sz w:val="18"/>
                <w:szCs w:val="18"/>
                <w:color w:val="auto"/>
              </w:rPr>
              <w:t>7.8%</w:t>
            </w: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8"/>
                <w:szCs w:val="18"/>
                <w:color w:val="auto"/>
              </w:rPr>
              <w:t>Entities affiliated with Franklin Templeton</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6"/>
        </w:trPr>
        <w:tc>
          <w:tcPr>
            <w:tcW w:w="5780" w:type="dxa"/>
            <w:vAlign w:val="bottom"/>
          </w:tcPr>
          <w:p>
            <w:pPr>
              <w:ind w:left="160"/>
              <w:spacing w:after="0" w:line="206" w:lineRule="exact"/>
              <w:rPr>
                <w:sz w:val="20"/>
                <w:szCs w:val="20"/>
                <w:color w:val="auto"/>
              </w:rPr>
            </w:pPr>
            <w:r>
              <w:rPr>
                <w:rFonts w:ascii="Arial" w:cs="Arial" w:eastAsia="Arial" w:hAnsi="Arial"/>
                <w:sz w:val="18"/>
                <w:szCs w:val="18"/>
                <w:color w:val="auto"/>
              </w:rPr>
              <w:t xml:space="preserve">Investments </w:t>
            </w:r>
            <w:r>
              <w:rPr>
                <w:rFonts w:ascii="Arial" w:cs="Arial" w:eastAsia="Arial" w:hAnsi="Arial"/>
                <w:sz w:val="15"/>
                <w:szCs w:val="15"/>
                <w:color w:val="auto"/>
              </w:rPr>
              <w:t>(5)</w:t>
            </w:r>
          </w:p>
        </w:tc>
        <w:tc>
          <w:tcPr>
            <w:tcW w:w="1120" w:type="dxa"/>
            <w:vAlign w:val="bottom"/>
          </w:tcPr>
          <w:p>
            <w:pPr>
              <w:jc w:val="right"/>
              <w:spacing w:after="0" w:line="206" w:lineRule="exact"/>
              <w:rPr>
                <w:sz w:val="20"/>
                <w:szCs w:val="20"/>
                <w:color w:val="auto"/>
              </w:rPr>
            </w:pPr>
            <w:r>
              <w:rPr>
                <w:rFonts w:ascii="Arial" w:cs="Arial" w:eastAsia="Arial" w:hAnsi="Arial"/>
                <w:sz w:val="18"/>
                <w:szCs w:val="18"/>
                <w:color w:val="auto"/>
              </w:rPr>
              <w:t>7,608,694</w:t>
            </w:r>
          </w:p>
        </w:tc>
        <w:tc>
          <w:tcPr>
            <w:tcW w:w="240" w:type="dxa"/>
            <w:vAlign w:val="bottom"/>
          </w:tcPr>
          <w:p>
            <w:pPr>
              <w:spacing w:after="0"/>
              <w:rPr>
                <w:sz w:val="17"/>
                <w:szCs w:val="17"/>
                <w:color w:val="auto"/>
              </w:rPr>
            </w:pPr>
          </w:p>
        </w:tc>
        <w:tc>
          <w:tcPr>
            <w:tcW w:w="1460" w:type="dxa"/>
            <w:vAlign w:val="bottom"/>
            <w:gridSpan w:val="2"/>
          </w:tcPr>
          <w:p>
            <w:pPr>
              <w:jc w:val="right"/>
              <w:ind w:right="160"/>
              <w:spacing w:after="0" w:line="206" w:lineRule="exact"/>
              <w:rPr>
                <w:sz w:val="20"/>
                <w:szCs w:val="20"/>
                <w:color w:val="auto"/>
              </w:rPr>
            </w:pPr>
            <w:r>
              <w:rPr>
                <w:rFonts w:ascii="Arial" w:cs="Arial" w:eastAsia="Arial" w:hAnsi="Arial"/>
                <w:sz w:val="18"/>
                <w:szCs w:val="18"/>
                <w:color w:val="auto"/>
              </w:rPr>
              <w:t>5.4%</w:t>
            </w: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Named Executive Officers and Directors:</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 xml:space="preserve">Leen Kawas </w:t>
            </w:r>
            <w:r>
              <w:rPr>
                <w:rFonts w:ascii="Arial" w:cs="Arial" w:eastAsia="Arial" w:hAnsi="Arial"/>
                <w:sz w:val="15"/>
                <w:szCs w:val="15"/>
                <w:color w:val="auto"/>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13,343,333</w:t>
            </w: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Mark Litton </w:t>
            </w:r>
            <w:r>
              <w:rPr>
                <w:rFonts w:ascii="Arial" w:cs="Arial" w:eastAsia="Arial" w:hAnsi="Arial"/>
                <w:sz w:val="15"/>
                <w:szCs w:val="15"/>
                <w:color w:val="auto"/>
              </w:rPr>
              <w:t>(6)</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660,236</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 xml:space="preserve">Kevin Church </w:t>
            </w:r>
            <w:r>
              <w:rPr>
                <w:rFonts w:ascii="Arial" w:cs="Arial" w:eastAsia="Arial" w:hAnsi="Arial"/>
                <w:sz w:val="15"/>
                <w:szCs w:val="15"/>
                <w:color w:val="auto"/>
              </w:rPr>
              <w:t>(7)</w:t>
            </w:r>
          </w:p>
        </w:tc>
        <w:tc>
          <w:tcPr>
            <w:tcW w:w="1120" w:type="dxa"/>
            <w:vAlign w:val="bottom"/>
          </w:tcPr>
          <w:p>
            <w:pPr>
              <w:jc w:val="right"/>
              <w:spacing w:after="0"/>
              <w:rPr>
                <w:sz w:val="20"/>
                <w:szCs w:val="20"/>
                <w:color w:val="auto"/>
              </w:rPr>
            </w:pPr>
            <w:r>
              <w:rPr>
                <w:rFonts w:ascii="Arial" w:cs="Arial" w:eastAsia="Arial" w:hAnsi="Arial"/>
                <w:sz w:val="18"/>
                <w:szCs w:val="18"/>
                <w:color w:val="auto"/>
              </w:rPr>
              <w:t>400,000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Tadataka Yamada </w:t>
            </w:r>
            <w:r>
              <w:rPr>
                <w:rFonts w:ascii="Arial" w:cs="Arial" w:eastAsia="Arial" w:hAnsi="Arial"/>
                <w:sz w:val="15"/>
                <w:szCs w:val="15"/>
                <w:color w:val="auto"/>
              </w:rPr>
              <w:t>(8)</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233,333</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 xml:space="preserve">Joseph Edelman </w:t>
            </w:r>
            <w:r>
              <w:rPr>
                <w:rFonts w:ascii="Arial" w:cs="Arial" w:eastAsia="Arial" w:hAnsi="Arial"/>
                <w:sz w:val="15"/>
                <w:szCs w:val="15"/>
                <w:color w:val="auto"/>
              </w:rPr>
              <w:t>(9)</w:t>
            </w:r>
          </w:p>
        </w:tc>
        <w:tc>
          <w:tcPr>
            <w:tcW w:w="1120" w:type="dxa"/>
            <w:vAlign w:val="bottom"/>
          </w:tcPr>
          <w:p>
            <w:pPr>
              <w:jc w:val="right"/>
              <w:spacing w:after="0"/>
              <w:rPr>
                <w:sz w:val="20"/>
                <w:szCs w:val="20"/>
                <w:color w:val="auto"/>
              </w:rPr>
            </w:pPr>
            <w:r>
              <w:rPr>
                <w:rFonts w:ascii="Arial" w:cs="Arial" w:eastAsia="Arial" w:hAnsi="Arial"/>
                <w:sz w:val="18"/>
                <w:szCs w:val="18"/>
                <w:color w:val="auto"/>
              </w:rPr>
              <w:t>16,304,347</w:t>
            </w: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John M. Fluke, Jr. </w:t>
            </w:r>
            <w:r>
              <w:rPr>
                <w:rFonts w:ascii="Arial" w:cs="Arial" w:eastAsia="Arial" w:hAnsi="Arial"/>
                <w:sz w:val="15"/>
                <w:szCs w:val="15"/>
                <w:color w:val="auto"/>
              </w:rPr>
              <w:t>(10)</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1,127,752</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 xml:space="preserve">James A. Johnson </w:t>
            </w:r>
            <w:r>
              <w:rPr>
                <w:rFonts w:ascii="Arial" w:cs="Arial" w:eastAsia="Arial" w:hAnsi="Arial"/>
                <w:sz w:val="15"/>
                <w:szCs w:val="15"/>
                <w:color w:val="auto"/>
              </w:rPr>
              <w:t>(11)</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All directors and executive officers as a group</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06"/>
        </w:trPr>
        <w:tc>
          <w:tcPr>
            <w:tcW w:w="5780" w:type="dxa"/>
            <w:vAlign w:val="bottom"/>
            <w:shd w:val="clear" w:color="auto" w:fill="CFF0FC"/>
          </w:tcPr>
          <w:p>
            <w:pPr>
              <w:ind w:left="160"/>
              <w:spacing w:after="0" w:line="206" w:lineRule="exact"/>
              <w:rPr>
                <w:sz w:val="20"/>
                <w:szCs w:val="20"/>
                <w:color w:val="auto"/>
              </w:rPr>
            </w:pPr>
            <w:r>
              <w:rPr>
                <w:rFonts w:ascii="Arial" w:cs="Arial" w:eastAsia="Arial" w:hAnsi="Arial"/>
                <w:sz w:val="18"/>
                <w:szCs w:val="18"/>
                <w:color w:val="auto"/>
              </w:rPr>
              <w:t xml:space="preserve">(9 persons) </w:t>
            </w:r>
            <w:r>
              <w:rPr>
                <w:rFonts w:ascii="Arial" w:cs="Arial" w:eastAsia="Arial" w:hAnsi="Arial"/>
                <w:sz w:val="15"/>
                <w:szCs w:val="15"/>
                <w:color w:val="auto"/>
              </w:rPr>
              <w:t>(12)</w:t>
            </w:r>
          </w:p>
        </w:tc>
        <w:tc>
          <w:tcPr>
            <w:tcW w:w="112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32,831,501</w:t>
            </w:r>
          </w:p>
        </w:tc>
        <w:tc>
          <w:tcPr>
            <w:tcW w:w="2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60"/>
              <w:spacing w:after="0" w:line="206" w:lineRule="exact"/>
              <w:rPr>
                <w:sz w:val="20"/>
                <w:szCs w:val="20"/>
                <w:color w:val="auto"/>
              </w:rPr>
            </w:pPr>
            <w:r>
              <w:rPr>
                <w:rFonts w:ascii="Arial" w:cs="Arial" w:eastAsia="Arial" w:hAnsi="Arial"/>
                <w:sz w:val="18"/>
                <w:szCs w:val="18"/>
                <w:color w:val="auto"/>
              </w:rPr>
              <w:t>22.9%</w:t>
            </w: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626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201" w:lineRule="exact"/>
        <w:rPr>
          <w:sz w:val="20"/>
          <w:szCs w:val="20"/>
          <w:color w:val="auto"/>
        </w:rPr>
      </w:pPr>
    </w:p>
    <w:p>
      <w:pPr>
        <w:ind w:left="480" w:hanging="472"/>
        <w:spacing w:after="0"/>
        <w:tabs>
          <w:tab w:leader="none" w:pos="4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common stock.</w:t>
      </w:r>
    </w:p>
    <w:p>
      <w:pPr>
        <w:spacing w:after="0" w:line="42" w:lineRule="exact"/>
        <w:rPr>
          <w:sz w:val="20"/>
          <w:szCs w:val="20"/>
          <w:color w:val="auto"/>
        </w:rPr>
      </w:pPr>
    </w:p>
    <w:p>
      <w:pPr>
        <w:ind w:left="480" w:right="40" w:hanging="472"/>
        <w:spacing w:after="0" w:line="258" w:lineRule="auto"/>
        <w:tabs>
          <w:tab w:leader="none" w:pos="4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2,100,000 shares held of record by Hamdan Family GST Trust, 8,860,000 shares held of record by Dr. Kawas and options to purchase 2,383,333 shares that are exercisable within 60 days of August 26, 2020, all of which will be vested as of October 25, 2020.</w:t>
      </w:r>
    </w:p>
    <w:p>
      <w:pPr>
        <w:spacing w:after="0" w:line="18" w:lineRule="exact"/>
        <w:rPr>
          <w:rFonts w:ascii="Arial" w:cs="Arial" w:eastAsia="Arial" w:hAnsi="Arial"/>
          <w:sz w:val="14"/>
          <w:szCs w:val="14"/>
          <w:color w:val="auto"/>
        </w:rPr>
      </w:pPr>
    </w:p>
    <w:p>
      <w:pPr>
        <w:ind w:left="480" w:hanging="472"/>
        <w:spacing w:after="0" w:line="249" w:lineRule="auto"/>
        <w:tabs>
          <w:tab w:leader="none" w:pos="4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16,304,347 shares held of record by Perceptive Life Sciences Master Fund Ltd., or Perceptive. The business address of Perceptive is 51 Astor Place, 10th Floor, New York, NY 10003. Perceptive Advisors LLC serves as the investment manager of Perceptive. Joseph Edelman is the managing member of Perceptive Advisors LLC and he may be deemed to beneficially own the shares held by Perceptive.</w:t>
      </w:r>
    </w:p>
    <w:p>
      <w:pPr>
        <w:spacing w:after="0" w:line="25" w:lineRule="exact"/>
        <w:rPr>
          <w:rFonts w:ascii="Arial" w:cs="Arial" w:eastAsia="Arial" w:hAnsi="Arial"/>
          <w:sz w:val="14"/>
          <w:szCs w:val="14"/>
          <w:color w:val="auto"/>
        </w:rPr>
      </w:pPr>
    </w:p>
    <w:p>
      <w:pPr>
        <w:ind w:left="480" w:right="20" w:hanging="472"/>
        <w:spacing w:after="0" w:line="244" w:lineRule="auto"/>
        <w:tabs>
          <w:tab w:leader="none" w:pos="4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15,217,390 shares held of record in the aggregate by RTW Master Fund, Ltd., RTW Innovation Master Fund, Ltd. and RTW Venture Fund Limited. RTW Investments, LP has the power to direct the vote and disposition of securities held by RTW Master Fund, Ltd., RTW Innovation Master Fund, Ltd. and RTW Venture Fund Limited. Accordingly, RTW Investments, LP may be deemed to be the beneficial owner of such securities. Roderick Wong, M.D. has the power to direct the vote and disposition of the securities held by RTW Investments, LP. Dr. Wong is the managing member of RTW Investments GP, LLC, which is the general partner of RTW Investments, LP. Dr. Wong disclaims beneficial ownership of the shares held by RTW Master Fund, Ltd., RTW Innovation Master Fund, Ltd., and RTW Venture Fund Limited, except to the extent of his pecuniary interest therein. The address and principal office of RTW Investments, LP and Dr. Wong is 40 10th Avenue, Floor 7, New York, NY 10014.</w:t>
      </w:r>
    </w:p>
    <w:p>
      <w:pPr>
        <w:spacing w:after="0" w:line="28" w:lineRule="exact"/>
        <w:rPr>
          <w:rFonts w:ascii="Arial" w:cs="Arial" w:eastAsia="Arial" w:hAnsi="Arial"/>
          <w:sz w:val="14"/>
          <w:szCs w:val="14"/>
          <w:color w:val="auto"/>
        </w:rPr>
      </w:pPr>
    </w:p>
    <w:p>
      <w:pPr>
        <w:ind w:left="480" w:right="180" w:hanging="472"/>
        <w:spacing w:after="0" w:line="244" w:lineRule="auto"/>
        <w:tabs>
          <w:tab w:leader="none" w:pos="4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10,869,565 shares held of record by Viking Global Opportunities Illiquid Investments Sub-Master LP, or Opportunities Fund. Opportunities Fund has the authority to dispose of and vote the shares directly owned by it, which power may be exercised by its general partner, Viking Global Opportunities Portfolio GP LLC, or Opportunities GP, and by Viking Global investors LP, or VGI, which provides managerial services to Opportunities Fund. O. Andreas Halvorsen, David C. Ott and Rose Shabet, as Executive Committee members of Viking Global Partners LLC (the general partner of VGI) and Opportunities GP, have shared authority to direct the voting and disposition of investments beneficially owned by VGI and Opportunities GP. The business address of the Opportunities Fund is c/o Viking Global Investors LP, 55 Railroad Avenue, Greenwich, CT 06830.</w:t>
      </w:r>
    </w:p>
    <w:p>
      <w:pPr>
        <w:spacing w:after="0" w:line="30" w:lineRule="exact"/>
        <w:rPr>
          <w:rFonts w:ascii="Arial" w:cs="Arial" w:eastAsia="Arial" w:hAnsi="Arial"/>
          <w:sz w:val="14"/>
          <w:szCs w:val="14"/>
          <w:color w:val="auto"/>
        </w:rPr>
      </w:pPr>
    </w:p>
    <w:p>
      <w:pPr>
        <w:ind w:left="480" w:right="180" w:hanging="472"/>
        <w:spacing w:after="0" w:line="249" w:lineRule="auto"/>
        <w:tabs>
          <w:tab w:leader="none" w:pos="4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(a) 2,587,975 shares and a warrant to acquire 646,993 shares held of record by Franklin Strategic Series – Franklin Biotechnology Discovery Fund and (b) 3,498,981 shares and a warrant to acquire 874,745 shares held of record by Franklin Templeton Investment Funds – Franklin Biotechnology Discovery Fund. The business address of each of the entities is One Franklin Parkway, San Mateo, CA 94403.</w:t>
      </w:r>
    </w:p>
    <w:p>
      <w:pPr>
        <w:spacing w:after="0" w:line="25" w:lineRule="exact"/>
        <w:rPr>
          <w:rFonts w:ascii="Arial" w:cs="Arial" w:eastAsia="Arial" w:hAnsi="Arial"/>
          <w:sz w:val="14"/>
          <w:szCs w:val="14"/>
          <w:color w:val="auto"/>
        </w:rPr>
      </w:pPr>
    </w:p>
    <w:p>
      <w:pPr>
        <w:ind w:left="480" w:right="120" w:hanging="472"/>
        <w:spacing w:after="0" w:line="258" w:lineRule="auto"/>
        <w:tabs>
          <w:tab w:leader="none" w:pos="4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400,000 shares held by Dr. Litton, 104,095 shares held jointly by Dr. Litton and his spouse, and an aggregate of 156,141 shares held by Irrevocable Trust of OSL, the Irrevocable Trust of SWL, and the Irrevocable Trust of WGL, each of which are trusts held for the benefit of Dr. Litton’s children.</w:t>
      </w:r>
    </w:p>
    <w:p>
      <w:pPr>
        <w:spacing w:after="0" w:line="18" w:lineRule="exact"/>
        <w:rPr>
          <w:rFonts w:ascii="Arial" w:cs="Arial" w:eastAsia="Arial" w:hAnsi="Arial"/>
          <w:sz w:val="14"/>
          <w:szCs w:val="14"/>
          <w:color w:val="auto"/>
        </w:rPr>
      </w:pPr>
    </w:p>
    <w:p>
      <w:pPr>
        <w:ind w:left="480" w:right="140" w:hanging="472"/>
        <w:spacing w:after="0" w:line="258" w:lineRule="auto"/>
        <w:tabs>
          <w:tab w:leader="none" w:pos="4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300,000 shares held by Dr. Church and options to purchase 100,000 shares that are exercisable within 60 days of August 26, 2020, all of which will be vested as of October 25,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85" w:name="page186"/>
    <w:bookmarkEnd w:id="185"/>
    <w:p>
      <w:pPr>
        <w:ind w:left="472" w:hanging="472"/>
        <w:spacing w:after="0"/>
        <w:tabs>
          <w:tab w:leader="none" w:pos="472"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Consists of options to purchase 233,333 shares that are exercisable within 60 days of August 26, 2020, all of which will be vested as of October 25, 2020.</w:t>
      </w:r>
    </w:p>
    <w:p>
      <w:pPr>
        <w:spacing w:after="0" w:line="41" w:lineRule="exact"/>
        <w:rPr>
          <w:rFonts w:ascii="Arial" w:cs="Arial" w:eastAsia="Arial" w:hAnsi="Arial"/>
          <w:sz w:val="14"/>
          <w:szCs w:val="14"/>
          <w:color w:val="auto"/>
        </w:rPr>
      </w:pPr>
    </w:p>
    <w:p>
      <w:pPr>
        <w:ind w:left="472" w:hanging="472"/>
        <w:spacing w:after="0"/>
        <w:tabs>
          <w:tab w:leader="none" w:pos="472"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Consists of the shares referenced in footnote (2) above.</w:t>
      </w:r>
    </w:p>
    <w:p>
      <w:pPr>
        <w:spacing w:after="0" w:line="41" w:lineRule="exact"/>
        <w:rPr>
          <w:rFonts w:ascii="Arial" w:cs="Arial" w:eastAsia="Arial" w:hAnsi="Arial"/>
          <w:sz w:val="14"/>
          <w:szCs w:val="14"/>
          <w:color w:val="auto"/>
        </w:rPr>
      </w:pPr>
    </w:p>
    <w:p>
      <w:pPr>
        <w:ind w:left="472" w:right="80" w:hanging="472"/>
        <w:spacing w:after="0" w:line="258" w:lineRule="auto"/>
        <w:tabs>
          <w:tab w:leader="none" w:pos="472"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Consists of 53,379 shares held of record by Fluke Capital Management, L.P., 911,040 shares held by Mr. Fluke, and options to purchase 163,333 shares that are exercisable within 60 days of August 26, 2020, all of which will be vested as of October 25, 2020.</w:t>
      </w:r>
    </w:p>
    <w:p>
      <w:pPr>
        <w:spacing w:after="0" w:line="18" w:lineRule="exact"/>
        <w:rPr>
          <w:rFonts w:ascii="Arial" w:cs="Arial" w:eastAsia="Arial" w:hAnsi="Arial"/>
          <w:sz w:val="14"/>
          <w:szCs w:val="14"/>
          <w:color w:val="auto"/>
        </w:rPr>
      </w:pPr>
    </w:p>
    <w:p>
      <w:pPr>
        <w:ind w:left="472" w:hanging="472"/>
        <w:spacing w:after="0"/>
        <w:tabs>
          <w:tab w:leader="none" w:pos="472" w:val="left"/>
        </w:tabs>
        <w:numPr>
          <w:ilvl w:val="0"/>
          <w:numId w:val="114"/>
        </w:numPr>
        <w:rPr>
          <w:rFonts w:ascii="Arial" w:cs="Arial" w:eastAsia="Arial" w:hAnsi="Arial"/>
          <w:sz w:val="14"/>
          <w:szCs w:val="14"/>
          <w:color w:val="auto"/>
        </w:rPr>
      </w:pPr>
      <w:r>
        <w:rPr>
          <w:rFonts w:ascii="Arial" w:cs="Arial" w:eastAsia="Arial" w:hAnsi="Arial"/>
          <w:sz w:val="14"/>
          <w:szCs w:val="14"/>
          <w:color w:val="auto"/>
        </w:rPr>
        <w:t>Mr. Johnson joined our board of directors in August 2020.</w:t>
      </w:r>
    </w:p>
    <w:p>
      <w:pPr>
        <w:spacing w:after="0" w:line="41" w:lineRule="exact"/>
        <w:rPr>
          <w:rFonts w:ascii="Arial" w:cs="Arial" w:eastAsia="Arial" w:hAnsi="Arial"/>
          <w:sz w:val="14"/>
          <w:szCs w:val="14"/>
          <w:color w:val="auto"/>
        </w:rPr>
      </w:pPr>
    </w:p>
    <w:p>
      <w:pPr>
        <w:ind w:left="472" w:hanging="472"/>
        <w:spacing w:after="0" w:line="258" w:lineRule="auto"/>
        <w:tabs>
          <w:tab w:leader="none" w:pos="472"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Consists of 29,839,002 shares held of record and options to purchase 2,992,499 shares that are exercisable within 60 days of August 26, 2020, all of which will be vested as of October 25, 2020.</w:t>
      </w:r>
    </w:p>
    <w:p>
      <w:pPr>
        <w:spacing w:after="0" w:line="188" w:lineRule="exact"/>
        <w:rPr>
          <w:sz w:val="20"/>
          <w:szCs w:val="20"/>
          <w:color w:val="auto"/>
        </w:rPr>
      </w:pPr>
    </w:p>
    <w:p>
      <w:pPr>
        <w:jc w:val="center"/>
        <w:ind w:right="-451"/>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1494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92"/>
          </w:cols>
          <w:pgMar w:left="328" w:top="428" w:right="779" w:bottom="1440" w:gutter="0" w:footer="0" w:header="0"/>
        </w:sectPr>
      </w:pPr>
    </w:p>
    <w:bookmarkStart w:id="186" w:name="page187"/>
    <w:bookmarkEnd w:id="186"/>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234" w:lineRule="exact"/>
        <w:rPr>
          <w:sz w:val="20"/>
          <w:szCs w:val="20"/>
          <w:color w:val="auto"/>
        </w:rPr>
      </w:pPr>
    </w:p>
    <w:p>
      <w:pPr>
        <w:ind w:right="140" w:firstLine="576"/>
        <w:spacing w:after="0"/>
        <w:rPr>
          <w:sz w:val="20"/>
          <w:szCs w:val="20"/>
          <w:color w:val="auto"/>
        </w:rPr>
      </w:pPr>
      <w:r>
        <w:rPr>
          <w:rFonts w:ascii="Arial" w:cs="Arial" w:eastAsia="Arial" w:hAnsi="Arial"/>
          <w:sz w:val="18"/>
          <w:szCs w:val="18"/>
          <w:color w:val="auto"/>
        </w:rPr>
        <w:t>This section provides a summary of the rights of our common stock and preferred stock. This summary is not complete. For more detailed information, please see our certificate of incorporation and bylaws, which are filed as exhibits to the registration statement of which this prospectus is a part.</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Upon the closing of this offering and the filing of our certificate of incorporation to be effective immediately prior to this offering, our</w:t>
      </w:r>
    </w:p>
    <w:p>
      <w:pPr>
        <w:ind w:right="20"/>
        <w:spacing w:after="0" w:line="246" w:lineRule="auto"/>
        <w:rPr>
          <w:sz w:val="20"/>
          <w:szCs w:val="20"/>
          <w:color w:val="auto"/>
        </w:rPr>
      </w:pPr>
      <w:r>
        <w:rPr>
          <w:rFonts w:ascii="Arial" w:cs="Arial" w:eastAsia="Arial" w:hAnsi="Arial"/>
          <w:sz w:val="18"/>
          <w:szCs w:val="18"/>
          <w:color w:val="auto"/>
        </w:rPr>
        <w:t>authorized capital stock will consist of shares of common stock, par value $0.0001 per share, andshares of preferred stock, par value $0.0001 per share.</w:t>
      </w:r>
    </w:p>
    <w:p>
      <w:pPr>
        <w:spacing w:after="0" w:line="197" w:lineRule="exact"/>
        <w:rPr>
          <w:sz w:val="20"/>
          <w:szCs w:val="20"/>
          <w:color w:val="auto"/>
        </w:rPr>
      </w:pPr>
    </w:p>
    <w:p>
      <w:pPr>
        <w:ind w:right="40" w:firstLine="576"/>
        <w:spacing w:after="0" w:line="234" w:lineRule="auto"/>
        <w:rPr>
          <w:sz w:val="20"/>
          <w:szCs w:val="20"/>
          <w:color w:val="auto"/>
        </w:rPr>
      </w:pPr>
      <w:r>
        <w:rPr>
          <w:rFonts w:ascii="Arial" w:cs="Arial" w:eastAsia="Arial" w:hAnsi="Arial"/>
          <w:sz w:val="18"/>
          <w:szCs w:val="18"/>
          <w:color w:val="auto"/>
        </w:rPr>
        <w:t>Immediately prior to the closing of this offering, all the outstanding shares of convertible preferred stock will automatically convert into an aggregate of 99,151,789 shares of common stock, the outstanding warrants to purchase shares of our Series B convertible preferred</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stock will convert into warrants to purchase an aggregate of shares of our common stock and the outstanding warrants will exercise into an aggregate of shares of our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126" w:lineRule="exact"/>
        <w:rPr>
          <w:sz w:val="20"/>
          <w:szCs w:val="20"/>
          <w:color w:val="auto"/>
        </w:rPr>
      </w:pPr>
    </w:p>
    <w:p>
      <w:pPr>
        <w:ind w:right="520" w:firstLine="576"/>
        <w:spacing w:after="0" w:line="234" w:lineRule="auto"/>
        <w:rPr>
          <w:sz w:val="20"/>
          <w:szCs w:val="20"/>
          <w:color w:val="auto"/>
        </w:rPr>
      </w:pPr>
      <w:r>
        <w:rPr>
          <w:rFonts w:ascii="Arial" w:cs="Arial" w:eastAsia="Arial" w:hAnsi="Arial"/>
          <w:sz w:val="18"/>
          <w:szCs w:val="18"/>
          <w:color w:val="auto"/>
        </w:rPr>
        <w:t>Based on 36,539,021 shares of common stock outstanding as of June 30, 2020, the conversion of convertible preferred stock outstanding as of June 30, 2020 into an aggregate of 99,151,789 shares of our common stock upon the completion of this offering, the</w:t>
      </w:r>
    </w:p>
    <w:p>
      <w:pPr>
        <w:spacing w:after="0" w:line="1"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issuance of an aggregate of shares of our common stock upon the exercise of outstanding warrants immediately prior to the completion of this offering, the issuance of shares of our common stock in this offering, and no exercise of the underwriters’ option to purchase additional shares and no exercise of options, there will be shares of common stock outstanding upon the closing of this</w:t>
      </w:r>
    </w:p>
    <w:p>
      <w:pPr>
        <w:spacing w:after="0" w:line="237" w:lineRule="auto"/>
        <w:rPr>
          <w:sz w:val="20"/>
          <w:szCs w:val="20"/>
          <w:color w:val="auto"/>
        </w:rPr>
      </w:pPr>
      <w:r>
        <w:rPr>
          <w:rFonts w:ascii="Arial" w:cs="Arial" w:eastAsia="Arial" w:hAnsi="Arial"/>
          <w:sz w:val="18"/>
          <w:szCs w:val="18"/>
          <w:color w:val="auto"/>
        </w:rPr>
        <w:t>offering. As of June 30, 2020, assuming the conversion of all outstanding convertible preferred stock into common stock upon the closing of</w:t>
      </w:r>
    </w:p>
    <w:p>
      <w:pPr>
        <w:ind w:right="100"/>
        <w:spacing w:after="0"/>
        <w:rPr>
          <w:sz w:val="20"/>
          <w:szCs w:val="20"/>
          <w:color w:val="auto"/>
        </w:rPr>
      </w:pPr>
      <w:r>
        <w:rPr>
          <w:rFonts w:ascii="Arial" w:cs="Arial" w:eastAsia="Arial" w:hAnsi="Arial"/>
          <w:sz w:val="18"/>
          <w:szCs w:val="18"/>
          <w:color w:val="auto"/>
        </w:rPr>
        <w:t>this offering and the issuance of shares of common stock upon the net exercise of certain outstanding warrants to purchase shares of our Series B convertible preferred stock and common stock immediately prior to the closing of this offering that would otherwise expire, we had approximately 141 record holders of our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Each share of common stock is entitled to one vote per share on all matters (including the election of directors) submitted to a vote of stockholders, unless otherwise required by law or our certificate of incorporation. Our certificate of incorporation and bylaws to be in effect upon the completion of this offering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26" w:lineRule="exact"/>
        <w:rPr>
          <w:sz w:val="20"/>
          <w:szCs w:val="20"/>
          <w:color w:val="auto"/>
        </w:rPr>
      </w:pPr>
    </w:p>
    <w:p>
      <w:pPr>
        <w:jc w:val="both"/>
        <w:ind w:right="140" w:firstLine="576"/>
        <w:spacing w:after="0"/>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 For more information see the section of this prospectus titled “Dividend Policy.”</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26"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Upon a liquidation event,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26"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Holders of common stock have no preemptive, conversion, subscription or other rights, and there are no redemption or sinking fund provisions applicable to our common stock. The rights, preferences and privileges of the holders of common stock are subject to, and may be adversely affected by, the rights of the holders of shares of any series of preferred stock that we may designate in the future.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26" w:lineRule="exact"/>
        <w:rPr>
          <w:sz w:val="20"/>
          <w:szCs w:val="20"/>
          <w:color w:val="auto"/>
        </w:rPr>
      </w:pPr>
    </w:p>
    <w:p>
      <w:pPr>
        <w:ind w:right="180" w:firstLine="576"/>
        <w:spacing w:after="0" w:line="246"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Upon the closing of this offering, our board of directors will have the authority, without further action by the stockholders, to issue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Upon closing of this offering, no shares of preferred stock will be outstanding, and we have no present plan to issue any shares of preferred stock.</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Under our investors’ rights agreement, as amended, following the closing of this offering, the holders of approximately</w:t>
      </w:r>
    </w:p>
    <w:p>
      <w:pPr>
        <w:ind w:right="200"/>
        <w:spacing w:after="0" w:line="234" w:lineRule="auto"/>
        <w:rPr>
          <w:sz w:val="20"/>
          <w:szCs w:val="20"/>
          <w:color w:val="auto"/>
        </w:rPr>
      </w:pPr>
      <w:r>
        <w:rPr>
          <w:rFonts w:ascii="Arial" w:cs="Arial" w:eastAsia="Arial" w:hAnsi="Arial"/>
          <w:sz w:val="18"/>
          <w:szCs w:val="18"/>
          <w:color w:val="auto"/>
        </w:rPr>
        <w:t>shares of common stock and common stock issuable upon conversion of outstanding convertible preferred stock, or their transferees, have the right to require us to register the offer and sale of their shares, which we refer to as registration rights. Additionally, the holders of</w:t>
      </w:r>
    </w:p>
    <w:p>
      <w:pPr>
        <w:ind w:left="760"/>
        <w:spacing w:after="0" w:line="236" w:lineRule="auto"/>
        <w:rPr>
          <w:sz w:val="20"/>
          <w:szCs w:val="20"/>
          <w:color w:val="auto"/>
        </w:rPr>
      </w:pPr>
      <w:r>
        <w:rPr>
          <w:rFonts w:ascii="Arial" w:cs="Arial" w:eastAsia="Arial" w:hAnsi="Arial"/>
          <w:sz w:val="18"/>
          <w:szCs w:val="18"/>
          <w:color w:val="auto"/>
        </w:rPr>
        <w:t>shares of common stock issuable upon exercise of warrants to purchase our Series B convertible preferred stock and common</w:t>
      </w:r>
    </w:p>
    <w:p>
      <w:pPr>
        <w:ind w:right="740"/>
        <w:spacing w:after="0" w:line="246" w:lineRule="auto"/>
        <w:rPr>
          <w:sz w:val="20"/>
          <w:szCs w:val="20"/>
          <w:color w:val="auto"/>
        </w:rPr>
      </w:pPr>
      <w:r>
        <w:rPr>
          <w:rFonts w:ascii="Arial" w:cs="Arial" w:eastAsia="Arial" w:hAnsi="Arial"/>
          <w:sz w:val="18"/>
          <w:szCs w:val="18"/>
          <w:color w:val="auto"/>
        </w:rPr>
        <w:t>stock, and the holders of shares of common stock issuable upon exercise of options to purchase our common stock, or their transferees, have registration rights.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At any time after six months after the date of this prospectus, the holders of at least 40% of the shares having demand registration rights have the right to demand that we use best efforts to file a registration statement for the registration of the offer. We are only obligated to file up to two registration statements in connection with the exercise of demand registration rights. These registration rights are subject to specified conditions and limitations, including the right of the underwriters to limit the number of shares included in any such registration under certain circumstances and our ability to defer the filing of a registration statement with respect to an exercise of such demand registration rights for up to 120 days under certain circumstances.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26"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At any time after we are qualified to file a registration statement on Form S-3, the holders of at least 30% of the shares having demand registration rights have the right to demand that we file a registration statement on Form S-3 so long as the aggregate number of shares to be offered and sold under such registration statement on Form S-3 is at least $5 million. We are not obligated to file any registration statements within 30 days of a registration statement that we propose. These investor registration rights are subject to specified conditions and limitations, including our ability to defer the filing of a registration statement with respect to an exercise of such Form S-3 registration rights for up to 90 days under certain circumstances.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26"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At any time immediately prior to the closing of this offering, if we propose to register the offer and sale of any of our securities under the Securities Act either for our own account or for the account of other stockholders, a stockholder with registration rights will have the right, subject to certain exceptions, to include their shares of common stock in the registration statement. These registration rights are subject to specified conditions and limitations, and any proposed offering in connection therewith may be terminated or withdrawn by us at our sole discretion.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26" w:lineRule="exact"/>
        <w:rPr>
          <w:sz w:val="20"/>
          <w:szCs w:val="20"/>
          <w:color w:val="auto"/>
        </w:rPr>
      </w:pPr>
    </w:p>
    <w:p>
      <w:pPr>
        <w:ind w:right="320" w:firstLine="576"/>
        <w:spacing w:after="0" w:line="246" w:lineRule="auto"/>
        <w:rPr>
          <w:sz w:val="20"/>
          <w:szCs w:val="20"/>
          <w:color w:val="auto"/>
        </w:rPr>
      </w:pPr>
      <w:r>
        <w:rPr>
          <w:rFonts w:ascii="Arial" w:cs="Arial" w:eastAsia="Arial" w:hAnsi="Arial"/>
          <w:sz w:val="18"/>
          <w:szCs w:val="18"/>
          <w:color w:val="auto"/>
        </w:rPr>
        <w:t>We will pay all expenses relating to any demand registrations, Form S-3 registrations and piggyback registrations, other than underwriting discounts and selling commissions and up to $50,000 of fees and disbursements of one counsel to the selling stockholders.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126"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The registration rights terminate upon the earliest of (1) a merger or acquisition; (2) as to a given holder of registration rights, when such holder of registration rights can sell all of such holder’s registrable securities in a three month-period pursuant to Rule 144 promulgated under the Securities Act; and (3) the date that is three years after the closing of this offering.</w:t>
      </w:r>
    </w:p>
    <w:p>
      <w:pPr>
        <w:spacing w:after="0" w:line="289" w:lineRule="exact"/>
        <w:rPr>
          <w:sz w:val="20"/>
          <w:szCs w:val="20"/>
          <w:color w:val="auto"/>
        </w:rPr>
      </w:pPr>
    </w:p>
    <w:p>
      <w:pPr>
        <w:ind w:right="2300"/>
        <w:spacing w:after="0" w:line="372" w:lineRule="auto"/>
        <w:rPr>
          <w:sz w:val="20"/>
          <w:szCs w:val="20"/>
          <w:color w:val="auto"/>
        </w:rPr>
      </w:pPr>
      <w:r>
        <w:rPr>
          <w:rFonts w:ascii="Arial" w:cs="Arial" w:eastAsia="Arial" w:hAnsi="Arial"/>
          <w:sz w:val="18"/>
          <w:szCs w:val="18"/>
          <w:b w:val="1"/>
          <w:bCs w:val="1"/>
          <w:color w:val="auto"/>
        </w:rPr>
        <w:t xml:space="preserve">Anti-Takeover Effects of Delaware and Washington Law and Our Certificate of Incorporation and Bylaws </w:t>
      </w:r>
      <w:r>
        <w:rPr>
          <w:rFonts w:ascii="Arial" w:cs="Arial" w:eastAsia="Arial" w:hAnsi="Arial"/>
          <w:sz w:val="18"/>
          <w:szCs w:val="18"/>
          <w:b w:val="1"/>
          <w:bCs w:val="1"/>
          <w:i w:val="1"/>
          <w:iCs w:val="1"/>
          <w:color w:val="auto"/>
        </w:rPr>
        <w:t>Delaware Law</w:t>
      </w:r>
    </w:p>
    <w:p>
      <w:pPr>
        <w:spacing w:after="0" w:line="1" w:lineRule="exact"/>
        <w:rPr>
          <w:sz w:val="20"/>
          <w:szCs w:val="20"/>
          <w:color w:val="auto"/>
        </w:rPr>
      </w:pPr>
    </w:p>
    <w:p>
      <w:pPr>
        <w:ind w:right="280" w:firstLine="576"/>
        <w:spacing w:after="0"/>
        <w:rPr>
          <w:sz w:val="20"/>
          <w:szCs w:val="20"/>
          <w:color w:val="auto"/>
        </w:rPr>
      </w:pPr>
      <w:r>
        <w:rPr>
          <w:rFonts w:ascii="Arial" w:cs="Arial" w:eastAsia="Arial" w:hAnsi="Arial"/>
          <w:sz w:val="18"/>
          <w:szCs w:val="18"/>
          <w:color w:val="auto"/>
        </w:rPr>
        <w:t>We are subject to Section 203 of the Delaware General Corporation Law. Section 203 generally prohibits a publicly held Delaware corporation from engaging in a “business combination” with any “interested stockholder” for a period of three years after the date of the transaction in which the person became an interested stockholder, unless:</w:t>
      </w:r>
    </w:p>
    <w:p>
      <w:pPr>
        <w:spacing w:after="0" w:line="95" w:lineRule="exact"/>
        <w:rPr>
          <w:sz w:val="20"/>
          <w:szCs w:val="20"/>
          <w:color w:val="auto"/>
        </w:rPr>
      </w:pPr>
    </w:p>
    <w:p>
      <w:pPr>
        <w:ind w:left="1300" w:right="60" w:hanging="442"/>
        <w:spacing w:after="0" w:line="246" w:lineRule="auto"/>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96" w:lineRule="exact"/>
        <w:rPr>
          <w:rFonts w:ascii="Arial" w:cs="Arial" w:eastAsia="Arial" w:hAnsi="Arial"/>
          <w:sz w:val="18"/>
          <w:szCs w:val="18"/>
          <w:color w:val="auto"/>
        </w:rPr>
      </w:pPr>
    </w:p>
    <w:p>
      <w:pPr>
        <w:ind w:left="1300" w:hanging="442"/>
        <w:spacing w:after="0" w:line="238" w:lineRule="auto"/>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189" w:name="page190"/>
    <w:bookmarkEnd w:id="189"/>
    <w:p>
      <w:pPr>
        <w:jc w:val="both"/>
        <w:ind w:left="1300" w:right="360" w:hanging="442"/>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the board and authorized at an annual or special meeting of stockholders, and not by written consent, by the affirmative vote of at least two-thirds of the outstanding voting stock which is not owned by the interested stockholder.</w:t>
      </w:r>
    </w:p>
    <w:p>
      <w:pPr>
        <w:spacing w:after="0" w:line="202" w:lineRule="exact"/>
        <w:rPr>
          <w:rFonts w:ascii="Arial" w:cs="Arial" w:eastAsia="Arial" w:hAnsi="Arial"/>
          <w:sz w:val="18"/>
          <w:szCs w:val="18"/>
          <w:color w:val="auto"/>
        </w:rPr>
      </w:pPr>
    </w:p>
    <w:p>
      <w:pPr>
        <w:ind w:left="1300" w:hanging="442"/>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Section 203 defines a business combination to include:</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1300" w:right="640" w:hanging="442"/>
        <w:spacing w:after="0" w:line="246" w:lineRule="auto"/>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sale, transfer, pledge or other disposition involving the interested stockholder of 10% or more of the assets of the corporation;</w:t>
      </w:r>
    </w:p>
    <w:p>
      <w:pPr>
        <w:spacing w:after="0" w:line="196" w:lineRule="exact"/>
        <w:rPr>
          <w:rFonts w:ascii="Arial" w:cs="Arial" w:eastAsia="Arial" w:hAnsi="Arial"/>
          <w:sz w:val="18"/>
          <w:szCs w:val="18"/>
          <w:color w:val="auto"/>
        </w:rPr>
      </w:pPr>
    </w:p>
    <w:p>
      <w:pPr>
        <w:ind w:left="1300" w:right="880" w:hanging="442"/>
        <w:spacing w:after="0" w:line="246" w:lineRule="auto"/>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196" w:lineRule="exact"/>
        <w:rPr>
          <w:rFonts w:ascii="Arial" w:cs="Arial" w:eastAsia="Arial" w:hAnsi="Arial"/>
          <w:sz w:val="18"/>
          <w:szCs w:val="18"/>
          <w:color w:val="auto"/>
        </w:rPr>
      </w:pPr>
    </w:p>
    <w:p>
      <w:pPr>
        <w:ind w:left="1300" w:right="60" w:hanging="442"/>
        <w:spacing w:after="0" w:line="246" w:lineRule="auto"/>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and</w:t>
      </w:r>
    </w:p>
    <w:p>
      <w:pPr>
        <w:spacing w:after="0" w:line="196" w:lineRule="exact"/>
        <w:rPr>
          <w:rFonts w:ascii="Arial" w:cs="Arial" w:eastAsia="Arial" w:hAnsi="Arial"/>
          <w:sz w:val="18"/>
          <w:szCs w:val="18"/>
          <w:color w:val="auto"/>
        </w:rPr>
      </w:pPr>
    </w:p>
    <w:p>
      <w:pPr>
        <w:ind w:left="1300" w:right="640" w:hanging="442"/>
        <w:spacing w:after="0" w:line="246" w:lineRule="auto"/>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Washington Business Corporation Act</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laws of Washington, where our principal executive offices are located, impose restrictions on certain transactions between certain foreign corporations and significant stockholders. In particular, the Washington Business Corporation Act, or WBCA, prohibits a “target corporation,” with certain exceptions, from engaging in certain “significant business transactions” with a person or group of persons which beneficially owns 10% or more of the voting securities of the target corporation, an “acquiring person,” for a period of five years after such acquisition, unless the transaction or acquisition of shares is approved by a majority of the members of the target corporation’s board of directors prior to the time of acquisition. Such prohibited transactions may include, among other things:</w:t>
      </w:r>
    </w:p>
    <w:p>
      <w:pPr>
        <w:spacing w:after="0" w:line="97" w:lineRule="exact"/>
        <w:rPr>
          <w:sz w:val="20"/>
          <w:szCs w:val="20"/>
          <w:color w:val="auto"/>
        </w:rPr>
      </w:pPr>
    </w:p>
    <w:p>
      <w:pPr>
        <w:ind w:left="1300" w:right="620" w:hanging="442"/>
        <w:spacing w:after="0" w:line="246" w:lineRule="auto"/>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merger or consolidation with, disposition of assets to, or issuance or redemption of stock to or from, the acquiring person;</w:t>
      </w:r>
    </w:p>
    <w:p>
      <w:pPr>
        <w:spacing w:after="0" w:line="88" w:lineRule="exact"/>
        <w:rPr>
          <w:rFonts w:ascii="Arial" w:cs="Arial" w:eastAsia="Arial" w:hAnsi="Arial"/>
          <w:sz w:val="18"/>
          <w:szCs w:val="18"/>
          <w:color w:val="auto"/>
        </w:rPr>
      </w:pPr>
    </w:p>
    <w:p>
      <w:pPr>
        <w:ind w:left="1300" w:right="160" w:hanging="442"/>
        <w:spacing w:after="0" w:line="246" w:lineRule="auto"/>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termination of 5% or more of the employees of the target corporation as a result of the acquiring person’s acquisition of 10% or more of the shares; and</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allowing the acquiring person to receive any disproportionate benefit as a stockholder.</w:t>
      </w:r>
    </w:p>
    <w:p>
      <w:pPr>
        <w:spacing w:after="0" w:line="225" w:lineRule="exact"/>
        <w:rPr>
          <w:sz w:val="20"/>
          <w:szCs w:val="20"/>
          <w:color w:val="auto"/>
        </w:rPr>
      </w:pPr>
    </w:p>
    <w:p>
      <w:pPr>
        <w:ind w:right="140" w:firstLine="576"/>
        <w:spacing w:after="0" w:line="246" w:lineRule="auto"/>
        <w:rPr>
          <w:sz w:val="20"/>
          <w:szCs w:val="20"/>
          <w:color w:val="auto"/>
        </w:rPr>
      </w:pPr>
      <w:r>
        <w:rPr>
          <w:rFonts w:ascii="Arial" w:cs="Arial" w:eastAsia="Arial" w:hAnsi="Arial"/>
          <w:sz w:val="18"/>
          <w:szCs w:val="18"/>
          <w:color w:val="auto"/>
        </w:rPr>
        <w:t>After the five-year period, a significant business transaction may take place as long as it complies with certain fair price provisions of the statute or is approved at an annual or special meeting of stockholders.</w:t>
      </w:r>
    </w:p>
    <w:p>
      <w:pPr>
        <w:spacing w:after="0" w:line="197"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We will be considered a “target corporation” so long as our principal executive office is located in Washington, and: (1) a majority of our employees are residents of the state of Washington or we employ more than one thousand residents of the state of Washington; (2) a majority of our tangible assets, measured by market value, are located in the state of Washington or we have more than $50 million worth of tangible assets located in the state of Washington; and (3) any one of the following: (a) more than 10% of our stockholders of record are resident in the state of Washington; (b) more than 10% of our shares are owned of record by state residents; or (c) 1,000 or more of our stockholders of record are resident in the state.</w:t>
      </w:r>
    </w:p>
    <w:p>
      <w:pPr>
        <w:spacing w:after="0" w:line="205" w:lineRule="exact"/>
        <w:rPr>
          <w:sz w:val="20"/>
          <w:szCs w:val="20"/>
          <w:color w:val="auto"/>
        </w:rPr>
      </w:pPr>
    </w:p>
    <w:p>
      <w:pPr>
        <w:ind w:right="540" w:firstLine="576"/>
        <w:spacing w:after="0" w:line="246" w:lineRule="auto"/>
        <w:rPr>
          <w:sz w:val="20"/>
          <w:szCs w:val="20"/>
          <w:color w:val="auto"/>
        </w:rPr>
      </w:pPr>
      <w:r>
        <w:rPr>
          <w:rFonts w:ascii="Arial" w:cs="Arial" w:eastAsia="Arial" w:hAnsi="Arial"/>
          <w:sz w:val="18"/>
          <w:szCs w:val="18"/>
          <w:color w:val="auto"/>
        </w:rPr>
        <w:t>If we meet the definition of a target corporation, the WBCA may have the effect of delaying, deferring or preventing a change of control.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2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 will</w:t>
      </w:r>
    </w:p>
    <w:p>
      <w:pPr>
        <w:spacing w:after="0" w:line="83" w:lineRule="exact"/>
        <w:rPr>
          <w:sz w:val="20"/>
          <w:szCs w:val="20"/>
          <w:color w:val="auto"/>
        </w:rPr>
      </w:pPr>
    </w:p>
    <w:p>
      <w:pPr>
        <w:ind w:left="1300" w:right="480" w:hanging="442"/>
        <w:spacing w:after="0" w:line="246" w:lineRule="auto"/>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permit our board of directors to issue shares of preferred stock, with any rights, preferences and privileges as they may designate;</w:t>
      </w:r>
    </w:p>
    <w:p>
      <w:pPr>
        <w:spacing w:after="0" w:line="156" w:lineRule="exact"/>
        <w:rPr>
          <w:rFonts w:ascii="Arial" w:cs="Arial" w:eastAsia="Arial" w:hAnsi="Arial"/>
          <w:sz w:val="18"/>
          <w:szCs w:val="18"/>
          <w:color w:val="auto"/>
        </w:rPr>
      </w:pPr>
    </w:p>
    <w:p>
      <w:pPr>
        <w:ind w:left="1300" w:hanging="442"/>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184" w:lineRule="exact"/>
        <w:rPr>
          <w:rFonts w:ascii="Arial" w:cs="Arial" w:eastAsia="Arial" w:hAnsi="Arial"/>
          <w:sz w:val="18"/>
          <w:szCs w:val="18"/>
          <w:color w:val="auto"/>
        </w:rPr>
      </w:pPr>
    </w:p>
    <w:p>
      <w:pPr>
        <w:ind w:left="1300" w:right="240" w:hanging="442"/>
        <w:spacing w:after="0" w:line="246" w:lineRule="auto"/>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156" w:lineRule="exact"/>
        <w:rPr>
          <w:rFonts w:ascii="Arial" w:cs="Arial" w:eastAsia="Arial" w:hAnsi="Arial"/>
          <w:sz w:val="18"/>
          <w:szCs w:val="18"/>
          <w:color w:val="auto"/>
        </w:rPr>
      </w:pPr>
    </w:p>
    <w:p>
      <w:pPr>
        <w:ind w:left="1300" w:hanging="442"/>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divide our board of directors into three classes, each of which stands for election once every three years;</w:t>
      </w:r>
    </w:p>
    <w:p>
      <w:pPr>
        <w:spacing w:after="0" w:line="184" w:lineRule="exact"/>
        <w:rPr>
          <w:rFonts w:ascii="Arial" w:cs="Arial" w:eastAsia="Arial" w:hAnsi="Arial"/>
          <w:sz w:val="18"/>
          <w:szCs w:val="18"/>
          <w:color w:val="auto"/>
        </w:rPr>
      </w:pPr>
    </w:p>
    <w:p>
      <w:pPr>
        <w:ind w:left="1300" w:hanging="442"/>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184" w:lineRule="exact"/>
        <w:rPr>
          <w:rFonts w:ascii="Arial" w:cs="Arial" w:eastAsia="Arial" w:hAnsi="Arial"/>
          <w:sz w:val="18"/>
          <w:szCs w:val="18"/>
          <w:color w:val="auto"/>
        </w:rPr>
      </w:pPr>
    </w:p>
    <w:p>
      <w:pPr>
        <w:ind w:left="1300" w:right="680" w:hanging="442"/>
        <w:spacing w:after="0" w:line="246" w:lineRule="auto"/>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w:t>
      </w:r>
    </w:p>
    <w:p>
      <w:pPr>
        <w:spacing w:after="0" w:line="156" w:lineRule="exact"/>
        <w:rPr>
          <w:rFonts w:ascii="Arial" w:cs="Arial" w:eastAsia="Arial" w:hAnsi="Arial"/>
          <w:sz w:val="18"/>
          <w:szCs w:val="18"/>
          <w:color w:val="auto"/>
        </w:rPr>
      </w:pPr>
    </w:p>
    <w:p>
      <w:pPr>
        <w:ind w:left="1300" w:right="260" w:hanging="442"/>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162" w:lineRule="exact"/>
        <w:rPr>
          <w:rFonts w:ascii="Arial" w:cs="Arial" w:eastAsia="Arial" w:hAnsi="Arial"/>
          <w:sz w:val="18"/>
          <w:szCs w:val="18"/>
          <w:color w:val="auto"/>
        </w:rPr>
      </w:pPr>
    </w:p>
    <w:p>
      <w:pPr>
        <w:ind w:left="1300" w:right="20" w:hanging="442"/>
        <w:spacing w:after="0" w:line="246" w:lineRule="auto"/>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plurality of the shares of common stock entitled to vote in any election of directors to elect all of the directors standing for election, if they should so choose);</w:t>
      </w:r>
    </w:p>
    <w:p>
      <w:pPr>
        <w:spacing w:after="0" w:line="156" w:lineRule="exact"/>
        <w:rPr>
          <w:rFonts w:ascii="Arial" w:cs="Arial" w:eastAsia="Arial" w:hAnsi="Arial"/>
          <w:sz w:val="18"/>
          <w:szCs w:val="18"/>
          <w:color w:val="auto"/>
        </w:rPr>
      </w:pPr>
    </w:p>
    <w:p>
      <w:pPr>
        <w:ind w:left="1300" w:right="140" w:hanging="442"/>
        <w:spacing w:after="0" w:line="246" w:lineRule="auto"/>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only by the board of directors, the chairman of the board of directors, our chief executive officer or president;</w:t>
      </w:r>
    </w:p>
    <w:p>
      <w:pPr>
        <w:spacing w:after="0" w:line="156" w:lineRule="exact"/>
        <w:rPr>
          <w:rFonts w:ascii="Arial" w:cs="Arial" w:eastAsia="Arial" w:hAnsi="Arial"/>
          <w:sz w:val="18"/>
          <w:szCs w:val="18"/>
          <w:color w:val="auto"/>
        </w:rPr>
      </w:pPr>
    </w:p>
    <w:p>
      <w:pPr>
        <w:jc w:val="both"/>
        <w:ind w:left="1300" w:right="100" w:hanging="442"/>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provide that stockholders will be permitted to amend certain provisions of our bylaws only upon receiving at least two-thirds of the votes entitled to be cast by holders of all outstanding shares then entitled to vote generally in the election of directors, voting together as a single class; and</w:t>
      </w:r>
    </w:p>
    <w:p>
      <w:pPr>
        <w:spacing w:after="0" w:line="162" w:lineRule="exact"/>
        <w:rPr>
          <w:rFonts w:ascii="Arial" w:cs="Arial" w:eastAsia="Arial" w:hAnsi="Arial"/>
          <w:sz w:val="18"/>
          <w:szCs w:val="18"/>
          <w:color w:val="auto"/>
        </w:rPr>
      </w:pPr>
    </w:p>
    <w:p>
      <w:pPr>
        <w:ind w:left="1300" w:right="40" w:hanging="442"/>
        <w:spacing w:after="0" w:line="237" w:lineRule="auto"/>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provide that, unless we otherwise consent in writing, a state or federal court located within the State of Delaware shall be the sole and exclusive forum for (1) any derivative action or proceeding brought on behalf of the company, (2) any action asserting a claim of breach of a fiduciary duty owed by any of our directors, officers or other employees to the company or our stockholders, (3) any action asserting a claim against the company arising pursuant to any provision of the Delaware General Corporation Law, our certificate of incorporation and bylaws (as either may be amended from time to time), or (4) any action asserting a claim against the company governed by the internal affairs doctrine; and</w:t>
      </w:r>
    </w:p>
    <w:p>
      <w:pPr>
        <w:spacing w:after="0" w:line="164" w:lineRule="exact"/>
        <w:rPr>
          <w:rFonts w:ascii="Arial" w:cs="Arial" w:eastAsia="Arial" w:hAnsi="Arial"/>
          <w:sz w:val="18"/>
          <w:szCs w:val="18"/>
          <w:color w:val="auto"/>
        </w:rPr>
      </w:pPr>
    </w:p>
    <w:p>
      <w:pPr>
        <w:ind w:left="1300" w:right="80" w:hanging="442"/>
        <w:spacing w:after="0" w:line="246" w:lineRule="auto"/>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Provide that the federal district courts of the United States of America will be the exclusive forum for resolving any complaint asserting a cause of action arising under the Securities Act.</w:t>
      </w:r>
    </w:p>
    <w:p>
      <w:pPr>
        <w:spacing w:after="0" w:line="278" w:lineRule="exact"/>
        <w:rPr>
          <w:sz w:val="20"/>
          <w:szCs w:val="20"/>
          <w:color w:val="auto"/>
        </w:rPr>
      </w:pPr>
    </w:p>
    <w:p>
      <w:pPr>
        <w:ind w:right="640" w:firstLine="576"/>
        <w:spacing w:after="0" w:line="246" w:lineRule="auto"/>
        <w:rPr>
          <w:sz w:val="20"/>
          <w:szCs w:val="20"/>
          <w:color w:val="auto"/>
        </w:rPr>
      </w:pPr>
      <w:r>
        <w:rPr>
          <w:rFonts w:ascii="Arial" w:cs="Arial" w:eastAsia="Arial" w:hAnsi="Arial"/>
          <w:sz w:val="18"/>
          <w:szCs w:val="18"/>
          <w:color w:val="auto"/>
        </w:rPr>
        <w:t>The amendment of any of these provisions would require approval by the holders of at least two-thirds of our then outstanding common stock, voting as a single class.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6" w:lineRule="exact"/>
        <w:rPr>
          <w:sz w:val="20"/>
          <w:szCs w:val="20"/>
          <w:color w:val="auto"/>
        </w:rPr>
      </w:pPr>
    </w:p>
    <w:p>
      <w:pPr>
        <w:ind w:right="60" w:firstLine="576"/>
        <w:spacing w:after="0" w:line="246" w:lineRule="auto"/>
        <w:rPr>
          <w:sz w:val="20"/>
          <w:szCs w:val="20"/>
          <w:color w:val="auto"/>
        </w:rPr>
      </w:pPr>
      <w:r>
        <w:rPr>
          <w:rFonts w:ascii="Arial" w:cs="Arial" w:eastAsia="Arial" w:hAnsi="Arial"/>
          <w:sz w:val="18"/>
          <w:szCs w:val="18"/>
          <w:color w:val="auto"/>
        </w:rPr>
        <w:t>The transfer agent and registrar for our common stock will be Computershare Trust Company, N.A. The transfer agent and registrar’s address is 250 Royall Street, Canton, Massachusetts 02021.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have applied to have our common stock approved for quotation on the Nasdaq Global Market under the trading symbol “ATHA.”</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91" w:name="page192"/>
    <w:bookmarkEnd w:id="191"/>
    <w:p>
      <w:pPr>
        <w:jc w:val="center"/>
        <w:ind w:right="-39"/>
        <w:spacing w:after="0"/>
        <w:rPr>
          <w:sz w:val="20"/>
          <w:szCs w:val="20"/>
          <w:color w:val="auto"/>
        </w:rPr>
      </w:pPr>
      <w:r>
        <w:rPr>
          <w:rFonts w:ascii="Arial" w:cs="Arial" w:eastAsia="Arial" w:hAnsi="Arial"/>
          <w:sz w:val="18"/>
          <w:szCs w:val="18"/>
          <w:b w:val="1"/>
          <w:bCs w:val="1"/>
          <w:color w:val="auto"/>
        </w:rPr>
        <w:t>SHARES ELIGIBLE FOR FUTURE SALE</w:t>
      </w:r>
    </w:p>
    <w:p>
      <w:pPr>
        <w:spacing w:after="0" w:line="234"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Prior to this offering, there has been no public market for our common stock, and although we expect that our common stock will be approved for listing on the Nasdaq Global Market, we cannot assure you that there will be an active public market for our common stock following this offering. We cannot predict what effect sales of our shares in the public market or the availability of shares for sale will have on the market price of our common stock. Future sales of substantial amounts of common stock in the public market, including shares issued upon exercise of outstanding options or warrants, or the perception that such sales may occur, however, could adversely affect the market price of our common stock and also could adversely affect our future ability to raise capital through the sale of our common stock or other equity-related securities at times and prices we believe appropriate.</w:t>
      </w:r>
    </w:p>
    <w:p>
      <w:pPr>
        <w:spacing w:after="0" w:line="203" w:lineRule="exact"/>
        <w:rPr>
          <w:sz w:val="20"/>
          <w:szCs w:val="20"/>
          <w:color w:val="auto"/>
        </w:rPr>
      </w:pPr>
    </w:p>
    <w:p>
      <w:pPr>
        <w:ind w:right="120" w:firstLine="576"/>
        <w:spacing w:after="0" w:line="248" w:lineRule="auto"/>
        <w:rPr>
          <w:sz w:val="20"/>
          <w:szCs w:val="20"/>
          <w:color w:val="auto"/>
        </w:rPr>
      </w:pPr>
      <w:r>
        <w:rPr>
          <w:rFonts w:ascii="Arial" w:cs="Arial" w:eastAsia="Arial" w:hAnsi="Arial"/>
          <w:sz w:val="17"/>
          <w:szCs w:val="17"/>
          <w:color w:val="auto"/>
        </w:rPr>
        <w:t>Upon completion of this offering, based on our shares outstanding as of June 30, 2020, the conversion of convertible preferred stock outstanding as of June 30, 2020 into an aggregate of 99,151,789 shares of our common stock upon the completion of this offering, the</w:t>
      </w:r>
    </w:p>
    <w:p>
      <w:pPr>
        <w:spacing w:after="0" w:line="1"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issuance of an aggregate of shares of our common stock upon the exercise of outstanding warrants immediately prior to the completion of this offering, and the issuance of shares of our common stock in this offering, shares of our common stock will be outstanding, or shares of common stock if the underwriters exercise their option to purchase additional shares in full. All of the</w:t>
      </w:r>
    </w:p>
    <w:p>
      <w:pPr>
        <w:spacing w:after="0" w:line="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shares of common stock expected to be sold in this offering will be freely tradable without restriction or further registration under the Securities Act unless held by our “affiliates,” as that term is defined in Rule 144 under the Securities Act.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202"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As a result of the lock-up agreements and market stand-off provisions described below and the provisions of Rules 144 or 701, and assuming no extension of the lock-up period and no exercise of the underwriters’ option to purchase additional shares, the shares of our common stock that will be deemed “restricted securities” will be available for sale in the public market following the completion of this offering as follows:</w:t>
      </w:r>
    </w:p>
    <w:p>
      <w:pPr>
        <w:spacing w:after="0" w:line="97" w:lineRule="exact"/>
        <w:rPr>
          <w:sz w:val="20"/>
          <w:szCs w:val="20"/>
          <w:color w:val="auto"/>
        </w:rPr>
      </w:pPr>
    </w:p>
    <w:p>
      <w:pPr>
        <w:ind w:left="2000" w:hanging="1142"/>
        <w:spacing w:after="0"/>
        <w:tabs>
          <w:tab w:leader="none" w:pos="2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shares will be eligible for sale on the date of this prospectus; and</w:t>
      </w:r>
    </w:p>
    <w:p>
      <w:pPr>
        <w:spacing w:after="0" w:line="117" w:lineRule="exact"/>
        <w:rPr>
          <w:rFonts w:ascii="Arial" w:cs="Arial" w:eastAsia="Arial" w:hAnsi="Arial"/>
          <w:sz w:val="18"/>
          <w:szCs w:val="18"/>
          <w:color w:val="auto"/>
        </w:rPr>
      </w:pPr>
    </w:p>
    <w:p>
      <w:pPr>
        <w:ind w:left="1300" w:right="100" w:hanging="442"/>
        <w:spacing w:after="0" w:line="246" w:lineRule="auto"/>
        <w:tabs>
          <w:tab w:leader="none" w:pos="2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shares will be eligible for sale upon expiration of the lock-up agreements and market stand-off provisions described below, beginning more than 180 days after the date of this prospectus.</w:t>
      </w:r>
    </w:p>
    <w:p>
      <w:pPr>
        <w:spacing w:after="0" w:line="197"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may issue shares of our common stock from time to time for a variety of corporate purposes, including in capital-raising activities through future public offerings or private placements, in connection with exercise of stock options or warrants, vesting of restricted stock units and other issuances relating to our employee benefit plans and as consideration for future acquisitions, investments or other purposes. The number of shares of our common stock that we may issue may be significant, depending on the events surrounding such issuances. In some cases, the shares we issue may be freely tradable without restriction or further registration under the Securities Act; in other cases, we may grant registration rights covering the shares issued in connection with these issuances, in which case the holders of our common stock will have the right, under certain circumstances, to cause us to register any resale of such shares to the public.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 and Market Standoff Provisions</w:t>
      </w:r>
    </w:p>
    <w:p>
      <w:pPr>
        <w:spacing w:after="0" w:line="126" w:lineRule="exact"/>
        <w:rPr>
          <w:sz w:val="20"/>
          <w:szCs w:val="20"/>
          <w:color w:val="auto"/>
        </w:rPr>
      </w:pPr>
    </w:p>
    <w:p>
      <w:pPr>
        <w:jc w:val="both"/>
        <w:ind w:right="220" w:firstLine="576"/>
        <w:spacing w:after="0" w:line="261" w:lineRule="auto"/>
        <w:rPr>
          <w:sz w:val="20"/>
          <w:szCs w:val="20"/>
          <w:color w:val="auto"/>
        </w:rPr>
      </w:pPr>
      <w:r>
        <w:rPr>
          <w:rFonts w:ascii="Arial" w:cs="Arial" w:eastAsia="Arial" w:hAnsi="Arial"/>
          <w:sz w:val="17"/>
          <w:szCs w:val="17"/>
          <w:color w:val="auto"/>
        </w:rPr>
        <w:t>We, our directors and officers and substantially all of the holders of our equity securities have agreed, subject to certain exceptions, not to offer, sell or transfer any common stock or securities convertible into or exchangeable or exercisable for common stock for 180 days after the date of this prospectus without first obtaining the written consent of Goldman Sachs &amp; Co. LLC and Jefferies LLC, 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92" w:name="page193"/>
    <w:bookmarkEnd w:id="192"/>
    <w:p>
      <w:pPr>
        <w:ind w:right="60"/>
        <w:spacing w:after="0"/>
        <w:rPr>
          <w:sz w:val="20"/>
          <w:szCs w:val="20"/>
          <w:color w:val="auto"/>
        </w:rPr>
      </w:pPr>
      <w:r>
        <w:rPr>
          <w:rFonts w:ascii="Arial" w:cs="Arial" w:eastAsia="Arial" w:hAnsi="Arial"/>
          <w:sz w:val="18"/>
          <w:szCs w:val="18"/>
          <w:color w:val="auto"/>
        </w:rPr>
        <w:t>behalf of the underwriters, or us, as applicable, after the date of this prospectus. Goldman Sachs &amp; Co. LLC and Jefferies LLC may, in their sole discretion, and subject to FINRA Rule 5131, release any of the securities subject to the lock-up agreements with the underwriters at any time. These agreements are described below under the section of this prospectus titled “Underwriting.”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6"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In general, under Rule 144, beginning 90 days after the effective date of this prospectus, a person who is not our affiliate for purposes of the Securities Act and has not been our affiliate at any time during the preceding three months will be entitled to sell any shares of our common stock that such person has beneficially owned for at least six months, including the holding period of any prior owner other than one of our affiliates, without being required to comply with the notice, manner of sale or public information requirements or volume limitation provisions of Rule 144. Sales of our common stock by any such person would be subject to the availability of current public information about us if the shares to be sold were beneficially owned by such person for less than one year.</w:t>
      </w:r>
    </w:p>
    <w:p>
      <w:pPr>
        <w:spacing w:after="0" w:line="205" w:lineRule="exact"/>
        <w:rPr>
          <w:sz w:val="20"/>
          <w:szCs w:val="20"/>
          <w:color w:val="auto"/>
        </w:rPr>
      </w:pPr>
    </w:p>
    <w:p>
      <w:pPr>
        <w:ind w:right="80" w:firstLine="576"/>
        <w:spacing w:after="0" w:line="246" w:lineRule="auto"/>
        <w:rPr>
          <w:sz w:val="20"/>
          <w:szCs w:val="20"/>
          <w:color w:val="auto"/>
        </w:rPr>
      </w:pPr>
      <w:r>
        <w:rPr>
          <w:rFonts w:ascii="Arial" w:cs="Arial" w:eastAsia="Arial" w:hAnsi="Arial"/>
          <w:sz w:val="18"/>
          <w:szCs w:val="18"/>
          <w:color w:val="auto"/>
        </w:rPr>
        <w:t>In addition, under Rule 144, a person may sell shares of our common stock acquired from us immediately upon the completion of this offering, without regard to the registration requirements of the Securities Act or the availability of public information about us, if:</w:t>
      </w:r>
    </w:p>
    <w:p>
      <w:pPr>
        <w:spacing w:after="0" w:line="89" w:lineRule="exact"/>
        <w:rPr>
          <w:sz w:val="20"/>
          <w:szCs w:val="20"/>
          <w:color w:val="auto"/>
        </w:rPr>
      </w:pPr>
    </w:p>
    <w:p>
      <w:pPr>
        <w:ind w:left="1300" w:hanging="442"/>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person is not our affiliate and has not been our affiliate at any time during the preceding three months; and</w:t>
      </w:r>
    </w:p>
    <w:p>
      <w:pPr>
        <w:spacing w:after="0" w:line="117" w:lineRule="exact"/>
        <w:rPr>
          <w:rFonts w:ascii="Arial" w:cs="Arial" w:eastAsia="Arial" w:hAnsi="Arial"/>
          <w:sz w:val="18"/>
          <w:szCs w:val="18"/>
          <w:color w:val="auto"/>
        </w:rPr>
      </w:pPr>
    </w:p>
    <w:p>
      <w:pPr>
        <w:ind w:left="1300" w:right="100" w:hanging="442"/>
        <w:spacing w:after="0" w:line="246" w:lineRule="auto"/>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person has beneficially owned the shares to be sold for at least one year, including the holding period of any prior owner other than one of our affiliates.</w:t>
      </w:r>
    </w:p>
    <w:p>
      <w:pPr>
        <w:spacing w:after="0" w:line="88" w:lineRule="exact"/>
        <w:rPr>
          <w:rFonts w:ascii="Arial" w:cs="Arial" w:eastAsia="Arial" w:hAnsi="Arial"/>
          <w:sz w:val="18"/>
          <w:szCs w:val="18"/>
          <w:color w:val="auto"/>
        </w:rPr>
      </w:pPr>
    </w:p>
    <w:p>
      <w:pPr>
        <w:ind w:left="1300" w:right="20" w:hanging="442"/>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Beginning 90 days after the date of this prospectus, our affiliates who have beneficially owned shares of our common stock for at least six months, including the holding period of any prior owner other than one of our affiliates, would be entitled to sell within any three-month period a number of shares that does not exceed the greater of:</w:t>
      </w:r>
    </w:p>
    <w:p>
      <w:pPr>
        <w:sectPr>
          <w:pgSz w:w="11900" w:h="16838" w:orient="portrait"/>
          <w:cols w:equalWidth="0" w:num="1">
            <w:col w:w="11240"/>
          </w:cols>
          <w:pgMar w:left="320" w:top="490" w:right="339" w:bottom="1440" w:gutter="0" w:footer="0" w:header="0"/>
        </w:sectPr>
      </w:pPr>
    </w:p>
    <w:p>
      <w:pPr>
        <w:spacing w:after="0" w:line="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1% of the number of shares of our common stock then outstanding, which will equal approximately shares immediately after this offering, assuming no exercise of the underwriters’ option to purchase additional shares; and</w:t>
      </w:r>
    </w:p>
    <w:p>
      <w:pPr>
        <w:spacing w:after="0" w:line="89" w:lineRule="exact"/>
        <w:rPr>
          <w:sz w:val="20"/>
          <w:szCs w:val="20"/>
          <w:color w:val="auto"/>
        </w:rPr>
      </w:pPr>
    </w:p>
    <w:p>
      <w:pPr>
        <w:sectPr>
          <w:pgSz w:w="11900" w:h="16838" w:orient="portrait"/>
          <w:cols w:equalWidth="0" w:num="2">
            <w:col w:w="1360" w:space="380"/>
            <w:col w:w="9500"/>
          </w:cols>
          <w:pgMar w:left="320" w:top="490" w:right="339" w:bottom="1440" w:gutter="0" w:footer="0" w:header="0"/>
          <w:type w:val="continuous"/>
        </w:sectPr>
      </w:pPr>
    </w:p>
    <w:p>
      <w:pPr>
        <w:ind w:left="1740" w:right="120" w:hanging="436"/>
        <w:spacing w:after="0" w:line="246" w:lineRule="auto"/>
        <w:tabs>
          <w:tab w:leader="none" w:pos="17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average weekly trading volume in our common stock on the Nasdaq Global Market during the four calendar weeks preceding the date of filing of a notice on Form 144 with respect to the sale.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6"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In general, under Rule 701 a person who purchased shares of our common stock pursuant to a written compensatory plan or contract and who is not deemed to have been one of our affiliates during the immediately preceding 90 days may sell these shares in reliance upon Rule 144, but without being required to comply with the notice, manner of sale or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effective date of this prospectus before selling such shares pursuant to Rule 701.</w:t>
      </w:r>
    </w:p>
    <w:p>
      <w:pPr>
        <w:spacing w:after="0" w:line="205"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As of June 30, 2020, there were 11,417,500 shares of our outstanding common stock issued in reliance on Rule 701 as a result of exercises of stock options or in the form of restricted stock awards. All of these shares, however, are subject to lock-up agreements or market stand-off provisions as discussed above, and, as a result, these shares will only become eligible for sale at the earlier of the expiration of the lock-up period or upon obtaining the consent of Goldman Sachs &amp; Co. LLC and Jeffries LLC, on behalf of the underwriters to release all or any portion of these shares from the lock-up agreements.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type w:val="continuous"/>
        </w:sectPr>
      </w:pPr>
    </w:p>
    <w:bookmarkStart w:id="193" w:name="page194"/>
    <w:bookmarkEnd w:id="193"/>
    <w:p>
      <w:pPr>
        <w:spacing w:after="0"/>
        <w:rPr>
          <w:sz w:val="20"/>
          <w:szCs w:val="20"/>
          <w:color w:val="auto"/>
        </w:rPr>
      </w:pPr>
      <w:r>
        <w:rPr>
          <w:rFonts w:ascii="Arial" w:cs="Arial" w:eastAsia="Arial" w:hAnsi="Arial"/>
          <w:sz w:val="18"/>
          <w:szCs w:val="18"/>
          <w:b w:val="1"/>
          <w:bCs w:val="1"/>
          <w:color w:val="auto"/>
        </w:rPr>
        <w:t>Stock Options</w:t>
      </w:r>
    </w:p>
    <w:p>
      <w:pPr>
        <w:spacing w:after="0" w:line="126"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auto"/>
        </w:rPr>
        <w:t>As of June 30, 2020, options to purchase an aggregate of 9,982,500 shares of our common stock were outstanding. We intend to file one or more registration statements on Form S-8 under the Securities Act to register the offer and sale of all shares of our common stock subject to outstanding stock options and all shares issued or issuable under our stock plans. We expect to file the registration statement covering these shares after the date of this prospectus, which will permit the resale of such shares by persons who are non-affiliates of ours in the public market without restriction under the Securities Act, subject, with respect to certain of the shares, to the provisions of the lock-up agreements and market stand-off provisions described above.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580"/>
        <w:spacing w:after="0"/>
        <w:tabs>
          <w:tab w:leader="none" w:pos="6260" w:val="left"/>
        </w:tabs>
        <w:rPr>
          <w:sz w:val="20"/>
          <w:szCs w:val="20"/>
          <w:color w:val="auto"/>
        </w:rPr>
      </w:pPr>
      <w:r>
        <w:rPr>
          <w:rFonts w:ascii="Arial" w:cs="Arial" w:eastAsia="Arial" w:hAnsi="Arial"/>
          <w:sz w:val="18"/>
          <w:szCs w:val="18"/>
          <w:color w:val="auto"/>
        </w:rPr>
        <w:t>Upon completion of this offering, the holders of approximately</w:t>
      </w:r>
      <w:r>
        <w:rPr>
          <w:sz w:val="20"/>
          <w:szCs w:val="20"/>
          <w:color w:val="auto"/>
        </w:rPr>
        <w:tab/>
      </w:r>
      <w:r>
        <w:rPr>
          <w:rFonts w:ascii="Arial" w:cs="Arial" w:eastAsia="Arial" w:hAnsi="Arial"/>
          <w:sz w:val="17"/>
          <w:szCs w:val="17"/>
          <w:color w:val="auto"/>
        </w:rPr>
        <w:t>shares of our common stock will be eligible to exercise certain</w:t>
      </w:r>
    </w:p>
    <w:p>
      <w:pPr>
        <w:jc w:val="both"/>
        <w:ind w:right="60"/>
        <w:spacing w:after="0" w:line="238" w:lineRule="auto"/>
        <w:rPr>
          <w:sz w:val="20"/>
          <w:szCs w:val="20"/>
          <w:color w:val="auto"/>
        </w:rPr>
      </w:pPr>
      <w:r>
        <w:rPr>
          <w:rFonts w:ascii="Arial" w:cs="Arial" w:eastAsia="Arial" w:hAnsi="Arial"/>
          <w:sz w:val="18"/>
          <w:szCs w:val="18"/>
          <w:color w:val="auto"/>
        </w:rPr>
        <w:t>rights to cause us to register their shares for resale under the Securities Act, subject to various conditions and limitations. These registration rights are described under the section of this prospectus titled “Description of Capital Stock—Registration Rights.” Upon the effectiveness of a registration statement covering these shares, the shares would become freely tradable, and a large number of shares may be sold into the public market, which may adversely affect the market price of our common stock.</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194" w:name="page195"/>
    <w:bookmarkEnd w:id="194"/>
    <w:p>
      <w:pPr>
        <w:jc w:val="center"/>
        <w:ind w:right="20"/>
        <w:spacing w:after="0"/>
        <w:rPr>
          <w:sz w:val="20"/>
          <w:szCs w:val="20"/>
          <w:color w:val="auto"/>
        </w:rPr>
      </w:pPr>
      <w:r>
        <w:rPr>
          <w:rFonts w:ascii="Arial" w:cs="Arial" w:eastAsia="Arial" w:hAnsi="Arial"/>
          <w:sz w:val="18"/>
          <w:szCs w:val="18"/>
          <w:b w:val="1"/>
          <w:bCs w:val="1"/>
          <w:color w:val="auto"/>
        </w:rPr>
        <w:t>MATERIAL U.S. FEDERAL INCOME TAX CONSEQUENCES FOR</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NON-U.S. HOLDERS OF COMMON STOCK</w:t>
      </w:r>
    </w:p>
    <w:p>
      <w:pPr>
        <w:spacing w:after="0" w:line="212"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following is a summary of the material U.S. federal income tax consequences of the ownership and disposition of our common stock acquired in this offering by a “non-U.S. holder” (as defined below), but does not purport to be a complete analysis of all the potential tax considerations relating thereto. This summary is based upon the provisions of the United States Internal Revenue Code of 1986, as amended, or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or IRS, with respect to the statements made and the conclusions reached in the following summary, and there can be no assurance that the IRS or a court will agree with such statements and conclusions.</w:t>
      </w:r>
    </w:p>
    <w:p>
      <w:pPr>
        <w:spacing w:after="0" w:line="208"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This summary also does not address the tax considerations arising under the laws of any non-U.S., state or local jurisdiction or under U.S. federal gift and estate tax rules, except to the limited extent set forth below. In addition, this discussion does not address tax considerations applicable to an investor’s particular circumstances or to investors that may be subject to special tax rules, including, without limitation:</w:t>
      </w:r>
    </w:p>
    <w:p>
      <w:pPr>
        <w:spacing w:after="0" w:line="97" w:lineRule="exact"/>
        <w:rPr>
          <w:sz w:val="20"/>
          <w:szCs w:val="20"/>
          <w:color w:val="auto"/>
        </w:rPr>
      </w:pPr>
    </w:p>
    <w:p>
      <w:pPr>
        <w:ind w:left="1300" w:hanging="442"/>
        <w:spacing w:after="0"/>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banks, insurance companies, regulated investment companies, real estate investment trusts or other financial institutions;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the tax on net investment income;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pension plans and tax-qualified retirement plans;</w:t>
      </w:r>
    </w:p>
    <w:p>
      <w:pPr>
        <w:spacing w:after="0" w:line="117" w:lineRule="exact"/>
        <w:rPr>
          <w:rFonts w:ascii="Arial" w:cs="Arial" w:eastAsia="Arial" w:hAnsi="Arial"/>
          <w:sz w:val="18"/>
          <w:szCs w:val="18"/>
          <w:color w:val="auto"/>
        </w:rPr>
      </w:pPr>
    </w:p>
    <w:p>
      <w:pPr>
        <w:ind w:left="1300" w:right="220" w:hanging="442"/>
        <w:spacing w:after="0" w:line="246" w:lineRule="auto"/>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17" w:lineRule="exact"/>
        <w:rPr>
          <w:rFonts w:ascii="Arial" w:cs="Arial" w:eastAsia="Arial" w:hAnsi="Arial"/>
          <w:sz w:val="18"/>
          <w:szCs w:val="18"/>
          <w:color w:val="auto"/>
        </w:rPr>
      </w:pPr>
    </w:p>
    <w:p>
      <w:pPr>
        <w:ind w:left="1300" w:right="380" w:hanging="442"/>
        <w:spacing w:after="0" w:line="246" w:lineRule="auto"/>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capital stock (except to the extent specifically set forth below);</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17" w:lineRule="exact"/>
        <w:rPr>
          <w:rFonts w:ascii="Arial" w:cs="Arial" w:eastAsia="Arial" w:hAnsi="Arial"/>
          <w:sz w:val="18"/>
          <w:szCs w:val="18"/>
          <w:color w:val="auto"/>
        </w:rPr>
      </w:pPr>
    </w:p>
    <w:p>
      <w:pPr>
        <w:ind w:left="1300" w:right="100" w:hanging="442"/>
        <w:spacing w:after="0" w:line="246" w:lineRule="auto"/>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88" w:lineRule="exact"/>
        <w:rPr>
          <w:rFonts w:ascii="Arial" w:cs="Arial" w:eastAsia="Arial" w:hAnsi="Arial"/>
          <w:sz w:val="18"/>
          <w:szCs w:val="18"/>
          <w:color w:val="auto"/>
        </w:rPr>
      </w:pPr>
    </w:p>
    <w:p>
      <w:pPr>
        <w:ind w:left="1300" w:right="300" w:hanging="442"/>
        <w:spacing w:after="0" w:line="246" w:lineRule="auto"/>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property held for investment); or</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5"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In addition, if a partnership, entity or arrangement classified as a partnership or flow-through entity for U.S. federal income tax purposes holds our common stock, the tax treatment of a partner generally will depend on the status of the partner and upon the activities of the partnership or other entity. A partner in a partnership or other such entity that will hold our common stock should consult his, her or its own tax advisor regarding the tax consequences of the ownership and disposition of our common stock through a partnership or other such entity, as applicable.</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95" w:name="page196"/>
    <w:bookmarkEnd w:id="195"/>
    <w:p>
      <w:pPr>
        <w:ind w:right="40" w:firstLine="576"/>
        <w:spacing w:after="0" w:line="247" w:lineRule="auto"/>
        <w:rPr>
          <w:sz w:val="20"/>
          <w:szCs w:val="20"/>
          <w:color w:val="auto"/>
        </w:rPr>
      </w:pPr>
      <w:r>
        <w:rPr>
          <w:rFonts w:ascii="Arial" w:cs="Arial" w:eastAsia="Arial" w:hAnsi="Arial"/>
          <w:sz w:val="18"/>
          <w:szCs w:val="18"/>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local, non-U.S. or other taxing jurisdiction or under any applicable tax treaty</w:t>
      </w:r>
      <w:r>
        <w:rPr>
          <w:rFonts w:ascii="Arial" w:cs="Arial" w:eastAsia="Arial" w:hAnsi="Arial"/>
          <w:sz w:val="18"/>
          <w:szCs w:val="18"/>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26" w:lineRule="exact"/>
        <w:rPr>
          <w:sz w:val="20"/>
          <w:szCs w:val="20"/>
          <w:color w:val="auto"/>
        </w:rPr>
      </w:pPr>
    </w:p>
    <w:p>
      <w:pPr>
        <w:ind w:right="220" w:firstLine="576"/>
        <w:spacing w:after="0" w:line="246" w:lineRule="auto"/>
        <w:rPr>
          <w:sz w:val="20"/>
          <w:szCs w:val="20"/>
          <w:color w:val="auto"/>
        </w:rPr>
      </w:pPr>
      <w:r>
        <w:rPr>
          <w:rFonts w:ascii="Arial" w:cs="Arial" w:eastAsia="Arial" w:hAnsi="Arial"/>
          <w:sz w:val="18"/>
          <w:szCs w:val="18"/>
          <w:color w:val="auto"/>
        </w:rPr>
        <w:t>For purposes of this discussion, you are a “non-U.S. holder” if you are a beneficial owner of our common stock that, for U.S. federal income tax purposes, is not a partnership or:</w:t>
      </w:r>
    </w:p>
    <w:p>
      <w:pPr>
        <w:spacing w:after="0" w:line="89" w:lineRule="exact"/>
        <w:rPr>
          <w:sz w:val="20"/>
          <w:szCs w:val="20"/>
          <w:color w:val="auto"/>
        </w:rPr>
      </w:pPr>
    </w:p>
    <w:p>
      <w:pPr>
        <w:ind w:left="1300" w:hanging="442"/>
        <w:spacing w:after="0"/>
        <w:tabs>
          <w:tab w:leader="none" w:pos="1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300" w:right="520" w:hanging="442"/>
        <w:spacing w:after="0" w:line="274" w:lineRule="auto"/>
        <w:tabs>
          <w:tab w:leader="none" w:pos="13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66" w:lineRule="exact"/>
        <w:rPr>
          <w:rFonts w:ascii="Arial" w:cs="Arial" w:eastAsia="Arial" w:hAnsi="Arial"/>
          <w:sz w:val="17"/>
          <w:szCs w:val="17"/>
          <w:color w:val="auto"/>
        </w:rPr>
      </w:pPr>
    </w:p>
    <w:p>
      <w:pPr>
        <w:ind w:left="1300" w:hanging="442"/>
        <w:spacing w:after="0"/>
        <w:tabs>
          <w:tab w:leader="none" w:pos="1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17" w:lineRule="exact"/>
        <w:rPr>
          <w:rFonts w:ascii="Arial" w:cs="Arial" w:eastAsia="Arial" w:hAnsi="Arial"/>
          <w:sz w:val="18"/>
          <w:szCs w:val="18"/>
          <w:color w:val="auto"/>
        </w:rPr>
      </w:pPr>
    </w:p>
    <w:p>
      <w:pPr>
        <w:jc w:val="both"/>
        <w:ind w:left="1300" w:right="180" w:hanging="442"/>
        <w:spacing w:after="0"/>
        <w:tabs>
          <w:tab w:leader="none" w:pos="1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that has one or more U.S. persons who have the authority to control all substantial decisions of the trust or (2) that has made a valid election under applicable Treasury Regulations to be treated as a U.S. person.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6"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As described in the section of this prospectus titled “Dividend Policy,” we have never declared or paid cash dividends on our common stock, and we do not anticipate paying any dividends on our common stock following the completion of this offering.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w:t>
      </w:r>
    </w:p>
    <w:p>
      <w:pPr>
        <w:spacing w:after="0" w:line="205"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Subject to the discussions below on effectively connected income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the applicable withholding agent with an IRS Form W-8BEN or W-8BEN-E or other appropriate version of IRS Form W-8 certifying qualification for the reduced rate. A non-U.S. holder of shares of our common stock eligible for a reduced rate of U.S. federal withholding tax pursuant to an income tax treaty may obtain a refund of any excess amounts withheld by filing an appropriate claim for refund with the IRS. If the non-U.S. holder holds our common stock through a financial institution or other agent acting on the non-U.S. holder’s behalf, the non-U.S. holder will be required to provide appropriate documentation to the agent, which then will be required to provide certification to the applicable withholding agent, either directly or through other intermediaries.</w:t>
      </w:r>
    </w:p>
    <w:p>
      <w:pPr>
        <w:spacing w:after="0" w:line="207"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Dividends received by you that are treated as effectively connected with your conduct of a U.S. trade or business (and, if required by an applicable income tax treaty, such dividends are attributable to a permanent establishment or fixed base maintained by you in the United States) are generally exempt from the 30% U.S. federal withholding tax, subject to the discussion below on backup withholding and FATCA withholding. In order to obtain this exemption, you must provide the applicable withholding agent with a properly executed IRS Form W-8ECI or other applicable IRS Form W-8 properly certifying such exemption. Such effectively connected dividends, although not subject to U.S. federal withholding tax, are taxed at the same rates applicable to U.S. persons, net of certain deductions and credits, subject to an applicable income tax treaty providing otherwise. In addition, if you are a corporate non-U.S. holder,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6" w:name="page197"/>
    <w:bookmarkEnd w:id="196"/>
    <w:p>
      <w:pPr>
        <w:ind w:right="20"/>
        <w:spacing w:after="0" w:line="238" w:lineRule="auto"/>
        <w:rPr>
          <w:sz w:val="20"/>
          <w:szCs w:val="20"/>
          <w:color w:val="auto"/>
        </w:rPr>
      </w:pPr>
      <w:r>
        <w:rPr>
          <w:rFonts w:ascii="Arial" w:cs="Arial" w:eastAsia="Arial" w:hAnsi="Arial"/>
          <w:sz w:val="18"/>
          <w:szCs w:val="18"/>
          <w:color w:val="auto"/>
        </w:rPr>
        <w:t>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including any applicable tax treaties that may provide for different rules.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Subject to the discussion below regarding backup withholding and FATCA withholding, you generally will not be required to pay U.S.</w:t>
      </w:r>
    </w:p>
    <w:p>
      <w:pPr>
        <w:spacing w:after="0"/>
        <w:rPr>
          <w:sz w:val="20"/>
          <w:szCs w:val="20"/>
          <w:color w:val="auto"/>
        </w:rPr>
      </w:pPr>
      <w:r>
        <w:rPr>
          <w:rFonts w:ascii="Arial" w:cs="Arial" w:eastAsia="Arial" w:hAnsi="Arial"/>
          <w:sz w:val="18"/>
          <w:szCs w:val="18"/>
          <w:color w:val="auto"/>
        </w:rPr>
        <w:t>federal income tax on any gain realized upon the sale or other disposition of our common stock unless:</w:t>
      </w:r>
    </w:p>
    <w:p>
      <w:pPr>
        <w:spacing w:after="0" w:line="104" w:lineRule="exact"/>
        <w:rPr>
          <w:sz w:val="20"/>
          <w:szCs w:val="20"/>
          <w:color w:val="auto"/>
        </w:rPr>
      </w:pPr>
    </w:p>
    <w:p>
      <w:pPr>
        <w:ind w:left="1300" w:right="360" w:hanging="442"/>
        <w:spacing w:after="0" w:line="246" w:lineRule="auto"/>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88" w:lineRule="exact"/>
        <w:rPr>
          <w:rFonts w:ascii="Arial" w:cs="Arial" w:eastAsia="Arial" w:hAnsi="Arial"/>
          <w:sz w:val="18"/>
          <w:szCs w:val="18"/>
          <w:color w:val="auto"/>
        </w:rPr>
      </w:pPr>
    </w:p>
    <w:p>
      <w:pPr>
        <w:ind w:left="1300" w:right="320" w:hanging="442"/>
        <w:spacing w:after="0" w:line="246" w:lineRule="auto"/>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88" w:lineRule="exact"/>
        <w:rPr>
          <w:rFonts w:ascii="Arial" w:cs="Arial" w:eastAsia="Arial" w:hAnsi="Arial"/>
          <w:sz w:val="18"/>
          <w:szCs w:val="18"/>
          <w:color w:val="auto"/>
        </w:rPr>
      </w:pPr>
    </w:p>
    <w:p>
      <w:pPr>
        <w:jc w:val="both"/>
        <w:ind w:left="1300" w:right="20" w:hanging="442"/>
        <w:spacing w:after="0"/>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common stock.</w:t>
      </w:r>
    </w:p>
    <w:p>
      <w:pPr>
        <w:spacing w:after="0" w:line="203"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business assets, there can be no assurance that we will not become a USRPHC in the future. Even if we become a USRPHC, however, as long as our common stock is regularly traded on an established securities market, your common stock will be treated as U.S. real property interests only if you actually (directly or indirectly) or constructively hold more than five percent of such regularly traded common stock at any time during the shorter of the five-year period preceding your disposition of, or your holding period for, our common stock.</w:t>
      </w:r>
    </w:p>
    <w:p>
      <w:pPr>
        <w:spacing w:after="0" w:line="203"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If you are a non-U.S. holder described in the first bullet above, you will be required to pay tax on the gain derived from the sale (net of certain deductions and credits) under regular U.S. federal income tax rates,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2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Our common stock beneficially owned by an individual who is not a citizen or resident of the United States (as defined for U.S. federal estate tax purposes) at the time of his or her death will generally be includable in the decedent’s gross estate for U.S. federal estate tax purposes. Such stock, therefore, may be subject to U.S. federal estate tax, unless an applicable estate tax treaty provides otherwise.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6" w:lineRule="exact"/>
        <w:rPr>
          <w:sz w:val="20"/>
          <w:szCs w:val="20"/>
          <w:color w:val="auto"/>
        </w:rPr>
      </w:pPr>
    </w:p>
    <w:p>
      <w:pPr>
        <w:ind w:right="280" w:firstLine="576"/>
        <w:spacing w:after="0" w:line="246"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be sent to you. Pursuant to applicable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color w:val="auto"/>
        </w:rPr>
        <w:t>income tax treaties or other agreements, the IRS may make these reports available to tax authorities in your country of residence.</w:t>
      </w:r>
    </w:p>
    <w:p>
      <w:pPr>
        <w:spacing w:after="0" w:line="212"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Payments of dividends on or of proceeds from the disposition of our common stock made to you may be subject to information reporting and backup withholding at a current rate of 24% unless you establish an exemption, for example, by properly certifying your non-U.S. status on a properly completed IRS Form W-8BEN or W-8BEN-E or another appropriate version of IRS Form W-8. Notwithstanding the foregoing, backup withholding and information reporting may apply if the applicable withholding agent has actual knowledge, or reason to know, that you are a U.S. person.</w:t>
      </w:r>
    </w:p>
    <w:p>
      <w:pPr>
        <w:spacing w:after="0" w:line="202"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26"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Provisions of the Code commonly referred to as FATCA, Treasury Regulations issued thereunder and official IRS guidance generally impose a U.S. federal withholding tax of 30% on dividends on, and the gross proceeds from a sale or other disposition of our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the gross proceeds from, a sale or other disposition of our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206" w:lineRule="exact"/>
        <w:rPr>
          <w:sz w:val="20"/>
          <w:szCs w:val="20"/>
          <w:color w:val="auto"/>
        </w:rPr>
      </w:pPr>
    </w:p>
    <w:p>
      <w:pPr>
        <w:ind w:right="100" w:firstLine="576"/>
        <w:spacing w:after="0" w:line="236" w:lineRule="auto"/>
        <w:rPr>
          <w:sz w:val="20"/>
          <w:szCs w:val="20"/>
          <w:color w:val="auto"/>
        </w:rPr>
      </w:pPr>
      <w:r>
        <w:rPr>
          <w:rFonts w:ascii="Arial" w:cs="Arial" w:eastAsia="Arial" w:hAnsi="Arial"/>
          <w:sz w:val="18"/>
          <w:szCs w:val="18"/>
          <w:color w:val="auto"/>
        </w:rPr>
        <w:t>The withholding obligations under FATCA generally apply to dividends on our common stock and subject to the proposed Treasury Regulations described in the next sentence, will apply to the payment of gross proceeds of a sale or other disposition of our common stock. The Treasury Department has released proposed Treasury Regulations (the preamble to which specifies that taxpayers are permitted to rely on them pending finalization) which, if finalized in their present form, would eliminate the federal withholding tax of 30% applicable to the gross proceeds of a disposition of our common stock. The withholding tax will apply regardless of whether the payment otherwise would be exempt from U.S. nonresident and backup withholding tax, including under the other exemptions described above. Under certain circumstances, a non-U.S. holder might be eligible for refunds or credits of such taxes. An intergovernmental agreement between the United States and an applicable foreign country may modify the requirements described in this section. Prospective investors are encouraged to consult with their own tax advisors regarding the application of FATCA withholding to their investment in, and ownership and disposition of, our common stock.</w:t>
      </w:r>
    </w:p>
    <w:p>
      <w:pPr>
        <w:spacing w:after="0" w:line="184" w:lineRule="exact"/>
        <w:rPr>
          <w:sz w:val="20"/>
          <w:szCs w:val="20"/>
          <w:color w:val="auto"/>
        </w:rPr>
      </w:pPr>
    </w:p>
    <w:p>
      <w:pPr>
        <w:ind w:right="160" w:firstLine="576"/>
        <w:spacing w:after="0" w:line="247" w:lineRule="auto"/>
        <w:rPr>
          <w:sz w:val="20"/>
          <w:szCs w:val="20"/>
          <w:color w:val="auto"/>
        </w:rPr>
      </w:pPr>
      <w:r>
        <w:rPr>
          <w:rFonts w:ascii="Arial" w:cs="Arial" w:eastAsia="Arial" w:hAnsi="Arial"/>
          <w:sz w:val="18"/>
          <w:szCs w:val="18"/>
          <w:b w:val="1"/>
          <w:bCs w:val="1"/>
          <w:color w:val="auto"/>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including the consequences of any proposed change in applicable laws</w:t>
      </w:r>
      <w:r>
        <w:rPr>
          <w:rFonts w:ascii="Arial" w:cs="Arial" w:eastAsia="Arial" w:hAnsi="Arial"/>
          <w:sz w:val="18"/>
          <w:szCs w:val="18"/>
          <w:color w:val="auto"/>
        </w:rPr>
        <w: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and Jefferies LLC are the representatives of the underwriters.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r>
      <w:tr>
        <w:trPr>
          <w:trHeight w:val="169"/>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Underwriters</w:t>
            </w:r>
          </w:p>
        </w:tc>
        <w:tc>
          <w:tcPr>
            <w:tcW w:w="834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460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14605</wp:posOffset>
            </wp:positionV>
            <wp:extent cx="126873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273" w:lineRule="exact"/>
        <w:rPr>
          <w:sz w:val="20"/>
          <w:szCs w:val="20"/>
          <w:color w:val="auto"/>
        </w:rPr>
      </w:pPr>
    </w:p>
    <w:p>
      <w:pPr>
        <w:ind w:right="100" w:firstLine="576"/>
        <w:spacing w:after="0" w:line="246"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97" w:lineRule="exact"/>
        <w:rPr>
          <w:sz w:val="20"/>
          <w:szCs w:val="20"/>
          <w:color w:val="auto"/>
        </w:rPr>
      </w:pPr>
    </w:p>
    <w:p>
      <w:pPr>
        <w:jc w:val="both"/>
        <w:ind w:right="40" w:firstLine="576"/>
        <w:spacing w:after="0"/>
        <w:rPr>
          <w:sz w:val="20"/>
          <w:szCs w:val="20"/>
          <w:color w:val="auto"/>
        </w:rPr>
      </w:pPr>
      <w:r>
        <w:rPr>
          <w:rFonts w:ascii="Arial" w:cs="Arial" w:eastAsia="Arial" w:hAnsi="Arial"/>
          <w:sz w:val="18"/>
          <w:szCs w:val="18"/>
          <w:color w:val="auto"/>
        </w:rPr>
        <w:t>The underwriters have an option to buy up to an additional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w:t>
      </w:r>
    </w:p>
    <w:p>
      <w:pPr>
        <w:jc w:val="both"/>
        <w:ind w:right="60"/>
        <w:spacing w:after="0" w:line="243" w:lineRule="auto"/>
        <w:rPr>
          <w:sz w:val="20"/>
          <w:szCs w:val="20"/>
          <w:color w:val="auto"/>
        </w:rPr>
      </w:pPr>
      <w:r>
        <w:rPr>
          <w:rFonts w:ascii="Arial" w:cs="Arial" w:eastAsia="Arial" w:hAnsi="Arial"/>
          <w:sz w:val="18"/>
          <w:szCs w:val="18"/>
          <w:color w:val="auto"/>
        </w:rPr>
        <w:t>amounts are shown assuming both no exercise and full exercise of the underwriters’ option to purchase up to an additional shares from us.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1840" w:type="dxa"/>
            <w:vAlign w:val="bottom"/>
            <w:gridSpan w:val="2"/>
          </w:tcPr>
          <w:p>
            <w:pPr>
              <w:ind w:left="420"/>
              <w:spacing w:after="0"/>
              <w:rPr>
                <w:sz w:val="20"/>
                <w:szCs w:val="20"/>
                <w:color w:val="auto"/>
              </w:rPr>
            </w:pPr>
            <w:r>
              <w:rPr>
                <w:rFonts w:ascii="Arial" w:cs="Arial" w:eastAsia="Arial" w:hAnsi="Arial"/>
                <w:sz w:val="14"/>
                <w:szCs w:val="14"/>
                <w:b w:val="1"/>
                <w:bCs w:val="1"/>
                <w:color w:val="auto"/>
              </w:rPr>
              <w:t>No Exercise</w:t>
            </w:r>
          </w:p>
        </w:tc>
        <w:tc>
          <w:tcPr>
            <w:tcW w:w="1680" w:type="dxa"/>
            <w:vAlign w:val="bottom"/>
          </w:tcPr>
          <w:p>
            <w:pPr>
              <w:jc w:val="right"/>
              <w:ind w:right="316"/>
              <w:spacing w:after="0"/>
              <w:rPr>
                <w:sz w:val="20"/>
                <w:szCs w:val="20"/>
                <w:color w:val="auto"/>
              </w:rPr>
            </w:pPr>
            <w:r>
              <w:rPr>
                <w:rFonts w:ascii="Arial" w:cs="Arial" w:eastAsia="Arial" w:hAnsi="Arial"/>
                <w:sz w:val="14"/>
                <w:szCs w:val="14"/>
                <w:b w:val="1"/>
                <w:bCs w:val="1"/>
                <w:color w:val="auto"/>
              </w:rPr>
              <w:t>Full Exercise</w:t>
            </w:r>
          </w:p>
        </w:tc>
      </w:tr>
      <w:tr>
        <w:trPr>
          <w:trHeight w:val="209"/>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Per Share</w:t>
            </w:r>
          </w:p>
        </w:tc>
        <w:tc>
          <w:tcPr>
            <w:tcW w:w="1680" w:type="dxa"/>
            <w:vAlign w:val="bottom"/>
            <w:tcBorders>
              <w:top w:val="single" w:sz="8" w:color="auto"/>
            </w:tcBorders>
            <w:shd w:val="clear" w:color="auto" w:fill="CFF0FC"/>
          </w:tcPr>
          <w:p>
            <w:pPr>
              <w:jc w:val="right"/>
              <w:ind w:right="1476"/>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right"/>
              <w:ind w:right="1496"/>
              <w:spacing w:after="0"/>
              <w:rPr>
                <w:sz w:val="20"/>
                <w:szCs w:val="20"/>
                <w:color w:val="auto"/>
              </w:rPr>
            </w:pPr>
            <w:r>
              <w:rPr>
                <w:rFonts w:ascii="Arial" w:cs="Arial" w:eastAsia="Arial" w:hAnsi="Arial"/>
                <w:sz w:val="18"/>
                <w:szCs w:val="18"/>
                <w:color w:val="auto"/>
                <w:w w:val="79"/>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1680" w:type="dxa"/>
            <w:vAlign w:val="bottom"/>
          </w:tcPr>
          <w:p>
            <w:pPr>
              <w:jc w:val="right"/>
              <w:ind w:right="1476"/>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680" w:type="dxa"/>
            <w:vAlign w:val="bottom"/>
          </w:tcPr>
          <w:p>
            <w:pPr>
              <w:jc w:val="right"/>
              <w:ind w:right="1496"/>
              <w:spacing w:after="0"/>
              <w:rPr>
                <w:sz w:val="20"/>
                <w:szCs w:val="20"/>
                <w:color w:val="auto"/>
              </w:rPr>
            </w:pPr>
            <w:r>
              <w:rPr>
                <w:rFonts w:ascii="Arial" w:cs="Arial" w:eastAsia="Arial" w:hAnsi="Arial"/>
                <w:sz w:val="18"/>
                <w:szCs w:val="18"/>
                <w:color w:val="auto"/>
                <w:w w:val="79"/>
              </w:rPr>
              <w:t>$</w:t>
            </w:r>
          </w:p>
        </w:tc>
      </w:tr>
    </w:tbl>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ind w:right="20"/>
        <w:spacing w:after="0" w:line="238" w:lineRule="auto"/>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205"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We and our officers, directors, and holders of substantially all of our common stock and securities convertible into or exchangeable for our common stock have agreed or will agree with the underwriters, subject to certain exceptions, not to dispose of or hedge any of our or their common stock or securities convertible into or exchangeable for shares of common stock during the period from the date of this prospectus continuing through the date 180 days after the date of this prospectus, except with the prior written consent of Goldman Sachs &amp; Co. LLC and Jefferies LLC. This agreement does not apply to any existing employee benefit plans. See the section of this prospectus titled “Shares Eligible for Future Sale” for a discussion of certain transfer restrictions.</w:t>
      </w:r>
    </w:p>
    <w:p>
      <w:pPr>
        <w:spacing w:after="0" w:line="205"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has been negotiated among the company and the representatives. Among the factors to be considered in determining the initial public offering price of the shares, in addition to prevailing market conditions, will be the company’s historical performance, estimates of the business potential and earnings prospects of the company, an assessment of our management and the consideration of the above factors in relation to market valuation of companies in related businesses.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9" w:name="page200"/>
    <w:bookmarkEnd w:id="199"/>
    <w:p>
      <w:pPr>
        <w:ind w:left="580"/>
        <w:spacing w:after="0"/>
        <w:rPr>
          <w:sz w:val="20"/>
          <w:szCs w:val="20"/>
          <w:color w:val="auto"/>
        </w:rPr>
      </w:pPr>
      <w:r>
        <w:rPr>
          <w:rFonts w:ascii="Arial" w:cs="Arial" w:eastAsia="Arial" w:hAnsi="Arial"/>
          <w:sz w:val="18"/>
          <w:szCs w:val="18"/>
          <w:color w:val="auto"/>
        </w:rPr>
        <w:t>We have applied to list our common stock on the Nasdaq Global Market under the symbol "ATHA".</w:t>
      </w:r>
    </w:p>
    <w:p>
      <w:pPr>
        <w:spacing w:after="0" w:line="212"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14"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3"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w:t>
      </w:r>
    </w:p>
    <w:p>
      <w:pPr>
        <w:spacing w:after="0" w:line="234" w:lineRule="auto"/>
        <w:tabs>
          <w:tab w:leader="none" w:pos="230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8"/>
          <w:szCs w:val="18"/>
          <w:color w:val="auto"/>
        </w:rPr>
        <w:t>. We have agreed to reimburse the underwriters for certain of their expenses in an amount up to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12" w:lineRule="exact"/>
        <w:rPr>
          <w:sz w:val="20"/>
          <w:szCs w:val="20"/>
          <w:color w:val="auto"/>
        </w:rPr>
      </w:pPr>
    </w:p>
    <w:p>
      <w:pPr>
        <w:jc w:val="both"/>
        <w:ind w:right="140" w:firstLine="576"/>
        <w:spacing w:after="0" w:line="248" w:lineRule="auto"/>
        <w:rPr>
          <w:sz w:val="20"/>
          <w:szCs w:val="20"/>
          <w:color w:val="auto"/>
        </w:rPr>
      </w:pPr>
      <w:r>
        <w:rPr>
          <w:rFonts w:ascii="Arial" w:cs="Arial" w:eastAsia="Arial" w:hAnsi="Arial"/>
          <w:sz w:val="17"/>
          <w:szCs w:val="17"/>
          <w:color w:val="auto"/>
        </w:rPr>
        <w:t>At our request, the underwriters have reserved up to % of the shares of common stock offered hereby, at the initial public offering price, to offer to directors, officers, employees, business associates and other persons related to us. The underwriters will receive the same underwriting discount on any shares purchased pursuant to this program as they will on any other shares sold to the public in this offering.</w:t>
      </w:r>
    </w:p>
    <w:p>
      <w:pPr>
        <w:spacing w:after="0" w:line="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number of shares of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 Shares purchased by our directors and officers will be subject to a 180-day lock-up agreement with the underwriters in this offering.</w:t>
      </w:r>
    </w:p>
    <w:p>
      <w:pPr>
        <w:spacing w:after="0" w:line="205" w:lineRule="exact"/>
        <w:rPr>
          <w:sz w:val="20"/>
          <w:szCs w:val="20"/>
          <w:color w:val="auto"/>
        </w:rPr>
      </w:pPr>
    </w:p>
    <w:p>
      <w:pPr>
        <w:ind w:right="240" w:firstLine="576"/>
        <w:spacing w:after="0" w:line="261"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200" w:name="page201"/>
    <w:bookmarkEnd w:id="200"/>
    <w:p>
      <w:pPr>
        <w:ind w:right="120"/>
        <w:spacing w:after="0" w:line="246" w:lineRule="auto"/>
        <w:rPr>
          <w:sz w:val="20"/>
          <w:szCs w:val="20"/>
          <w:color w:val="auto"/>
        </w:rPr>
      </w:pPr>
      <w:r>
        <w:rPr>
          <w:rFonts w:ascii="Arial" w:cs="Arial" w:eastAsia="Arial" w:hAnsi="Arial"/>
          <w:sz w:val="18"/>
          <w:szCs w:val="18"/>
          <w:color w:val="auto"/>
        </w:rPr>
        <w:t>respective affiliates may in the future provide, a variety of these services to the issuer and to persons and entities with relationships with the issuer, for which they will receive customary fees and expenses.</w:t>
      </w:r>
    </w:p>
    <w:p>
      <w:pPr>
        <w:spacing w:after="0" w:line="197"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May 2020, we issued a warrant to JMP Securities LLC to purchase up to 1,010,955 shares of our Series B convertible preferred</w:t>
      </w:r>
    </w:p>
    <w:p>
      <w:pPr>
        <w:jc w:val="both"/>
        <w:spacing w:after="0"/>
        <w:rPr>
          <w:sz w:val="20"/>
          <w:szCs w:val="20"/>
          <w:color w:val="auto"/>
        </w:rPr>
      </w:pPr>
      <w:r>
        <w:rPr>
          <w:rFonts w:ascii="Arial" w:cs="Arial" w:eastAsia="Arial" w:hAnsi="Arial"/>
          <w:sz w:val="18"/>
          <w:szCs w:val="18"/>
          <w:color w:val="auto"/>
        </w:rPr>
        <w:t>stock in connection with our Series B convertible preferred stock financing. This warrant will be automatically exercised into shares of our common stock immediately prior to the closing of this offering. The warrant (and the shares of common stock once exercised) are subject to the 180-day lock-up restrictions pursuant to FINRA Rule 5110(g) and a 180-day lock-up agreement with the underwriters in this offering.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 and United Kingdom</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common shares, or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97" w:lineRule="exact"/>
        <w:rPr>
          <w:sz w:val="20"/>
          <w:szCs w:val="20"/>
          <w:color w:val="auto"/>
        </w:rPr>
      </w:pPr>
    </w:p>
    <w:p>
      <w:pPr>
        <w:ind w:left="1300" w:hanging="442"/>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1300" w:right="520" w:hanging="442"/>
        <w:spacing w:after="0" w:line="246" w:lineRule="auto"/>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right="60" w:firstLine="576"/>
        <w:spacing w:after="0" w:line="246" w:lineRule="auto"/>
        <w:rPr>
          <w:sz w:val="20"/>
          <w:szCs w:val="20"/>
          <w:color w:val="auto"/>
        </w:rPr>
      </w:pPr>
      <w:r>
        <w:rPr>
          <w:rFonts w:ascii="Arial" w:cs="Arial" w:eastAsia="Arial" w:hAnsi="Arial"/>
          <w:sz w:val="18"/>
          <w:szCs w:val="18"/>
          <w:color w:val="auto"/>
        </w:rPr>
        <w:t>provided that no such offer of Shares shall require the company or any representative to publish a prospectus pursuant to Article 3 of the Prospectus Regulation or supplement a prospectus pursuant to Article 23 of the Prospectus Regulation.</w:t>
      </w:r>
    </w:p>
    <w:p>
      <w:pPr>
        <w:spacing w:after="0" w:line="197"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Underwriter has represented and agreed that:</w:t>
      </w:r>
    </w:p>
    <w:p>
      <w:pPr>
        <w:spacing w:after="0" w:line="104" w:lineRule="exact"/>
        <w:rPr>
          <w:sz w:val="20"/>
          <w:szCs w:val="20"/>
          <w:color w:val="auto"/>
        </w:rPr>
      </w:pPr>
    </w:p>
    <w:p>
      <w:pPr>
        <w:ind w:left="1300" w:right="380" w:hanging="442"/>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the</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201" w:name="page202"/>
    <w:bookmarkEnd w:id="201"/>
    <w:p>
      <w:pPr>
        <w:ind w:left="1300" w:right="460"/>
        <w:spacing w:after="0" w:line="246" w:lineRule="auto"/>
        <w:rPr>
          <w:sz w:val="20"/>
          <w:szCs w:val="20"/>
          <w:color w:val="auto"/>
        </w:rPr>
      </w:pPr>
      <w:r>
        <w:rPr>
          <w:rFonts w:ascii="Arial" w:cs="Arial" w:eastAsia="Arial" w:hAnsi="Arial"/>
          <w:sz w:val="18"/>
          <w:szCs w:val="18"/>
          <w:color w:val="auto"/>
        </w:rPr>
        <w:t>“FSMA”)) received by it in connection with the issue or sale of the shares in circumstances in which Section 21(1) of the FSMA does not apply to the company; and</w:t>
      </w:r>
    </w:p>
    <w:p>
      <w:pPr>
        <w:spacing w:after="0" w:line="89" w:lineRule="exact"/>
        <w:rPr>
          <w:sz w:val="20"/>
          <w:szCs w:val="20"/>
          <w:color w:val="auto"/>
        </w:rPr>
      </w:pPr>
    </w:p>
    <w:p>
      <w:pPr>
        <w:ind w:left="1300" w:hanging="442"/>
        <w:spacing w:after="0" w:line="246" w:lineRule="auto"/>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12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202"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202" w:lineRule="exact"/>
        <w:rPr>
          <w:sz w:val="20"/>
          <w:szCs w:val="20"/>
          <w:color w:val="auto"/>
        </w:rPr>
      </w:pPr>
    </w:p>
    <w:p>
      <w:pPr>
        <w:ind w:right="600" w:firstLine="576"/>
        <w:spacing w:after="0" w:line="24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126"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The shares may not be offered or sold in Hong Kong by means of any document other than (1) in circumstances which do not constitute an offer to the public within the meaning of the Companies (Winding Up and Miscellaneous Provisions) Ordinance (Cap. 32 of the Laws of Hong Kong), or the Companies Ordinance, or which do not constitute an invitation to the public within the meaning of the Securities and Futures Ordinance (Cap. 571 of the Laws of Hong Kong), or the Securities and Futures Ordinance, or (2) to "professional investors" as defined in the Securities and Futures Ordinance and any rules made thereunder, or (3) in other circumstances which do not result in the document being a "prospectus" as defined in the Companies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126" w:lineRule="exact"/>
        <w:rPr>
          <w:sz w:val="20"/>
          <w:szCs w:val="20"/>
          <w:color w:val="auto"/>
        </w:rPr>
      </w:pPr>
    </w:p>
    <w:p>
      <w:pPr>
        <w:ind w:right="140" w:firstLine="576"/>
        <w:spacing w:after="0" w:line="23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(1) to an institutional investor (as defined under Section 4A of the Securities and Futures Act, Chapter 289 of Singapore, or the SFA, under Section 274 of the SFA, (2) to a relevant person (as defined in Section 275(2) of the SFA) pursuant to Section 275(1) of the SFA, or any person pursuant to Section 275(1A) of the SFA, and in accordance with the conditions specified in Section 275 of the SFA or (3) otherwise pursuant to, and in accordance with the conditions of, any other applicable provision of the SFA, in each case subject to conditions set forth in the SFA.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02" w:name="page203"/>
    <w:bookmarkEnd w:id="202"/>
    <w:p>
      <w:pPr>
        <w:ind w:right="40" w:firstLine="576"/>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207"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08" w:lineRule="exact"/>
        <w:rPr>
          <w:sz w:val="20"/>
          <w:szCs w:val="20"/>
          <w:color w:val="auto"/>
        </w:rPr>
      </w:pPr>
    </w:p>
    <w:p>
      <w:pPr>
        <w:ind w:right="320" w:firstLine="576"/>
        <w:spacing w:after="0" w:line="238"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126" w:lineRule="exact"/>
        <w:rPr>
          <w:sz w:val="20"/>
          <w:szCs w:val="20"/>
          <w:color w:val="auto"/>
        </w:rPr>
      </w:pPr>
    </w:p>
    <w:p>
      <w:pPr>
        <w:ind w:right="200" w:firstLine="576"/>
        <w:spacing w:after="0" w:line="238"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26"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offering document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205"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03" w:name="page204"/>
    <w:bookmarkEnd w:id="203"/>
    <w:p>
      <w:pPr>
        <w:ind w:right="140" w:firstLine="576"/>
        <w:spacing w:after="0" w:line="238"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20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Dubai International Financial Centre</w:t>
      </w:r>
    </w:p>
    <w:p>
      <w:pPr>
        <w:spacing w:after="0" w:line="126" w:lineRule="exact"/>
        <w:rPr>
          <w:sz w:val="20"/>
          <w:szCs w:val="20"/>
          <w:color w:val="auto"/>
        </w:rPr>
      </w:pPr>
    </w:p>
    <w:p>
      <w:pPr>
        <w:ind w:right="120" w:firstLine="576"/>
        <w:spacing w:after="0" w:line="237" w:lineRule="auto"/>
        <w:rPr>
          <w:sz w:val="20"/>
          <w:szCs w:val="20"/>
          <w:color w:val="auto"/>
        </w:rPr>
      </w:pPr>
      <w:r>
        <w:rPr>
          <w:rFonts w:ascii="Arial" w:cs="Arial" w:eastAsia="Arial" w:hAnsi="Arial"/>
          <w:sz w:val="18"/>
          <w:szCs w:val="18"/>
          <w:color w:val="auto"/>
        </w:rPr>
        <w:t>This offering document relates to an Exempt Offer in accordance with the Offered Securities Rules of the Dubai Financial Services Authority, or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126" w:lineRule="exact"/>
        <w:rPr>
          <w:sz w:val="20"/>
          <w:szCs w:val="20"/>
          <w:color w:val="auto"/>
        </w:rPr>
      </w:pPr>
    </w:p>
    <w:p>
      <w:pPr>
        <w:jc w:val="both"/>
        <w:ind w:right="20" w:firstLine="576"/>
        <w:spacing w:after="0" w:line="234" w:lineRule="auto"/>
        <w:rPr>
          <w:sz w:val="20"/>
          <w:szCs w:val="20"/>
          <w:color w:val="auto"/>
        </w:rPr>
      </w:pPr>
      <w:r>
        <w:rPr>
          <w:rFonts w:ascii="Arial" w:cs="Arial" w:eastAsia="Arial" w:hAnsi="Arial"/>
          <w:sz w:val="18"/>
          <w:szCs w:val="18"/>
          <w:color w:val="auto"/>
        </w:rPr>
        <w:t>We have not and will not register with the Swiss Financial Market Supervisory Authority, or FINMA, as a foreign collective investment scheme pursuant to Article 119 of the Federal Act on Collective Investment Scheme of 23 June 2006, as amended, or CISA, and accordingly the securities being offered pursuant to this prospectus have not and will not be approved, and may not be licensable, with FINMA.</w:t>
      </w:r>
    </w:p>
    <w:p>
      <w:pPr>
        <w:spacing w:after="0" w:line="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or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in this prospectus and may neither directly or indirectly be distributed or made available to any person or entity other than its recipients. It may not be used in connection with any other offer and shall in particular not be copied and/or distributed to the public in Switzerland or from Switzerland. This prospectus does not constitute an issue prospectus as that term is understood pursuant to Article 652a and/or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204" w:name="page205"/>
    <w:bookmarkEnd w:id="204"/>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The validity of the shares of the common stock offered hereby will be passed upon for us by Wilson Sonsini Goodrich &amp; Rosati, Professional Corporation, Seattle, Washington. Cooley, LLP, Seattle Washington, is acting as counsel for the underwriters. Investment funds associated with Wilson Sonsini Goodrich &amp; Rosati, Professional Corporation, hold shares of our common stock and preferred stock convertible into our common stock representing an aggregate of 108,695 shares of our common stock, which is less than 1% of our outstanding shares of common stock.</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as of December 31, 2018 and December 31, 2019 and for each of the two years in the period ended December 31, 2019, as set forth in their report. We have included our financial statements in the prospectus and elsewhere in the registration statement in reliance on Ernst &amp; Young LLP’s report, given on their authority as experts in accounting and auditing.</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4"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our common stock offered by this prospectus. This prospectus constitutes only a part of the registration statement. Some items are contained in exhibits to the registration statement as permitted by the rules and regulations of the SEC. For further information with respect to us and our common stock, we refer you to the registration statement, including the exhibits. Statements contained in this prospectus concerning the contents of any contract or document referred to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203"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You may obtain copies of this information by mail from the Public Reference Section of the SEC, 100 F Street, N.E., Room 1580, Washington, D.C. 20549, at prescribed rates. You may obtain information on the operation of the public reference rooms by calling the SEC at 1-800-SEC-0330. The SEC also maintains an Internet website at www.sec.gov that contains reports, proxy statements and other information about issuers, like us, that file electronically with the SEC.</w:t>
      </w:r>
    </w:p>
    <w:p>
      <w:pPr>
        <w:spacing w:after="0" w:line="205" w:lineRule="exact"/>
        <w:rPr>
          <w:sz w:val="20"/>
          <w:szCs w:val="20"/>
          <w:color w:val="auto"/>
        </w:rPr>
      </w:pPr>
    </w:p>
    <w:p>
      <w:pPr>
        <w:ind w:right="160" w:firstLine="576"/>
        <w:spacing w:after="0" w:line="237"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www.athira.com, at which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05" w:name="page206"/>
    <w:bookmarkEnd w:id="205"/>
    <w:p>
      <w:pPr>
        <w:jc w:val="center"/>
        <w:ind w:right="20"/>
        <w:spacing w:after="0"/>
        <w:rPr>
          <w:sz w:val="20"/>
          <w:szCs w:val="20"/>
          <w:color w:val="auto"/>
        </w:rPr>
      </w:pPr>
      <w:r>
        <w:rPr>
          <w:rFonts w:ascii="Arial" w:cs="Arial" w:eastAsia="Arial" w:hAnsi="Arial"/>
          <w:sz w:val="18"/>
          <w:szCs w:val="18"/>
          <w:b w:val="1"/>
          <w:bCs w:val="1"/>
          <w:color w:val="auto"/>
        </w:rPr>
        <w:t>ATHIRA PHARMA, INC.</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INDEX TO FINANCIAL STATEMENTS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760" w:type="dxa"/>
            <w:vAlign w:val="bottom"/>
            <w:vMerge w:val="restart"/>
          </w:tcPr>
          <w:p>
            <w:pPr>
              <w:spacing w:after="0"/>
              <w:rPr>
                <w:sz w:val="20"/>
                <w:szCs w:val="20"/>
                <w:color w:val="auto"/>
              </w:rPr>
            </w:pPr>
            <w:r>
              <w:rPr>
                <w:rFonts w:ascii="Arial" w:cs="Arial" w:eastAsia="Arial" w:hAnsi="Arial"/>
                <w:sz w:val="18"/>
                <w:szCs w:val="18"/>
                <w:b w:val="1"/>
                <w:bCs w:val="1"/>
                <w:color w:val="auto"/>
              </w:rPr>
              <w:t>Audited Financial Statements:</w:t>
            </w:r>
          </w:p>
        </w:tc>
        <w:tc>
          <w:tcPr>
            <w:tcW w:w="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22"/>
        </w:trPr>
        <w:tc>
          <w:tcPr>
            <w:tcW w:w="10760" w:type="dxa"/>
            <w:vAlign w:val="bottom"/>
            <w:vMerge w:val="continue"/>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760" w:type="dxa"/>
            <w:vAlign w:val="bottom"/>
          </w:tcPr>
          <w:p>
            <w:pPr>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Report of Independent Registered Public Accounting Firm</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10760" w:type="dxa"/>
            <w:vAlign w:val="bottom"/>
          </w:tcPr>
          <w:p>
            <w:pPr>
              <w:spacing w:after="0"/>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Balance Sheets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10760" w:type="dxa"/>
            <w:vAlign w:val="bottom"/>
          </w:tcPr>
          <w:p>
            <w:pPr>
              <w:spacing w:after="0"/>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Statements of Operations and Comprehensive Loss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10760" w:type="dxa"/>
            <w:vAlign w:val="bottom"/>
          </w:tcPr>
          <w:p>
            <w:pPr>
              <w:spacing w:after="0"/>
              <w:rPr>
                <w:rFonts w:ascii="Arial" w:cs="Arial" w:eastAsia="Arial" w:hAnsi="Arial"/>
                <w:sz w:val="18"/>
                <w:szCs w:val="18"/>
                <w:u w:val="single" w:color="auto"/>
                <w:color w:val="0000EE"/>
              </w:rPr>
            </w:pPr>
            <w:hyperlink w:anchor="page210">
              <w:r>
                <w:rPr>
                  <w:rFonts w:ascii="Arial" w:cs="Arial" w:eastAsia="Arial" w:hAnsi="Arial"/>
                  <w:sz w:val="18"/>
                  <w:szCs w:val="18"/>
                  <w:u w:val="single" w:color="auto"/>
                  <w:color w:val="0000EE"/>
                </w:rPr>
                <w:t>Statements of Convertible Preferred Stock and Stockholders’ Deficit</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10760" w:type="dxa"/>
            <w:vAlign w:val="bottom"/>
          </w:tcPr>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Statements of Cash Flows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7"/>
        </w:trPr>
        <w:tc>
          <w:tcPr>
            <w:tcW w:w="10760" w:type="dxa"/>
            <w:vAlign w:val="bottom"/>
          </w:tcPr>
          <w:p>
            <w:pPr>
              <w:spacing w:after="0"/>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Notes to Financial Statements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50"/>
        </w:trPr>
        <w:tc>
          <w:tcPr>
            <w:tcW w:w="10760" w:type="dxa"/>
            <w:vAlign w:val="bottom"/>
          </w:tcPr>
          <w:p>
            <w:pPr>
              <w:spacing w:after="0"/>
              <w:rPr>
                <w:sz w:val="20"/>
                <w:szCs w:val="20"/>
                <w:color w:val="auto"/>
              </w:rPr>
            </w:pPr>
            <w:r>
              <w:rPr>
                <w:rFonts w:ascii="Arial" w:cs="Arial" w:eastAsia="Arial" w:hAnsi="Arial"/>
                <w:sz w:val="18"/>
                <w:szCs w:val="18"/>
                <w:b w:val="1"/>
                <w:bCs w:val="1"/>
                <w:color w:val="auto"/>
              </w:rPr>
              <w:t>Unaudited Interim Condensed Financial Statements: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760" w:type="dxa"/>
            <w:vAlign w:val="bottom"/>
          </w:tcPr>
          <w:p>
            <w:pPr>
              <w:spacing w:after="0" w:line="202" w:lineRule="exact"/>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Condensed Balance Sheets</w:t>
              </w:r>
            </w:hyperlink>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203"/>
        </w:trPr>
        <w:tc>
          <w:tcPr>
            <w:tcW w:w="10760" w:type="dxa"/>
            <w:vAlign w:val="bottom"/>
          </w:tcPr>
          <w:p>
            <w:pPr>
              <w:spacing w:after="0" w:line="202" w:lineRule="exact"/>
              <w:rPr>
                <w:rFonts w:ascii="Arial" w:cs="Arial" w:eastAsia="Arial" w:hAnsi="Arial"/>
                <w:sz w:val="18"/>
                <w:szCs w:val="18"/>
                <w:u w:val="single" w:color="auto"/>
                <w:color w:val="0000EE"/>
              </w:rPr>
            </w:pPr>
            <w:hyperlink w:anchor="page233">
              <w:r>
                <w:rPr>
                  <w:rFonts w:ascii="Arial" w:cs="Arial" w:eastAsia="Arial" w:hAnsi="Arial"/>
                  <w:sz w:val="18"/>
                  <w:szCs w:val="18"/>
                  <w:u w:val="single" w:color="auto"/>
                  <w:color w:val="0000EE"/>
                </w:rPr>
                <w:t>Condensed Statements of Operations and Comprehensive Loss</w:t>
              </w:r>
            </w:hyperlink>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202"/>
        </w:trPr>
        <w:tc>
          <w:tcPr>
            <w:tcW w:w="10760" w:type="dxa"/>
            <w:vAlign w:val="bottom"/>
          </w:tcPr>
          <w:p>
            <w:pPr>
              <w:spacing w:after="0" w:line="202" w:lineRule="exact"/>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Condensed Statements of Convertible Preferred Stock and Stockholders’ Deficit</w:t>
              </w:r>
            </w:hyperlink>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F-29</w:t>
            </w:r>
          </w:p>
        </w:tc>
        <w:tc>
          <w:tcPr>
            <w:tcW w:w="0" w:type="dxa"/>
            <w:vAlign w:val="bottom"/>
          </w:tcPr>
          <w:p>
            <w:pPr>
              <w:spacing w:after="0"/>
              <w:rPr>
                <w:sz w:val="1"/>
                <w:szCs w:val="1"/>
                <w:color w:val="auto"/>
              </w:rPr>
            </w:pPr>
          </w:p>
        </w:tc>
      </w:tr>
      <w:tr>
        <w:trPr>
          <w:trHeight w:val="203"/>
        </w:trPr>
        <w:tc>
          <w:tcPr>
            <w:tcW w:w="10760" w:type="dxa"/>
            <w:vAlign w:val="bottom"/>
          </w:tcPr>
          <w:p>
            <w:pPr>
              <w:spacing w:after="0" w:line="202" w:lineRule="exact"/>
              <w:rPr>
                <w:rFonts w:ascii="Arial" w:cs="Arial" w:eastAsia="Arial" w:hAnsi="Arial"/>
                <w:sz w:val="18"/>
                <w:szCs w:val="18"/>
                <w:u w:val="single" w:color="auto"/>
                <w:color w:val="0000EE"/>
              </w:rPr>
            </w:pPr>
            <w:hyperlink w:anchor="page235">
              <w:r>
                <w:rPr>
                  <w:rFonts w:ascii="Arial" w:cs="Arial" w:eastAsia="Arial" w:hAnsi="Arial"/>
                  <w:sz w:val="18"/>
                  <w:szCs w:val="18"/>
                  <w:u w:val="single" w:color="auto"/>
                  <w:color w:val="0000EE"/>
                </w:rPr>
                <w:t>Condensed Statements of Cash Flows</w:t>
              </w:r>
            </w:hyperlink>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F-30</w:t>
            </w:r>
          </w:p>
        </w:tc>
        <w:tc>
          <w:tcPr>
            <w:tcW w:w="0" w:type="dxa"/>
            <w:vAlign w:val="bottom"/>
          </w:tcPr>
          <w:p>
            <w:pPr>
              <w:spacing w:after="0"/>
              <w:rPr>
                <w:sz w:val="1"/>
                <w:szCs w:val="1"/>
                <w:color w:val="auto"/>
              </w:rPr>
            </w:pPr>
          </w:p>
        </w:tc>
      </w:tr>
      <w:tr>
        <w:trPr>
          <w:trHeight w:val="217"/>
        </w:trPr>
        <w:tc>
          <w:tcPr>
            <w:tcW w:w="10760" w:type="dxa"/>
            <w:vAlign w:val="bottom"/>
          </w:tcPr>
          <w:p>
            <w:pPr>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Notes to the Condensed Financial Statements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F-31</w:t>
            </w:r>
          </w:p>
        </w:tc>
        <w:tc>
          <w:tcPr>
            <w:tcW w:w="0" w:type="dxa"/>
            <w:vAlign w:val="bottom"/>
          </w:tcPr>
          <w:p>
            <w:pPr>
              <w:spacing w:after="0"/>
              <w:rPr>
                <w:sz w:val="1"/>
                <w:szCs w:val="1"/>
                <w:color w:val="auto"/>
              </w:rPr>
            </w:pPr>
          </w:p>
        </w:tc>
      </w:tr>
      <w:tr>
        <w:trPr>
          <w:trHeight w:val="850"/>
        </w:trPr>
        <w:tc>
          <w:tcPr>
            <w:tcW w:w="10760" w:type="dxa"/>
            <w:vAlign w:val="bottom"/>
          </w:tcPr>
          <w:p>
            <w:pPr>
              <w:ind w:left="548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07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206" w:name="page207"/>
    <w:bookmarkEnd w:id="206"/>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Athira Pharma, Inc.:</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4" w:lineRule="exact"/>
        <w:rPr>
          <w:sz w:val="20"/>
          <w:szCs w:val="20"/>
          <w:color w:val="auto"/>
        </w:rPr>
      </w:pPr>
    </w:p>
    <w:p>
      <w:pPr>
        <w:ind w:firstLine="864"/>
        <w:spacing w:after="0" w:line="238" w:lineRule="auto"/>
        <w:rPr>
          <w:sz w:val="20"/>
          <w:szCs w:val="20"/>
          <w:color w:val="auto"/>
        </w:rPr>
      </w:pPr>
      <w:r>
        <w:rPr>
          <w:rFonts w:ascii="Arial" w:cs="Arial" w:eastAsia="Arial" w:hAnsi="Arial"/>
          <w:sz w:val="18"/>
          <w:szCs w:val="18"/>
          <w:color w:val="auto"/>
        </w:rPr>
        <w:t>We have audited the accompanying balance sheets of Athira Pharma, Inc. (the Company) as of December 31, 2018 and 2019, the related statements of operations and comprehensive loss,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2018 and 2019, and the results of its operations and its cash flows for the years then ended in conformity with U.S. generally accepted accounting principles.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4" w:lineRule="exact"/>
        <w:rPr>
          <w:sz w:val="20"/>
          <w:szCs w:val="20"/>
          <w:color w:val="auto"/>
        </w:rPr>
      </w:pPr>
    </w:p>
    <w:p>
      <w:pPr>
        <w:ind w:firstLine="864"/>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20" w:firstLine="864"/>
        <w:spacing w:after="0" w:line="23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2" w:lineRule="exact"/>
        <w:rPr>
          <w:sz w:val="20"/>
          <w:szCs w:val="20"/>
          <w:color w:val="auto"/>
        </w:rPr>
      </w:pPr>
    </w:p>
    <w:p>
      <w:pPr>
        <w:ind w:right="180" w:firstLine="864"/>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rPr>
          <w:sz w:val="20"/>
          <w:szCs w:val="20"/>
          <w:color w:val="auto"/>
        </w:rPr>
      </w:pPr>
      <w:r>
        <w:rPr>
          <w:rFonts w:ascii="Arial" w:cs="Arial" w:eastAsia="Arial" w:hAnsi="Arial"/>
          <w:sz w:val="18"/>
          <w:szCs w:val="18"/>
          <w:color w:val="auto"/>
        </w:rPr>
        <w:t>July 24, 2020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t>ATHIRA PHARMA, INC</w:t>
      </w:r>
      <w:r>
        <w:rPr>
          <w:rFonts w:ascii="Arial" w:cs="Arial" w:eastAsia="Arial" w:hAnsi="Arial"/>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3,317</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1,500</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unsecured related party note receivable</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4,897</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Unsecured related party note receivable</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0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940" w:type="dxa"/>
            <w:vAlign w:val="bottom"/>
            <w:tcBorders>
              <w:bottom w:val="single" w:sz="8" w:color="auto"/>
            </w:tcBorders>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4,933</w:t>
            </w:r>
          </w:p>
        </w:tc>
        <w:tc>
          <w:tcPr>
            <w:tcW w:w="3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30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572</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Grant liability</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Derivative liability</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539</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notes, net</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30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30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00" w:type="dxa"/>
            <w:vAlign w:val="bottom"/>
          </w:tcPr>
          <w:p>
            <w:pPr>
              <w:spacing w:after="0"/>
              <w:rPr>
                <w:sz w:val="20"/>
                <w:szCs w:val="20"/>
                <w:color w:val="auto"/>
              </w:rPr>
            </w:pPr>
            <w:r>
              <w:rPr>
                <w:rFonts w:ascii="Arial" w:cs="Arial" w:eastAsia="Arial" w:hAnsi="Arial"/>
                <w:sz w:val="18"/>
                <w:szCs w:val="18"/>
                <w:color w:val="auto"/>
              </w:rPr>
              <w:t>Convertible preferred stock, $0.0001 par value per share;</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2" w:lineRule="exact"/>
              <w:rPr>
                <w:sz w:val="20"/>
                <w:szCs w:val="20"/>
                <w:color w:val="auto"/>
              </w:rPr>
            </w:pPr>
            <w:r>
              <w:rPr>
                <w:rFonts w:ascii="Arial" w:cs="Arial" w:eastAsia="Arial" w:hAnsi="Arial"/>
                <w:sz w:val="18"/>
                <w:szCs w:val="18"/>
                <w:color w:val="auto"/>
              </w:rPr>
              <w:t>22,184,536 shares authorized; 20,756,536 issued and</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00" w:type="dxa"/>
            <w:vAlign w:val="bottom"/>
          </w:tcPr>
          <w:p>
            <w:pPr>
              <w:ind w:left="160"/>
              <w:spacing w:after="0" w:line="202" w:lineRule="exact"/>
              <w:rPr>
                <w:sz w:val="20"/>
                <w:szCs w:val="20"/>
                <w:color w:val="auto"/>
              </w:rPr>
            </w:pPr>
            <w:r>
              <w:rPr>
                <w:rFonts w:ascii="Arial" w:cs="Arial" w:eastAsia="Arial" w:hAnsi="Arial"/>
                <w:sz w:val="18"/>
                <w:szCs w:val="18"/>
                <w:color w:val="auto"/>
              </w:rPr>
              <w:t>outstanding at December 31, 2018 and 2019; aggregate</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3" w:lineRule="exact"/>
              <w:rPr>
                <w:sz w:val="20"/>
                <w:szCs w:val="20"/>
                <w:color w:val="auto"/>
              </w:rPr>
            </w:pPr>
            <w:r>
              <w:rPr>
                <w:rFonts w:ascii="Arial" w:cs="Arial" w:eastAsia="Arial" w:hAnsi="Arial"/>
                <w:sz w:val="18"/>
                <w:szCs w:val="18"/>
                <w:color w:val="auto"/>
              </w:rPr>
              <w:t>liquidation preference of $16,288 at December 31, 2018 and 2019</w:t>
            </w:r>
          </w:p>
        </w:tc>
        <w:tc>
          <w:tcPr>
            <w:tcW w:w="9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17,051</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17,051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Stockholders' deficit:</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00" w:type="dxa"/>
            <w:vAlign w:val="bottom"/>
          </w:tcPr>
          <w:p>
            <w:pPr>
              <w:ind w:left="260"/>
              <w:spacing w:after="0"/>
              <w:rPr>
                <w:sz w:val="20"/>
                <w:szCs w:val="20"/>
                <w:color w:val="auto"/>
              </w:rPr>
            </w:pPr>
            <w:r>
              <w:rPr>
                <w:rFonts w:ascii="Arial" w:cs="Arial" w:eastAsia="Arial" w:hAnsi="Arial"/>
                <w:sz w:val="18"/>
                <w:szCs w:val="18"/>
                <w:color w:val="auto"/>
              </w:rPr>
              <w:t>Common stock, $0.0001 par value per share, 80,000,000 shares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400"/>
              <w:spacing w:after="0" w:line="202" w:lineRule="exact"/>
              <w:rPr>
                <w:sz w:val="20"/>
                <w:szCs w:val="20"/>
                <w:color w:val="auto"/>
              </w:rPr>
            </w:pPr>
            <w:r>
              <w:rPr>
                <w:rFonts w:ascii="Arial" w:cs="Arial" w:eastAsia="Arial" w:hAnsi="Arial"/>
                <w:sz w:val="18"/>
                <w:szCs w:val="18"/>
                <w:color w:val="auto"/>
              </w:rPr>
              <w:t>authorized; 28,227,500 and 28,877,500 shares issued and</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400"/>
              <w:spacing w:after="0" w:line="203" w:lineRule="exact"/>
              <w:rPr>
                <w:sz w:val="20"/>
                <w:szCs w:val="20"/>
                <w:color w:val="auto"/>
              </w:rPr>
            </w:pPr>
            <w:r>
              <w:rPr>
                <w:rFonts w:ascii="Arial" w:cs="Arial" w:eastAsia="Arial" w:hAnsi="Arial"/>
                <w:sz w:val="18"/>
                <w:szCs w:val="18"/>
                <w:color w:val="auto"/>
              </w:rPr>
              <w:t>outstanding at December 31, 2018 and 2019, respectively</w:t>
            </w:r>
          </w:p>
        </w:tc>
        <w:tc>
          <w:tcPr>
            <w:tcW w:w="9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9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(15,926)</w:t>
            </w:r>
          </w:p>
        </w:tc>
        <w:tc>
          <w:tcPr>
            <w:tcW w:w="5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(21,087)</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deficit</w:t>
            </w:r>
          </w:p>
        </w:tc>
        <w:tc>
          <w:tcPr>
            <w:tcW w:w="9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8"/>
              </w:rPr>
              <w:t>(14,887)</w:t>
            </w: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(19,723)</w:t>
            </w:r>
          </w:p>
        </w:tc>
        <w:tc>
          <w:tcPr>
            <w:tcW w:w="0" w:type="dxa"/>
            <w:vAlign w:val="bottom"/>
          </w:tcPr>
          <w:p>
            <w:pPr>
              <w:spacing w:after="0"/>
              <w:rPr>
                <w:sz w:val="1"/>
                <w:szCs w:val="1"/>
                <w:color w:val="auto"/>
              </w:rPr>
            </w:pPr>
          </w:p>
        </w:tc>
      </w:tr>
      <w:tr>
        <w:trPr>
          <w:trHeight w:val="209"/>
        </w:trPr>
        <w:tc>
          <w:tcPr>
            <w:tcW w:w="7700" w:type="dxa"/>
            <w:vAlign w:val="bottom"/>
          </w:tcPr>
          <w:p>
            <w:pPr>
              <w:ind w:left="500"/>
              <w:spacing w:after="0"/>
              <w:rPr>
                <w:sz w:val="20"/>
                <w:szCs w:val="20"/>
                <w:color w:val="auto"/>
              </w:rPr>
            </w:pPr>
            <w:r>
              <w:rPr>
                <w:rFonts w:ascii="Arial" w:cs="Arial" w:eastAsia="Arial" w:hAnsi="Arial"/>
                <w:sz w:val="18"/>
                <w:szCs w:val="18"/>
                <w:color w:val="auto"/>
              </w:rPr>
              <w:t>Total liabilities, convertible preferred stock and stockholders'</w:t>
            </w: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660"/>
              <w:spacing w:after="0" w:line="203" w:lineRule="exact"/>
              <w:rPr>
                <w:sz w:val="20"/>
                <w:szCs w:val="20"/>
                <w:color w:val="auto"/>
              </w:rPr>
            </w:pPr>
            <w:r>
              <w:rPr>
                <w:rFonts w:ascii="Arial" w:cs="Arial" w:eastAsia="Arial" w:hAnsi="Arial"/>
                <w:sz w:val="18"/>
                <w:szCs w:val="18"/>
                <w:color w:val="auto"/>
              </w:rPr>
              <w:t>deficit</w:t>
            </w:r>
          </w:p>
        </w:tc>
        <w:tc>
          <w:tcPr>
            <w:tcW w:w="940" w:type="dxa"/>
            <w:vAlign w:val="bottom"/>
            <w:tcBorders>
              <w:bottom w:val="single" w:sz="8" w:color="auto"/>
            </w:tcBorders>
          </w:tcPr>
          <w:p>
            <w:pPr>
              <w:jc w:val="right"/>
              <w:ind w:right="754"/>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4,933</w:t>
            </w:r>
          </w:p>
        </w:tc>
        <w:tc>
          <w:tcPr>
            <w:tcW w:w="300" w:type="dxa"/>
            <w:vAlign w:val="bottom"/>
          </w:tcPr>
          <w:p>
            <w:pPr>
              <w:spacing w:after="0"/>
              <w:rPr>
                <w:sz w:val="17"/>
                <w:szCs w:val="17"/>
                <w:color w:val="auto"/>
              </w:rPr>
            </w:pPr>
          </w:p>
        </w:tc>
        <w:tc>
          <w:tcPr>
            <w:tcW w:w="56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3,589</w:t>
            </w:r>
          </w:p>
        </w:tc>
        <w:tc>
          <w:tcPr>
            <w:tcW w:w="3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3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3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(5,009)</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(5,449)</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(5,097)</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(5,161)</w:t>
            </w: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160"/>
              <w:spacing w:after="0" w:line="203" w:lineRule="exact"/>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(0.19)</w:t>
            </w:r>
          </w:p>
        </w:tc>
        <w:tc>
          <w:tcPr>
            <w:tcW w:w="36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196"/>
        </w:trPr>
        <w:tc>
          <w:tcPr>
            <w:tcW w:w="77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Weighted-average shares used in computing net loss per share</w:t>
            </w: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attributable to common stockholders, basic and diluted</w:t>
            </w: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27,511,082</w:t>
            </w:r>
          </w:p>
        </w:tc>
        <w:tc>
          <w:tcPr>
            <w:tcW w:w="3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28,285,902</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3" w:lineRule="exact"/>
              <w:rPr>
                <w:sz w:val="20"/>
                <w:szCs w:val="20"/>
                <w:color w:val="auto"/>
              </w:rPr>
            </w:pPr>
            <w:r>
              <w:rPr>
                <w:rFonts w:ascii="Arial" w:cs="Arial" w:eastAsia="Arial" w:hAnsi="Arial"/>
                <w:sz w:val="18"/>
                <w:szCs w:val="18"/>
                <w:color w:val="auto"/>
              </w:rPr>
              <w:t>basic and diluted (unaudited)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419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Weighted-average shares used in computing pro forma net loss per</w:t>
      </w:r>
    </w:p>
    <w:p>
      <w:pPr>
        <w:ind w:left="160"/>
        <w:spacing w:after="0" w:line="234" w:lineRule="auto"/>
        <w:rPr>
          <w:sz w:val="20"/>
          <w:szCs w:val="20"/>
          <w:color w:val="auto"/>
        </w:rPr>
      </w:pPr>
      <w:r>
        <w:rPr>
          <w:rFonts w:ascii="Arial" w:cs="Arial" w:eastAsia="Arial" w:hAnsi="Arial"/>
          <w:sz w:val="18"/>
          <w:szCs w:val="18"/>
          <w:color w:val="auto"/>
        </w:rPr>
        <w:t>share attributable to common stockholders, basic and diluted</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14605</wp:posOffset>
            </wp:positionV>
            <wp:extent cx="99441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9" w:name="page210"/>
    <w:bookmarkEnd w:id="209"/>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10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9229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292290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202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202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69"/>
        </w:trPr>
        <w:tc>
          <w:tcPr>
            <w:tcW w:w="350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2017</w:t>
            </w: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22"/>
        </w:trPr>
        <w:tc>
          <w:tcPr>
            <w:tcW w:w="3500" w:type="dxa"/>
            <w:vAlign w:val="bottom"/>
            <w:vMerge w:val="continue"/>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20,676,536</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16,951</w:t>
            </w:r>
          </w:p>
        </w:tc>
        <w:tc>
          <w:tcPr>
            <w:tcW w:w="0" w:type="dxa"/>
            <w:vAlign w:val="bottom"/>
          </w:tcPr>
          <w:p>
            <w:pPr>
              <w:spacing w:after="0"/>
              <w:rPr>
                <w:sz w:val="1"/>
                <w:szCs w:val="1"/>
                <w:color w:val="auto"/>
              </w:rPr>
            </w:pPr>
          </w:p>
        </w:tc>
      </w:tr>
      <w:tr>
        <w:trPr>
          <w:trHeight w:val="203"/>
        </w:trPr>
        <w:tc>
          <w:tcPr>
            <w:tcW w:w="3500" w:type="dxa"/>
            <w:vAlign w:val="bottom"/>
          </w:tcPr>
          <w:p>
            <w:pPr>
              <w:ind w:left="260"/>
              <w:spacing w:after="0" w:line="202" w:lineRule="exact"/>
              <w:rPr>
                <w:sz w:val="20"/>
                <w:szCs w:val="20"/>
                <w:color w:val="auto"/>
              </w:rPr>
            </w:pPr>
            <w:r>
              <w:rPr>
                <w:rFonts w:ascii="Arial" w:cs="Arial" w:eastAsia="Arial" w:hAnsi="Arial"/>
                <w:sz w:val="18"/>
                <w:szCs w:val="18"/>
                <w:color w:val="auto"/>
              </w:rPr>
              <w:t>Issuance of common stock upon</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260"/>
              <w:spacing w:after="0" w:line="202" w:lineRule="exact"/>
              <w:rPr>
                <w:sz w:val="20"/>
                <w:szCs w:val="20"/>
                <w:color w:val="auto"/>
              </w:rPr>
            </w:pPr>
            <w:r>
              <w:rPr>
                <w:rFonts w:ascii="Arial" w:cs="Arial" w:eastAsia="Arial" w:hAnsi="Arial"/>
                <w:sz w:val="18"/>
                <w:szCs w:val="18"/>
                <w:color w:val="auto"/>
              </w:rPr>
              <w:t>exercise of</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400"/>
              <w:spacing w:after="0"/>
              <w:rPr>
                <w:sz w:val="20"/>
                <w:szCs w:val="20"/>
                <w:color w:val="auto"/>
              </w:rPr>
            </w:pPr>
            <w:r>
              <w:rPr>
                <w:rFonts w:ascii="Arial" w:cs="Arial" w:eastAsia="Arial" w:hAnsi="Arial"/>
                <w:sz w:val="18"/>
                <w:szCs w:val="18"/>
                <w:color w:val="auto"/>
              </w:rPr>
              <w:t>stock options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00" w:type="dxa"/>
            <w:vAlign w:val="bottom"/>
          </w:tcPr>
          <w:p>
            <w:pPr>
              <w:ind w:left="260"/>
              <w:spacing w:after="0" w:line="202" w:lineRule="exact"/>
              <w:rPr>
                <w:sz w:val="20"/>
                <w:szCs w:val="20"/>
                <w:color w:val="auto"/>
              </w:rPr>
            </w:pPr>
            <w:r>
              <w:rPr>
                <w:rFonts w:ascii="Arial" w:cs="Arial" w:eastAsia="Arial" w:hAnsi="Arial"/>
                <w:sz w:val="18"/>
                <w:szCs w:val="18"/>
                <w:color w:val="auto"/>
              </w:rPr>
              <w:t>Issuance of convertible preferred stock</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260"/>
              <w:spacing w:after="0" w:line="202" w:lineRule="exact"/>
              <w:rPr>
                <w:sz w:val="20"/>
                <w:szCs w:val="20"/>
                <w:color w:val="auto"/>
              </w:rPr>
            </w:pPr>
            <w:r>
              <w:rPr>
                <w:rFonts w:ascii="Arial" w:cs="Arial" w:eastAsia="Arial" w:hAnsi="Arial"/>
                <w:sz w:val="18"/>
                <w:szCs w:val="18"/>
                <w:color w:val="auto"/>
              </w:rPr>
              <w:t>for cash</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400"/>
              <w:spacing w:after="0"/>
              <w:rPr>
                <w:sz w:val="20"/>
                <w:szCs w:val="20"/>
                <w:color w:val="auto"/>
              </w:rPr>
            </w:pPr>
            <w:r>
              <w:rPr>
                <w:rFonts w:ascii="Arial" w:cs="Arial" w:eastAsia="Arial" w:hAnsi="Arial"/>
                <w:sz w:val="18"/>
                <w:szCs w:val="18"/>
                <w:color w:val="auto"/>
              </w:rPr>
              <w:t>of $1.25 per share</w:t>
            </w:r>
          </w:p>
        </w:tc>
        <w:tc>
          <w:tcPr>
            <w:tcW w:w="1020" w:type="dxa"/>
            <w:vAlign w:val="bottom"/>
          </w:tcPr>
          <w:p>
            <w:pPr>
              <w:jc w:val="right"/>
              <w:spacing w:after="0"/>
              <w:rPr>
                <w:sz w:val="20"/>
                <w:szCs w:val="20"/>
                <w:color w:val="auto"/>
              </w:rPr>
            </w:pPr>
            <w:r>
              <w:rPr>
                <w:rFonts w:ascii="Arial" w:cs="Arial" w:eastAsia="Arial" w:hAnsi="Arial"/>
                <w:sz w:val="18"/>
                <w:szCs w:val="18"/>
                <w:color w:val="auto"/>
              </w:rPr>
              <w:t>80,000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3500" w:type="dxa"/>
            <w:vAlign w:val="bottom"/>
          </w:tcPr>
          <w:p>
            <w:pPr>
              <w:ind w:left="260"/>
              <w:spacing w:after="0" w:line="202" w:lineRule="exact"/>
              <w:rPr>
                <w:sz w:val="20"/>
                <w:szCs w:val="20"/>
                <w:color w:val="auto"/>
              </w:rPr>
            </w:pPr>
            <w:r>
              <w:rPr>
                <w:rFonts w:ascii="Arial" w:cs="Arial" w:eastAsia="Arial" w:hAnsi="Arial"/>
                <w:sz w:val="18"/>
                <w:szCs w:val="18"/>
                <w:color w:val="auto"/>
              </w:rPr>
              <w:t>Issuance of restricted stock awards for</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260"/>
              <w:spacing w:after="0" w:line="202" w:lineRule="exact"/>
              <w:rPr>
                <w:sz w:val="20"/>
                <w:szCs w:val="20"/>
                <w:color w:val="auto"/>
              </w:rPr>
            </w:pPr>
            <w:r>
              <w:rPr>
                <w:rFonts w:ascii="Arial" w:cs="Arial" w:eastAsia="Arial" w:hAnsi="Arial"/>
                <w:sz w:val="18"/>
                <w:szCs w:val="18"/>
                <w:color w:val="auto"/>
              </w:rPr>
              <w:t>advisory</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400"/>
              <w:spacing w:after="0"/>
              <w:rPr>
                <w:sz w:val="20"/>
                <w:szCs w:val="20"/>
                <w:color w:val="auto"/>
              </w:rPr>
            </w:pPr>
            <w:r>
              <w:rPr>
                <w:rFonts w:ascii="Arial" w:cs="Arial" w:eastAsia="Arial" w:hAnsi="Arial"/>
                <w:sz w:val="18"/>
                <w:szCs w:val="18"/>
                <w:color w:val="auto"/>
              </w:rPr>
              <w:t>services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00" w:type="dxa"/>
            <w:vAlign w:val="bottom"/>
          </w:tcPr>
          <w:p>
            <w:pPr>
              <w:ind w:left="260"/>
              <w:spacing w:after="0" w:line="203" w:lineRule="exact"/>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50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20,756,536</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03"/>
        </w:trPr>
        <w:tc>
          <w:tcPr>
            <w:tcW w:w="3500" w:type="dxa"/>
            <w:vAlign w:val="bottom"/>
          </w:tcPr>
          <w:p>
            <w:pPr>
              <w:ind w:left="260"/>
              <w:spacing w:after="0" w:line="202" w:lineRule="exact"/>
              <w:rPr>
                <w:sz w:val="20"/>
                <w:szCs w:val="20"/>
                <w:color w:val="auto"/>
              </w:rPr>
            </w:pPr>
            <w:r>
              <w:rPr>
                <w:rFonts w:ascii="Arial" w:cs="Arial" w:eastAsia="Arial" w:hAnsi="Arial"/>
                <w:sz w:val="18"/>
                <w:szCs w:val="18"/>
                <w:color w:val="auto"/>
              </w:rPr>
              <w:t>Issuance of common stock upon</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260"/>
              <w:spacing w:after="0" w:line="202" w:lineRule="exact"/>
              <w:rPr>
                <w:sz w:val="20"/>
                <w:szCs w:val="20"/>
                <w:color w:val="auto"/>
              </w:rPr>
            </w:pPr>
            <w:r>
              <w:rPr>
                <w:rFonts w:ascii="Arial" w:cs="Arial" w:eastAsia="Arial" w:hAnsi="Arial"/>
                <w:sz w:val="18"/>
                <w:szCs w:val="18"/>
                <w:color w:val="auto"/>
              </w:rPr>
              <w:t>exercise of</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400"/>
              <w:spacing w:after="0"/>
              <w:rPr>
                <w:sz w:val="20"/>
                <w:szCs w:val="20"/>
                <w:color w:val="auto"/>
              </w:rPr>
            </w:pPr>
            <w:r>
              <w:rPr>
                <w:rFonts w:ascii="Arial" w:cs="Arial" w:eastAsia="Arial" w:hAnsi="Arial"/>
                <w:sz w:val="18"/>
                <w:szCs w:val="18"/>
                <w:color w:val="auto"/>
              </w:rPr>
              <w:t>stock options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00" w:type="dxa"/>
            <w:vAlign w:val="bottom"/>
          </w:tcPr>
          <w:p>
            <w:pPr>
              <w:ind w:left="260"/>
              <w:spacing w:after="0" w:line="203" w:lineRule="exact"/>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20,756,536</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175"/>
        </w:trPr>
        <w:tc>
          <w:tcPr>
            <w:tcW w:w="202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r>
      <w:tr>
        <w:trPr>
          <w:trHeight w:val="169"/>
        </w:trPr>
        <w:tc>
          <w:tcPr>
            <w:tcW w:w="10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r>
      <w:tr>
        <w:trPr>
          <w:trHeight w:val="223"/>
        </w:trPr>
        <w:tc>
          <w:tcPr>
            <w:tcW w:w="1020" w:type="dxa"/>
            <w:vAlign w:val="bottom"/>
          </w:tcPr>
          <w:p>
            <w:pPr>
              <w:jc w:val="right"/>
              <w:spacing w:after="0"/>
              <w:rPr>
                <w:sz w:val="20"/>
                <w:szCs w:val="20"/>
                <w:color w:val="auto"/>
              </w:rPr>
            </w:pPr>
            <w:r>
              <w:rPr>
                <w:rFonts w:ascii="Arial" w:cs="Arial" w:eastAsia="Arial" w:hAnsi="Arial"/>
                <w:sz w:val="18"/>
                <w:szCs w:val="18"/>
                <w:color w:val="auto"/>
              </w:rPr>
              <w:t>25,720,000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728</w:t>
            </w:r>
          </w:p>
        </w:tc>
        <w:tc>
          <w:tcPr>
            <w:tcW w:w="2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(10,829)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(10,098)</w:t>
            </w:r>
          </w:p>
        </w:tc>
      </w:tr>
      <w:tr>
        <w:trPr>
          <w:trHeight w:val="621"/>
        </w:trPr>
        <w:tc>
          <w:tcPr>
            <w:tcW w:w="1020" w:type="dxa"/>
            <w:vAlign w:val="bottom"/>
          </w:tcPr>
          <w:p>
            <w:pPr>
              <w:jc w:val="right"/>
              <w:spacing w:after="0"/>
              <w:rPr>
                <w:sz w:val="20"/>
                <w:szCs w:val="20"/>
                <w:color w:val="auto"/>
              </w:rPr>
            </w:pPr>
            <w:r>
              <w:rPr>
                <w:rFonts w:ascii="Arial" w:cs="Arial" w:eastAsia="Arial" w:hAnsi="Arial"/>
                <w:sz w:val="18"/>
                <w:szCs w:val="18"/>
                <w:color w:val="auto"/>
              </w:rPr>
              <w:t>2,407,500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24"/>
                <w:szCs w:val="24"/>
                <w:color w:val="auto"/>
              </w:rPr>
            </w:pPr>
          </w:p>
        </w:tc>
      </w:tr>
      <w:tr>
        <w:trPr>
          <w:trHeight w:val="621"/>
        </w:trPr>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620"/>
        </w:trPr>
        <w:tc>
          <w:tcPr>
            <w:tcW w:w="102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8"/>
                <w:szCs w:val="18"/>
                <w:color w:val="auto"/>
              </w:rPr>
            </w:pPr>
          </w:p>
        </w:tc>
      </w:tr>
      <w:tr>
        <w:trPr>
          <w:trHeight w:val="203"/>
        </w:trPr>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(5,097)</w:t>
            </w:r>
          </w:p>
        </w:tc>
        <w:tc>
          <w:tcPr>
            <w:tcW w:w="18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(5,097)</w:t>
            </w:r>
          </w:p>
        </w:tc>
      </w:tr>
      <w:tr>
        <w:trPr>
          <w:trHeight w:val="20"/>
        </w:trPr>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20" w:type="dxa"/>
            <w:vAlign w:val="bottom"/>
          </w:tcPr>
          <w:p>
            <w:pPr>
              <w:jc w:val="right"/>
              <w:spacing w:after="0"/>
              <w:rPr>
                <w:sz w:val="20"/>
                <w:szCs w:val="20"/>
                <w:color w:val="auto"/>
              </w:rPr>
            </w:pPr>
            <w:r>
              <w:rPr>
                <w:rFonts w:ascii="Arial" w:cs="Arial" w:eastAsia="Arial" w:hAnsi="Arial"/>
                <w:sz w:val="18"/>
                <w:szCs w:val="18"/>
                <w:color w:val="auto"/>
              </w:rPr>
              <w:t>28,227,500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1,036</w:t>
            </w:r>
          </w:p>
        </w:tc>
        <w:tc>
          <w:tcPr>
            <w:tcW w:w="2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(15,926)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(14,887)</w:t>
            </w:r>
          </w:p>
        </w:tc>
      </w:tr>
      <w:tr>
        <w:trPr>
          <w:trHeight w:val="620"/>
        </w:trPr>
        <w:tc>
          <w:tcPr>
            <w:tcW w:w="1020" w:type="dxa"/>
            <w:vAlign w:val="bottom"/>
          </w:tcPr>
          <w:p>
            <w:pPr>
              <w:jc w:val="right"/>
              <w:spacing w:after="0"/>
              <w:rPr>
                <w:sz w:val="20"/>
                <w:szCs w:val="20"/>
                <w:color w:val="auto"/>
              </w:rPr>
            </w:pPr>
            <w:r>
              <w:rPr>
                <w:rFonts w:ascii="Arial" w:cs="Arial" w:eastAsia="Arial" w:hAnsi="Arial"/>
                <w:sz w:val="18"/>
                <w:szCs w:val="18"/>
                <w:color w:val="auto"/>
              </w:rPr>
              <w:t>650,000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24"/>
                <w:szCs w:val="24"/>
                <w:color w:val="auto"/>
              </w:rPr>
            </w:pPr>
          </w:p>
        </w:tc>
      </w:tr>
      <w:tr>
        <w:trPr>
          <w:trHeight w:val="216"/>
        </w:trPr>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w:t>
            </w:r>
          </w:p>
        </w:tc>
        <w:tc>
          <w:tcPr>
            <w:tcW w:w="60" w:type="dxa"/>
            <w:vAlign w:val="bottom"/>
          </w:tcPr>
          <w:p>
            <w:pPr>
              <w:spacing w:after="0"/>
              <w:rPr>
                <w:sz w:val="18"/>
                <w:szCs w:val="18"/>
                <w:color w:val="auto"/>
              </w:rPr>
            </w:pPr>
          </w:p>
        </w:tc>
      </w:tr>
      <w:tr>
        <w:trPr>
          <w:trHeight w:val="203"/>
        </w:trPr>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(5,161)</w:t>
            </w:r>
          </w:p>
        </w:tc>
        <w:tc>
          <w:tcPr>
            <w:tcW w:w="18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(5,161)</w:t>
            </w:r>
          </w:p>
        </w:tc>
      </w:tr>
      <w:tr>
        <w:trPr>
          <w:trHeight w:val="20"/>
        </w:trPr>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20" w:type="dxa"/>
            <w:vAlign w:val="bottom"/>
          </w:tcPr>
          <w:p>
            <w:pPr>
              <w:jc w:val="right"/>
              <w:spacing w:after="0"/>
              <w:rPr>
                <w:sz w:val="20"/>
                <w:szCs w:val="20"/>
                <w:color w:val="auto"/>
              </w:rPr>
            </w:pPr>
            <w:r>
              <w:rPr>
                <w:rFonts w:ascii="Arial" w:cs="Arial" w:eastAsia="Arial" w:hAnsi="Arial"/>
                <w:sz w:val="18"/>
                <w:szCs w:val="18"/>
                <w:color w:val="auto"/>
              </w:rPr>
              <w:t>28,877,500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1,361</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(21,087)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(19,723)</w:t>
            </w:r>
          </w:p>
        </w:tc>
      </w:tr>
      <w:tr>
        <w:trPr>
          <w:trHeight w:val="20"/>
        </w:trPr>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2">
            <w:col w:w="5520" w:space="320"/>
            <w:col w:w="5380"/>
          </w:cols>
          <w:pgMar w:left="320" w:top="360" w:right="359" w:bottom="1440" w:gutter="0" w:footer="0" w:header="0"/>
          <w:type w:val="continuous"/>
        </w:sect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type w:val="continuous"/>
        </w:sectPr>
      </w:pPr>
    </w:p>
    <w:bookmarkStart w:id="210" w:name="page211"/>
    <w:bookmarkEnd w:id="210"/>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10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(5,097)</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(5,161)</w:t>
            </w:r>
          </w:p>
        </w:tc>
      </w:tr>
      <w:tr>
        <w:trPr>
          <w:trHeight w:val="215"/>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7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activities:</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70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interest expense on convertible notes</w:t>
            </w: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500"/>
              <w:spacing w:after="0"/>
              <w:rPr>
                <w:sz w:val="20"/>
                <w:szCs w:val="20"/>
                <w:color w:val="auto"/>
              </w:rPr>
            </w:pPr>
            <w:r>
              <w:rPr>
                <w:rFonts w:ascii="Arial" w:cs="Arial" w:eastAsia="Arial" w:hAnsi="Arial"/>
                <w:sz w:val="18"/>
                <w:szCs w:val="18"/>
                <w:color w:val="auto"/>
              </w:rPr>
              <w:t>Accretion of discounts on convertible notes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fair value of derivative liability</w:t>
            </w: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500"/>
              <w:spacing w:after="0"/>
              <w:rPr>
                <w:sz w:val="20"/>
                <w:szCs w:val="20"/>
                <w:color w:val="auto"/>
              </w:rPr>
            </w:pPr>
            <w:r>
              <w:rPr>
                <w:rFonts w:ascii="Arial" w:cs="Arial" w:eastAsia="Arial" w:hAnsi="Arial"/>
                <w:sz w:val="18"/>
                <w:szCs w:val="18"/>
                <w:color w:val="auto"/>
              </w:rPr>
              <w:t>Change in fair value of grant liability</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620"/>
              <w:spacing w:after="0"/>
              <w:rPr>
                <w:sz w:val="20"/>
                <w:szCs w:val="20"/>
                <w:color w:val="auto"/>
              </w:rPr>
            </w:pPr>
            <w:r>
              <w:rPr>
                <w:rFonts w:ascii="Arial" w:cs="Arial" w:eastAsia="Arial" w:hAnsi="Arial"/>
                <w:sz w:val="18"/>
                <w:szCs w:val="18"/>
                <w:color w:val="auto"/>
              </w:rPr>
              <w:t>Prepaid expenses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77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Accounts payable and accrued expenses</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30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Pr>
          <w:p>
            <w:pPr>
              <w:ind w:left="880"/>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(4,483)</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(3,713)</w:t>
            </w:r>
          </w:p>
        </w:tc>
      </w:tr>
      <w:tr>
        <w:trPr>
          <w:trHeight w:val="209"/>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Purchases of available-for-sale securities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(5,250)</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(995)</w:t>
            </w: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Maturities of available-for-sale securities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Principal payments received on related party note receivable</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ind w:left="880"/>
              <w:spacing w:after="0"/>
              <w:rPr>
                <w:sz w:val="20"/>
                <w:szCs w:val="20"/>
                <w:color w:val="auto"/>
              </w:rPr>
            </w:pPr>
            <w:r>
              <w:rPr>
                <w:rFonts w:ascii="Arial" w:cs="Arial" w:eastAsia="Arial" w:hAnsi="Arial"/>
                <w:sz w:val="18"/>
                <w:szCs w:val="18"/>
                <w:color w:val="auto"/>
              </w:rPr>
              <w:t>Net cash provided by investing activities</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2,007</w:t>
            </w:r>
          </w:p>
        </w:tc>
        <w:tc>
          <w:tcPr>
            <w:tcW w:w="30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common stock options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8"/>
                <w:szCs w:val="18"/>
                <w:color w:val="auto"/>
              </w:rPr>
            </w:pPr>
          </w:p>
        </w:tc>
      </w:tr>
      <w:tr>
        <w:trPr>
          <w:trHeight w:val="215"/>
        </w:trPr>
        <w:tc>
          <w:tcPr>
            <w:tcW w:w="7700" w:type="dxa"/>
            <w:vAlign w:val="bottom"/>
          </w:tcPr>
          <w:p>
            <w:pPr>
              <w:ind w:left="260"/>
              <w:spacing w:after="0"/>
              <w:rPr>
                <w:sz w:val="20"/>
                <w:szCs w:val="20"/>
                <w:color w:val="auto"/>
              </w:rPr>
            </w:pPr>
            <w:r>
              <w:rPr>
                <w:rFonts w:ascii="Arial" w:cs="Arial" w:eastAsia="Arial" w:hAnsi="Arial"/>
                <w:sz w:val="18"/>
                <w:szCs w:val="18"/>
                <w:color w:val="auto"/>
              </w:rPr>
              <w:t>Proceeds from sales of convertible preferred stock, net of</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700" w:type="dxa"/>
            <w:vAlign w:val="bottom"/>
          </w:tcPr>
          <w:p>
            <w:pPr>
              <w:ind w:left="400"/>
              <w:spacing w:after="0" w:line="203" w:lineRule="exact"/>
              <w:rPr>
                <w:sz w:val="20"/>
                <w:szCs w:val="20"/>
                <w:color w:val="auto"/>
              </w:rPr>
            </w:pPr>
            <w:r>
              <w:rPr>
                <w:rFonts w:ascii="Arial" w:cs="Arial" w:eastAsia="Arial" w:hAnsi="Arial"/>
                <w:sz w:val="18"/>
                <w:szCs w:val="18"/>
                <w:color w:val="auto"/>
              </w:rPr>
              <w:t>issuance costs</w:t>
            </w:r>
          </w:p>
        </w:tc>
        <w:tc>
          <w:tcPr>
            <w:tcW w:w="100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100</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r>
      <w:tr>
        <w:trPr>
          <w:trHeight w:val="215"/>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convertible notes, including</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7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derivative</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1,266</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884</w:t>
            </w:r>
          </w:p>
        </w:tc>
        <w:tc>
          <w:tcPr>
            <w:tcW w:w="120" w:type="dxa"/>
            <w:vAlign w:val="bottom"/>
            <w:shd w:val="clear" w:color="auto" w:fill="CFF0FC"/>
          </w:tcPr>
          <w:p>
            <w:pPr>
              <w:spacing w:after="0"/>
              <w:rPr>
                <w:sz w:val="17"/>
                <w:szCs w:val="17"/>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Issuance costs of convertible notes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0"/>
        </w:trPr>
        <w:tc>
          <w:tcPr>
            <w:tcW w:w="770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w:t>
            </w:r>
          </w:p>
        </w:tc>
        <w:tc>
          <w:tcPr>
            <w:tcW w:w="3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Borders>
              <w:top w:val="single" w:sz="8" w:color="CFF0FC"/>
            </w:tcBorders>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(1,012)</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(1,261)</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year</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4,329</w:t>
            </w:r>
          </w:p>
        </w:tc>
        <w:tc>
          <w:tcPr>
            <w:tcW w:w="30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3,317</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w:t>
            </w:r>
          </w:p>
        </w:tc>
        <w:tc>
          <w:tcPr>
            <w:tcW w:w="300" w:type="dxa"/>
            <w:vAlign w:val="bottom"/>
          </w:tcPr>
          <w:p>
            <w:pPr>
              <w:spacing w:after="0"/>
              <w:rPr>
                <w:sz w:val="18"/>
                <w:szCs w:val="18"/>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1" w:name="page212"/>
    <w:bookmarkEnd w:id="211"/>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190" w:lineRule="exact"/>
        <w:rPr>
          <w:sz w:val="20"/>
          <w:szCs w:val="20"/>
          <w:color w:val="auto"/>
        </w:rPr>
      </w:pPr>
    </w:p>
    <w:p>
      <w:pPr>
        <w:ind w:left="580" w:hanging="572"/>
        <w:spacing w:after="0"/>
        <w:tabs>
          <w:tab w:leader="none" w:pos="5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Financial Condition</w:t>
      </w:r>
    </w:p>
    <w:p>
      <w:pPr>
        <w:spacing w:after="0" w:line="126"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Athira Pharma, Inc.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Seattle, Washington. The Company is a late clinical-stage biopharmaceutical company focused on developing small molecules to restore neuronal health and stop neurodegradation.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26"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The Company is subject to a number of inherent risks which include, but are not limited to, the need to obtain adequate additional funding, possible failure of clinical trials or other events demonstrating a lack of clinical safety or efficacy of its product candidates, dependence on key personnel, reliance on third-party service providers for manufacturing or drug product and conduct of clinical trials, the ability to successfully secure its proprietary technology, and risks related to the regulatory approval and commercialization of a product candidate. Additionally, the development and commercialization of new drug products is highly competitive. There are a number of large pharmaceutical and biotechnology companies developing products for the treatment of neurodegenerative diseases that may have significantly greater financial resources and expertise in drug product development. Products or technologies developed by competitors may diminish or render obsolete the Company’s existing products under development.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The Company has incurred net operating losses since its inception and had an accumulated deficit of $21.1 million as of December 31, 2019. The Company had cash and cash equivalents of $2.1 million as of December 31, 2019 and has not generated positive cash flows from operations. To date, the Company has been able to fund its operations primarily through the issuance of convertible notes and convertible preferred stock. In the second quarter of 2020, the Company received an aggregate of $ 81.8 million in net proceeds from the issuance of Series B convertible preferred stock. The Company’s currently available cash and cash equivalents as of December 31, 2019, together with the proceeds received from the Series B convertible preferred stock financing in the second quarter of 2020, will be sufficient to meet its anticipated cash requirements and management considers that there are no conditions or events, in the aggregate, that raise substantial doubt about the entity’s ability to continue as a going concern for a period of at least one year from the date the financial statements are issued.</w:t>
      </w:r>
    </w:p>
    <w:p>
      <w:pPr>
        <w:spacing w:after="0" w:line="206"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Management expects operating losses to continue for the foreseeable future. There can be no assurance that the Company will ever earn revenues or achieve profitability, or if achieved, that they will be sustained on a continuing basis. In addition, the manufacturing, clinical and preclinical development activities as well as the commercialization of the Company’s therapies, if approved, will require significant additional financing. The Company may be unable to secure such financing when needed, or if available, such financings may be under terms that are unfavorable to the Company or the current stockholders. If the Company is unable to raise additional funds when needed, it may be required to delay, reduce the scope of, or eliminate development programs, which may adversely affect its business and operations.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2" w:name="page213"/>
    <w:bookmarkEnd w:id="212"/>
    <w:p>
      <w:pPr>
        <w:ind w:right="7660" w:firstLine="8"/>
        <w:spacing w:after="0" w:line="372" w:lineRule="auto"/>
        <w:tabs>
          <w:tab w:leader="none" w:pos="798"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Basis of Presentation</w:t>
      </w:r>
    </w:p>
    <w:p>
      <w:pPr>
        <w:spacing w:after="0" w:line="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financial statements have been prepared in conformity with U.S. generally accepted accounting principles (“U.S. GAAP”).</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considers highly liquid investments with original maturities of three months or less to be cash equivalents.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26"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Short-term investments consist entirely of fixed income certificates of deposit with original maturities of greater than 90 days but not more than one year. These securities are classified as available-for-sale and reported at estimated fair value with unrealized gains and losses, if any, included in accumulated other comprehensive loss in stockholders’ deficit. The cost of investments for purposes of computing realized and unrealized gains and losses is based on the specific identification method.</w:t>
      </w:r>
    </w:p>
    <w:p>
      <w:pPr>
        <w:spacing w:after="0" w:line="245"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If the estimated fair value of a security is below its carrying value, the Company evaluates whether it is more likely than not that it will sell the security before its anticipated recover in market value and whether evidence indicating that the cost of the investment is recoverable within a reasonable period of time outweighs the evidence to the contrary. Realized gains, realized losses and declines in the value of investments judged to be other than temporary, are included in other income (expense), net.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26" w:lineRule="exact"/>
        <w:rPr>
          <w:sz w:val="20"/>
          <w:szCs w:val="20"/>
          <w:color w:val="auto"/>
        </w:rPr>
      </w:pPr>
    </w:p>
    <w:p>
      <w:pPr>
        <w:ind w:right="440" w:firstLine="576"/>
        <w:spacing w:after="0" w:line="246" w:lineRule="auto"/>
        <w:rPr>
          <w:sz w:val="20"/>
          <w:szCs w:val="20"/>
          <w:color w:val="auto"/>
        </w:rPr>
      </w:pPr>
      <w:r>
        <w:rPr>
          <w:rFonts w:ascii="Arial" w:cs="Arial" w:eastAsia="Arial" w:hAnsi="Arial"/>
          <w:sz w:val="18"/>
          <w:szCs w:val="18"/>
          <w:color w:val="auto"/>
        </w:rPr>
        <w:t>The Company is exposed to credit risk from its deposits of cash in excess of amounts insured by the Federal Deposit Insurance Corporation. The Company has not experienced any losses on its deposits of cash since inception.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26" w:lineRule="exact"/>
        <w:rPr>
          <w:sz w:val="20"/>
          <w:szCs w:val="20"/>
          <w:color w:val="auto"/>
        </w:rPr>
      </w:pPr>
    </w:p>
    <w:p>
      <w:pPr>
        <w:jc w:val="both"/>
        <w:ind w:right="280" w:firstLine="576"/>
        <w:spacing w:after="0"/>
        <w:rPr>
          <w:sz w:val="20"/>
          <w:szCs w:val="20"/>
          <w:color w:val="auto"/>
        </w:rPr>
      </w:pPr>
      <w:r>
        <w:rPr>
          <w:rFonts w:ascii="Arial" w:cs="Arial" w:eastAsia="Arial" w:hAnsi="Arial"/>
          <w:sz w:val="18"/>
          <w:szCs w:val="18"/>
          <w:color w:val="auto"/>
        </w:rPr>
        <w:t>The carrying amounts of certain financial instruments, including cash and cash equivalents, short-term investments, and accounts payable and accrued expenses approximate their fair values due to the short-term nature of those amounts. The fair values of the grant liability to Life Services Discovery Fund (“LSDF”) and the derivative liability were estimated using Level 3 unobservable inputs.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2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 xml:space="preserve">The grant liability associated with the grants from the Washington LSDF is accounted for under Accounting Standards Codification (“ASC”) 825-10, </w:t>
      </w:r>
      <w:r>
        <w:rPr>
          <w:rFonts w:ascii="Arial" w:cs="Arial" w:eastAsia="Arial" w:hAnsi="Arial"/>
          <w:sz w:val="18"/>
          <w:szCs w:val="18"/>
          <w:i w:val="1"/>
          <w:iCs w:val="1"/>
          <w:color w:val="auto"/>
        </w:rPr>
        <w:t>Financial Instruments − Overall</w:t>
      </w:r>
      <w:r>
        <w:rPr>
          <w:rFonts w:ascii="Arial" w:cs="Arial" w:eastAsia="Arial" w:hAnsi="Arial"/>
          <w:sz w:val="18"/>
          <w:szCs w:val="18"/>
          <w:color w:val="auto"/>
        </w:rPr>
        <w:t>. The estimated fair value of the grant liability is reassessed at each balance sheet date, with changes in fair value reflected in other income (expense), net. The Company estimates the fair value of the grant liability by using a</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684" w:right="419" w:bottom="1440" w:gutter="0" w:footer="0" w:header="0"/>
        </w:sectPr>
      </w:pPr>
    </w:p>
    <w:bookmarkStart w:id="213" w:name="page214"/>
    <w:bookmarkEnd w:id="213"/>
    <w:p>
      <w:pPr>
        <w:ind w:right="200"/>
        <w:spacing w:after="0" w:line="238" w:lineRule="auto"/>
        <w:rPr>
          <w:sz w:val="20"/>
          <w:szCs w:val="20"/>
          <w:color w:val="auto"/>
        </w:rPr>
      </w:pPr>
      <w:r>
        <w:rPr>
          <w:rFonts w:ascii="Arial" w:cs="Arial" w:eastAsia="Arial" w:hAnsi="Arial"/>
          <w:sz w:val="18"/>
          <w:szCs w:val="18"/>
          <w:color w:val="auto"/>
        </w:rPr>
        <w:t>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are subject to significant judgment, and payment may be in an amount different from the liability that the Company estimates. However, total payments under the agreements will not exceed $1.5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 Convertible Notes Discount and Amortization</w:t>
      </w:r>
    </w:p>
    <w:p>
      <w:pPr>
        <w:spacing w:after="0" w:line="126" w:lineRule="exact"/>
        <w:rPr>
          <w:sz w:val="20"/>
          <w:szCs w:val="20"/>
          <w:color w:val="auto"/>
        </w:rPr>
      </w:pPr>
    </w:p>
    <w:p>
      <w:pPr>
        <w:ind w:right="160" w:firstLine="576"/>
        <w:spacing w:after="0" w:line="236" w:lineRule="auto"/>
        <w:rPr>
          <w:sz w:val="20"/>
          <w:szCs w:val="20"/>
          <w:color w:val="auto"/>
        </w:rPr>
      </w:pPr>
      <w:r>
        <w:rPr>
          <w:rFonts w:ascii="Arial" w:cs="Arial" w:eastAsia="Arial" w:hAnsi="Arial"/>
          <w:sz w:val="18"/>
          <w:szCs w:val="18"/>
          <w:color w:val="auto"/>
        </w:rPr>
        <w:t>The Company’s convertible notes (see Note 8) have conversion and redemption features that meet the definition of an embedded derivative and are therefore subject to derivative accounting. The initial fair value of the derivative is recorded as a discount to the convertible notes, with a corresponding derivative liability. The discount to the convertible notes is amortized using the effective interest method. The amortization of the discount is included in other income (expense), net in the statements of operations and comprehensive loss. The derivative liability related to these features is recorded at estimated fair value on a recurring basis. Any changes in fair value are reflected in other income (expense), net in the statements of operations and comprehensive loss at each period end while such instruments are outstanding. The derivative liability was settled in May 2020 upon conversion of the underlying convertible notes into Series B-1 convertible preferred stock. See Note 17.</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08"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 xml:space="preserve">In January 2019, the Alzheimer’s Association awarded the Company a $1.0 million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Grant proceeds must be used to advance the Company’s ATH-1017 product candidate in the Alzheimer’s disease setting. Reporting of expenses incurred supported by the grant as well as research updates are sent to the Alzheimer’s Association semi-annually. Under the terms of the agreement, the Company received $776,000 in 2019 and may potentially receive the remaining $224,000 in 2020 upon the completion of certain development milestones. The Company recognizes income related to the grant as qualifying expenses under the grant agreement are incurred. As of December 31, 2019, the Company had recognized $ 754,000 in grant income, which is included in other income (expense), net in the statement of operations and comprehensive loss, and had cash received in excess of qualifying expenses of approximately $22,000, which is included in accrued expenses on the balance sheets.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6"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Research and development expenses consist primarily of direct and indirect costs incurred for research activities, including development of the ATH platform, the Company’s drug discovery efforts and the development of its product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205"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will adjust the amounts recorded accordingly. The Company has not experienced any material differences between accrued or prepaid costs and actual costs since inception.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6"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Compensation expense is recognized over the requisite service period on a straight-line basis. Forfeitures are recognized as they occur.</w:t>
      </w:r>
    </w:p>
    <w:p>
      <w:pPr>
        <w:spacing w:after="0" w:line="205"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The Company records compensation expense for stock option grants subject to performance-based milestone vesting using the accelerated attribution method over the remaining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205"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Stock-based payments issued to non-employees are recorded at their fair values, subject to periodic adjustments as the underlying equity instruments vest. Compensation expense is recognized over the vesting term on a straight-line basis, which reflects the service period. Options granted to non-employee service providers are valued at estimated fair value using the Black-Scholes option-pricing model and are remeasured over the vesting term as earned. Awards of restricted stock to non-employees are adjusted through stock-based compensation expense at each reporting period end until the shares vest to reflect the current fair value of such awards.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20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are deductible. Management considers the scheduled reversal of deferred tax liabilities, projected future income, tax planning strategies in making this assessment.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w:t>
      </w:r>
    </w:p>
    <w:p>
      <w:pPr>
        <w:ind w:right="80"/>
        <w:spacing w:after="0"/>
        <w:rPr>
          <w:sz w:val="20"/>
          <w:szCs w:val="20"/>
          <w:color w:val="auto"/>
        </w:rPr>
      </w:pPr>
      <w:r>
        <w:rPr>
          <w:rFonts w:ascii="Arial" w:cs="Arial" w:eastAsia="Arial" w:hAnsi="Arial"/>
          <w:sz w:val="18"/>
          <w:szCs w:val="18"/>
          <w:color w:val="auto"/>
        </w:rPr>
        <w:t>sustained. Recognized income tax positions are measured at the largest amount that is greater than 50% likely of being realized. Changes in recognition or measurement are reflected in the period in which the change in judgment occurs. The Company accrues interest and penalties related to unrecognized tax benefits in its provision for incomes taxes.</w:t>
      </w: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684" w:right="4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6" w:lineRule="exact"/>
        <w:rPr>
          <w:sz w:val="20"/>
          <w:szCs w:val="20"/>
          <w:color w:val="auto"/>
        </w:rPr>
      </w:pPr>
    </w:p>
    <w:p>
      <w:pPr>
        <w:ind w:right="720" w:firstLine="576"/>
        <w:spacing w:after="0" w:line="246" w:lineRule="auto"/>
        <w:rPr>
          <w:sz w:val="20"/>
          <w:szCs w:val="20"/>
          <w:color w:val="auto"/>
        </w:rPr>
      </w:pPr>
      <w:r>
        <w:rPr>
          <w:rFonts w:ascii="Arial" w:cs="Arial" w:eastAsia="Arial" w:hAnsi="Arial"/>
          <w:sz w:val="18"/>
          <w:szCs w:val="18"/>
          <w:color w:val="auto"/>
        </w:rPr>
        <w:t>Comprehensive loss consists of net loss and other gains and losses affecting stockholders’ deficit that, under U.S. GAAP, are excluded from net loss. The Company has no items of other comprehensive loss. As such, net loss equals comprehensive loss.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26" w:lineRule="exact"/>
        <w:rPr>
          <w:sz w:val="20"/>
          <w:szCs w:val="20"/>
          <w:color w:val="auto"/>
        </w:rPr>
      </w:pPr>
    </w:p>
    <w:p>
      <w:pPr>
        <w:ind w:right="400" w:firstLine="576"/>
        <w:spacing w:after="0" w:line="238"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12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unaudited pro forma basic and diluted net loss per share attributable to common stockholders has been computed to give effect to the conversion of all shares of convertible preferred stock into common stock, the exercise of outstanding warrants for shares of common stock, and the repayment of the grant liability upon the closing of a firm-commitment underwritten public offering (“IPO”) resulting in at least $50.0 million in gross proceeds. The unaudited pro forma net loss per share attributable to common stockholders does not include the shares to be sold from the proposed IPO.</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26" w:lineRule="exact"/>
        <w:rPr>
          <w:sz w:val="20"/>
          <w:szCs w:val="20"/>
          <w:color w:val="auto"/>
        </w:rPr>
      </w:pPr>
    </w:p>
    <w:p>
      <w:pPr>
        <w:ind w:right="160" w:firstLine="576"/>
        <w:spacing w:after="0"/>
        <w:rPr>
          <w:sz w:val="20"/>
          <w:szCs w:val="20"/>
          <w:color w:val="auto"/>
        </w:rPr>
      </w:pPr>
      <w:r>
        <w:rPr>
          <w:rFonts w:ascii="Arial" w:cs="Arial" w:eastAsia="Arial" w:hAnsi="Arial"/>
          <w:sz w:val="18"/>
          <w:szCs w:val="18"/>
          <w:color w:val="auto"/>
        </w:rPr>
        <w:t>The Company has determined that it operates and manages one operating segment, which is the business of developing and commercializing therapeutics. The Company’s chief operating decision maker, its chief executive officer, reviews financial information on an aggregate basis for the purpose of allocating resources.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26"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As of December 31, 2018 and 2019, the Company had an unsecured note receivable outstanding from its chief executive officer of approximately $ 42,000 and $36,000, respectively. The note bears interest at 1.45% and requires monthly payments with final repayment in April 2025. The note is included in current portion of unsecured related party note receivable and unsecured related party note receivable in the accompanying balance sheets. Interest income is recognized using the effective interest method, and is included in other income (expense), net in the statements of operations and comprehensive loss.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(a) no longer an emerging growth company or (b)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26" w:lineRule="exact"/>
        <w:rPr>
          <w:sz w:val="20"/>
          <w:szCs w:val="20"/>
          <w:color w:val="auto"/>
        </w:rPr>
      </w:pPr>
    </w:p>
    <w:p>
      <w:pPr>
        <w:ind w:right="640" w:firstLine="576"/>
        <w:spacing w:after="0" w:line="246"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The ASU requires entities to recognize in the balance sheet a liability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6" w:name="page217"/>
    <w:bookmarkEnd w:id="216"/>
    <w:p>
      <w:pPr>
        <w:ind w:right="180"/>
        <w:spacing w:after="0" w:line="238" w:lineRule="auto"/>
        <w:rPr>
          <w:sz w:val="20"/>
          <w:szCs w:val="20"/>
          <w:color w:val="auto"/>
        </w:rPr>
      </w:pPr>
      <w:r>
        <w:rPr>
          <w:rFonts w:ascii="Arial" w:cs="Arial" w:eastAsia="Arial" w:hAnsi="Arial"/>
          <w:sz w:val="18"/>
          <w:szCs w:val="18"/>
          <w:color w:val="auto"/>
        </w:rPr>
        <w:t>make lease payments and a right-of-use asset representing its right to use the underlying asset for the lease term. The Company will adopt the standard on January 1, 2021 using the modified retrospective method in the year of adoption and electing certain transition practical expedients. The Company is currently evaluating the guidance to determine the potential impact on its financial condition, results of operations and cash flows, and financial statement disclosures, and expects that the adoption of the ASU will increase assets and liabilities related to the Company’s operating leases in the balance sheets.</w:t>
      </w:r>
    </w:p>
    <w:p>
      <w:pPr>
        <w:spacing w:after="0" w:line="184" w:lineRule="exact"/>
        <w:rPr>
          <w:sz w:val="20"/>
          <w:szCs w:val="20"/>
          <w:color w:val="auto"/>
        </w:rPr>
      </w:pPr>
    </w:p>
    <w:p>
      <w:pPr>
        <w:ind w:right="80" w:firstLine="576"/>
        <w:spacing w:after="0" w:line="242"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Credit Losses (Topic 326)</w:t>
      </w:r>
      <w:r>
        <w:rPr>
          <w:rFonts w:ascii="Arial" w:cs="Arial" w:eastAsia="Arial" w:hAnsi="Arial"/>
          <w:sz w:val="18"/>
          <w:szCs w:val="18"/>
          <w:color w:val="auto"/>
        </w:rPr>
        <w:t xml:space="preserve"> as clarified in ASU 2019-04 and ASU 2019-05. The objective of the standard is to provide information about expected credit losses on financial instruments at each reporting date and to change how other-than-temporary impairments on investment securities are recorded. The ASU will become effective beginning January 1, 2023, with early adoption permitted. The Company is currently evaluating the potential impacts of the ASU on its financial statements.</w:t>
      </w:r>
    </w:p>
    <w:p>
      <w:pPr>
        <w:spacing w:after="0" w:line="185"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 − Goodwill and Others − 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Accounting for Implementation Costs Incurred in a Cloud Computing Arrangement That Is a Service Contract</w:t>
      </w:r>
      <w:r>
        <w:rPr>
          <w:rFonts w:ascii="Arial" w:cs="Arial" w:eastAsia="Arial" w:hAnsi="Arial"/>
          <w:sz w:val="18"/>
          <w:szCs w:val="18"/>
          <w:color w:val="auto"/>
        </w:rPr>
        <w:t>. The objective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ASU is to align the requirements for capitalizing implementation costs incurred in a hosting arrangement that is a service contract with the requirements for capitalizing implementation costs incurred to develop or obtain internal-use software. The ASU will become effective beginning January 1, 2021, with early adoption permitted. The Company does not expect the adoption of this ASU to have a significant impact on its financial condition, results of operations, cash flows and financial statement disclosures. In August 2018, the FASB issued ASU No. 2018-13, </w:t>
      </w:r>
      <w:r>
        <w:rPr>
          <w:rFonts w:ascii="Arial" w:cs="Arial" w:eastAsia="Arial" w:hAnsi="Arial"/>
          <w:sz w:val="18"/>
          <w:szCs w:val="18"/>
          <w:i w:val="1"/>
          <w:iCs w:val="1"/>
          <w:color w:val="auto"/>
        </w:rPr>
        <w:t>Disclosure Framework – Changes to the Disclosure Requirements for Fair Value Measurement</w:t>
      </w:r>
      <w:r>
        <w:rPr>
          <w:rFonts w:ascii="Arial" w:cs="Arial" w:eastAsia="Arial" w:hAnsi="Arial"/>
          <w:sz w:val="18"/>
          <w:szCs w:val="18"/>
          <w:color w:val="auto"/>
        </w:rPr>
        <w:t>, which eliminates certain disclosure requirements for fair value measurements for all entities, requires public entities to disclose certain new information and modifies some disclosure requirements. The Company adopted this standard on January 1, 2020 and it did not have a material impact on its financial statements.</w:t>
      </w:r>
    </w:p>
    <w:p>
      <w:pPr>
        <w:spacing w:after="0" w:line="188" w:lineRule="exact"/>
        <w:rPr>
          <w:sz w:val="20"/>
          <w:szCs w:val="20"/>
          <w:color w:val="auto"/>
        </w:rPr>
      </w:pPr>
    </w:p>
    <w:p>
      <w:pPr>
        <w:ind w:right="180" w:firstLine="576"/>
        <w:spacing w:after="0" w:line="245"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326)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The new ASU simplifies the accounting for share-based payments to non-employees by aligning it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accounting for share-based payments to employees, with certain exceptions. The Company adopted the standard on January 1, 2020 and it did not have a material impact on the Company’s financial condition, results of operations and cash flows.</w:t>
      </w:r>
    </w:p>
    <w:p>
      <w:pPr>
        <w:spacing w:after="0" w:line="285" w:lineRule="exact"/>
        <w:rPr>
          <w:sz w:val="20"/>
          <w:szCs w:val="20"/>
          <w:color w:val="auto"/>
        </w:rPr>
      </w:pPr>
    </w:p>
    <w:p>
      <w:pPr>
        <w:ind w:left="580" w:hanging="572"/>
        <w:spacing w:after="0"/>
        <w:tabs>
          <w:tab w:leader="none" w:pos="5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12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Short-term investments consisted of available-for-sale securities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39"/>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r>
      <w:tr>
        <w:trPr>
          <w:trHeight w:val="175"/>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339"/>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5"/>
                <w:szCs w:val="15"/>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w w:val="99"/>
              </w:rPr>
              <w:t>Losses</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2019</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short-term investments had contractual maturities of less than one year.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17" w:name="page218"/>
    <w:bookmarkEnd w:id="217"/>
    <w:p>
      <w:pPr>
        <w:ind w:left="580" w:hanging="572"/>
        <w:spacing w:after="0"/>
        <w:tabs>
          <w:tab w:leader="none" w:pos="5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26" w:lineRule="exact"/>
        <w:rPr>
          <w:sz w:val="20"/>
          <w:szCs w:val="20"/>
          <w:color w:val="auto"/>
        </w:rPr>
      </w:pPr>
    </w:p>
    <w:p>
      <w:pPr>
        <w:ind w:right="100" w:firstLine="576"/>
        <w:spacing w:after="0" w:line="274" w:lineRule="auto"/>
        <w:rPr>
          <w:sz w:val="20"/>
          <w:szCs w:val="20"/>
          <w:color w:val="auto"/>
        </w:rPr>
      </w:pPr>
      <w:r>
        <w:rPr>
          <w:rFonts w:ascii="Arial" w:cs="Arial" w:eastAsia="Arial" w:hAnsi="Arial"/>
          <w:sz w:val="17"/>
          <w:szCs w:val="17"/>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49" w:lineRule="exact"/>
        <w:rPr>
          <w:sz w:val="20"/>
          <w:szCs w:val="20"/>
          <w:color w:val="auto"/>
        </w:rPr>
      </w:pPr>
    </w:p>
    <w:p>
      <w:pPr>
        <w:ind w:left="580" w:right="80"/>
        <w:spacing w:after="0" w:line="26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52" w:lineRule="exact"/>
        <w:rPr>
          <w:sz w:val="20"/>
          <w:szCs w:val="20"/>
          <w:color w:val="auto"/>
        </w:rPr>
      </w:pPr>
    </w:p>
    <w:p>
      <w:pPr>
        <w:ind w:left="580" w:right="360"/>
        <w:spacing w:after="0" w:line="267"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in markets that are not active or financial instruments for which all significant inputs are observable,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52" w:lineRule="exact"/>
        <w:rPr>
          <w:sz w:val="20"/>
          <w:szCs w:val="20"/>
          <w:color w:val="auto"/>
        </w:rPr>
      </w:pPr>
    </w:p>
    <w:p>
      <w:pPr>
        <w:ind w:left="580" w:right="40"/>
        <w:spacing w:after="0" w:line="250"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generally unobservable and reflect management’s estimates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 The fair values are determined using model-based techniques, including probability-based simulation methodologies.</w:t>
      </w:r>
    </w:p>
    <w:p>
      <w:pPr>
        <w:spacing w:after="0" w:line="195" w:lineRule="exact"/>
        <w:rPr>
          <w:sz w:val="20"/>
          <w:szCs w:val="20"/>
          <w:color w:val="auto"/>
        </w:rPr>
      </w:pPr>
    </w:p>
    <w:p>
      <w:pPr>
        <w:jc w:val="both"/>
        <w:ind w:right="100" w:firstLine="576"/>
        <w:spacing w:after="0" w:line="238" w:lineRule="auto"/>
        <w:rPr>
          <w:sz w:val="20"/>
          <w:szCs w:val="20"/>
          <w:color w:val="auto"/>
        </w:rPr>
      </w:pPr>
      <w:r>
        <w:rPr>
          <w:rFonts w:ascii="Arial" w:cs="Arial" w:eastAsia="Arial" w:hAnsi="Arial"/>
          <w:sz w:val="18"/>
          <w:szCs w:val="18"/>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p>
    <w:p>
      <w:pPr>
        <w:spacing w:after="0" w:line="205" w:lineRule="exact"/>
        <w:rPr>
          <w:sz w:val="20"/>
          <w:szCs w:val="20"/>
          <w:color w:val="auto"/>
        </w:rPr>
      </w:pPr>
    </w:p>
    <w:p>
      <w:pPr>
        <w:jc w:val="both"/>
        <w:ind w:right="80" w:firstLine="576"/>
        <w:spacing w:after="0" w:line="246" w:lineRule="auto"/>
        <w:rPr>
          <w:sz w:val="20"/>
          <w:szCs w:val="20"/>
          <w:color w:val="auto"/>
        </w:rPr>
      </w:pPr>
      <w:r>
        <w:rPr>
          <w:rFonts w:ascii="Arial" w:cs="Arial" w:eastAsia="Arial" w:hAnsi="Arial"/>
          <w:sz w:val="18"/>
          <w:szCs w:val="18"/>
          <w:color w:val="auto"/>
        </w:rPr>
        <w:t>The fair value hierarchy of the Company’s assets and liabilities carried at fair value and measured on a recurring basis was as follows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As of December 31, 2018</w:t>
            </w: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8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940" w:type="dxa"/>
            <w:vAlign w:val="bottom"/>
          </w:tcPr>
          <w:p>
            <w:pPr>
              <w:jc w:val="right"/>
              <w:ind w:right="254"/>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Short-term investments – Certificates of Deposit</w:t>
            </w: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FF0FC"/>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FF0FC"/>
          </w:tcPr>
          <w:p>
            <w:pPr>
              <w:spacing w:after="0"/>
              <w:rPr>
                <w:sz w:val="18"/>
                <w:szCs w:val="18"/>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97"/>
        </w:trPr>
        <w:tc>
          <w:tcPr>
            <w:tcW w:w="5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 liability</w:t>
            </w:r>
          </w:p>
        </w:tc>
        <w:tc>
          <w:tcPr>
            <w:tcW w:w="88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liability (see Note 8)</w:t>
            </w:r>
          </w:p>
        </w:tc>
        <w:tc>
          <w:tcPr>
            <w:tcW w:w="8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6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FF0FC"/>
          </w:tcPr>
          <w:p>
            <w:pPr>
              <w:spacing w:after="0"/>
              <w:rPr>
                <w:sz w:val="18"/>
                <w:szCs w:val="18"/>
                <w:color w:val="auto"/>
              </w:rPr>
            </w:pPr>
          </w:p>
        </w:tc>
      </w:tr>
      <w:tr>
        <w:trPr>
          <w:trHeight w:val="210"/>
        </w:trPr>
        <w:tc>
          <w:tcPr>
            <w:tcW w:w="5820" w:type="dxa"/>
            <w:vAlign w:val="bottom"/>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1,475</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8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As of December 31, 2019</w:t>
            </w: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8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940" w:type="dxa"/>
            <w:vAlign w:val="bottom"/>
          </w:tcPr>
          <w:p>
            <w:pPr>
              <w:jc w:val="right"/>
              <w:ind w:right="254"/>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209"/>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 liability</w:t>
            </w: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1,036</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liability (see Note 8)</w:t>
            </w:r>
          </w:p>
        </w:tc>
        <w:tc>
          <w:tcPr>
            <w:tcW w:w="8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6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FF0FC"/>
          </w:tcPr>
          <w:p>
            <w:pPr>
              <w:spacing w:after="0"/>
              <w:rPr>
                <w:sz w:val="18"/>
                <w:szCs w:val="18"/>
                <w:color w:val="auto"/>
              </w:rPr>
            </w:pPr>
          </w:p>
        </w:tc>
      </w:tr>
      <w:tr>
        <w:trPr>
          <w:trHeight w:val="210"/>
        </w:trPr>
        <w:tc>
          <w:tcPr>
            <w:tcW w:w="5820" w:type="dxa"/>
            <w:vAlign w:val="bottom"/>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2,035</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presents the activity for grant liability for the years ended December 31, 2018 and 2019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140" w:type="dxa"/>
            <w:vAlign w:val="bottom"/>
            <w:tcBorders>
              <w:bottom w:val="single" w:sz="8" w:color="CFF0FC"/>
            </w:tcBorders>
          </w:tcPr>
          <w:p>
            <w:pPr>
              <w:spacing w:after="0"/>
              <w:rPr>
                <w:sz w:val="14"/>
                <w:szCs w:val="14"/>
                <w:color w:val="auto"/>
              </w:rPr>
            </w:pPr>
          </w:p>
        </w:tc>
        <w:tc>
          <w:tcPr>
            <w:tcW w:w="356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4660" w:type="dxa"/>
            <w:vAlign w:val="bottom"/>
            <w:gridSpan w:val="2"/>
            <w:shd w:val="clear" w:color="auto" w:fill="CFF0FC"/>
          </w:tcPr>
          <w:p>
            <w:pPr>
              <w:jc w:val="right"/>
              <w:ind w:right="92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132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fair value of grant liability</w:t>
            </w:r>
          </w:p>
        </w:tc>
        <w:tc>
          <w:tcPr>
            <w:tcW w:w="356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4660" w:type="dxa"/>
            <w:vAlign w:val="bottom"/>
            <w:gridSpan w:val="2"/>
            <w:shd w:val="clear" w:color="auto" w:fill="CFF0FC"/>
          </w:tcPr>
          <w:p>
            <w:pPr>
              <w:jc w:val="right"/>
              <w:ind w:right="92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32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35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4140" w:type="dxa"/>
            <w:vAlign w:val="bottom"/>
          </w:tcPr>
          <w:p>
            <w:pPr>
              <w:spacing w:after="0"/>
              <w:rPr>
                <w:sz w:val="24"/>
                <w:szCs w:val="24"/>
                <w:color w:val="auto"/>
              </w:rPr>
            </w:pPr>
          </w:p>
        </w:tc>
        <w:tc>
          <w:tcPr>
            <w:tcW w:w="4660" w:type="dxa"/>
            <w:vAlign w:val="bottom"/>
            <w:gridSpan w:val="2"/>
          </w:tcPr>
          <w:p>
            <w:pPr>
              <w:jc w:val="right"/>
              <w:ind w:right="2928"/>
              <w:spacing w:after="0"/>
              <w:rPr>
                <w:sz w:val="20"/>
                <w:szCs w:val="20"/>
                <w:color w:val="auto"/>
              </w:rPr>
            </w:pPr>
            <w:r>
              <w:rPr>
                <w:rFonts w:ascii="Arial" w:cs="Arial" w:eastAsia="Arial" w:hAnsi="Arial"/>
                <w:sz w:val="18"/>
                <w:szCs w:val="18"/>
                <w:color w:val="auto"/>
              </w:rPr>
              <w:t>F-13</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4140" w:type="dxa"/>
            <w:vAlign w:val="bottom"/>
            <w:tcBorders>
              <w:bottom w:val="single" w:sz="8" w:color="9A9A9A"/>
            </w:tcBorders>
          </w:tcPr>
          <w:p>
            <w:pPr>
              <w:spacing w:after="0"/>
              <w:rPr>
                <w:sz w:val="8"/>
                <w:szCs w:val="8"/>
                <w:color w:val="auto"/>
              </w:rPr>
            </w:pPr>
          </w:p>
        </w:tc>
        <w:tc>
          <w:tcPr>
            <w:tcW w:w="35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218" w:name="page219"/>
    <w:bookmarkEnd w:id="218"/>
    <w:p>
      <w:pPr>
        <w:jc w:val="center"/>
        <w:ind w:right="20"/>
        <w:spacing w:after="0"/>
        <w:rPr>
          <w:sz w:val="20"/>
          <w:szCs w:val="20"/>
          <w:color w:val="auto"/>
        </w:rPr>
      </w:pPr>
      <w:r>
        <w:rPr>
          <w:rFonts w:ascii="Arial" w:cs="Arial" w:eastAsia="Arial" w:hAnsi="Arial"/>
          <w:sz w:val="18"/>
          <w:szCs w:val="18"/>
          <w:color w:val="auto"/>
        </w:rPr>
        <w:t>The following table presents the activity for derivative liability for the years ended December 31, 2018 and 2019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98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1120" w:type="dxa"/>
            <w:vAlign w:val="bottom"/>
            <w:shd w:val="clear" w:color="auto" w:fill="CFF0FC"/>
          </w:tcPr>
          <w:p>
            <w:pPr>
              <w:jc w:val="right"/>
              <w:ind w:right="939"/>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93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FF0FC"/>
          </w:tcPr>
          <w:p>
            <w:pPr>
              <w:spacing w:after="0"/>
              <w:rPr>
                <w:sz w:val="18"/>
                <w:szCs w:val="18"/>
                <w:color w:val="auto"/>
              </w:rPr>
            </w:pPr>
          </w:p>
        </w:tc>
      </w:tr>
      <w:tr>
        <w:trPr>
          <w:trHeight w:val="215"/>
        </w:trPr>
        <w:tc>
          <w:tcPr>
            <w:tcW w:w="7700" w:type="dxa"/>
            <w:vAlign w:val="bottom"/>
          </w:tcPr>
          <w:p>
            <w:pPr>
              <w:spacing w:after="0"/>
              <w:rPr>
                <w:sz w:val="20"/>
                <w:szCs w:val="20"/>
                <w:color w:val="auto"/>
              </w:rPr>
            </w:pPr>
            <w:r>
              <w:rPr>
                <w:rFonts w:ascii="Arial" w:cs="Arial" w:eastAsia="Arial" w:hAnsi="Arial"/>
                <w:sz w:val="18"/>
                <w:szCs w:val="18"/>
                <w:color w:val="auto"/>
              </w:rPr>
              <w:t>Derivative liability recorded upon issuance</w:t>
            </w: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700" w:type="dxa"/>
            <w:vAlign w:val="bottom"/>
          </w:tcPr>
          <w:p>
            <w:pPr>
              <w:ind w:left="160"/>
              <w:spacing w:after="0" w:line="203" w:lineRule="exact"/>
              <w:rPr>
                <w:sz w:val="20"/>
                <w:szCs w:val="20"/>
                <w:color w:val="auto"/>
              </w:rPr>
            </w:pPr>
            <w:r>
              <w:rPr>
                <w:rFonts w:ascii="Arial" w:cs="Arial" w:eastAsia="Arial" w:hAnsi="Arial"/>
                <w:sz w:val="18"/>
                <w:szCs w:val="18"/>
                <w:color w:val="auto"/>
              </w:rPr>
              <w:t>of convertible notes</w:t>
            </w:r>
          </w:p>
        </w:tc>
        <w:tc>
          <w:tcPr>
            <w:tcW w:w="112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539</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rPr>
              <w:t>389</w:t>
            </w:r>
          </w:p>
        </w:tc>
        <w:tc>
          <w:tcPr>
            <w:tcW w:w="100" w:type="dxa"/>
            <w:vAlign w:val="bottom"/>
          </w:tcPr>
          <w:p>
            <w:pPr>
              <w:spacing w:after="0"/>
              <w:rPr>
                <w:sz w:val="17"/>
                <w:szCs w:val="17"/>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w:t>
            </w:r>
          </w:p>
        </w:tc>
        <w:tc>
          <w:tcPr>
            <w:tcW w:w="1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Fair value at end of period</w:t>
            </w: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3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576"/>
        <w:spacing w:after="0" w:line="238" w:lineRule="auto"/>
        <w:rPr>
          <w:sz w:val="20"/>
          <w:szCs w:val="20"/>
          <w:color w:val="auto"/>
        </w:rPr>
      </w:pPr>
      <w:r>
        <w:rPr>
          <w:rFonts w:ascii="Arial" w:cs="Arial" w:eastAsia="Arial" w:hAnsi="Arial"/>
          <w:sz w:val="18"/>
          <w:szCs w:val="18"/>
          <w:color w:val="auto"/>
        </w:rPr>
        <w:t>The losses resulting from the change in fair value of the grant liability and the bifurcated conversion and redemption features related to the derivative liability are classified as other income (expense), net in the accompanying statements of operations and comprehensive loss. Changes in any of the assumptions related to the unobservable inputs identified may change the fair value of these instruments. For example, an increase in interest rates would generally correspond to a decrease in the fair value of the liabilities.</w:t>
      </w:r>
    </w:p>
    <w:p>
      <w:pPr>
        <w:spacing w:after="0" w:line="291" w:lineRule="exact"/>
        <w:rPr>
          <w:sz w:val="20"/>
          <w:szCs w:val="20"/>
          <w:color w:val="auto"/>
        </w:rPr>
      </w:pPr>
    </w:p>
    <w:p>
      <w:pPr>
        <w:ind w:left="580" w:hanging="572"/>
        <w:spacing w:after="0"/>
        <w:tabs>
          <w:tab w:leader="none" w:pos="5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consisted of the following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and other</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Pr>
          <w:p>
            <w:pPr>
              <w:ind w:left="260"/>
              <w:spacing w:after="0"/>
              <w:rPr>
                <w:sz w:val="20"/>
                <w:szCs w:val="20"/>
                <w:color w:val="auto"/>
              </w:rPr>
            </w:pPr>
            <w:r>
              <w:rPr>
                <w:rFonts w:ascii="Arial" w:cs="Arial" w:eastAsia="Arial" w:hAnsi="Arial"/>
                <w:sz w:val="18"/>
                <w:szCs w:val="18"/>
                <w:color w:val="auto"/>
              </w:rPr>
              <w:t>Total accrued expenses</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30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ind w:left="580" w:hanging="572"/>
        <w:spacing w:after="0"/>
        <w:tabs>
          <w:tab w:leader="none" w:pos="58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 Net</w:t>
      </w:r>
    </w:p>
    <w:p>
      <w:pPr>
        <w:spacing w:after="0" w:line="12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Other income (expense), net consisted of the following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920" w:type="dxa"/>
            <w:vAlign w:val="bottom"/>
            <w:tcBorders>
              <w:bottom w:val="single" w:sz="8" w:color="auto"/>
            </w:tcBorders>
            <w:gridSpan w:val="5"/>
          </w:tcPr>
          <w:p>
            <w:pPr>
              <w:jc w:val="right"/>
              <w:ind w:right="268"/>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320" w:type="dxa"/>
            <w:vAlign w:val="bottom"/>
            <w:tcBorders>
              <w:bottom w:val="single" w:sz="8" w:color="CFF0FC"/>
            </w:tcBorders>
          </w:tcPr>
          <w:p>
            <w:pPr>
              <w:spacing w:after="0"/>
              <w:rPr>
                <w:sz w:val="14"/>
                <w:szCs w:val="14"/>
                <w:color w:val="auto"/>
              </w:rPr>
            </w:pPr>
          </w:p>
        </w:tc>
        <w:tc>
          <w:tcPr>
            <w:tcW w:w="338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43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 xml:space="preserve">Part the Cloud </w:t>
            </w:r>
            <w:r>
              <w:rPr>
                <w:rFonts w:ascii="Arial" w:cs="Arial" w:eastAsia="Arial" w:hAnsi="Arial"/>
                <w:sz w:val="18"/>
                <w:szCs w:val="18"/>
                <w:color w:val="auto"/>
              </w:rPr>
              <w:t>research grant</w:t>
            </w:r>
          </w:p>
        </w:tc>
        <w:tc>
          <w:tcPr>
            <w:tcW w:w="4440" w:type="dxa"/>
            <w:vAlign w:val="bottom"/>
            <w:gridSpan w:val="2"/>
            <w:shd w:val="clear" w:color="auto" w:fill="CFF0FC"/>
          </w:tcPr>
          <w:p>
            <w:pPr>
              <w:jc w:val="right"/>
              <w:ind w:right="88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888"/>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3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Change in fair value of derivative liability</w:t>
            </w:r>
          </w:p>
        </w:tc>
        <w:tc>
          <w:tcPr>
            <w:tcW w:w="3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r>
      <w:tr>
        <w:trPr>
          <w:trHeight w:val="216"/>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grant liability</w:t>
            </w:r>
          </w:p>
        </w:tc>
        <w:tc>
          <w:tcPr>
            <w:tcW w:w="3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320" w:type="dxa"/>
            <w:vAlign w:val="bottom"/>
          </w:tcPr>
          <w:p>
            <w:pPr>
              <w:ind w:left="260"/>
              <w:spacing w:after="0"/>
              <w:rPr>
                <w:sz w:val="20"/>
                <w:szCs w:val="20"/>
                <w:color w:val="auto"/>
              </w:rPr>
            </w:pPr>
            <w:r>
              <w:rPr>
                <w:rFonts w:ascii="Arial" w:cs="Arial" w:eastAsia="Arial" w:hAnsi="Arial"/>
                <w:sz w:val="18"/>
                <w:szCs w:val="18"/>
                <w:color w:val="auto"/>
              </w:rPr>
              <w:t>Total other income (expense), net</w:t>
            </w:r>
          </w:p>
        </w:tc>
        <w:tc>
          <w:tcPr>
            <w:tcW w:w="3380" w:type="dxa"/>
            <w:vAlign w:val="bottom"/>
          </w:tcPr>
          <w:p>
            <w:pPr>
              <w:spacing w:after="0"/>
              <w:rPr>
                <w:sz w:val="18"/>
                <w:szCs w:val="18"/>
                <w:color w:val="auto"/>
              </w:rPr>
            </w:pPr>
          </w:p>
        </w:tc>
        <w:tc>
          <w:tcPr>
            <w:tcW w:w="1060" w:type="dxa"/>
            <w:vAlign w:val="bottom"/>
          </w:tcPr>
          <w:p>
            <w:pPr>
              <w:jc w:val="right"/>
              <w:ind w:right="88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118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4320" w:type="dxa"/>
            <w:vAlign w:val="bottom"/>
          </w:tcPr>
          <w:p>
            <w:pPr>
              <w:spacing w:after="0"/>
              <w:rPr>
                <w:sz w:val="24"/>
                <w:szCs w:val="24"/>
                <w:color w:val="auto"/>
              </w:rPr>
            </w:pPr>
          </w:p>
        </w:tc>
        <w:tc>
          <w:tcPr>
            <w:tcW w:w="4440" w:type="dxa"/>
            <w:vAlign w:val="bottom"/>
            <w:gridSpan w:val="2"/>
          </w:tcPr>
          <w:p>
            <w:pPr>
              <w:jc w:val="right"/>
              <w:ind w:right="2882"/>
              <w:spacing w:after="0"/>
              <w:rPr>
                <w:sz w:val="20"/>
                <w:szCs w:val="20"/>
                <w:color w:val="auto"/>
              </w:rPr>
            </w:pPr>
            <w:r>
              <w:rPr>
                <w:rFonts w:ascii="Arial" w:cs="Arial" w:eastAsia="Arial" w:hAnsi="Arial"/>
                <w:sz w:val="18"/>
                <w:szCs w:val="18"/>
                <w:color w:val="auto"/>
              </w:rPr>
              <w:t>F-14</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432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82" w:right="319" w:bottom="1440" w:gutter="0" w:footer="0" w:header="0"/>
        </w:sectPr>
      </w:pPr>
    </w:p>
    <w:bookmarkStart w:id="219" w:name="page220"/>
    <w:bookmarkEnd w:id="219"/>
    <w:p>
      <w:pPr>
        <w:ind w:left="580" w:hanging="572"/>
        <w:spacing w:after="0"/>
        <w:tabs>
          <w:tab w:leader="none" w:pos="58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Agreements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Washington State University (“WSU”) License Agreement</w:t>
      </w:r>
    </w:p>
    <w:p>
      <w:pPr>
        <w:spacing w:after="0" w:line="12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In December 2011, the Company entered into an exclusive license agreement with sublicensing terms with Washington State University Research Fund (“WSURF”), which, after the dissolution of WSURF in 2013, was superseded by an amended and restated exclusive license agreement with sublicensing terms between the Company and WSU in 2015. Under this agreement, the Company has an exclusive license to make, use, sell, and offer for sale a chemical compound that forms the underlying technology of the drug therapies being developed by the Company.</w:t>
      </w:r>
    </w:p>
    <w:p>
      <w:pPr>
        <w:spacing w:after="0" w:line="202" w:lineRule="exact"/>
        <w:rPr>
          <w:sz w:val="20"/>
          <w:szCs w:val="20"/>
          <w:color w:val="auto"/>
        </w:rPr>
      </w:pPr>
    </w:p>
    <w:p>
      <w:pPr>
        <w:ind w:right="780" w:firstLine="576"/>
        <w:spacing w:after="0" w:line="246" w:lineRule="auto"/>
        <w:rPr>
          <w:sz w:val="20"/>
          <w:szCs w:val="20"/>
          <w:color w:val="auto"/>
        </w:rPr>
      </w:pPr>
      <w:r>
        <w:rPr>
          <w:rFonts w:ascii="Arial" w:cs="Arial" w:eastAsia="Arial" w:hAnsi="Arial"/>
          <w:sz w:val="18"/>
          <w:szCs w:val="18"/>
          <w:color w:val="auto"/>
        </w:rPr>
        <w:t>To keep in good standing, the agreement requires the Company to meet certain development milestones and pay an annual maintenance fee. All contractual requirements have been met as of December 31, 2019.</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may also be obligated to pay the following if the related milestones are reached:</w:t>
      </w:r>
    </w:p>
    <w:p>
      <w:pPr>
        <w:spacing w:after="0" w:line="104" w:lineRule="exact"/>
        <w:rPr>
          <w:sz w:val="20"/>
          <w:szCs w:val="20"/>
          <w:color w:val="auto"/>
        </w:rPr>
      </w:pPr>
    </w:p>
    <w:p>
      <w:pPr>
        <w:ind w:left="1300" w:right="320" w:hanging="442"/>
        <w:spacing w:after="0" w:line="246" w:lineRule="auto"/>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$50,000 – At initiation of the first Phase 2 clinical trial in the United States, European Union or Japan for the first licensed product.</w:t>
      </w:r>
    </w:p>
    <w:p>
      <w:pPr>
        <w:spacing w:after="0" w:line="196" w:lineRule="exact"/>
        <w:rPr>
          <w:rFonts w:ascii="Arial" w:cs="Arial" w:eastAsia="Arial" w:hAnsi="Arial"/>
          <w:sz w:val="18"/>
          <w:szCs w:val="18"/>
          <w:color w:val="auto"/>
        </w:rPr>
      </w:pPr>
    </w:p>
    <w:p>
      <w:pPr>
        <w:ind w:left="1300" w:right="220" w:hanging="442"/>
        <w:spacing w:after="0" w:line="246" w:lineRule="auto"/>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2019, none of these milestones had been reached.</w:t>
      </w:r>
    </w:p>
    <w:p>
      <w:pPr>
        <w:spacing w:after="0" w:line="212" w:lineRule="exact"/>
        <w:rPr>
          <w:sz w:val="20"/>
          <w:szCs w:val="20"/>
          <w:color w:val="auto"/>
        </w:rPr>
      </w:pPr>
    </w:p>
    <w:p>
      <w:pPr>
        <w:jc w:val="both"/>
        <w:ind w:right="220" w:firstLine="576"/>
        <w:spacing w:after="0"/>
        <w:rPr>
          <w:sz w:val="20"/>
          <w:szCs w:val="20"/>
          <w:color w:val="auto"/>
        </w:rPr>
      </w:pPr>
      <w:r>
        <w:rPr>
          <w:rFonts w:ascii="Arial" w:cs="Arial" w:eastAsia="Arial" w:hAnsi="Arial"/>
          <w:sz w:val="18"/>
          <w:szCs w:val="18"/>
          <w:color w:val="auto"/>
        </w:rPr>
        <w:t>Under the terms of the agreement, the Company will pay a royalty in the mid-single digits of net sales, with the first $100,000 of net sales being exempt from royalty payment, and annual minimum royalty payments of $25,000 beginning after the first commercial sale of a licensed product. As of December 31, 2019, the Company had not incurred a royalty obligation under this agreement.</w:t>
      </w:r>
    </w:p>
    <w:p>
      <w:pPr>
        <w:spacing w:after="0" w:line="203"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Additionally, the agreement allows the Company to sublicense the rights conveyed by the agreement, subject to additional payments to WSU for sublicense consideration received. Such amounts are dependent on the terms of the underlying sublicense, and range from the mid-single digits to mid-tens of any non -sales based payments received, and low twenties of net sales based sublicense royalties. As of December 31, 2019, the Company had not entered into or incurred any liability from a sublicense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26" w:lineRule="exact"/>
        <w:rPr>
          <w:sz w:val="20"/>
          <w:szCs w:val="20"/>
          <w:color w:val="auto"/>
        </w:rPr>
      </w:pPr>
    </w:p>
    <w:p>
      <w:pPr>
        <w:jc w:val="both"/>
        <w:ind w:right="140" w:firstLine="576"/>
        <w:spacing w:after="0"/>
        <w:rPr>
          <w:sz w:val="20"/>
          <w:szCs w:val="20"/>
          <w:color w:val="auto"/>
        </w:rPr>
      </w:pPr>
      <w:r>
        <w:rPr>
          <w:rFonts w:ascii="Arial" w:cs="Arial" w:eastAsia="Arial" w:hAnsi="Arial"/>
          <w:sz w:val="18"/>
          <w:szCs w:val="18"/>
          <w:color w:val="auto"/>
        </w:rPr>
        <w:t>In 2014 and 2015, the Company received $250,000 and $500,000, respectively, from the Washington LSDF under the terms of two matching grant award agreements. In connection with the agreements, LSDF retained the right to receive cash payments of up to 2.0 times the amounts received, or $1.5 million, upon the occurrence of specified triggering events, including:</w:t>
      </w:r>
    </w:p>
    <w:p>
      <w:pPr>
        <w:spacing w:after="0" w:line="95" w:lineRule="exact"/>
        <w:rPr>
          <w:sz w:val="20"/>
          <w:szCs w:val="20"/>
          <w:color w:val="auto"/>
        </w:rPr>
      </w:pPr>
    </w:p>
    <w:p>
      <w:pPr>
        <w:ind w:left="1300" w:hanging="442"/>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receipt of license revenue, sales revenue, or consideration related to the underlying IP;</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transfers the underlying IP without receiving consideration;</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relocation of the Company from Washington state;</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completion of an initial public offering;</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third-party acquisition of a controlling interest in the Company, and;</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termination of the agreements.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08" w:right="379" w:bottom="1440" w:gutter="0" w:footer="0" w:header="0"/>
        </w:sectPr>
      </w:pPr>
    </w:p>
    <w:bookmarkStart w:id="220" w:name="page221"/>
    <w:bookmarkEnd w:id="220"/>
    <w:p>
      <w:pPr>
        <w:ind w:left="580"/>
        <w:spacing w:after="0"/>
        <w:rPr>
          <w:sz w:val="20"/>
          <w:szCs w:val="20"/>
          <w:color w:val="auto"/>
        </w:rPr>
      </w:pPr>
      <w:r>
        <w:rPr>
          <w:rFonts w:ascii="Arial" w:cs="Arial" w:eastAsia="Arial" w:hAnsi="Arial"/>
          <w:sz w:val="18"/>
          <w:szCs w:val="18"/>
          <w:color w:val="auto"/>
        </w:rPr>
        <w:t>As of December 31, 2019, no triggering events have occurred and no payments to LSDF have been made.</w:t>
      </w:r>
    </w:p>
    <w:p>
      <w:pPr>
        <w:spacing w:after="0" w:line="194"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 xml:space="preserve">To appropriately capture the economics of this arrangement, the grant liability is accounted for under ASC 825-10,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−Overall</w:t>
      </w:r>
      <w:r>
        <w:rPr>
          <w:rFonts w:ascii="Arial" w:cs="Arial" w:eastAsia="Arial" w:hAnsi="Arial"/>
          <w:sz w:val="18"/>
          <w:szCs w:val="18"/>
          <w:color w:val="auto"/>
        </w:rPr>
        <w:t>. The estimated fair value of the grant liability is reassessed at each balance sheet date, with changes in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reflected in other income (expense), net. To determine the estimated fair value of the grant liability at December 31, 2018 and 2019, the Company used a 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are subject to significant judgment, and payment may be in an amount different from the liability that the Company estimates. However, total payments under the agreements will not exceed $1.5 million.</w:t>
      </w:r>
    </w:p>
    <w:p>
      <w:pPr>
        <w:spacing w:after="0" w:line="203" w:lineRule="exact"/>
        <w:rPr>
          <w:sz w:val="20"/>
          <w:szCs w:val="20"/>
          <w:color w:val="auto"/>
        </w:rPr>
      </w:pPr>
    </w:p>
    <w:p>
      <w:pPr>
        <w:ind w:right="360" w:firstLine="576"/>
        <w:spacing w:after="0" w:line="261" w:lineRule="auto"/>
        <w:rPr>
          <w:sz w:val="20"/>
          <w:szCs w:val="20"/>
          <w:color w:val="auto"/>
        </w:rPr>
      </w:pPr>
      <w:r>
        <w:rPr>
          <w:rFonts w:ascii="Arial" w:cs="Arial" w:eastAsia="Arial" w:hAnsi="Arial"/>
          <w:sz w:val="17"/>
          <w:szCs w:val="17"/>
          <w:color w:val="auto"/>
        </w:rPr>
        <w:t>The estimated fair value of the grant liability was $936,000 and $1.0 million as of December 31, 2018 and 2019, respectively. The changes in the fair value of the liability resulted in losses of $164,000 and $100,000 for the years ended December 31, 2018 and 2019, respectively, which were included in other income (expense), net in the accompanying statements of operations and comprehensive loss.</w:t>
      </w:r>
    </w:p>
    <w:p>
      <w:pPr>
        <w:spacing w:after="0" w:line="272" w:lineRule="exact"/>
        <w:rPr>
          <w:sz w:val="20"/>
          <w:szCs w:val="20"/>
          <w:color w:val="auto"/>
        </w:rPr>
      </w:pPr>
    </w:p>
    <w:p>
      <w:pPr>
        <w:ind w:left="580" w:hanging="572"/>
        <w:spacing w:after="0"/>
        <w:tabs>
          <w:tab w:leader="none" w:pos="5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126" w:lineRule="exact"/>
        <w:rPr>
          <w:sz w:val="20"/>
          <w:szCs w:val="20"/>
          <w:color w:val="auto"/>
        </w:rPr>
      </w:pPr>
    </w:p>
    <w:p>
      <w:pPr>
        <w:ind w:right="180" w:firstLine="576"/>
        <w:spacing w:after="0" w:line="236" w:lineRule="auto"/>
        <w:rPr>
          <w:sz w:val="20"/>
          <w:szCs w:val="20"/>
          <w:color w:val="auto"/>
        </w:rPr>
      </w:pPr>
      <w:r>
        <w:rPr>
          <w:rFonts w:ascii="Arial" w:cs="Arial" w:eastAsia="Arial" w:hAnsi="Arial"/>
          <w:sz w:val="18"/>
          <w:szCs w:val="18"/>
          <w:color w:val="auto"/>
        </w:rPr>
        <w:t>The Company issued unsecured convertible notes with aggregate principal amounts of $ 1.3 million and $884,000 in 2018 and 2019, respectively. The notes accrue interest at a rate of 5% per year and mature in December 2021, unless earlier converted. No principal or interest is payable prior to maturity as the convertible notes and any accrued interest will automatically convert upon a qualified financing event at a conversion price equal to 85% of the price per share of the qualified financing. Holders may also elect to convert their notes to shares of common stock upon the maturity of the notes at the then fair value of common stock. If the Company experiences a change in control, holders may either convert the outstanding principal amount plus any accrued interest into shares of common stock at the then fair value of common stock or may require the Company to repurchase the notes in cash at a price equal to 200% of the outstanding principal amount plus any accrued interest.</w:t>
      </w:r>
    </w:p>
    <w:p>
      <w:pPr>
        <w:spacing w:after="0" w:line="208" w:lineRule="exact"/>
        <w:rPr>
          <w:sz w:val="20"/>
          <w:szCs w:val="20"/>
          <w:color w:val="auto"/>
        </w:rPr>
      </w:pPr>
    </w:p>
    <w:p>
      <w:pPr>
        <w:ind w:right="120" w:firstLine="576"/>
        <w:spacing w:after="0" w:line="237" w:lineRule="auto"/>
        <w:rPr>
          <w:sz w:val="20"/>
          <w:szCs w:val="20"/>
          <w:color w:val="auto"/>
        </w:rPr>
      </w:pPr>
      <w:r>
        <w:rPr>
          <w:rFonts w:ascii="Arial" w:cs="Arial" w:eastAsia="Arial" w:hAnsi="Arial"/>
          <w:sz w:val="18"/>
          <w:szCs w:val="18"/>
          <w:color w:val="auto"/>
        </w:rPr>
        <w:t xml:space="preserve">Certain conversion and redemption features as described above were determined to be an embedded derivative requiring bifurcation and separate accounting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fair value of the embedded derivative was determined using a discounted cash flow simulation methodology that assigns probabilities to the timing and likelihood of each event. The discount rate was determined based on market interest rate data for securities with similar durations and credit ratings to the convertible notes. The fair value of the embedded derivative was recorded as a liability with an offsetting amount recorded as a discount on the convertible notes at each issuance. The discount is being amortized to interest expense using the effective interest method over the contractual term of the notes.</w:t>
      </w:r>
    </w:p>
    <w:p>
      <w:pPr>
        <w:spacing w:after="0" w:line="203" w:lineRule="exact"/>
        <w:rPr>
          <w:sz w:val="20"/>
          <w:szCs w:val="20"/>
          <w:color w:val="auto"/>
        </w:rPr>
      </w:pPr>
    </w:p>
    <w:p>
      <w:pPr>
        <w:ind w:right="20" w:firstLine="576"/>
        <w:spacing w:after="0" w:line="246" w:lineRule="auto"/>
        <w:rPr>
          <w:sz w:val="20"/>
          <w:szCs w:val="20"/>
          <w:color w:val="auto"/>
        </w:rPr>
      </w:pPr>
      <w:r>
        <w:rPr>
          <w:rFonts w:ascii="Arial" w:cs="Arial" w:eastAsia="Arial" w:hAnsi="Arial"/>
          <w:sz w:val="18"/>
          <w:szCs w:val="18"/>
          <w:color w:val="auto"/>
        </w:rPr>
        <w:t>In May 2020, the outstanding principal balance of the convertible notes of $2.2 million and accrued interest of $131,000 converted into 2,333,117 shares of Series B-1 convertible preferred stock. See Note 17.</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carrying value of the convertible notes as of December 31 were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940" w:type="dxa"/>
            <w:vAlign w:val="bottom"/>
            <w:tcBorders>
              <w:bottom w:val="single" w:sz="8" w:color="CFF0FC"/>
            </w:tcBorders>
          </w:tcPr>
          <w:p>
            <w:pPr>
              <w:spacing w:after="0"/>
              <w:rPr>
                <w:sz w:val="14"/>
                <w:szCs w:val="14"/>
                <w:color w:val="auto"/>
              </w:rPr>
            </w:pPr>
          </w:p>
        </w:tc>
        <w:tc>
          <w:tcPr>
            <w:tcW w:w="276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 principal and accrued interest</w:t>
            </w:r>
          </w:p>
        </w:tc>
        <w:tc>
          <w:tcPr>
            <w:tcW w:w="3740" w:type="dxa"/>
            <w:vAlign w:val="bottom"/>
            <w:gridSpan w:val="2"/>
            <w:shd w:val="clear" w:color="auto" w:fill="CFF0FC"/>
          </w:tcPr>
          <w:p>
            <w:pPr>
              <w:jc w:val="right"/>
              <w:ind w:right="799"/>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1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Less: unamortized discount for issuance costs</w:t>
            </w:r>
          </w:p>
        </w:tc>
        <w:tc>
          <w:tcPr>
            <w:tcW w:w="2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discount related to derivative liability</w:t>
            </w:r>
          </w:p>
        </w:tc>
        <w:tc>
          <w:tcPr>
            <w:tcW w:w="27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(670)</w:t>
            </w:r>
          </w:p>
        </w:tc>
        <w:tc>
          <w:tcPr>
            <w:tcW w:w="2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940" w:type="dxa"/>
            <w:vAlign w:val="bottom"/>
          </w:tcPr>
          <w:p>
            <w:pPr>
              <w:ind w:left="260"/>
              <w:spacing w:after="0"/>
              <w:rPr>
                <w:sz w:val="20"/>
                <w:szCs w:val="20"/>
                <w:color w:val="auto"/>
              </w:rPr>
            </w:pPr>
            <w:r>
              <w:rPr>
                <w:rFonts w:ascii="Arial" w:cs="Arial" w:eastAsia="Arial" w:hAnsi="Arial"/>
                <w:sz w:val="18"/>
                <w:szCs w:val="18"/>
                <w:color w:val="auto"/>
              </w:rPr>
              <w:t>Net carrying value, convertible notes</w:t>
            </w:r>
          </w:p>
        </w:tc>
        <w:tc>
          <w:tcPr>
            <w:tcW w:w="2760" w:type="dxa"/>
            <w:vAlign w:val="bottom"/>
          </w:tcPr>
          <w:p>
            <w:pPr>
              <w:spacing w:after="0"/>
              <w:rPr>
                <w:sz w:val="18"/>
                <w:szCs w:val="18"/>
                <w:color w:val="auto"/>
              </w:rPr>
            </w:pP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722</w:t>
            </w:r>
          </w:p>
        </w:tc>
        <w:tc>
          <w:tcPr>
            <w:tcW w:w="180" w:type="dxa"/>
            <w:vAlign w:val="bottom"/>
          </w:tcPr>
          <w:p>
            <w:pPr>
              <w:spacing w:after="0"/>
              <w:rPr>
                <w:sz w:val="18"/>
                <w:szCs w:val="18"/>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4940" w:type="dxa"/>
            <w:vAlign w:val="bottom"/>
          </w:tcPr>
          <w:p>
            <w:pPr>
              <w:spacing w:after="0"/>
              <w:rPr>
                <w:sz w:val="24"/>
                <w:szCs w:val="24"/>
                <w:color w:val="auto"/>
              </w:rPr>
            </w:pPr>
          </w:p>
        </w:tc>
        <w:tc>
          <w:tcPr>
            <w:tcW w:w="3740" w:type="dxa"/>
            <w:vAlign w:val="bottom"/>
            <w:gridSpan w:val="2"/>
          </w:tcPr>
          <w:p>
            <w:pPr>
              <w:jc w:val="right"/>
              <w:ind w:right="2799"/>
              <w:spacing w:after="0"/>
              <w:rPr>
                <w:sz w:val="20"/>
                <w:szCs w:val="20"/>
                <w:color w:val="auto"/>
              </w:rPr>
            </w:pPr>
            <w:r>
              <w:rPr>
                <w:rFonts w:ascii="Arial" w:cs="Arial" w:eastAsia="Arial" w:hAnsi="Arial"/>
                <w:sz w:val="18"/>
                <w:szCs w:val="18"/>
                <w:color w:val="auto"/>
              </w:rPr>
              <w:t>F-16</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494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221" w:name="page222"/>
    <w:bookmarkEnd w:id="221"/>
    <w:p>
      <w:pPr>
        <w:ind w:right="7800" w:firstLine="8"/>
        <w:spacing w:after="0" w:line="372" w:lineRule="auto"/>
        <w:tabs>
          <w:tab w:leader="none" w:pos="567"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spacing w:after="0" w:line="1" w:lineRule="exact"/>
        <w:rPr>
          <w:sz w:val="20"/>
          <w:szCs w:val="20"/>
          <w:color w:val="auto"/>
        </w:rPr>
      </w:pPr>
    </w:p>
    <w:p>
      <w:pPr>
        <w:ind w:right="180" w:firstLine="576"/>
        <w:spacing w:after="0" w:line="238" w:lineRule="auto"/>
        <w:rPr>
          <w:sz w:val="20"/>
          <w:szCs w:val="20"/>
          <w:color w:val="auto"/>
        </w:rPr>
      </w:pPr>
      <w:r>
        <w:rPr>
          <w:rFonts w:ascii="Arial" w:cs="Arial" w:eastAsia="Arial" w:hAnsi="Arial"/>
          <w:sz w:val="18"/>
          <w:szCs w:val="18"/>
          <w:color w:val="auto"/>
        </w:rPr>
        <w:t xml:space="preserve">The Company leases office and laboratory space with a one-year lease term. Rent is expensed as incurred. The Company incurred rent expense of approximately $82,000 and $97,000 for the years ended December 31, 2018 and 2019, respectively. The Company will continue to account for its leases under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until it adopts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discussed further under </w:t>
      </w:r>
      <w:r>
        <w:rPr>
          <w:rFonts w:ascii="Arial" w:cs="Arial" w:eastAsia="Arial" w:hAnsi="Arial"/>
          <w:sz w:val="18"/>
          <w:szCs w:val="18"/>
          <w:i w:val="1"/>
          <w:iCs w:val="1"/>
          <w:color w:val="auto"/>
        </w:rPr>
        <w:t>Recent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Pronouncements Not Yet Adopted </w:t>
      </w:r>
      <w:r>
        <w:rPr>
          <w:rFonts w:ascii="Arial" w:cs="Arial" w:eastAsia="Arial" w:hAnsi="Arial"/>
          <w:sz w:val="18"/>
          <w:szCs w:val="18"/>
          <w:color w:val="auto"/>
        </w:rPr>
        <w:t>in Note 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26" w:lineRule="exact"/>
        <w:rPr>
          <w:sz w:val="20"/>
          <w:szCs w:val="20"/>
          <w:color w:val="auto"/>
        </w:rPr>
      </w:pPr>
    </w:p>
    <w:p>
      <w:pPr>
        <w:ind w:right="140" w:firstLine="576"/>
        <w:spacing w:after="0"/>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26"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intends to enter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292" w:lineRule="exact"/>
        <w:rPr>
          <w:sz w:val="20"/>
          <w:szCs w:val="20"/>
          <w:color w:val="auto"/>
        </w:rPr>
      </w:pPr>
    </w:p>
    <w:p>
      <w:pPr>
        <w:ind w:left="580" w:hanging="572"/>
        <w:spacing w:after="0"/>
        <w:tabs>
          <w:tab w:leader="none" w:pos="58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2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Convertible preferred stock as of December 31, 2018 and 2019 consisted of the following (in thousands, except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234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Carrying Value at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4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Convertible</w:t>
            </w: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Issued and</w:t>
            </w: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Liquidation</w:t>
            </w:r>
          </w:p>
        </w:tc>
      </w:tr>
      <w:tr>
        <w:trPr>
          <w:trHeight w:val="16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Preferred Stock</w:t>
            </w:r>
          </w:p>
        </w:tc>
        <w:tc>
          <w:tcPr>
            <w:tcW w:w="16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Authorized</w:t>
            </w:r>
          </w:p>
        </w:tc>
        <w:tc>
          <w:tcPr>
            <w:tcW w:w="26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Preference</w:t>
            </w:r>
          </w:p>
        </w:tc>
        <w:tc>
          <w:tcPr>
            <w:tcW w:w="100" w:type="dxa"/>
            <w:vAlign w:val="bottom"/>
            <w:tcBorders>
              <w:bottom w:val="single" w:sz="8" w:color="CFF0FC"/>
            </w:tcBorders>
          </w:tcPr>
          <w:p>
            <w:pPr>
              <w:spacing w:after="0"/>
              <w:rPr>
                <w:sz w:val="14"/>
                <w:szCs w:val="14"/>
                <w:color w:val="auto"/>
              </w:rPr>
            </w:pPr>
          </w:p>
        </w:tc>
      </w:tr>
      <w:tr>
        <w:trPr>
          <w:trHeight w:val="210"/>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A</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13,600,000</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12,172,000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15,215</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Series A-1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8,584,536</w:t>
            </w:r>
          </w:p>
        </w:tc>
        <w:tc>
          <w:tcPr>
            <w:tcW w:w="26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8,584,536</w:t>
            </w: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FF0FC"/>
            </w:tcBorders>
          </w:tcPr>
          <w:p>
            <w:pPr>
              <w:spacing w:after="0"/>
              <w:rPr>
                <w:sz w:val="18"/>
                <w:szCs w:val="18"/>
                <w:color w:val="auto"/>
              </w:rPr>
            </w:pPr>
          </w:p>
        </w:tc>
      </w:tr>
      <w:tr>
        <w:trPr>
          <w:trHeight w:val="210"/>
        </w:trPr>
        <w:tc>
          <w:tcPr>
            <w:tcW w:w="4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22,184,536</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20,756,536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17,051</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16,288</w:t>
            </w:r>
          </w:p>
        </w:tc>
        <w:tc>
          <w:tcPr>
            <w:tcW w:w="100" w:type="dxa"/>
            <w:vAlign w:val="bottom"/>
            <w:shd w:val="clear" w:color="auto" w:fill="CFF0FC"/>
          </w:tcPr>
          <w:p>
            <w:pPr>
              <w:spacing w:after="0"/>
              <w:rPr>
                <w:sz w:val="18"/>
                <w:szCs w:val="18"/>
                <w:color w:val="auto"/>
              </w:rPr>
            </w:pPr>
          </w:p>
        </w:tc>
      </w:tr>
      <w:tr>
        <w:trPr>
          <w:trHeight w:val="20"/>
        </w:trPr>
        <w:tc>
          <w:tcPr>
            <w:tcW w:w="40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jc w:val="both"/>
        <w:ind w:right="20" w:firstLine="576"/>
        <w:spacing w:after="0" w:line="246" w:lineRule="auto"/>
        <w:rPr>
          <w:sz w:val="20"/>
          <w:szCs w:val="20"/>
          <w:color w:val="auto"/>
        </w:rPr>
      </w:pPr>
      <w:r>
        <w:rPr>
          <w:rFonts w:ascii="Arial" w:cs="Arial" w:eastAsia="Arial" w:hAnsi="Arial"/>
          <w:sz w:val="18"/>
          <w:szCs w:val="18"/>
          <w:color w:val="auto"/>
        </w:rPr>
        <w:t>The rights, preferences, and privileges of the Series A and Series A-1 convertible preferred stock (collectively, Preferred Stock) are as follows: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2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holders of shares of Series A and Series A-1 Preferred Stock are entitled to receive non-cumulative dividends and non-dividend distributions in preference to any dividend or non-dividend distribution on the common stock, when, and if declared by the Company’s board of directors. Such dividend and non-dividend distribution preference survives until the holders of the Series A Preferred Stock and Series A-1 Preferred Stock have received a per share amount equal to: (a) in the case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222" w:name="page223"/>
    <w:bookmarkEnd w:id="222"/>
    <w:p>
      <w:pPr>
        <w:ind w:right="1000"/>
        <w:spacing w:after="0" w:line="246" w:lineRule="auto"/>
        <w:rPr>
          <w:sz w:val="20"/>
          <w:szCs w:val="20"/>
          <w:color w:val="auto"/>
        </w:rPr>
      </w:pPr>
      <w:r>
        <w:rPr>
          <w:rFonts w:ascii="Arial" w:cs="Arial" w:eastAsia="Arial" w:hAnsi="Arial"/>
          <w:sz w:val="18"/>
          <w:szCs w:val="18"/>
          <w:color w:val="auto"/>
        </w:rPr>
        <w:t>dividends, 1.32 times the Series A Purchase Price or Series A-1 Purchase Price, as applicable, or (b) in the case of non-dividend distributions, the Series A Purchase Price or Series A-1 Purchase Price, as applicable.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26" w:lineRule="exact"/>
        <w:rPr>
          <w:sz w:val="20"/>
          <w:szCs w:val="20"/>
          <w:color w:val="auto"/>
        </w:rPr>
      </w:pPr>
    </w:p>
    <w:p>
      <w:pPr>
        <w:jc w:val="both"/>
        <w:ind w:right="60" w:firstLine="576"/>
        <w:spacing w:after="0" w:line="237" w:lineRule="auto"/>
        <w:rPr>
          <w:sz w:val="20"/>
          <w:szCs w:val="20"/>
          <w:color w:val="auto"/>
        </w:rPr>
      </w:pPr>
      <w:r>
        <w:rPr>
          <w:rFonts w:ascii="Arial" w:cs="Arial" w:eastAsia="Arial" w:hAnsi="Arial"/>
          <w:sz w:val="18"/>
          <w:szCs w:val="18"/>
          <w:color w:val="auto"/>
        </w:rPr>
        <w:t>Preferred Stock will automatically convert into shares of common stock on a 1:1 basis upon the earlier to occur: (a) after the payment of the distribution preference to the holders of the Series A and Series A-1 Preferred Stock, and (b) upon the closing of a firmly underwritten public offering pursuant to an effective registration statement covering the offer and sale of common stock in which the gross proceeds to the Company are at least $50.0 million. The conversion ratio will be adjusted in the case of specified changes to the Company’s capitalization as a result of stock splits, combinations, common stock dividends and distributions, reclassifications, exchanges, substitutions, reorganizations, mergers or consolidations.</w:t>
      </w:r>
    </w:p>
    <w:p>
      <w:pPr>
        <w:spacing w:after="0" w:line="205"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In addition to the automatic conversion, the holders of Series A and Series A-1 Preferred Stock have the right to convert such shares, at any time, into shares of common stock. The initial conversion rate shall be 1:1, subject to any adjustments for stock splits, combinations, common stock dividends and distributions, reclassifications, exchanges, substitutions, reorganizations, mergers or consolidations.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Distributions After Conversion</w:t>
      </w:r>
    </w:p>
    <w:p>
      <w:pPr>
        <w:spacing w:after="0" w:line="126" w:lineRule="exact"/>
        <w:rPr>
          <w:sz w:val="20"/>
          <w:szCs w:val="20"/>
          <w:color w:val="auto"/>
        </w:rPr>
      </w:pPr>
    </w:p>
    <w:p>
      <w:pPr>
        <w:jc w:val="both"/>
        <w:ind w:right="80" w:firstLine="576"/>
        <w:spacing w:after="0"/>
        <w:rPr>
          <w:sz w:val="20"/>
          <w:szCs w:val="20"/>
          <w:color w:val="auto"/>
        </w:rPr>
      </w:pPr>
      <w:r>
        <w:rPr>
          <w:rFonts w:ascii="Arial" w:cs="Arial" w:eastAsia="Arial" w:hAnsi="Arial"/>
          <w:sz w:val="18"/>
          <w:szCs w:val="18"/>
          <w:color w:val="auto"/>
        </w:rPr>
        <w:t>After such conversions, the holders of common stock (including the holders of common stock issued upon conversion of the Series A and Series A-1 Preferred Stock) are entitled to participate pro rata in any dividends or non-dividend distributions paid on the Common Stock, when, as and if declared by the board of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Acquisition or Asset Sale</w:t>
      </w:r>
    </w:p>
    <w:p>
      <w:pPr>
        <w:spacing w:after="0" w:line="126"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In the event of any liquidation or winding up of the Company, or upon an acquisition of the Company or the sale or other disposition of substantially all of the Company’s assets, the proceeds shall be paid first to the holders of the Series A and Series A-1 Preferred Stock equal to their purchase price, less any declared and paid dividends or non-dividend distributions. Any remaining amounts shall be distributed to the holders of the common stock, Series A Preferred Stock and Series A-1 Preferred Stock on a pro rata basis. The liquidation preference is less than the carrying value of the Series A-1 preferred stock as a portion of the carrying value originated from an $815,000 beneficial conversion feature recorded upon issuance of the underlying shares.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holder has one vote for each share of Series A or Series A-1 Preferred Stock.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Upon the occurrence of certain change in control events that are outside the Company’s control, including liquidation, sale or transfer of the Company, holders of the convertible preferred stock can effectively cause redemption for cash. As a result, the Company has classified the convertible preferred stock as mezzanine equity on the balance sheets as the stock is contingently redeemable. The Company has elected not to adjust the carrying values of the convertible preferred stock to the liquidation preferences of such shares because it is uncertain whether or when an event would occur that would obligate the Company to pay the liquidation preferences to holders of shares of convertible preferred stock. Subsequent adjustments to the carrying values to the liquidation preferences will be made only when it becomes probable that such a liquidation event will occur.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23" w:name="page224"/>
    <w:bookmarkEnd w:id="223"/>
    <w:p>
      <w:pPr>
        <w:ind w:left="580" w:hanging="572"/>
        <w:spacing w:after="0"/>
        <w:tabs>
          <w:tab w:leader="none" w:pos="58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6"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Each share of common stock has the right to one vote. The holders of common stock are also entitled to receive dividends whenever funds are legally available and if declared by the board of directors, subject to the prior rights of holders of all classes of stock outstanding having priority rights as to dividends. No cash dividends have been declared by the board of directors from inception.</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has reserved the following shares of common stock for future issuance, on an as-converted basis, as follows:</w:t>
      </w:r>
    </w:p>
    <w:p>
      <w:pPr>
        <w:spacing w:after="0" w:line="213"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As of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Borders>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20,756,536</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20,756,536</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1560" w:type="dxa"/>
            <w:vAlign w:val="bottom"/>
          </w:tcPr>
          <w:p>
            <w:pPr>
              <w:jc w:val="right"/>
              <w:spacing w:after="0"/>
              <w:rPr>
                <w:sz w:val="20"/>
                <w:szCs w:val="20"/>
                <w:color w:val="auto"/>
              </w:rPr>
            </w:pPr>
            <w:r>
              <w:rPr>
                <w:rFonts w:ascii="Arial" w:cs="Arial" w:eastAsia="Arial" w:hAnsi="Arial"/>
                <w:sz w:val="18"/>
                <w:szCs w:val="18"/>
                <w:color w:val="auto"/>
              </w:rPr>
              <w:t>10,022,500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12,012,500</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future grant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1,750,000</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3,170,000</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26,249</w:t>
            </w:r>
          </w:p>
        </w:tc>
        <w:tc>
          <w:tcPr>
            <w:tcW w:w="28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26,249</w:t>
            </w:r>
          </w:p>
        </w:tc>
        <w:tc>
          <w:tcPr>
            <w:tcW w:w="120" w:type="dxa"/>
            <w:vAlign w:val="bottom"/>
            <w:tcBorders>
              <w:bottom w:val="single" w:sz="8" w:color="CFF0FC"/>
            </w:tcBorders>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32,555,285</w:t>
            </w:r>
          </w:p>
        </w:tc>
        <w:tc>
          <w:tcPr>
            <w:tcW w:w="2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35,965,285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Common stock warrants are exercisable at a price of $1.00 per share through April 8, 2021.</w:t>
      </w:r>
    </w:p>
    <w:p>
      <w:pPr>
        <w:spacing w:after="0" w:line="298" w:lineRule="exact"/>
        <w:rPr>
          <w:sz w:val="20"/>
          <w:szCs w:val="20"/>
          <w:color w:val="auto"/>
        </w:rPr>
      </w:pPr>
    </w:p>
    <w:p>
      <w:pPr>
        <w:ind w:left="580" w:hanging="572"/>
        <w:spacing w:after="0"/>
        <w:tabs>
          <w:tab w:leader="none" w:pos="58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6" w:lineRule="exact"/>
        <w:rPr>
          <w:sz w:val="20"/>
          <w:szCs w:val="20"/>
          <w:color w:val="auto"/>
        </w:rPr>
      </w:pPr>
    </w:p>
    <w:p>
      <w:pPr>
        <w:ind w:right="260" w:firstLine="576"/>
        <w:spacing w:after="0" w:line="238" w:lineRule="auto"/>
        <w:rPr>
          <w:sz w:val="20"/>
          <w:szCs w:val="20"/>
          <w:color w:val="auto"/>
        </w:rPr>
      </w:pPr>
      <w:r>
        <w:rPr>
          <w:rFonts w:ascii="Arial" w:cs="Arial" w:eastAsia="Arial" w:hAnsi="Arial"/>
          <w:sz w:val="18"/>
          <w:szCs w:val="18"/>
          <w:color w:val="auto"/>
        </w:rPr>
        <w:t>The Company maintains the 2014 Equity Incentive Plan (“2014 Plan”), as amended in August 2016, which allows for the grant of incentive stock options, non-statutory stock options, stock appreciation rights, restricted stock awards, and restricted stock unit awards to employees, officers, non-employee directors, consultants and advisors. As of December 31, 2019, the Company has reserved 24,395,000 shares of common stock for issuance under the 2014 Plan.</w:t>
      </w:r>
    </w:p>
    <w:p>
      <w:pPr>
        <w:spacing w:after="0" w:line="205"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The Company grants stock options with exercise prices equal to the estimated fair value of common stock on the date of the grant as determined by the board of directors based on the most recent third-party valuation of the common stock. Terms of stock award agreements, including vesting requirements, are determined by the board of directors, subject to the provisions of the plan, and typically have a contractual term of ten years from the date of grant. In the case of options granted to holders of more than 10% of the voting power of the Company, the exercise price may not be less than 110% of the fair market value of the common stock on the date the option is granted, and the term of the option may not exceed five years. Stock options granted have multiple vesting schedules ranging from immediate 100% vesting to cliff vesting ratably over four years.</w:t>
      </w:r>
    </w:p>
    <w:p>
      <w:pPr>
        <w:spacing w:after="0" w:line="203" w:lineRule="exact"/>
        <w:rPr>
          <w:sz w:val="20"/>
          <w:szCs w:val="20"/>
          <w:color w:val="auto"/>
        </w:rPr>
      </w:pPr>
    </w:p>
    <w:p>
      <w:pPr>
        <w:ind w:right="360" w:firstLine="576"/>
        <w:spacing w:after="0" w:line="246" w:lineRule="auto"/>
        <w:rPr>
          <w:sz w:val="20"/>
          <w:szCs w:val="20"/>
          <w:color w:val="auto"/>
        </w:rPr>
      </w:pPr>
      <w:r>
        <w:rPr>
          <w:rFonts w:ascii="Arial" w:cs="Arial" w:eastAsia="Arial" w:hAnsi="Arial"/>
          <w:sz w:val="18"/>
          <w:szCs w:val="18"/>
          <w:color w:val="auto"/>
        </w:rPr>
        <w:t>Restricted stock awards are awards of a specific number of shares of the Company’s common stock, and are subject to continued service and vesting conditions.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26" w:lineRule="exact"/>
        <w:rPr>
          <w:sz w:val="20"/>
          <w:szCs w:val="20"/>
          <w:color w:val="auto"/>
        </w:rPr>
      </w:pPr>
    </w:p>
    <w:p>
      <w:pPr>
        <w:ind w:left="58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was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500" w:type="dxa"/>
            <w:vAlign w:val="bottom"/>
            <w:tcBorders>
              <w:bottom w:val="single" w:sz="8" w:color="CFF0FC"/>
            </w:tcBorders>
          </w:tcPr>
          <w:p>
            <w:pPr>
              <w:spacing w:after="0"/>
              <w:rPr>
                <w:sz w:val="14"/>
                <w:szCs w:val="14"/>
                <w:color w:val="auto"/>
              </w:rPr>
            </w:pPr>
          </w:p>
        </w:tc>
        <w:tc>
          <w:tcPr>
            <w:tcW w:w="32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4300" w:type="dxa"/>
            <w:vAlign w:val="bottom"/>
            <w:gridSpan w:val="2"/>
            <w:shd w:val="clear" w:color="auto" w:fill="CFF0FC"/>
          </w:tcPr>
          <w:p>
            <w:pPr>
              <w:jc w:val="right"/>
              <w:ind w:right="92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380" w:type="dxa"/>
            <w:vAlign w:val="bottom"/>
            <w:gridSpan w:val="2"/>
            <w:shd w:val="clear" w:color="auto" w:fill="CFF0FC"/>
          </w:tcPr>
          <w:p>
            <w:pPr>
              <w:jc w:val="right"/>
              <w:ind w:right="9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20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4300" w:type="dxa"/>
            <w:vAlign w:val="bottom"/>
            <w:gridSpan w:val="2"/>
            <w:shd w:val="clear" w:color="auto" w:fill="CFF0FC"/>
          </w:tcPr>
          <w:p>
            <w:pPr>
              <w:jc w:val="right"/>
              <w:ind w:right="92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380" w:type="dxa"/>
            <w:vAlign w:val="bottom"/>
            <w:gridSpan w:val="2"/>
            <w:shd w:val="clear" w:color="auto" w:fill="CFF0FC"/>
          </w:tcPr>
          <w:p>
            <w:pPr>
              <w:jc w:val="right"/>
              <w:ind w:right="9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500" w:type="dxa"/>
            <w:vAlign w:val="bottom"/>
            <w:tcBorders>
              <w:top w:val="single" w:sz="8" w:color="CFF0FC"/>
            </w:tcBorders>
          </w:tcPr>
          <w:p>
            <w:pPr>
              <w:spacing w:after="0" w:line="20" w:lineRule="exact"/>
              <w:rPr>
                <w:sz w:val="1"/>
                <w:szCs w:val="1"/>
                <w:color w:val="auto"/>
              </w:rPr>
            </w:pPr>
          </w:p>
        </w:tc>
        <w:tc>
          <w:tcPr>
            <w:tcW w:w="32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4500" w:type="dxa"/>
            <w:vAlign w:val="bottom"/>
          </w:tcPr>
          <w:p>
            <w:pPr>
              <w:spacing w:after="0"/>
              <w:rPr>
                <w:sz w:val="24"/>
                <w:szCs w:val="24"/>
                <w:color w:val="auto"/>
              </w:rPr>
            </w:pPr>
          </w:p>
        </w:tc>
        <w:tc>
          <w:tcPr>
            <w:tcW w:w="4300" w:type="dxa"/>
            <w:vAlign w:val="bottom"/>
            <w:gridSpan w:val="2"/>
          </w:tcPr>
          <w:p>
            <w:pPr>
              <w:jc w:val="right"/>
              <w:ind w:right="2928"/>
              <w:spacing w:after="0"/>
              <w:rPr>
                <w:sz w:val="20"/>
                <w:szCs w:val="20"/>
                <w:color w:val="auto"/>
              </w:rPr>
            </w:pPr>
            <w:r>
              <w:rPr>
                <w:rFonts w:ascii="Arial" w:cs="Arial" w:eastAsia="Arial" w:hAnsi="Arial"/>
                <w:sz w:val="18"/>
                <w:szCs w:val="18"/>
                <w:color w:val="auto"/>
              </w:rPr>
              <w:t>F-19</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4500" w:type="dxa"/>
            <w:vAlign w:val="bottom"/>
            <w:tcBorders>
              <w:bottom w:val="single" w:sz="8" w:color="9A9A9A"/>
            </w:tcBorders>
          </w:tcPr>
          <w:p>
            <w:pPr>
              <w:spacing w:after="0"/>
              <w:rPr>
                <w:sz w:val="8"/>
                <w:szCs w:val="8"/>
                <w:color w:val="auto"/>
              </w:rPr>
            </w:pPr>
          </w:p>
        </w:tc>
        <w:tc>
          <w:tcPr>
            <w:tcW w:w="32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26" w:lineRule="exact"/>
        <w:rPr>
          <w:sz w:val="20"/>
          <w:szCs w:val="20"/>
          <w:color w:val="auto"/>
        </w:rPr>
      </w:pPr>
    </w:p>
    <w:p>
      <w:pPr>
        <w:ind w:right="380" w:firstLine="576"/>
        <w:spacing w:after="0" w:line="246" w:lineRule="auto"/>
        <w:rPr>
          <w:sz w:val="20"/>
          <w:szCs w:val="20"/>
          <w:color w:val="auto"/>
        </w:rPr>
      </w:pPr>
      <w:r>
        <w:rPr>
          <w:rFonts w:ascii="Arial" w:cs="Arial" w:eastAsia="Arial" w:hAnsi="Arial"/>
          <w:sz w:val="18"/>
          <w:szCs w:val="18"/>
          <w:color w:val="auto"/>
        </w:rPr>
        <w:t>The fair value of stock options was determined using the Black-Scholes option-pricing model and the assumptions below. Each of these inputs is subjective and generally required significant judgment.</w:t>
      </w:r>
    </w:p>
    <w:p>
      <w:pPr>
        <w:spacing w:after="0" w:line="71" w:lineRule="exact"/>
        <w:rPr>
          <w:sz w:val="20"/>
          <w:szCs w:val="20"/>
          <w:color w:val="auto"/>
        </w:rPr>
      </w:pPr>
    </w:p>
    <w:p>
      <w:pPr>
        <w:ind w:left="1300" w:right="40" w:hanging="442"/>
        <w:spacing w:after="0" w:line="238" w:lineRule="auto"/>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grant date fair market value of the shares of common stock underlying stock options has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historically been determined by the Company’s board of directors. Because there has been no public market for the Company’s common stock, the board of directors exercises reasonable judgment and considers a number of objective and subjective factors to determine the best estimate of the fair market value, which include contemporaneous valuations performed by an independent third-party, important developments in the Company’s operations, sales of convertible preferred stock, the rights, preferences and privileges of the Company’s convertible preferred stock relative to those of its common stock, lack of marketability of its common stock, actual operating results, financial performance, the progress of clinical development, the likelihood of achieving a liquidity event for the Company’s security holders, the trends, development and conditions in the life sciences and biotechnology sectors, the economy in general, the stock price performance and volatility of comparable public companies.</w:t>
      </w:r>
    </w:p>
    <w:p>
      <w:pPr>
        <w:spacing w:after="0" w:line="188" w:lineRule="exact"/>
        <w:rPr>
          <w:rFonts w:ascii="Arial" w:cs="Arial" w:eastAsia="Arial" w:hAnsi="Arial"/>
          <w:sz w:val="18"/>
          <w:szCs w:val="18"/>
          <w:color w:val="auto"/>
        </w:rPr>
      </w:pPr>
    </w:p>
    <w:p>
      <w:pPr>
        <w:ind w:left="1300" w:right="100" w:hanging="442"/>
        <w:spacing w:after="0" w:line="267" w:lineRule="auto"/>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the option.</w:t>
      </w:r>
    </w:p>
    <w:p>
      <w:pPr>
        <w:spacing w:after="0" w:line="160" w:lineRule="exact"/>
        <w:rPr>
          <w:rFonts w:ascii="Arial" w:cs="Arial" w:eastAsia="Arial" w:hAnsi="Arial"/>
          <w:sz w:val="18"/>
          <w:szCs w:val="18"/>
          <w:color w:val="auto"/>
        </w:rPr>
      </w:pPr>
    </w:p>
    <w:p>
      <w:pPr>
        <w:ind w:left="1300" w:right="300" w:hanging="442"/>
        <w:spacing w:after="0" w:line="242" w:lineRule="auto"/>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—Because the Company has been privately held and does not have any trading history for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184" w:lineRule="exact"/>
        <w:rPr>
          <w:rFonts w:ascii="Arial" w:cs="Arial" w:eastAsia="Arial" w:hAnsi="Arial"/>
          <w:sz w:val="18"/>
          <w:szCs w:val="18"/>
          <w:color w:val="auto"/>
        </w:rPr>
      </w:pPr>
    </w:p>
    <w:p>
      <w:pPr>
        <w:ind w:left="1300" w:right="140" w:hanging="442"/>
        <w:spacing w:after="0" w:line="250" w:lineRule="auto"/>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and</w:t>
      </w:r>
      <w:r>
        <w:rPr>
          <w:rFonts w:ascii="Arial" w:cs="Arial" w:eastAsia="Arial" w:hAnsi="Arial"/>
          <w:sz w:val="18"/>
          <w:szCs w:val="18"/>
          <w:i w:val="1"/>
          <w:iCs w:val="1"/>
          <w:color w:val="auto"/>
        </w:rPr>
        <w:t xml:space="preserve"> </w:t>
      </w:r>
      <w:r>
        <w:rPr>
          <w:rFonts w:ascii="Arial" w:cs="Arial" w:eastAsia="Arial" w:hAnsi="Arial"/>
          <w:sz w:val="18"/>
          <w:szCs w:val="18"/>
          <w:color w:val="auto"/>
        </w:rPr>
        <w:t>is determined using the simplified method (based on the mid-point between the vesting date and the end of the contractual term) as the Company has limited history of relevant stock option exercise activity.</w:t>
      </w:r>
    </w:p>
    <w:p>
      <w:pPr>
        <w:spacing w:after="0" w:line="176" w:lineRule="exact"/>
        <w:rPr>
          <w:rFonts w:ascii="Arial" w:cs="Arial" w:eastAsia="Arial" w:hAnsi="Arial"/>
          <w:sz w:val="18"/>
          <w:szCs w:val="18"/>
          <w:color w:val="auto"/>
        </w:rPr>
      </w:pPr>
    </w:p>
    <w:p>
      <w:pPr>
        <w:ind w:left="1300" w:right="200" w:hanging="442"/>
        <w:spacing w:after="0" w:line="267" w:lineRule="auto"/>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its common stock and has no plans to pay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on its common stock. Therefore, it used an expected dividend yield of zero.</w:t>
      </w:r>
    </w:p>
    <w:p>
      <w:pPr>
        <w:spacing w:after="0" w:line="178" w:lineRule="exact"/>
        <w:rPr>
          <w:sz w:val="20"/>
          <w:szCs w:val="20"/>
          <w:color w:val="auto"/>
        </w:rPr>
      </w:pPr>
    </w:p>
    <w:p>
      <w:pPr>
        <w:ind w:right="180" w:firstLine="576"/>
        <w:spacing w:after="0" w:line="210" w:lineRule="exact"/>
        <w:rPr>
          <w:sz w:val="20"/>
          <w:szCs w:val="20"/>
          <w:color w:val="auto"/>
        </w:rPr>
      </w:pPr>
      <w:r>
        <w:rPr>
          <w:rFonts w:ascii="Arial" w:cs="Arial" w:eastAsia="Arial" w:hAnsi="Arial"/>
          <w:sz w:val="18"/>
          <w:szCs w:val="18"/>
          <w:color w:val="auto"/>
        </w:rPr>
        <w:t>The fair value of each stock option was estimated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with the following weighted-average assumptions:</w:t>
      </w:r>
    </w:p>
    <w:p>
      <w:pPr>
        <w:spacing w:after="0" w:line="203"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Year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Borders>
              <w:bottom w:val="single" w:sz="8" w:color="CFF0FC"/>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CFF0FC"/>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r>
      <w:tr>
        <w:trPr>
          <w:trHeight w:val="209"/>
        </w:trPr>
        <w:tc>
          <w:tcPr>
            <w:tcW w:w="8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76.3%</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r>
      <w:tr>
        <w:trPr>
          <w:trHeight w:val="216"/>
        </w:trPr>
        <w:tc>
          <w:tcPr>
            <w:tcW w:w="8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FF0FC"/>
          </w:tcPr>
          <w:p>
            <w:pPr>
              <w:spacing w:after="0"/>
              <w:rPr>
                <w:sz w:val="18"/>
                <w:szCs w:val="18"/>
                <w:color w:val="auto"/>
              </w:rPr>
            </w:pPr>
          </w:p>
        </w:tc>
      </w:tr>
      <w:tr>
        <w:trPr>
          <w:trHeight w:val="230"/>
        </w:trPr>
        <w:tc>
          <w:tcPr>
            <w:tcW w:w="866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160" w:firstLine="576"/>
        <w:spacing w:after="0"/>
        <w:rPr>
          <w:sz w:val="20"/>
          <w:szCs w:val="20"/>
          <w:color w:val="auto"/>
        </w:rPr>
      </w:pPr>
      <w:r>
        <w:rPr>
          <w:rFonts w:ascii="Arial" w:cs="Arial" w:eastAsia="Arial" w:hAnsi="Arial"/>
          <w:sz w:val="18"/>
          <w:szCs w:val="18"/>
          <w:color w:val="auto"/>
        </w:rPr>
        <w:t>The weighted-average grant-date fair value of options granted to employees and directors during the years ended December 31, 2018 and 2019 were $0.10 and $ 0.11, respectively. The re-measured weighted-average fair value of options granted to advisors during the years ended December 31, 2018 and 2019 were $0.14 and $0.13,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option activity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Average</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5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Value</w:t>
            </w:r>
          </w:p>
        </w:tc>
      </w:tr>
      <w:tr>
        <w:trPr>
          <w:trHeight w:val="162"/>
        </w:trPr>
        <w:tc>
          <w:tcPr>
            <w:tcW w:w="518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Available</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Price</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w:t>
            </w:r>
          </w:p>
        </w:tc>
      </w:tr>
      <w:tr>
        <w:trPr>
          <w:trHeight w:val="175"/>
        </w:trPr>
        <w:tc>
          <w:tcPr>
            <w:tcW w:w="518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for Grant</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Per Share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thousands)</w:t>
            </w:r>
          </w:p>
        </w:tc>
        <w:tc>
          <w:tcPr>
            <w:tcW w:w="100" w:type="dxa"/>
            <w:vAlign w:val="bottom"/>
            <w:tcBorders>
              <w:bottom w:val="single" w:sz="8" w:color="CFF0FC"/>
            </w:tcBorders>
          </w:tcPr>
          <w:p>
            <w:pPr>
              <w:spacing w:after="0"/>
              <w:rPr>
                <w:sz w:val="15"/>
                <w:szCs w:val="15"/>
                <w:color w:val="auto"/>
              </w:rPr>
            </w:pPr>
          </w:p>
        </w:tc>
      </w:tr>
      <w:tr>
        <w:trPr>
          <w:trHeight w:val="20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1,750,000</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10,022,500</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Authorized</w:t>
            </w:r>
          </w:p>
        </w:tc>
        <w:tc>
          <w:tcPr>
            <w:tcW w:w="1000" w:type="dxa"/>
            <w:vAlign w:val="bottom"/>
          </w:tcPr>
          <w:p>
            <w:pPr>
              <w:jc w:val="right"/>
              <w:spacing w:after="0"/>
              <w:rPr>
                <w:sz w:val="20"/>
                <w:szCs w:val="20"/>
                <w:color w:val="auto"/>
              </w:rPr>
            </w:pPr>
            <w:r>
              <w:rPr>
                <w:rFonts w:ascii="Arial" w:cs="Arial" w:eastAsia="Arial" w:hAnsi="Arial"/>
                <w:sz w:val="18"/>
                <w:szCs w:val="18"/>
                <w:color w:val="auto"/>
              </w:rPr>
              <w:t>4,060,000</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(2,790,000)</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2,790,000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(650,000)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0.11</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Forfeited/expired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9"/>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December 31, 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3,170,000</w:t>
            </w:r>
          </w:p>
        </w:tc>
        <w:tc>
          <w:tcPr>
            <w:tcW w:w="220" w:type="dxa"/>
            <w:vAlign w:val="bottom"/>
            <w:tcBorders>
              <w:bottom w:val="single" w:sz="8" w:color="CFF0FC"/>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12,012,500</w:t>
            </w:r>
          </w:p>
        </w:tc>
        <w:tc>
          <w:tcPr>
            <w:tcW w:w="14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Borders>
              <w:bottom w:val="single" w:sz="8" w:color="CFF0FC"/>
            </w:tcBorders>
          </w:tcPr>
          <w:p>
            <w:pPr>
              <w:spacing w:after="0"/>
              <w:rPr>
                <w:sz w:val="21"/>
                <w:szCs w:val="21"/>
                <w:color w:val="auto"/>
              </w:rPr>
            </w:pPr>
          </w:p>
        </w:tc>
        <w:tc>
          <w:tcPr>
            <w:tcW w:w="10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7.16</w:t>
            </w:r>
          </w:p>
        </w:tc>
        <w:tc>
          <w:tcPr>
            <w:tcW w:w="2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FF0FC"/>
            </w:tcBorders>
          </w:tcPr>
          <w:p>
            <w:pPr>
              <w:spacing w:after="0"/>
              <w:rPr>
                <w:sz w:val="21"/>
                <w:szCs w:val="21"/>
                <w:color w:val="auto"/>
              </w:rPr>
            </w:pPr>
          </w:p>
        </w:tc>
      </w:tr>
      <w:tr>
        <w:trPr>
          <w:trHeight w:val="197"/>
        </w:trPr>
        <w:tc>
          <w:tcPr>
            <w:tcW w:w="51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Expected to vest</w:t>
            </w:r>
          </w:p>
        </w:tc>
        <w:tc>
          <w:tcPr>
            <w:tcW w:w="10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4,703,334</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0.17</w:t>
            </w:r>
          </w:p>
        </w:tc>
        <w:tc>
          <w:tcPr>
            <w:tcW w:w="2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8.79</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5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180" w:type="dxa"/>
            <w:vAlign w:val="bottom"/>
          </w:tcPr>
          <w:p>
            <w:pPr>
              <w:spacing w:after="0" w:line="196" w:lineRule="exact"/>
              <w:rPr>
                <w:sz w:val="20"/>
                <w:szCs w:val="20"/>
                <w:color w:val="auto"/>
              </w:rPr>
            </w:pPr>
            <w:r>
              <w:rPr>
                <w:rFonts w:ascii="Arial" w:cs="Arial" w:eastAsia="Arial" w:hAnsi="Arial"/>
                <w:sz w:val="18"/>
                <w:szCs w:val="18"/>
                <w:color w:val="auto"/>
              </w:rPr>
              <w:t>Options exercisable</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7,309,166</w:t>
            </w:r>
          </w:p>
        </w:tc>
        <w:tc>
          <w:tcPr>
            <w:tcW w:w="140" w:type="dxa"/>
            <w:vAlign w:val="bottom"/>
          </w:tcPr>
          <w:p>
            <w:pPr>
              <w:spacing w:after="0"/>
              <w:rPr>
                <w:sz w:val="17"/>
                <w:szCs w:val="17"/>
                <w:color w:val="auto"/>
              </w:rPr>
            </w:pPr>
          </w:p>
        </w:tc>
        <w:tc>
          <w:tcPr>
            <w:tcW w:w="2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0.10</w:t>
            </w:r>
          </w:p>
        </w:tc>
        <w:tc>
          <w:tcPr>
            <w:tcW w:w="2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6.11</w:t>
            </w:r>
          </w:p>
        </w:tc>
        <w:tc>
          <w:tcPr>
            <w:tcW w:w="2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477</w:t>
            </w:r>
          </w:p>
        </w:tc>
        <w:tc>
          <w:tcPr>
            <w:tcW w:w="100" w:type="dxa"/>
            <w:vAlign w:val="bottom"/>
          </w:tcPr>
          <w:p>
            <w:pPr>
              <w:spacing w:after="0"/>
              <w:rPr>
                <w:sz w:val="17"/>
                <w:szCs w:val="17"/>
                <w:color w:val="auto"/>
              </w:rPr>
            </w:pPr>
          </w:p>
        </w:tc>
      </w:tr>
      <w:tr>
        <w:trPr>
          <w:trHeight w:val="20"/>
        </w:trPr>
        <w:tc>
          <w:tcPr>
            <w:tcW w:w="5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The total fair value of options granted to employees, directors, and advisors that vested during the year ended December 31, 2018 was $160,000, which included $115,000 for options granted to employees and directors and $45,000 for options granted to advisors. The total fair value of options that vested during the year ended December 31, 2019 was $183,000, which included $104,000 for options granted to employees and directors and $79,000 for options granted to advisors.</w:t>
      </w:r>
    </w:p>
    <w:p>
      <w:pPr>
        <w:spacing w:after="0" w:line="205" w:lineRule="exact"/>
        <w:rPr>
          <w:sz w:val="20"/>
          <w:szCs w:val="20"/>
          <w:color w:val="auto"/>
        </w:rPr>
      </w:pPr>
    </w:p>
    <w:p>
      <w:pPr>
        <w:ind w:right="140" w:firstLine="576"/>
        <w:spacing w:after="0" w:line="237" w:lineRule="auto"/>
        <w:rPr>
          <w:sz w:val="20"/>
          <w:szCs w:val="20"/>
          <w:color w:val="auto"/>
        </w:rPr>
      </w:pPr>
      <w:r>
        <w:rPr>
          <w:rFonts w:ascii="Arial" w:cs="Arial" w:eastAsia="Arial" w:hAnsi="Arial"/>
          <w:sz w:val="18"/>
          <w:szCs w:val="18"/>
          <w:color w:val="auto"/>
        </w:rPr>
        <w:t>The aggregate intrinsic value in the table above is calculated as the difference between the exercise price of the underlying options and the estimated fair value of the Company’s common stock for all options that were in-the-money at December 31, 2019. The aggregate intrinsic value of options exercised was $297,000 during 2018 and $38,500 during 2019, determined as of the date of option exercise. As of December 31, 2019, there was $374,000 of total unrecognized compensation cost related to unvested stock options. The Company expects to recognize this cost over a remaining weighted-average period of 1.41 years. The Company utilizes newly issued shares to satisfy option exercises.</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Stock options outstanding and exercisable consisted of the following at December 31,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52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Employees and Directors</w:t>
            </w:r>
          </w:p>
        </w:tc>
        <w:tc>
          <w:tcPr>
            <w:tcW w:w="240" w:type="dxa"/>
            <w:vAlign w:val="bottom"/>
          </w:tcPr>
          <w:p>
            <w:pPr>
              <w:spacing w:after="0"/>
              <w:rPr>
                <w:sz w:val="15"/>
                <w:szCs w:val="15"/>
                <w:color w:val="auto"/>
              </w:rPr>
            </w:pPr>
          </w:p>
        </w:tc>
        <w:tc>
          <w:tcPr>
            <w:tcW w:w="2540" w:type="dxa"/>
            <w:vAlign w:val="bottom"/>
            <w:tcBorders>
              <w:bottom w:val="single" w:sz="8" w:color="auto"/>
            </w:tcBorders>
            <w:gridSpan w:val="3"/>
          </w:tcPr>
          <w:p>
            <w:pPr>
              <w:jc w:val="right"/>
              <w:ind w:right="655"/>
              <w:spacing w:after="0"/>
              <w:rPr>
                <w:sz w:val="20"/>
                <w:szCs w:val="20"/>
                <w:color w:val="auto"/>
              </w:rPr>
            </w:pPr>
            <w:r>
              <w:rPr>
                <w:rFonts w:ascii="Arial" w:cs="Arial" w:eastAsia="Arial" w:hAnsi="Arial"/>
                <w:sz w:val="14"/>
                <w:szCs w:val="14"/>
                <w:b w:val="1"/>
                <w:bCs w:val="1"/>
                <w:color w:val="auto"/>
              </w:rPr>
              <w:t>Non-employees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120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3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Share</w:t>
            </w:r>
          </w:p>
        </w:tc>
        <w:tc>
          <w:tcPr>
            <w:tcW w:w="13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Share</w:t>
            </w:r>
          </w:p>
        </w:tc>
        <w:tc>
          <w:tcPr>
            <w:tcW w:w="13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Share</w:t>
            </w:r>
          </w:p>
        </w:tc>
        <w:tc>
          <w:tcPr>
            <w:tcW w:w="1260" w:type="dxa"/>
            <w:vAlign w:val="bottom"/>
            <w:gridSpan w:val="2"/>
          </w:tcPr>
          <w:p>
            <w:pPr>
              <w:jc w:val="center"/>
              <w:ind w:right="100"/>
              <w:spacing w:after="0" w:line="156" w:lineRule="exact"/>
              <w:rPr>
                <w:sz w:val="20"/>
                <w:szCs w:val="20"/>
                <w:color w:val="auto"/>
              </w:rPr>
            </w:pPr>
            <w:r>
              <w:rPr>
                <w:rFonts w:ascii="Arial" w:cs="Arial" w:eastAsia="Arial" w:hAnsi="Arial"/>
                <w:sz w:val="14"/>
                <w:szCs w:val="14"/>
                <w:b w:val="1"/>
                <w:bCs w:val="1"/>
                <w:color w:val="auto"/>
              </w:rPr>
              <w:t>Share</w:t>
            </w:r>
          </w:p>
        </w:tc>
        <w:tc>
          <w:tcPr>
            <w:tcW w:w="20" w:type="dxa"/>
            <w:vAlign w:val="bottom"/>
          </w:tcPr>
          <w:p>
            <w:pPr>
              <w:spacing w:after="0"/>
              <w:rPr>
                <w:sz w:val="13"/>
                <w:szCs w:val="13"/>
                <w:color w:val="auto"/>
              </w:rPr>
            </w:pPr>
          </w:p>
        </w:tc>
      </w:tr>
      <w:tr>
        <w:trPr>
          <w:trHeight w:val="162"/>
        </w:trPr>
        <w:tc>
          <w:tcPr>
            <w:tcW w:w="12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Options</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4"/>
                <w:szCs w:val="14"/>
                <w:color w:val="auto"/>
              </w:rPr>
            </w:pPr>
          </w:p>
        </w:tc>
      </w:tr>
      <w:tr>
        <w:trPr>
          <w:trHeight w:val="169"/>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Exercise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46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Exercisable</w:t>
            </w:r>
          </w:p>
        </w:tc>
        <w:tc>
          <w:tcPr>
            <w:tcW w:w="2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Exercisable</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0.02</w:t>
            </w:r>
          </w:p>
        </w:tc>
        <w:tc>
          <w:tcPr>
            <w:tcW w:w="5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0.06</w:t>
            </w:r>
          </w:p>
        </w:tc>
        <w:tc>
          <w:tcPr>
            <w:tcW w:w="5780" w:type="dxa"/>
            <w:vAlign w:val="bottom"/>
            <w:gridSpan w:val="2"/>
          </w:tcPr>
          <w:p>
            <w:pPr>
              <w:jc w:val="right"/>
              <w:spacing w:after="0"/>
              <w:rPr>
                <w:sz w:val="20"/>
                <w:szCs w:val="20"/>
                <w:color w:val="auto"/>
              </w:rPr>
            </w:pPr>
            <w:r>
              <w:rPr>
                <w:rFonts w:ascii="Arial" w:cs="Arial" w:eastAsia="Arial" w:hAnsi="Arial"/>
                <w:sz w:val="18"/>
                <w:szCs w:val="18"/>
                <w:color w:val="auto"/>
              </w:rPr>
              <w:t>2,287,500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2,287,500</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0.125</w:t>
            </w:r>
          </w:p>
        </w:tc>
        <w:tc>
          <w:tcPr>
            <w:tcW w:w="46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0.13</w:t>
            </w:r>
          </w:p>
        </w:tc>
        <w:tc>
          <w:tcPr>
            <w:tcW w:w="5780" w:type="dxa"/>
            <w:vAlign w:val="bottom"/>
            <w:gridSpan w:val="2"/>
          </w:tcPr>
          <w:p>
            <w:pPr>
              <w:jc w:val="right"/>
              <w:spacing w:after="0"/>
              <w:rPr>
                <w:sz w:val="20"/>
                <w:szCs w:val="20"/>
                <w:color w:val="auto"/>
              </w:rPr>
            </w:pPr>
            <w:r>
              <w:rPr>
                <w:rFonts w:ascii="Arial" w:cs="Arial" w:eastAsia="Arial" w:hAnsi="Arial"/>
                <w:sz w:val="18"/>
                <w:szCs w:val="18"/>
                <w:color w:val="auto"/>
              </w:rPr>
              <w:t>1,912,500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1,539,583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650,000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650,000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0.15</w:t>
            </w:r>
          </w:p>
        </w:tc>
        <w:tc>
          <w:tcPr>
            <w:tcW w:w="5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527,500</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375,833</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275,000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0.165</w:t>
            </w:r>
          </w:p>
        </w:tc>
        <w:tc>
          <w:tcPr>
            <w:tcW w:w="578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500,000</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0.17</w:t>
            </w:r>
          </w:p>
        </w:tc>
        <w:tc>
          <w:tcPr>
            <w:tcW w:w="5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3,285,000</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175,000</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1,300,000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481,250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0.187</w:t>
            </w:r>
          </w:p>
        </w:tc>
        <w:tc>
          <w:tcPr>
            <w:tcW w:w="464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24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5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9,362,500</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5,477,916</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2,650,000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1,831,250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200" w:type="dxa"/>
            <w:vAlign w:val="bottom"/>
            <w:tcBorders>
              <w:top w:val="single" w:sz="8" w:color="CFF0FC"/>
            </w:tcBorders>
          </w:tcPr>
          <w:p>
            <w:pPr>
              <w:spacing w:after="0" w:line="20" w:lineRule="exact"/>
              <w:rPr>
                <w:sz w:val="1"/>
                <w:szCs w:val="1"/>
                <w:color w:val="auto"/>
              </w:rPr>
            </w:pPr>
          </w:p>
        </w:tc>
        <w:tc>
          <w:tcPr>
            <w:tcW w:w="46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1200" w:type="dxa"/>
            <w:vAlign w:val="bottom"/>
          </w:tcPr>
          <w:p>
            <w:pPr>
              <w:spacing w:after="0"/>
              <w:rPr>
                <w:sz w:val="24"/>
                <w:szCs w:val="24"/>
                <w:color w:val="auto"/>
              </w:rPr>
            </w:pPr>
          </w:p>
        </w:tc>
        <w:tc>
          <w:tcPr>
            <w:tcW w:w="6020" w:type="dxa"/>
            <w:vAlign w:val="bottom"/>
            <w:gridSpan w:val="3"/>
          </w:tcPr>
          <w:p>
            <w:pPr>
              <w:ind w:left="4240"/>
              <w:spacing w:after="0"/>
              <w:rPr>
                <w:sz w:val="20"/>
                <w:szCs w:val="20"/>
                <w:color w:val="auto"/>
              </w:rPr>
            </w:pPr>
            <w:r>
              <w:rPr>
                <w:rFonts w:ascii="Arial" w:cs="Arial" w:eastAsia="Arial" w:hAnsi="Arial"/>
                <w:sz w:val="18"/>
                <w:szCs w:val="18"/>
                <w:color w:val="auto"/>
              </w:rPr>
              <w:t>F-21</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1200" w:type="dxa"/>
            <w:vAlign w:val="bottom"/>
            <w:tcBorders>
              <w:bottom w:val="single" w:sz="8" w:color="9A9A9A"/>
            </w:tcBorders>
          </w:tcPr>
          <w:p>
            <w:pPr>
              <w:spacing w:after="0"/>
              <w:rPr>
                <w:sz w:val="8"/>
                <w:szCs w:val="8"/>
                <w:color w:val="auto"/>
              </w:rPr>
            </w:pPr>
          </w:p>
        </w:tc>
        <w:tc>
          <w:tcPr>
            <w:tcW w:w="46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i w:val="1"/>
          <w:iCs w:val="1"/>
          <w:color w:val="auto"/>
        </w:rPr>
        <w:t>Restricted Stock Award Activity</w:t>
      </w:r>
    </w:p>
    <w:p>
      <w:pPr>
        <w:spacing w:after="0" w:line="126"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In 2018, the Company issued a restricted stock award (“RSA”) to an advisor under the 2014 Plan. The restricted stock award vests over three years and requires continued service to the Company during the vesting period. The vesting provisions of individual awards may vary as approved by the board of directors. If continued service terminates for any reason, the Company has the right to repurchase the unvested shares for no consideration. As of December 31, 2019, there were 66,667 shares subject to repurchase, all of which were related to non-employee RSAs and have been excluded from the weighted-average number of shares outstanding for the purposes of calculating earnings per share.</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RSA activity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7720" w:type="dxa"/>
            <w:vAlign w:val="bottom"/>
          </w:tcPr>
          <w:p>
            <w:pPr>
              <w:spacing w:after="0"/>
              <w:rPr>
                <w:sz w:val="14"/>
                <w:szCs w:val="14"/>
                <w:color w:val="auto"/>
              </w:rPr>
            </w:pPr>
          </w:p>
        </w:tc>
        <w:tc>
          <w:tcPr>
            <w:tcW w:w="18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w:t>
            </w:r>
          </w:p>
        </w:tc>
        <w:tc>
          <w:tcPr>
            <w:tcW w:w="24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Grant Date</w:t>
            </w:r>
          </w:p>
        </w:tc>
      </w:tr>
      <w:tr>
        <w:trPr>
          <w:trHeight w:val="175"/>
        </w:trPr>
        <w:tc>
          <w:tcPr>
            <w:tcW w:w="7720" w:type="dxa"/>
            <w:vAlign w:val="bottom"/>
          </w:tcPr>
          <w:p>
            <w:pPr>
              <w:spacing w:after="0"/>
              <w:rPr>
                <w:sz w:val="15"/>
                <w:szCs w:val="15"/>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Equivalent</w:t>
            </w:r>
          </w:p>
        </w:tc>
        <w:tc>
          <w:tcPr>
            <w:tcW w:w="24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2018</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(33,333)</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Arial" w:cs="Arial" w:eastAsia="Arial" w:hAnsi="Arial"/>
                <w:sz w:val="18"/>
                <w:szCs w:val="18"/>
                <w:color w:val="auto"/>
              </w:rPr>
              <w:t>Non-vested at December 31, 2019</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66,667</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576"/>
        <w:spacing w:after="0" w:line="246" w:lineRule="auto"/>
        <w:rPr>
          <w:sz w:val="20"/>
          <w:szCs w:val="20"/>
          <w:color w:val="auto"/>
        </w:rPr>
      </w:pPr>
      <w:r>
        <w:rPr>
          <w:rFonts w:ascii="Arial" w:cs="Arial" w:eastAsia="Arial" w:hAnsi="Arial"/>
          <w:sz w:val="18"/>
          <w:szCs w:val="18"/>
          <w:color w:val="auto"/>
        </w:rPr>
        <w:t>As of December 31, 2019, there was approximately $6,000 of total unrecognized compensation cost related to non-vested restricted stock awards that will be recognized as expense over a weighted-average period of 1.23 years.</w:t>
      </w:r>
    </w:p>
    <w:p>
      <w:pPr>
        <w:spacing w:after="0" w:line="283" w:lineRule="exact"/>
        <w:rPr>
          <w:sz w:val="20"/>
          <w:szCs w:val="20"/>
          <w:color w:val="auto"/>
        </w:rPr>
      </w:pPr>
    </w:p>
    <w:p>
      <w:pPr>
        <w:ind w:left="580" w:hanging="572"/>
        <w:spacing w:after="0"/>
        <w:tabs>
          <w:tab w:leader="none" w:pos="58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Income and Income Tax</w:t>
      </w:r>
    </w:p>
    <w:p>
      <w:pPr>
        <w:spacing w:after="0" w:line="126" w:lineRule="exact"/>
        <w:rPr>
          <w:sz w:val="20"/>
          <w:szCs w:val="20"/>
          <w:color w:val="auto"/>
        </w:rPr>
      </w:pPr>
    </w:p>
    <w:p>
      <w:pPr>
        <w:ind w:right="500" w:firstLine="576"/>
        <w:spacing w:after="0" w:line="246" w:lineRule="auto"/>
        <w:rPr>
          <w:sz w:val="20"/>
          <w:szCs w:val="20"/>
          <w:color w:val="auto"/>
        </w:rPr>
      </w:pPr>
      <w:r>
        <w:rPr>
          <w:rFonts w:ascii="Arial" w:cs="Arial" w:eastAsia="Arial" w:hAnsi="Arial"/>
          <w:sz w:val="18"/>
          <w:szCs w:val="18"/>
          <w:color w:val="auto"/>
        </w:rPr>
        <w:t>All components of net loss before the effects of the income tax provision are related to losses incurred in the United States. The Company did not record a provision (benefit) for income taxes for the years ended December 31, 2018 and 2019.</w:t>
      </w:r>
    </w:p>
    <w:p>
      <w:pPr>
        <w:spacing w:after="0" w:line="197" w:lineRule="exact"/>
        <w:rPr>
          <w:sz w:val="20"/>
          <w:szCs w:val="20"/>
          <w:color w:val="auto"/>
        </w:rPr>
      </w:pPr>
    </w:p>
    <w:p>
      <w:pPr>
        <w:ind w:right="40" w:firstLine="576"/>
        <w:spacing w:after="0" w:line="246" w:lineRule="auto"/>
        <w:rPr>
          <w:sz w:val="20"/>
          <w:szCs w:val="20"/>
          <w:color w:val="auto"/>
        </w:rPr>
      </w:pPr>
      <w:r>
        <w:rPr>
          <w:rFonts w:ascii="Arial" w:cs="Arial" w:eastAsia="Arial" w:hAnsi="Arial"/>
          <w:sz w:val="18"/>
          <w:szCs w:val="18"/>
          <w:color w:val="auto"/>
        </w:rPr>
        <w:t>The provision for income taxes differs from the amount expected by applying the federal statutory rates to the net loss before taxes as follows:</w:t>
      </w:r>
    </w:p>
    <w:p>
      <w:pPr>
        <w:spacing w:after="0" w:line="198"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Year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Borders>
              <w:bottom w:val="single" w:sz="8" w:color="CFF0FC"/>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CFF0FC"/>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8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21.0%</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Non-deductible expenses and others</w:t>
            </w: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r>
      <w:tr>
        <w:trPr>
          <w:trHeight w:val="215"/>
        </w:trPr>
        <w:tc>
          <w:tcPr>
            <w:tcW w:w="8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Non-deductible expense related to the convertible notes and</w:t>
            </w:r>
          </w:p>
        </w:tc>
        <w:tc>
          <w:tcPr>
            <w:tcW w:w="5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8640" w:type="dxa"/>
            <w:vAlign w:val="bottom"/>
            <w:gridSpan w:val="2"/>
            <w:shd w:val="clear" w:color="auto" w:fill="CFF0FC"/>
          </w:tcPr>
          <w:p>
            <w:pPr>
              <w:ind w:left="160"/>
              <w:spacing w:after="0" w:line="203" w:lineRule="exact"/>
              <w:rPr>
                <w:sz w:val="20"/>
                <w:szCs w:val="20"/>
                <w:color w:val="auto"/>
              </w:rPr>
            </w:pPr>
            <w:r>
              <w:rPr>
                <w:rFonts w:ascii="Arial" w:cs="Arial" w:eastAsia="Arial" w:hAnsi="Arial"/>
                <w:sz w:val="18"/>
                <w:szCs w:val="18"/>
                <w:color w:val="auto"/>
              </w:rPr>
              <w:t>derivative liability</w:t>
            </w:r>
          </w:p>
        </w:tc>
        <w:tc>
          <w:tcPr>
            <w:tcW w:w="880" w:type="dxa"/>
            <w:vAlign w:val="bottom"/>
            <w:gridSpan w:val="2"/>
            <w:shd w:val="clear" w:color="auto" w:fill="CFF0FC"/>
          </w:tcPr>
          <w:p>
            <w:pPr>
              <w:jc w:val="right"/>
              <w:ind w:right="380"/>
              <w:spacing w:after="0" w:line="203"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Non-deductible expense related to the grant liability</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credits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(24.0)</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10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76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8640" w:type="dxa"/>
            <w:vAlign w:val="bottom"/>
            <w:gridSpan w:val="2"/>
          </w:tcPr>
          <w:p>
            <w:pPr>
              <w:ind w:left="5440"/>
              <w:spacing w:after="0"/>
              <w:rPr>
                <w:sz w:val="20"/>
                <w:szCs w:val="20"/>
                <w:color w:val="auto"/>
              </w:rPr>
            </w:pPr>
            <w:r>
              <w:rPr>
                <w:rFonts w:ascii="Arial" w:cs="Arial" w:eastAsia="Arial" w:hAnsi="Arial"/>
                <w:sz w:val="18"/>
                <w:szCs w:val="18"/>
                <w:color w:val="auto"/>
              </w:rPr>
              <w:t>F-22</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76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i w:val="1"/>
          <w:iCs w:val="1"/>
          <w:color w:val="auto"/>
        </w:rPr>
        <w:t>Significant Components of Deferred Taxes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components of the Company’s deferred tax assets were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8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0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3,032</w:t>
            </w:r>
          </w:p>
        </w:tc>
        <w:tc>
          <w:tcPr>
            <w:tcW w:w="180" w:type="dxa"/>
            <w:vAlign w:val="bottom"/>
          </w:tcPr>
          <w:p>
            <w:pPr>
              <w:spacing w:after="0"/>
              <w:rPr>
                <w:sz w:val="18"/>
                <w:szCs w:val="18"/>
                <w:color w:val="auto"/>
              </w:rPr>
            </w:pPr>
          </w:p>
        </w:tc>
        <w:tc>
          <w:tcPr>
            <w:tcW w:w="11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3,911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tax credit carryforwards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Accrued liabilities and other</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deferred tax assets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Prepaid expenses and other</w:t>
            </w: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0"/>
        </w:trPr>
        <w:tc>
          <w:tcPr>
            <w:tcW w:w="77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deferred tax liabilities</w:t>
            </w:r>
          </w:p>
        </w:tc>
        <w:tc>
          <w:tcPr>
            <w:tcW w:w="10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w:t>
            </w:r>
          </w:p>
        </w:tc>
      </w:tr>
      <w:tr>
        <w:trPr>
          <w:trHeight w:val="20"/>
        </w:trPr>
        <w:tc>
          <w:tcPr>
            <w:tcW w:w="7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(3,726)</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(4,790)</w:t>
            </w:r>
          </w:p>
        </w:tc>
      </w:tr>
      <w:tr>
        <w:trPr>
          <w:trHeight w:val="20"/>
        </w:trPr>
        <w:tc>
          <w:tcPr>
            <w:tcW w:w="77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deferred tax assets</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ind w:right="140" w:firstLine="576"/>
        <w:spacing w:after="0" w:line="237" w:lineRule="auto"/>
        <w:rPr>
          <w:sz w:val="20"/>
          <w:szCs w:val="20"/>
          <w:color w:val="auto"/>
        </w:rPr>
      </w:pPr>
      <w:r>
        <w:rPr>
          <w:rFonts w:ascii="Arial" w:cs="Arial" w:eastAsia="Arial" w:hAnsi="Arial"/>
          <w:sz w:val="18"/>
          <w:szCs w:val="18"/>
          <w:color w:val="auto"/>
        </w:rPr>
        <w:t>Deferred income taxes reflect temporary differences between the carrying amounts of assets and liabilities for financial reporting and income tax purposes, and operating losses and tax credit carryforwards. The Company considers a number of factors concerning the realizability of its net deferred tax assets, including its history of operating losses, the nature of the deferred tax assets, and the timing, likelihood and amount, if any, of future taxable income during the periods in which those temporary differences and carryforwards become deductible, all of which require significant judgment. As of December 31, 2019, the Company has recorded a full valuation allowance on its net deferred tax assets as the Company has concluded that it is not more likely than not that such losses or credits will be utilized. The valuation allowance increased by $1.2 million and $1.1 million during 2018 and 2019, respectively.</w:t>
      </w:r>
    </w:p>
    <w:p>
      <w:pPr>
        <w:spacing w:after="0" w:line="203" w:lineRule="exact"/>
        <w:rPr>
          <w:sz w:val="20"/>
          <w:szCs w:val="20"/>
          <w:color w:val="auto"/>
        </w:rPr>
      </w:pPr>
    </w:p>
    <w:p>
      <w:pPr>
        <w:ind w:right="260" w:firstLine="576"/>
        <w:spacing w:after="0"/>
        <w:rPr>
          <w:sz w:val="20"/>
          <w:szCs w:val="20"/>
          <w:color w:val="auto"/>
        </w:rPr>
      </w:pPr>
      <w:r>
        <w:rPr>
          <w:rFonts w:ascii="Arial" w:cs="Arial" w:eastAsia="Arial" w:hAnsi="Arial"/>
          <w:sz w:val="18"/>
          <w:szCs w:val="18"/>
          <w:color w:val="auto"/>
        </w:rPr>
        <w:t>At December 31, 2019, the Company has federal net operating loss and tax credit carryforwards of $9.4 million and $1.0 million, respectively, which expire over a period of 11 to 20 years. Net operating loss carryforwards of $9.2 million were generated after 2017, and therefore do not expire.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26" w:lineRule="exact"/>
        <w:rPr>
          <w:sz w:val="20"/>
          <w:szCs w:val="20"/>
          <w:color w:val="auto"/>
        </w:rPr>
      </w:pPr>
    </w:p>
    <w:p>
      <w:pPr>
        <w:jc w:val="both"/>
        <w:ind w:right="100" w:firstLine="576"/>
        <w:spacing w:after="0" w:line="238" w:lineRule="auto"/>
        <w:rPr>
          <w:sz w:val="20"/>
          <w:szCs w:val="20"/>
          <w:color w:val="auto"/>
        </w:rPr>
      </w:pPr>
      <w:r>
        <w:rPr>
          <w:rFonts w:ascii="Arial" w:cs="Arial" w:eastAsia="Arial" w:hAnsi="Arial"/>
          <w:sz w:val="18"/>
          <w:szCs w:val="18"/>
          <w:color w:val="auto"/>
        </w:rPr>
        <w:t>The Company files federal income tax returns. With few exceptions, the Company is no longer subject to income tax examinations by tax authorities for years prior to 2016. However, to the extent allowed by law, the tax authorities may have the right to examine prior periods where net operating losses or tax credits were generated and carried forward and may make adjustments to the amount of the net operating loss or credit carryforward amount. The Company is not currently under examination in any jurisdiction.</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reconciliation of the beginning and ending amount of unrecognized tax benefits were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740" w:type="dxa"/>
            <w:vAlign w:val="bottom"/>
            <w:tcBorders>
              <w:bottom w:val="single" w:sz="8" w:color="CFF0FC"/>
            </w:tcBorders>
          </w:tcPr>
          <w:p>
            <w:pPr>
              <w:spacing w:after="0"/>
              <w:rPr>
                <w:sz w:val="14"/>
                <w:szCs w:val="14"/>
                <w:color w:val="auto"/>
              </w:rPr>
            </w:pPr>
          </w:p>
        </w:tc>
        <w:tc>
          <w:tcPr>
            <w:tcW w:w="296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4060" w:type="dxa"/>
            <w:vAlign w:val="bottom"/>
            <w:gridSpan w:val="2"/>
            <w:shd w:val="clear" w:color="auto" w:fill="CFF0FC"/>
          </w:tcPr>
          <w:p>
            <w:pPr>
              <w:jc w:val="right"/>
              <w:ind w:right="92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380" w:type="dxa"/>
            <w:vAlign w:val="bottom"/>
            <w:gridSpan w:val="2"/>
            <w:shd w:val="clear" w:color="auto" w:fill="CFF0FC"/>
          </w:tcPr>
          <w:p>
            <w:pPr>
              <w:jc w:val="right"/>
              <w:ind w:right="9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Additions for tax positions taken in the current year</w:t>
            </w:r>
          </w:p>
        </w:tc>
        <w:tc>
          <w:tcPr>
            <w:tcW w:w="296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3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4060" w:type="dxa"/>
            <w:vAlign w:val="bottom"/>
            <w:gridSpan w:val="2"/>
            <w:shd w:val="clear" w:color="auto" w:fill="CFF0FC"/>
          </w:tcPr>
          <w:p>
            <w:pPr>
              <w:jc w:val="right"/>
              <w:ind w:right="92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380" w:type="dxa"/>
            <w:vAlign w:val="bottom"/>
            <w:gridSpan w:val="2"/>
            <w:shd w:val="clear" w:color="auto" w:fill="CFF0FC"/>
          </w:tcPr>
          <w:p>
            <w:pPr>
              <w:jc w:val="right"/>
              <w:ind w:right="9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29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4740" w:type="dxa"/>
            <w:vAlign w:val="bottom"/>
          </w:tcPr>
          <w:p>
            <w:pPr>
              <w:spacing w:after="0"/>
              <w:rPr>
                <w:sz w:val="24"/>
                <w:szCs w:val="24"/>
                <w:color w:val="auto"/>
              </w:rPr>
            </w:pPr>
          </w:p>
        </w:tc>
        <w:tc>
          <w:tcPr>
            <w:tcW w:w="4060" w:type="dxa"/>
            <w:vAlign w:val="bottom"/>
            <w:gridSpan w:val="2"/>
          </w:tcPr>
          <w:p>
            <w:pPr>
              <w:jc w:val="right"/>
              <w:ind w:right="2928"/>
              <w:spacing w:after="0"/>
              <w:rPr>
                <w:sz w:val="20"/>
                <w:szCs w:val="20"/>
                <w:color w:val="auto"/>
              </w:rPr>
            </w:pPr>
            <w:r>
              <w:rPr>
                <w:rFonts w:ascii="Arial" w:cs="Arial" w:eastAsia="Arial" w:hAnsi="Arial"/>
                <w:sz w:val="18"/>
                <w:szCs w:val="18"/>
                <w:color w:val="auto"/>
              </w:rPr>
              <w:t>F-23</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4740" w:type="dxa"/>
            <w:vAlign w:val="bottom"/>
            <w:tcBorders>
              <w:bottom w:val="single" w:sz="8" w:color="9A9A9A"/>
            </w:tcBorders>
          </w:tcPr>
          <w:p>
            <w:pPr>
              <w:spacing w:after="0"/>
              <w:rPr>
                <w:sz w:val="8"/>
                <w:szCs w:val="8"/>
                <w:color w:val="auto"/>
              </w:rPr>
            </w:pPr>
          </w:p>
        </w:tc>
        <w:tc>
          <w:tcPr>
            <w:tcW w:w="29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228" w:name="page229"/>
    <w:bookmarkEnd w:id="228"/>
    <w:p>
      <w:pPr>
        <w:ind w:right="60" w:firstLine="576"/>
        <w:spacing w:after="0" w:line="238" w:lineRule="auto"/>
        <w:rPr>
          <w:sz w:val="20"/>
          <w:szCs w:val="20"/>
          <w:color w:val="auto"/>
        </w:rPr>
      </w:pPr>
      <w:r>
        <w:rPr>
          <w:rFonts w:ascii="Arial" w:cs="Arial" w:eastAsia="Arial" w:hAnsi="Arial"/>
          <w:sz w:val="18"/>
          <w:szCs w:val="18"/>
          <w:color w:val="auto"/>
        </w:rPr>
        <w:t>If the unrecognized tax benefits for uncertain tax positions as of December 31, 2019 are recognized, there will be no impact to the effective tax rate due to the valuation allowance. The Company recognizes interest and penalties related to unrecognized tax benefits within the income tax expense line in the accompanying financial statements. At December 31, 2019, there were no material interest and penalties on uncertain tax benefits. The Company does not anticipate any significant changes to its unrecognized tax benefits in the next 12 months.</w:t>
      </w:r>
    </w:p>
    <w:p>
      <w:pPr>
        <w:spacing w:after="0" w:line="291" w:lineRule="exact"/>
        <w:rPr>
          <w:sz w:val="20"/>
          <w:szCs w:val="20"/>
          <w:color w:val="auto"/>
        </w:rPr>
      </w:pPr>
    </w:p>
    <w:p>
      <w:pPr>
        <w:ind w:left="580" w:hanging="572"/>
        <w:spacing w:after="0"/>
        <w:tabs>
          <w:tab w:leader="none" w:pos="5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6" w:lineRule="exact"/>
        <w:rPr>
          <w:sz w:val="20"/>
          <w:szCs w:val="20"/>
          <w:color w:val="auto"/>
        </w:rPr>
      </w:pPr>
    </w:p>
    <w:p>
      <w:pPr>
        <w:jc w:val="both"/>
        <w:ind w:right="560" w:firstLine="576"/>
        <w:spacing w:after="0"/>
        <w:rPr>
          <w:sz w:val="20"/>
          <w:szCs w:val="20"/>
          <w:color w:val="auto"/>
        </w:rPr>
      </w:pPr>
      <w:r>
        <w:rPr>
          <w:rFonts w:ascii="Arial" w:cs="Arial" w:eastAsia="Arial" w:hAnsi="Arial"/>
          <w:sz w:val="18"/>
          <w:szCs w:val="18"/>
          <w:color w:val="auto"/>
        </w:rPr>
        <w:t>The Company has a 401(k) Plan for all of its employees. The 401(k) Plan allows eligible employees to defer, at the employee’s discretion, up to 100% of their pretax compensation up to the Internal Revenue Service annual limit. The Company did not make any matching contributions for the years ended December 31, 2018 or 2019.</w:t>
      </w:r>
    </w:p>
    <w:p>
      <w:pPr>
        <w:spacing w:after="0" w:line="289" w:lineRule="exact"/>
        <w:rPr>
          <w:sz w:val="20"/>
          <w:szCs w:val="20"/>
          <w:color w:val="auto"/>
        </w:rPr>
      </w:pPr>
    </w:p>
    <w:p>
      <w:pPr>
        <w:ind w:left="580" w:hanging="572"/>
        <w:spacing w:after="0"/>
        <w:tabs>
          <w:tab w:leader="none" w:pos="58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26" w:lineRule="exact"/>
        <w:rPr>
          <w:sz w:val="20"/>
          <w:szCs w:val="20"/>
          <w:color w:val="auto"/>
        </w:rPr>
      </w:pPr>
    </w:p>
    <w:p>
      <w:pPr>
        <w:ind w:right="40" w:firstLine="576"/>
        <w:spacing w:after="0" w:line="246"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3520" w:type="dxa"/>
            <w:vAlign w:val="bottom"/>
            <w:gridSpan w:val="4"/>
          </w:tcPr>
          <w:p>
            <w:pPr>
              <w:ind w:left="82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720" w:type="dxa"/>
            <w:vAlign w:val="bottom"/>
            <w:tcBorders>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on an as-converted basis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20,756,536</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20,756,536</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Unvested RSAs</w:t>
            </w:r>
          </w:p>
        </w:tc>
        <w:tc>
          <w:tcPr>
            <w:tcW w:w="1560" w:type="dxa"/>
            <w:vAlign w:val="bottom"/>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66,667</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10,022,500</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12,012,500</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26,249</w:t>
            </w:r>
          </w:p>
        </w:tc>
        <w:tc>
          <w:tcPr>
            <w:tcW w:w="28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26,249</w:t>
            </w:r>
          </w:p>
        </w:tc>
        <w:tc>
          <w:tcPr>
            <w:tcW w:w="120" w:type="dxa"/>
            <w:vAlign w:val="bottom"/>
            <w:tcBorders>
              <w:bottom w:val="single" w:sz="8" w:color="CFF0FC"/>
            </w:tcBorders>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30,905,285</w:t>
            </w:r>
          </w:p>
        </w:tc>
        <w:tc>
          <w:tcPr>
            <w:tcW w:w="2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32,861,952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ind w:left="580" w:hanging="572"/>
        <w:spacing w:after="0"/>
        <w:tabs>
          <w:tab w:leader="none" w:pos="58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Net Loss Per Share Attributable to Common Stockholders</w:t>
      </w:r>
    </w:p>
    <w:p>
      <w:pPr>
        <w:spacing w:after="0" w:line="126" w:lineRule="exact"/>
        <w:rPr>
          <w:sz w:val="20"/>
          <w:szCs w:val="20"/>
          <w:color w:val="auto"/>
        </w:rPr>
      </w:pPr>
    </w:p>
    <w:p>
      <w:pPr>
        <w:ind w:right="580" w:firstLine="576"/>
        <w:spacing w:after="0"/>
        <w:rPr>
          <w:sz w:val="20"/>
          <w:szCs w:val="20"/>
          <w:color w:val="auto"/>
        </w:rPr>
      </w:pPr>
      <w:r>
        <w:rPr>
          <w:rFonts w:ascii="Arial" w:cs="Arial" w:eastAsia="Arial" w:hAnsi="Arial"/>
          <w:sz w:val="18"/>
          <w:szCs w:val="18"/>
          <w:color w:val="auto"/>
        </w:rPr>
        <w:t>Pro forma basic and diluted net loss per share has been computed to give effect to the assumed conversion of all outstanding convertible preferred stock into shares of common stock, the exercise of the outstanding warrants for shares of common stock and the repayment of the grant liability upon completion of a qualifying IPO of the Company’s common stock.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29" w:name="page230"/>
    <w:bookmarkEnd w:id="229"/>
    <w:p>
      <w:pPr>
        <w:ind w:right="120" w:firstLine="576"/>
        <w:spacing w:after="0" w:line="246" w:lineRule="auto"/>
        <w:rPr>
          <w:sz w:val="20"/>
          <w:szCs w:val="20"/>
          <w:color w:val="auto"/>
        </w:rPr>
      </w:pPr>
      <w:r>
        <w:rPr>
          <w:rFonts w:ascii="Arial" w:cs="Arial" w:eastAsia="Arial" w:hAnsi="Arial"/>
          <w:sz w:val="18"/>
          <w:szCs w:val="18"/>
          <w:color w:val="auto"/>
        </w:rPr>
        <w:t>The following table sets forth the computation of the unaudited pro forma basic and diluted net loss per share attributable to common stockholders (in thousands, except share and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9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r>
      <w:tr>
        <w:trPr>
          <w:trHeight w:val="169"/>
        </w:trPr>
        <w:tc>
          <w:tcPr>
            <w:tcW w:w="9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(unaudited)</w:t>
            </w: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(5,161)</w:t>
            </w: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Loss on remeasurement of grant liability</w:t>
            </w:r>
          </w:p>
        </w:tc>
        <w:tc>
          <w:tcPr>
            <w:tcW w:w="2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8"/>
                <w:szCs w:val="18"/>
                <w:color w:val="auto"/>
              </w:rPr>
            </w:pPr>
          </w:p>
        </w:tc>
      </w:tr>
      <w:tr>
        <w:trPr>
          <w:trHeight w:val="209"/>
        </w:trPr>
        <w:tc>
          <w:tcPr>
            <w:tcW w:w="9240" w:type="dxa"/>
            <w:vAlign w:val="bottom"/>
          </w:tcPr>
          <w:p>
            <w:pPr>
              <w:spacing w:after="0"/>
              <w:rPr>
                <w:sz w:val="20"/>
                <w:szCs w:val="20"/>
                <w:color w:val="auto"/>
              </w:rPr>
            </w:pPr>
            <w:r>
              <w:rPr>
                <w:rFonts w:ascii="Arial" w:cs="Arial" w:eastAsia="Arial" w:hAnsi="Arial"/>
                <w:sz w:val="18"/>
                <w:szCs w:val="18"/>
                <w:color w:val="auto"/>
              </w:rPr>
              <w:t>Net loss used in computing pro forma net loss per share attributable to common</w:t>
            </w: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9240" w:type="dxa"/>
            <w:vAlign w:val="bottom"/>
          </w:tcPr>
          <w:p>
            <w:pPr>
              <w:ind w:left="160"/>
              <w:spacing w:after="0" w:line="203" w:lineRule="exact"/>
              <w:rPr>
                <w:sz w:val="20"/>
                <w:szCs w:val="20"/>
                <w:color w:val="auto"/>
              </w:rPr>
            </w:pPr>
            <w:r>
              <w:rPr>
                <w:rFonts w:ascii="Arial" w:cs="Arial" w:eastAsia="Arial" w:hAnsi="Arial"/>
                <w:sz w:val="18"/>
                <w:szCs w:val="18"/>
                <w:color w:val="auto"/>
              </w:rPr>
              <w:t>stockholders, basic and diluted</w:t>
            </w:r>
          </w:p>
        </w:tc>
        <w:tc>
          <w:tcPr>
            <w:tcW w:w="280" w:type="dxa"/>
            <w:vAlign w:val="bottom"/>
          </w:tcPr>
          <w:p>
            <w:pPr>
              <w:spacing w:after="0"/>
              <w:rPr>
                <w:sz w:val="21"/>
                <w:szCs w:val="21"/>
                <w:color w:val="auto"/>
              </w:rPr>
            </w:pPr>
          </w:p>
        </w:tc>
        <w:tc>
          <w:tcPr>
            <w:tcW w:w="17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(5,061)</w:t>
            </w:r>
          </w:p>
        </w:tc>
      </w:tr>
      <w:tr>
        <w:trPr>
          <w:trHeight w:val="196"/>
        </w:trPr>
        <w:tc>
          <w:tcPr>
            <w:tcW w:w="92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28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5"/>
        </w:trPr>
        <w:tc>
          <w:tcPr>
            <w:tcW w:w="9240" w:type="dxa"/>
            <w:vAlign w:val="bottom"/>
          </w:tcPr>
          <w:p>
            <w:pPr>
              <w:spacing w:after="0"/>
              <w:rPr>
                <w:sz w:val="20"/>
                <w:szCs w:val="20"/>
                <w:color w:val="auto"/>
              </w:rPr>
            </w:pPr>
            <w:r>
              <w:rPr>
                <w:rFonts w:ascii="Arial" w:cs="Arial" w:eastAsia="Arial" w:hAnsi="Arial"/>
                <w:sz w:val="18"/>
                <w:szCs w:val="18"/>
                <w:color w:val="auto"/>
              </w:rPr>
              <w:t>Weighted-average shares of common stock used in computing net loss per share</w:t>
            </w: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9240" w:type="dxa"/>
            <w:vAlign w:val="bottom"/>
          </w:tcPr>
          <w:p>
            <w:pPr>
              <w:ind w:left="160"/>
              <w:spacing w:after="0" w:line="203" w:lineRule="exact"/>
              <w:rPr>
                <w:sz w:val="20"/>
                <w:szCs w:val="20"/>
                <w:color w:val="auto"/>
              </w:rPr>
            </w:pPr>
            <w:r>
              <w:rPr>
                <w:rFonts w:ascii="Arial" w:cs="Arial" w:eastAsia="Arial" w:hAnsi="Arial"/>
                <w:sz w:val="18"/>
                <w:szCs w:val="18"/>
                <w:color w:val="auto"/>
              </w:rPr>
              <w:t>attributable to common stockholders</w:t>
            </w: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Pro forma adjustment to reflect conversion of convertible preferred stock</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 forma adjustment to reflect exercise of common stock warrants</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09"/>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of common stock used in computing pro forma net loss</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924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per share attributable to common stockholders, basic and diluted</w:t>
            </w:r>
          </w:p>
        </w:tc>
        <w:tc>
          <w:tcPr>
            <w:tcW w:w="28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9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240" w:type="dxa"/>
            <w:vAlign w:val="bottom"/>
          </w:tcPr>
          <w:p>
            <w:pPr>
              <w:spacing w:after="0" w:line="196" w:lineRule="exact"/>
              <w:rPr>
                <w:sz w:val="20"/>
                <w:szCs w:val="20"/>
                <w:color w:val="auto"/>
              </w:rPr>
            </w:pPr>
            <w:r>
              <w:rPr>
                <w:rFonts w:ascii="Arial" w:cs="Arial" w:eastAsia="Arial" w:hAnsi="Arial"/>
                <w:sz w:val="18"/>
                <w:szCs w:val="18"/>
                <w:color w:val="auto"/>
              </w:rPr>
              <w:t>Pro forma net loss per share attributable to common stockholders, basic and diluted</w:t>
            </w: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9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ind w:left="580" w:hanging="572"/>
        <w:spacing w:after="0"/>
        <w:tabs>
          <w:tab w:leader="none" w:pos="58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6" w:lineRule="exact"/>
        <w:rPr>
          <w:sz w:val="20"/>
          <w:szCs w:val="20"/>
          <w:color w:val="auto"/>
        </w:rPr>
      </w:pPr>
    </w:p>
    <w:p>
      <w:pPr>
        <w:ind w:right="240" w:firstLine="576"/>
        <w:spacing w:after="0" w:line="246" w:lineRule="auto"/>
        <w:rPr>
          <w:sz w:val="20"/>
          <w:szCs w:val="20"/>
          <w:color w:val="auto"/>
        </w:rPr>
      </w:pPr>
      <w:r>
        <w:rPr>
          <w:rFonts w:ascii="Arial" w:cs="Arial" w:eastAsia="Arial" w:hAnsi="Arial"/>
          <w:sz w:val="18"/>
          <w:szCs w:val="18"/>
          <w:color w:val="auto"/>
        </w:rPr>
        <w:t>For the year ended December 31, 2019, management evaluated subsequent events through July 24, 2020, the date these financial statements were available to be issued.</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Subsequent to December 31, 2019, the Company granted 355,000 stock options with an exercise price of $0.17 per share.</w:t>
      </w:r>
    </w:p>
    <w:p>
      <w:pPr>
        <w:spacing w:after="0" w:line="212" w:lineRule="exact"/>
        <w:rPr>
          <w:sz w:val="20"/>
          <w:szCs w:val="20"/>
          <w:color w:val="auto"/>
        </w:rPr>
      </w:pPr>
    </w:p>
    <w:p>
      <w:pPr>
        <w:ind w:right="160" w:firstLine="576"/>
        <w:spacing w:after="0" w:line="246" w:lineRule="auto"/>
        <w:rPr>
          <w:sz w:val="20"/>
          <w:szCs w:val="20"/>
          <w:color w:val="auto"/>
        </w:rPr>
      </w:pPr>
      <w:r>
        <w:rPr>
          <w:rFonts w:ascii="Arial" w:cs="Arial" w:eastAsia="Arial" w:hAnsi="Arial"/>
          <w:sz w:val="18"/>
          <w:szCs w:val="18"/>
          <w:color w:val="auto"/>
        </w:rPr>
        <w:t>The Company issued $1.7 million of additional convertible notes during January 2020, including $250,000 of convertible notes to the Company’s chief operating officer and affiliates, which the Company has determined to be related parties.</w:t>
      </w:r>
    </w:p>
    <w:p>
      <w:pPr>
        <w:spacing w:after="0" w:line="197"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The Company received a loan of $215,000 from the U.S. Small Business Administration Paycheck Protection Program (“PPP”) in April 2020. The PPP loans are intended to assist companies impacted by the COVID-19 pandemic to fund certain types of expenditures, including payroll costs, rent and utility payments. PPP loans and any accrued interest may be forgiven to the extent that all employees are retained, proceeds are used within eight weeks of receipt, and if at least 75% of the loan amount utilized was for payroll costs. The loan bears interest at a rate of 1%, and any portion of the loan not forgiven and any accrued interest thereon must be repaid within two years. The loan was fully repaid in June 2020.</w:t>
      </w:r>
    </w:p>
    <w:p>
      <w:pPr>
        <w:spacing w:after="0" w:line="205" w:lineRule="exact"/>
        <w:rPr>
          <w:sz w:val="20"/>
          <w:szCs w:val="20"/>
          <w:color w:val="auto"/>
        </w:rPr>
      </w:pPr>
    </w:p>
    <w:p>
      <w:pPr>
        <w:ind w:right="260" w:firstLine="576"/>
        <w:spacing w:after="0" w:line="238" w:lineRule="auto"/>
        <w:rPr>
          <w:sz w:val="20"/>
          <w:szCs w:val="20"/>
          <w:color w:val="auto"/>
        </w:rPr>
      </w:pPr>
      <w:r>
        <w:rPr>
          <w:rFonts w:ascii="Arial" w:cs="Arial" w:eastAsia="Arial" w:hAnsi="Arial"/>
          <w:sz w:val="18"/>
          <w:szCs w:val="18"/>
          <w:color w:val="auto"/>
        </w:rPr>
        <w:t>Management continues to evaluate the potential impacts of the COVID-19 pandemic on the development of its product candidates, and business. The Company is working closely with its manufacturing vendors to maintain adequate product supply and with healthcare providers as future studies are planned to mitigate risk to patients while adhering to regulatory, institutional and government guidance and policies. The Company remains committed to its development plans and acknowledges the potential risk for delays in the product supply chain and in anticipated timelines for its preclinical studies and clinical trials.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30" w:name="page231"/>
    <w:bookmarkEnd w:id="230"/>
    <w:p>
      <w:pPr>
        <w:ind w:firstLine="576"/>
        <w:spacing w:after="0" w:line="237" w:lineRule="auto"/>
        <w:rPr>
          <w:sz w:val="20"/>
          <w:szCs w:val="20"/>
          <w:color w:val="auto"/>
        </w:rPr>
      </w:pPr>
      <w:r>
        <w:rPr>
          <w:rFonts w:ascii="Arial" w:cs="Arial" w:eastAsia="Arial" w:hAnsi="Arial"/>
          <w:sz w:val="18"/>
          <w:szCs w:val="18"/>
          <w:color w:val="auto"/>
        </w:rPr>
        <w:t>In May and June 2020, the Company issued an aggregate of 74,328,105 shares of Series B convertible preferred stock at a purchase price of $1.15 per share for proceeds of $81.8 million, net of offering costs. The Company issued warrants to purchase 18,582,009 shares of its common stock, of which 5,456,521 shares were exercised concurrently with the Series B convertible preferred stock issuance for net proceeds of $55,000. In addition, the Company issued warrants to purchase 1,010,955 shares of its Series B convertible preferred stock at $1.15 per share. The Series B convertible preferred stock financing triggered the automatic conversion of the Company’s then outstanding convertible promissory notes into an aggregate of 4,067,148 shares of Series B-1 convertible preferred stock based on a price of $0.9775 per share (85% of the $1.15 original issuance price of the Series B convertible preferred stock).</w:t>
      </w:r>
    </w:p>
    <w:p>
      <w:pPr>
        <w:spacing w:after="0" w:line="203" w:lineRule="exact"/>
        <w:rPr>
          <w:sz w:val="20"/>
          <w:szCs w:val="20"/>
          <w:color w:val="auto"/>
        </w:rPr>
      </w:pPr>
    </w:p>
    <w:p>
      <w:pPr>
        <w:ind w:right="60" w:firstLine="576"/>
        <w:spacing w:after="0" w:line="246" w:lineRule="auto"/>
        <w:rPr>
          <w:sz w:val="20"/>
          <w:szCs w:val="20"/>
          <w:color w:val="auto"/>
        </w:rPr>
      </w:pPr>
      <w:r>
        <w:rPr>
          <w:rFonts w:ascii="Arial" w:cs="Arial" w:eastAsia="Arial" w:hAnsi="Arial"/>
          <w:sz w:val="18"/>
          <w:szCs w:val="18"/>
          <w:color w:val="auto"/>
        </w:rPr>
        <w:t>In July 2020, the Company established Athira Pharma Australia PTY LTD, a subsidiary, to facilitate clinical trials in Australia. As of the date hereof, research and development operations have not commenced in Australia.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31" w:name="page232"/>
    <w:bookmarkEnd w:id="231"/>
    <w:p>
      <w:pPr>
        <w:jc w:val="center"/>
        <w:spacing w:after="0"/>
        <w:rPr>
          <w:sz w:val="20"/>
          <w:szCs w:val="20"/>
          <w:color w:val="auto"/>
        </w:rPr>
      </w:pPr>
      <w:r>
        <w:rPr>
          <w:rFonts w:ascii="Arial" w:cs="Arial" w:eastAsia="Arial" w:hAnsi="Arial"/>
          <w:sz w:val="18"/>
          <w:szCs w:val="18"/>
          <w:b w:val="1"/>
          <w:bCs w:val="1"/>
          <w:color w:val="auto"/>
        </w:rPr>
        <w:t>ATHIRA PHARMA, INC</w:t>
      </w:r>
      <w:r>
        <w:rPr>
          <w:rFonts w:ascii="Arial" w:cs="Arial" w:eastAsia="Arial" w:hAnsi="Arial"/>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Pro Forma</w:t>
            </w:r>
          </w:p>
        </w:tc>
      </w:tr>
      <w:tr>
        <w:trPr>
          <w:trHeight w:val="162"/>
        </w:trPr>
        <w:tc>
          <w:tcPr>
            <w:tcW w:w="17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As of</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as of</w:t>
            </w:r>
          </w:p>
        </w:tc>
      </w:tr>
      <w:tr>
        <w:trPr>
          <w:trHeight w:val="176"/>
        </w:trPr>
        <w:tc>
          <w:tcPr>
            <w:tcW w:w="176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5"/>
                <w:szCs w:val="15"/>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June 30,</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June 30,</w:t>
            </w:r>
          </w:p>
        </w:tc>
      </w:tr>
      <w:tr>
        <w:trPr>
          <w:trHeight w:val="175"/>
        </w:trPr>
        <w:tc>
          <w:tcPr>
            <w:tcW w:w="1760" w:type="dxa"/>
            <w:vAlign w:val="bottom"/>
            <w:tcBorders>
              <w:bottom w:val="single" w:sz="8" w:color="CFF0FC"/>
            </w:tcBorders>
          </w:tcPr>
          <w:p>
            <w:pPr>
              <w:spacing w:after="0"/>
              <w:rPr>
                <w:sz w:val="15"/>
                <w:szCs w:val="15"/>
                <w:color w:val="auto"/>
              </w:rPr>
            </w:pPr>
          </w:p>
        </w:tc>
        <w:tc>
          <w:tcPr>
            <w:tcW w:w="4320" w:type="dxa"/>
            <w:vAlign w:val="bottom"/>
            <w:tcBorders>
              <w:bottom w:val="single" w:sz="8" w:color="CFF0FC"/>
            </w:tcBorders>
          </w:tcPr>
          <w:p>
            <w:pPr>
              <w:spacing w:after="0"/>
              <w:rPr>
                <w:sz w:val="15"/>
                <w:szCs w:val="15"/>
                <w:color w:val="auto"/>
              </w:rPr>
            </w:pPr>
          </w:p>
        </w:tc>
        <w:tc>
          <w:tcPr>
            <w:tcW w:w="5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r>
      <w:tr>
        <w:trPr>
          <w:trHeight w:val="196"/>
        </w:trPr>
        <w:tc>
          <w:tcPr>
            <w:tcW w:w="1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43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6"/>
                <w:szCs w:val="16"/>
                <w:color w:val="auto"/>
              </w:rPr>
              <w:t>Current assets:</w:t>
            </w:r>
          </w:p>
        </w:tc>
        <w:tc>
          <w:tcPr>
            <w:tcW w:w="4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0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2,056</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85,166</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080" w:type="dxa"/>
            <w:vAlign w:val="bottom"/>
            <w:gridSpan w:val="2"/>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1,300</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0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Current portion of unsecured related party note</w:t>
            </w: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7"/>
        </w:trPr>
        <w:tc>
          <w:tcPr>
            <w:tcW w:w="17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receivable</w:t>
            </w:r>
          </w:p>
        </w:tc>
        <w:tc>
          <w:tcPr>
            <w:tcW w:w="43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4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6"/>
        </w:trPr>
        <w:tc>
          <w:tcPr>
            <w:tcW w:w="6080" w:type="dxa"/>
            <w:vAlign w:val="bottom"/>
            <w:gridSpan w:val="2"/>
          </w:tcPr>
          <w:p>
            <w:pPr>
              <w:ind w:left="500"/>
              <w:spacing w:after="0"/>
              <w:rPr>
                <w:sz w:val="20"/>
                <w:szCs w:val="20"/>
                <w:color w:val="auto"/>
              </w:rPr>
            </w:pPr>
            <w:r>
              <w:rPr>
                <w:rFonts w:ascii="Arial" w:cs="Arial" w:eastAsia="Arial" w:hAnsi="Arial"/>
                <w:sz w:val="16"/>
                <w:szCs w:val="16"/>
                <w:color w:val="auto"/>
              </w:rPr>
              <w:t>Total current assets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2,160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86,473</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Unsecured related party note receivable</w:t>
            </w: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08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760" w:type="dxa"/>
            <w:vAlign w:val="bottom"/>
            <w:shd w:val="clear" w:color="auto" w:fill="CFF0FC"/>
          </w:tcPr>
          <w:p>
            <w:pPr>
              <w:spacing w:after="0"/>
              <w:rPr>
                <w:sz w:val="20"/>
                <w:szCs w:val="20"/>
                <w:color w:val="auto"/>
              </w:rPr>
            </w:pPr>
            <w:r>
              <w:rPr>
                <w:rFonts w:ascii="Arial" w:cs="Arial" w:eastAsia="Arial" w:hAnsi="Arial"/>
                <w:sz w:val="16"/>
                <w:szCs w:val="16"/>
                <w:color w:val="auto"/>
              </w:rPr>
              <w:t>Deferred offering costs</w:t>
            </w:r>
          </w:p>
        </w:tc>
        <w:tc>
          <w:tcPr>
            <w:tcW w:w="43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415</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6"/>
        </w:trPr>
        <w:tc>
          <w:tcPr>
            <w:tcW w:w="176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43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2,189</w:t>
            </w:r>
          </w:p>
        </w:tc>
        <w:tc>
          <w:tcPr>
            <w:tcW w:w="24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86,931</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3"/>
        </w:trPr>
        <w:tc>
          <w:tcPr>
            <w:tcW w:w="6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Liabilities, convertible preferred stock and stockholders' (deficit) equity</w:t>
            </w:r>
          </w:p>
        </w:tc>
        <w:tc>
          <w:tcPr>
            <w:tcW w:w="58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3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6"/>
                <w:szCs w:val="16"/>
                <w:color w:val="auto"/>
              </w:rPr>
              <w:t>Current liabilities:</w:t>
            </w:r>
          </w:p>
        </w:tc>
        <w:tc>
          <w:tcPr>
            <w:tcW w:w="4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43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4,255</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7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Accrued expenses</w:t>
            </w:r>
          </w:p>
        </w:tc>
        <w:tc>
          <w:tcPr>
            <w:tcW w:w="4320" w:type="dxa"/>
            <w:vAlign w:val="bottom"/>
            <w:tcBorders>
              <w:bottom w:val="single" w:sz="8" w:color="CFF0FC"/>
            </w:tcBorders>
          </w:tcPr>
          <w:p>
            <w:pPr>
              <w:spacing w:after="0"/>
              <w:rPr>
                <w:sz w:val="17"/>
                <w:szCs w:val="17"/>
                <w:color w:val="auto"/>
              </w:rPr>
            </w:pPr>
          </w:p>
        </w:tc>
        <w:tc>
          <w:tcPr>
            <w:tcW w:w="5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w:t>
            </w:r>
          </w:p>
        </w:tc>
        <w:tc>
          <w:tcPr>
            <w:tcW w:w="2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w:t>
            </w:r>
          </w:p>
        </w:tc>
        <w:tc>
          <w:tcPr>
            <w:tcW w:w="240" w:type="dxa"/>
            <w:vAlign w:val="bottom"/>
            <w:tcBorders>
              <w:bottom w:val="single" w:sz="8" w:color="CFF0FC"/>
            </w:tcBorders>
          </w:tcPr>
          <w:p>
            <w:pPr>
              <w:spacing w:after="0"/>
              <w:rPr>
                <w:sz w:val="17"/>
                <w:szCs w:val="17"/>
                <w:color w:val="auto"/>
              </w:rPr>
            </w:pPr>
          </w:p>
        </w:tc>
        <w:tc>
          <w:tcPr>
            <w:tcW w:w="13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r>
      <w:tr>
        <w:trPr>
          <w:trHeight w:val="196"/>
        </w:trPr>
        <w:tc>
          <w:tcPr>
            <w:tcW w:w="608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Total current liabilities</w:t>
            </w: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1,273</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5,512</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6"/>
                <w:szCs w:val="16"/>
                <w:color w:val="auto"/>
              </w:rPr>
              <w:t>Grant liability</w:t>
            </w:r>
          </w:p>
        </w:tc>
        <w:tc>
          <w:tcPr>
            <w:tcW w:w="4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1,047</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760" w:type="dxa"/>
            <w:vAlign w:val="bottom"/>
            <w:shd w:val="clear" w:color="auto" w:fill="CFF0FC"/>
          </w:tcPr>
          <w:p>
            <w:pPr>
              <w:spacing w:after="0"/>
              <w:rPr>
                <w:sz w:val="20"/>
                <w:szCs w:val="20"/>
                <w:color w:val="auto"/>
              </w:rPr>
            </w:pPr>
            <w:r>
              <w:rPr>
                <w:rFonts w:ascii="Arial" w:cs="Arial" w:eastAsia="Arial" w:hAnsi="Arial"/>
                <w:sz w:val="16"/>
                <w:szCs w:val="16"/>
                <w:color w:val="auto"/>
              </w:rPr>
              <w:t>Derivative liability</w:t>
            </w:r>
          </w:p>
        </w:tc>
        <w:tc>
          <w:tcPr>
            <w:tcW w:w="43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999</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6"/>
                <w:szCs w:val="16"/>
                <w:color w:val="auto"/>
              </w:rPr>
              <w:t>Convertible notes, net</w:t>
            </w:r>
          </w:p>
        </w:tc>
        <w:tc>
          <w:tcPr>
            <w:tcW w:w="4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1,553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Convertible preferred stock warrant liability</w:t>
            </w: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165"/>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FF0FC"/>
          </w:tcPr>
          <w:p>
            <w:pPr>
              <w:spacing w:after="0"/>
              <w:rPr>
                <w:sz w:val="17"/>
                <w:szCs w:val="17"/>
                <w:color w:val="auto"/>
              </w:rPr>
            </w:pPr>
          </w:p>
        </w:tc>
      </w:tr>
      <w:tr>
        <w:trPr>
          <w:trHeight w:val="196"/>
        </w:trPr>
        <w:tc>
          <w:tcPr>
            <w:tcW w:w="17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liabilities</w:t>
            </w:r>
          </w:p>
        </w:tc>
        <w:tc>
          <w:tcPr>
            <w:tcW w:w="4320" w:type="dxa"/>
            <w:vAlign w:val="bottom"/>
            <w:tcBorders>
              <w:bottom w:val="single" w:sz="8" w:color="CFF0FC"/>
            </w:tcBorders>
          </w:tcPr>
          <w:p>
            <w:pPr>
              <w:spacing w:after="0"/>
              <w:rPr>
                <w:sz w:val="17"/>
                <w:szCs w:val="17"/>
                <w:color w:val="auto"/>
              </w:rPr>
            </w:pPr>
          </w:p>
        </w:tc>
        <w:tc>
          <w:tcPr>
            <w:tcW w:w="58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4,861</w:t>
            </w:r>
          </w:p>
        </w:tc>
        <w:tc>
          <w:tcPr>
            <w:tcW w:w="24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6,923</w:t>
            </w:r>
          </w:p>
        </w:tc>
        <w:tc>
          <w:tcPr>
            <w:tcW w:w="240" w:type="dxa"/>
            <w:vAlign w:val="bottom"/>
            <w:tcBorders>
              <w:bottom w:val="single" w:sz="8" w:color="CFF0FC"/>
            </w:tcBorders>
          </w:tcPr>
          <w:p>
            <w:pPr>
              <w:spacing w:after="0"/>
              <w:rPr>
                <w:sz w:val="17"/>
                <w:szCs w:val="17"/>
                <w:color w:val="auto"/>
              </w:rPr>
            </w:pPr>
          </w:p>
        </w:tc>
        <w:tc>
          <w:tcPr>
            <w:tcW w:w="13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r>
      <w:tr>
        <w:trPr>
          <w:trHeight w:val="196"/>
        </w:trPr>
        <w:tc>
          <w:tcPr>
            <w:tcW w:w="6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Commitments and contingencies (Note 8)</w:t>
            </w: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4"/>
        </w:trPr>
        <w:tc>
          <w:tcPr>
            <w:tcW w:w="6080" w:type="dxa"/>
            <w:vAlign w:val="bottom"/>
            <w:gridSpan w:val="2"/>
          </w:tcPr>
          <w:p>
            <w:pPr>
              <w:spacing w:after="0"/>
              <w:rPr>
                <w:sz w:val="20"/>
                <w:szCs w:val="20"/>
                <w:color w:val="auto"/>
              </w:rPr>
            </w:pPr>
            <w:r>
              <w:rPr>
                <w:rFonts w:ascii="Arial" w:cs="Arial" w:eastAsia="Arial" w:hAnsi="Arial"/>
                <w:sz w:val="16"/>
                <w:szCs w:val="16"/>
                <w:color w:val="auto"/>
              </w:rPr>
              <w:t>Convertible preferred stock, $0.0001 par value; 22,184,536</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6080" w:type="dxa"/>
            <w:vAlign w:val="bottom"/>
            <w:gridSpan w:val="2"/>
          </w:tcPr>
          <w:p>
            <w:pPr>
              <w:ind w:left="140"/>
              <w:spacing w:after="0"/>
              <w:rPr>
                <w:sz w:val="20"/>
                <w:szCs w:val="20"/>
                <w:color w:val="auto"/>
              </w:rPr>
            </w:pPr>
            <w:r>
              <w:rPr>
                <w:rFonts w:ascii="Arial" w:cs="Arial" w:eastAsia="Arial" w:hAnsi="Arial"/>
                <w:sz w:val="16"/>
                <w:szCs w:val="16"/>
                <w:color w:val="auto"/>
              </w:rPr>
              <w:t>and 100,286,704 shares authorized at December 31, 2019</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080" w:type="dxa"/>
            <w:vAlign w:val="bottom"/>
            <w:gridSpan w:val="2"/>
          </w:tcPr>
          <w:p>
            <w:pPr>
              <w:ind w:left="140"/>
              <w:spacing w:after="0"/>
              <w:rPr>
                <w:sz w:val="20"/>
                <w:szCs w:val="20"/>
                <w:color w:val="auto"/>
              </w:rPr>
            </w:pPr>
            <w:r>
              <w:rPr>
                <w:rFonts w:ascii="Arial" w:cs="Arial" w:eastAsia="Arial" w:hAnsi="Arial"/>
                <w:sz w:val="16"/>
                <w:szCs w:val="16"/>
                <w:color w:val="auto"/>
              </w:rPr>
              <w:t>and June 30, 2020, respectively; 20,756,536 and</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080" w:type="dxa"/>
            <w:vAlign w:val="bottom"/>
            <w:gridSpan w:val="2"/>
          </w:tcPr>
          <w:p>
            <w:pPr>
              <w:ind w:left="140"/>
              <w:spacing w:after="0"/>
              <w:rPr>
                <w:sz w:val="20"/>
                <w:szCs w:val="20"/>
                <w:color w:val="auto"/>
              </w:rPr>
            </w:pPr>
            <w:r>
              <w:rPr>
                <w:rFonts w:ascii="Arial" w:cs="Arial" w:eastAsia="Arial" w:hAnsi="Arial"/>
                <w:sz w:val="16"/>
                <w:szCs w:val="16"/>
                <w:color w:val="auto"/>
              </w:rPr>
              <w:t>99,151,789 shares issued and outstanding at December</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080" w:type="dxa"/>
            <w:vAlign w:val="bottom"/>
            <w:gridSpan w:val="2"/>
          </w:tcPr>
          <w:p>
            <w:pPr>
              <w:ind w:left="140"/>
              <w:spacing w:after="0"/>
              <w:rPr>
                <w:sz w:val="20"/>
                <w:szCs w:val="20"/>
                <w:color w:val="auto"/>
              </w:rPr>
            </w:pPr>
            <w:r>
              <w:rPr>
                <w:rFonts w:ascii="Arial" w:cs="Arial" w:eastAsia="Arial" w:hAnsi="Arial"/>
                <w:sz w:val="16"/>
                <w:szCs w:val="16"/>
                <w:color w:val="auto"/>
              </w:rPr>
              <w:t>31, 2019 and June 30, 2020, respectively; aggregate</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080" w:type="dxa"/>
            <w:vAlign w:val="bottom"/>
            <w:gridSpan w:val="2"/>
          </w:tcPr>
          <w:p>
            <w:pPr>
              <w:ind w:left="140"/>
              <w:spacing w:after="0"/>
              <w:rPr>
                <w:sz w:val="20"/>
                <w:szCs w:val="20"/>
                <w:color w:val="auto"/>
              </w:rPr>
            </w:pPr>
            <w:r>
              <w:rPr>
                <w:rFonts w:ascii="Arial" w:cs="Arial" w:eastAsia="Arial" w:hAnsi="Arial"/>
                <w:sz w:val="16"/>
                <w:szCs w:val="16"/>
                <w:color w:val="auto"/>
              </w:rPr>
              <w:t>liquidation preference of $16,288 and $105,741 at</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080" w:type="dxa"/>
            <w:vAlign w:val="bottom"/>
            <w:gridSpan w:val="2"/>
          </w:tcPr>
          <w:p>
            <w:pPr>
              <w:ind w:left="140"/>
              <w:spacing w:after="0"/>
              <w:rPr>
                <w:sz w:val="20"/>
                <w:szCs w:val="20"/>
                <w:color w:val="auto"/>
              </w:rPr>
            </w:pPr>
            <w:r>
              <w:rPr>
                <w:rFonts w:ascii="Arial" w:cs="Arial" w:eastAsia="Arial" w:hAnsi="Arial"/>
                <w:sz w:val="16"/>
                <w:szCs w:val="16"/>
                <w:color w:val="auto"/>
              </w:rPr>
              <w:t>December 31, 2019 and June 30, 2020, respectively;</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080" w:type="dxa"/>
            <w:vAlign w:val="bottom"/>
            <w:gridSpan w:val="2"/>
          </w:tcPr>
          <w:p>
            <w:pPr>
              <w:ind w:left="140"/>
              <w:spacing w:after="0"/>
              <w:rPr>
                <w:sz w:val="20"/>
                <w:szCs w:val="20"/>
                <w:color w:val="auto"/>
              </w:rPr>
            </w:pPr>
            <w:r>
              <w:rPr>
                <w:rFonts w:ascii="Arial" w:cs="Arial" w:eastAsia="Arial" w:hAnsi="Arial"/>
                <w:sz w:val="16"/>
                <w:szCs w:val="16"/>
                <w:color w:val="auto"/>
              </w:rPr>
              <w:t>no shares issued and outstanding at</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6080" w:type="dxa"/>
            <w:vAlign w:val="bottom"/>
            <w:gridSpan w:val="2"/>
          </w:tcPr>
          <w:p>
            <w:pPr>
              <w:ind w:left="140"/>
              <w:spacing w:after="0"/>
              <w:rPr>
                <w:sz w:val="20"/>
                <w:szCs w:val="20"/>
                <w:color w:val="auto"/>
              </w:rPr>
            </w:pPr>
            <w:r>
              <w:rPr>
                <w:rFonts w:ascii="Arial" w:cs="Arial" w:eastAsia="Arial" w:hAnsi="Arial"/>
                <w:sz w:val="16"/>
                <w:szCs w:val="16"/>
                <w:color w:val="auto"/>
              </w:rPr>
              <w:t>June 30, 2020, pro forma</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17,051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92,537</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6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Stockholders' (deficit) equity:</w:t>
            </w: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4"/>
        </w:trPr>
        <w:tc>
          <w:tcPr>
            <w:tcW w:w="6080" w:type="dxa"/>
            <w:vAlign w:val="bottom"/>
            <w:gridSpan w:val="2"/>
          </w:tcPr>
          <w:p>
            <w:pPr>
              <w:ind w:left="260"/>
              <w:spacing w:after="0"/>
              <w:rPr>
                <w:sz w:val="20"/>
                <w:szCs w:val="20"/>
                <w:color w:val="auto"/>
              </w:rPr>
            </w:pPr>
            <w:r>
              <w:rPr>
                <w:rFonts w:ascii="Arial" w:cs="Arial" w:eastAsia="Arial" w:hAnsi="Arial"/>
                <w:sz w:val="16"/>
                <w:szCs w:val="16"/>
                <w:color w:val="auto"/>
              </w:rPr>
              <w:t>Common stock, $0.001 par value; 80,000,000</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6080" w:type="dxa"/>
            <w:vAlign w:val="bottom"/>
            <w:gridSpan w:val="2"/>
          </w:tcPr>
          <w:p>
            <w:pPr>
              <w:ind w:left="380"/>
              <w:spacing w:after="0"/>
              <w:rPr>
                <w:sz w:val="20"/>
                <w:szCs w:val="20"/>
                <w:color w:val="auto"/>
              </w:rPr>
            </w:pPr>
            <w:r>
              <w:rPr>
                <w:rFonts w:ascii="Arial" w:cs="Arial" w:eastAsia="Arial" w:hAnsi="Arial"/>
                <w:sz w:val="16"/>
                <w:szCs w:val="16"/>
                <w:color w:val="auto"/>
              </w:rPr>
              <w:t>and 183,000,000 shares authorized at</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080" w:type="dxa"/>
            <w:vAlign w:val="bottom"/>
            <w:gridSpan w:val="2"/>
          </w:tcPr>
          <w:p>
            <w:pPr>
              <w:ind w:left="380"/>
              <w:spacing w:after="0"/>
              <w:rPr>
                <w:sz w:val="20"/>
                <w:szCs w:val="20"/>
                <w:color w:val="auto"/>
              </w:rPr>
            </w:pPr>
            <w:r>
              <w:rPr>
                <w:rFonts w:ascii="Arial" w:cs="Arial" w:eastAsia="Arial" w:hAnsi="Arial"/>
                <w:sz w:val="16"/>
                <w:szCs w:val="16"/>
                <w:color w:val="auto"/>
              </w:rPr>
              <w:t>December 31, 2019 and June 30, 2020, respectively;</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080" w:type="dxa"/>
            <w:vAlign w:val="bottom"/>
            <w:gridSpan w:val="2"/>
          </w:tcPr>
          <w:p>
            <w:pPr>
              <w:ind w:left="380"/>
              <w:spacing w:after="0"/>
              <w:rPr>
                <w:sz w:val="20"/>
                <w:szCs w:val="20"/>
                <w:color w:val="auto"/>
              </w:rPr>
            </w:pPr>
            <w:r>
              <w:rPr>
                <w:rFonts w:ascii="Arial" w:cs="Arial" w:eastAsia="Arial" w:hAnsi="Arial"/>
                <w:sz w:val="16"/>
                <w:szCs w:val="16"/>
                <w:color w:val="auto"/>
              </w:rPr>
              <w:t>28,877,500 and 36,539,021 shares issued and</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080" w:type="dxa"/>
            <w:vAlign w:val="bottom"/>
            <w:gridSpan w:val="2"/>
          </w:tcPr>
          <w:p>
            <w:pPr>
              <w:ind w:left="380"/>
              <w:spacing w:after="0"/>
              <w:rPr>
                <w:sz w:val="20"/>
                <w:szCs w:val="20"/>
                <w:color w:val="auto"/>
              </w:rPr>
            </w:pPr>
            <w:r>
              <w:rPr>
                <w:rFonts w:ascii="Arial" w:cs="Arial" w:eastAsia="Arial" w:hAnsi="Arial"/>
                <w:sz w:val="16"/>
                <w:szCs w:val="16"/>
                <w:color w:val="auto"/>
              </w:rPr>
              <w:t>outstanding at December 31, 2019 and June 30, 2020,</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1760" w:type="dxa"/>
            <w:vAlign w:val="bottom"/>
          </w:tcPr>
          <w:p>
            <w:pPr>
              <w:ind w:left="380"/>
              <w:spacing w:after="0"/>
              <w:rPr>
                <w:sz w:val="20"/>
                <w:szCs w:val="20"/>
                <w:color w:val="auto"/>
              </w:rPr>
            </w:pPr>
            <w:r>
              <w:rPr>
                <w:rFonts w:ascii="Arial" w:cs="Arial" w:eastAsia="Arial" w:hAnsi="Arial"/>
                <w:sz w:val="16"/>
                <w:szCs w:val="16"/>
                <w:color w:val="auto"/>
              </w:rPr>
              <w:t>respectively;</w:t>
            </w:r>
          </w:p>
        </w:tc>
        <w:tc>
          <w:tcPr>
            <w:tcW w:w="4320" w:type="dxa"/>
            <w:vAlign w:val="bottom"/>
          </w:tcPr>
          <w:p>
            <w:pPr>
              <w:ind w:left="120"/>
              <w:spacing w:after="0"/>
              <w:rPr>
                <w:sz w:val="20"/>
                <w:szCs w:val="20"/>
                <w:color w:val="auto"/>
              </w:rPr>
            </w:pPr>
            <w:r>
              <w:rPr>
                <w:rFonts w:ascii="Arial" w:cs="Arial" w:eastAsia="Arial" w:hAnsi="Arial"/>
                <w:sz w:val="16"/>
                <w:szCs w:val="16"/>
                <w:color w:val="auto"/>
              </w:rPr>
              <w:t>shares outstanding at</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6080" w:type="dxa"/>
            <w:vAlign w:val="bottom"/>
            <w:gridSpan w:val="2"/>
          </w:tcPr>
          <w:p>
            <w:pPr>
              <w:ind w:left="380"/>
              <w:spacing w:after="0"/>
              <w:rPr>
                <w:sz w:val="20"/>
                <w:szCs w:val="20"/>
                <w:color w:val="auto"/>
              </w:rPr>
            </w:pPr>
            <w:r>
              <w:rPr>
                <w:rFonts w:ascii="Arial" w:cs="Arial" w:eastAsia="Arial" w:hAnsi="Arial"/>
                <w:sz w:val="16"/>
                <w:szCs w:val="16"/>
                <w:color w:val="auto"/>
              </w:rPr>
              <w:t>June 30, 2020, pro forma</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60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Additional paid-in capital</w:t>
            </w: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1,361</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12,351</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760" w:type="dxa"/>
            <w:vAlign w:val="bottom"/>
          </w:tcPr>
          <w:p>
            <w:pPr>
              <w:ind w:left="260"/>
              <w:spacing w:after="0"/>
              <w:rPr>
                <w:sz w:val="20"/>
                <w:szCs w:val="20"/>
                <w:color w:val="auto"/>
              </w:rPr>
            </w:pPr>
            <w:r>
              <w:rPr>
                <w:rFonts w:ascii="Arial" w:cs="Arial" w:eastAsia="Arial" w:hAnsi="Arial"/>
                <w:sz w:val="16"/>
                <w:szCs w:val="16"/>
                <w:color w:val="auto"/>
              </w:rPr>
              <w:t>Accumulated deficit</w:t>
            </w:r>
          </w:p>
        </w:tc>
        <w:tc>
          <w:tcPr>
            <w:tcW w:w="4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(21,087)</w:t>
            </w:r>
          </w:p>
        </w:tc>
        <w:tc>
          <w:tcPr>
            <w:tcW w:w="24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(24,884)</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080" w:type="dxa"/>
            <w:vAlign w:val="bottom"/>
            <w:gridSpan w:val="2"/>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08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Total stockholders' (deficit) equity</w:t>
            </w: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(19,723)</w:t>
            </w:r>
          </w:p>
        </w:tc>
        <w:tc>
          <w:tcPr>
            <w:tcW w:w="2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(12,529)</w:t>
            </w:r>
          </w:p>
        </w:tc>
        <w:tc>
          <w:tcPr>
            <w:tcW w:w="1340" w:type="dxa"/>
            <w:vAlign w:val="bottom"/>
            <w:shd w:val="clear" w:color="auto" w:fill="CFF0FC"/>
          </w:tcPr>
          <w:p>
            <w:pPr>
              <w:jc w:val="right"/>
              <w:ind w:right="1165"/>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FF0FC"/>
          </w:tcPr>
          <w:p>
            <w:pPr>
              <w:spacing w:after="0"/>
              <w:rPr>
                <w:sz w:val="17"/>
                <w:szCs w:val="17"/>
                <w:color w:val="auto"/>
              </w:rPr>
            </w:pPr>
          </w:p>
        </w:tc>
      </w:tr>
      <w:tr>
        <w:trPr>
          <w:trHeight w:val="198"/>
        </w:trPr>
        <w:tc>
          <w:tcPr>
            <w:tcW w:w="6080" w:type="dxa"/>
            <w:vAlign w:val="bottom"/>
            <w:gridSpan w:val="2"/>
          </w:tcPr>
          <w:p>
            <w:pPr>
              <w:ind w:left="500"/>
              <w:spacing w:after="0"/>
              <w:rPr>
                <w:sz w:val="20"/>
                <w:szCs w:val="20"/>
                <w:color w:val="auto"/>
              </w:rPr>
            </w:pPr>
            <w:r>
              <w:rPr>
                <w:rFonts w:ascii="Arial" w:cs="Arial" w:eastAsia="Arial" w:hAnsi="Arial"/>
                <w:sz w:val="16"/>
                <w:szCs w:val="16"/>
                <w:color w:val="auto"/>
              </w:rPr>
              <w:t>Total liabilities, convertible preferred stock and</w:t>
            </w:r>
          </w:p>
        </w:tc>
        <w:tc>
          <w:tcPr>
            <w:tcW w:w="5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7"/>
        </w:trPr>
        <w:tc>
          <w:tcPr>
            <w:tcW w:w="6080" w:type="dxa"/>
            <w:vAlign w:val="bottom"/>
            <w:gridSpan w:val="2"/>
          </w:tcPr>
          <w:p>
            <w:pPr>
              <w:ind w:left="640"/>
              <w:spacing w:after="0"/>
              <w:rPr>
                <w:sz w:val="20"/>
                <w:szCs w:val="20"/>
                <w:color w:val="auto"/>
              </w:rPr>
            </w:pPr>
            <w:r>
              <w:rPr>
                <w:rFonts w:ascii="Arial" w:cs="Arial" w:eastAsia="Arial" w:hAnsi="Arial"/>
                <w:sz w:val="16"/>
                <w:szCs w:val="16"/>
                <w:color w:val="auto"/>
              </w:rPr>
              <w:t>stockholders' deficit</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2,189</w:t>
            </w:r>
          </w:p>
        </w:tc>
        <w:tc>
          <w:tcPr>
            <w:tcW w:w="24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86,931</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17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2,110</w:t>
            </w:r>
          </w:p>
        </w:tc>
        <w:tc>
          <w:tcPr>
            <w:tcW w:w="3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3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3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(2,797)</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(2,657)</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160"/>
              <w:spacing w:after="0" w:line="203" w:lineRule="exact"/>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(0.09)</w:t>
            </w:r>
          </w:p>
        </w:tc>
        <w:tc>
          <w:tcPr>
            <w:tcW w:w="36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196"/>
        </w:trPr>
        <w:tc>
          <w:tcPr>
            <w:tcW w:w="77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Weighted-average shares used in computing net loss per share</w:t>
            </w: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attributable to common stockholders, basic and diluted</w:t>
            </w: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28,153,743</w:t>
            </w:r>
          </w:p>
        </w:tc>
        <w:tc>
          <w:tcPr>
            <w:tcW w:w="3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31,225,260</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3" w:lineRule="exact"/>
              <w:rPr>
                <w:sz w:val="20"/>
                <w:szCs w:val="20"/>
                <w:color w:val="auto"/>
              </w:rPr>
            </w:pPr>
            <w:r>
              <w:rPr>
                <w:rFonts w:ascii="Arial" w:cs="Arial" w:eastAsia="Arial" w:hAnsi="Arial"/>
                <w:sz w:val="18"/>
                <w:szCs w:val="18"/>
                <w:color w:val="auto"/>
              </w:rPr>
              <w:t>basic and diluted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291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Weighted-average shares used in computing pro forma net loss per</w:t>
      </w:r>
    </w:p>
    <w:p>
      <w:pPr>
        <w:ind w:left="160"/>
        <w:spacing w:after="0"/>
        <w:rPr>
          <w:sz w:val="20"/>
          <w:szCs w:val="20"/>
          <w:color w:val="auto"/>
        </w:rPr>
      </w:pPr>
      <w:r>
        <w:rPr>
          <w:rFonts w:ascii="Arial" w:cs="Arial" w:eastAsia="Arial" w:hAnsi="Arial"/>
          <w:sz w:val="18"/>
          <w:szCs w:val="18"/>
          <w:color w:val="auto"/>
        </w:rPr>
        <w:t>share attributable to common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14605</wp:posOffset>
            </wp:positionV>
            <wp:extent cx="99441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3" w:name="page234"/>
    <w:bookmarkEnd w:id="233"/>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10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3201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32016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202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202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69"/>
        </w:trPr>
        <w:tc>
          <w:tcPr>
            <w:tcW w:w="350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2018</w:t>
            </w: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22"/>
        </w:trPr>
        <w:tc>
          <w:tcPr>
            <w:tcW w:w="3500" w:type="dxa"/>
            <w:vAlign w:val="bottom"/>
            <w:vMerge w:val="continue"/>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20,756,536</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03"/>
        </w:trPr>
        <w:tc>
          <w:tcPr>
            <w:tcW w:w="3500" w:type="dxa"/>
            <w:vAlign w:val="bottom"/>
          </w:tcPr>
          <w:p>
            <w:pPr>
              <w:ind w:left="260"/>
              <w:spacing w:after="0" w:line="202" w:lineRule="exact"/>
              <w:rPr>
                <w:sz w:val="20"/>
                <w:szCs w:val="20"/>
                <w:color w:val="auto"/>
              </w:rPr>
            </w:pPr>
            <w:r>
              <w:rPr>
                <w:rFonts w:ascii="Arial" w:cs="Arial" w:eastAsia="Arial" w:hAnsi="Arial"/>
                <w:sz w:val="18"/>
                <w:szCs w:val="18"/>
                <w:color w:val="auto"/>
              </w:rPr>
              <w:t>Issuance of common stock upon</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260"/>
              <w:spacing w:after="0" w:line="202" w:lineRule="exact"/>
              <w:rPr>
                <w:sz w:val="20"/>
                <w:szCs w:val="20"/>
                <w:color w:val="auto"/>
              </w:rPr>
            </w:pPr>
            <w:r>
              <w:rPr>
                <w:rFonts w:ascii="Arial" w:cs="Arial" w:eastAsia="Arial" w:hAnsi="Arial"/>
                <w:sz w:val="18"/>
                <w:szCs w:val="18"/>
                <w:color w:val="auto"/>
              </w:rPr>
              <w:t>exercise of</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400"/>
              <w:spacing w:after="0"/>
              <w:rPr>
                <w:sz w:val="20"/>
                <w:szCs w:val="20"/>
                <w:color w:val="auto"/>
              </w:rPr>
            </w:pPr>
            <w:r>
              <w:rPr>
                <w:rFonts w:ascii="Arial" w:cs="Arial" w:eastAsia="Arial" w:hAnsi="Arial"/>
                <w:sz w:val="18"/>
                <w:szCs w:val="18"/>
                <w:color w:val="auto"/>
              </w:rPr>
              <w:t>common stock options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00" w:type="dxa"/>
            <w:vAlign w:val="bottom"/>
          </w:tcPr>
          <w:p>
            <w:pPr>
              <w:ind w:left="260"/>
              <w:spacing w:after="0" w:line="203" w:lineRule="exact"/>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20"/>
                <w:szCs w:val="20"/>
                <w:color w:val="auto"/>
              </w:rPr>
            </w:pPr>
            <w:r>
              <w:rPr>
                <w:rFonts w:ascii="Arial" w:cs="Arial" w:eastAsia="Arial" w:hAnsi="Arial"/>
                <w:sz w:val="18"/>
                <w:szCs w:val="18"/>
                <w:b w:val="1"/>
                <w:bCs w:val="1"/>
                <w:color w:val="auto"/>
              </w:rPr>
              <w:t>Balance as of June 30, 2019</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20,756,536</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5031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25031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175"/>
        </w:trPr>
        <w:tc>
          <w:tcPr>
            <w:tcW w:w="202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r>
      <w:tr>
        <w:trPr>
          <w:trHeight w:val="169"/>
        </w:trPr>
        <w:tc>
          <w:tcPr>
            <w:tcW w:w="10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r>
      <w:tr>
        <w:trPr>
          <w:trHeight w:val="223"/>
        </w:trPr>
        <w:tc>
          <w:tcPr>
            <w:tcW w:w="1020" w:type="dxa"/>
            <w:vAlign w:val="bottom"/>
          </w:tcPr>
          <w:p>
            <w:pPr>
              <w:jc w:val="right"/>
              <w:spacing w:after="0"/>
              <w:rPr>
                <w:sz w:val="20"/>
                <w:szCs w:val="20"/>
                <w:color w:val="auto"/>
              </w:rPr>
            </w:pPr>
            <w:r>
              <w:rPr>
                <w:rFonts w:ascii="Arial" w:cs="Arial" w:eastAsia="Arial" w:hAnsi="Arial"/>
                <w:sz w:val="18"/>
                <w:szCs w:val="18"/>
                <w:color w:val="auto"/>
              </w:rPr>
              <w:t>28,227,500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1,036</w:t>
            </w:r>
          </w:p>
        </w:tc>
        <w:tc>
          <w:tcPr>
            <w:tcW w:w="2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(15,926)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(14,887)</w:t>
            </w:r>
          </w:p>
        </w:tc>
      </w:tr>
      <w:tr>
        <w:trPr>
          <w:trHeight w:val="620"/>
        </w:trPr>
        <w:tc>
          <w:tcPr>
            <w:tcW w:w="1020" w:type="dxa"/>
            <w:vAlign w:val="bottom"/>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4"/>
                <w:szCs w:val="24"/>
                <w:color w:val="auto"/>
              </w:rPr>
            </w:pPr>
          </w:p>
        </w:tc>
      </w:tr>
      <w:tr>
        <w:trPr>
          <w:trHeight w:val="216"/>
        </w:trPr>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8"/>
                <w:szCs w:val="18"/>
                <w:color w:val="auto"/>
              </w:rPr>
            </w:pPr>
          </w:p>
        </w:tc>
      </w:tr>
      <w:tr>
        <w:trPr>
          <w:trHeight w:val="203"/>
        </w:trPr>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(2,657)</w:t>
            </w:r>
          </w:p>
        </w:tc>
        <w:tc>
          <w:tcPr>
            <w:tcW w:w="18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(2,657)</w:t>
            </w:r>
          </w:p>
        </w:tc>
      </w:tr>
      <w:tr>
        <w:trPr>
          <w:trHeight w:val="20"/>
        </w:trPr>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20" w:type="dxa"/>
            <w:vAlign w:val="bottom"/>
          </w:tcPr>
          <w:p>
            <w:pPr>
              <w:jc w:val="right"/>
              <w:spacing w:after="0"/>
              <w:rPr>
                <w:sz w:val="20"/>
                <w:szCs w:val="20"/>
                <w:color w:val="auto"/>
              </w:rPr>
            </w:pPr>
            <w:r>
              <w:rPr>
                <w:rFonts w:ascii="Arial" w:cs="Arial" w:eastAsia="Arial" w:hAnsi="Arial"/>
                <w:sz w:val="18"/>
                <w:szCs w:val="18"/>
                <w:color w:val="auto"/>
              </w:rPr>
              <w:t>28,277,500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1,163</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(18,583)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(17,417)</w:t>
            </w:r>
          </w:p>
        </w:tc>
      </w:tr>
      <w:tr>
        <w:trPr>
          <w:trHeight w:val="20"/>
        </w:trPr>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20" w:space="320"/>
            <w:col w:w="5380"/>
          </w:cols>
          <w:pgMar w:left="320" w:top="360" w:right="35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02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202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69"/>
        </w:trPr>
        <w:tc>
          <w:tcPr>
            <w:tcW w:w="354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2019</w:t>
            </w: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2"/>
        </w:trPr>
        <w:tc>
          <w:tcPr>
            <w:tcW w:w="3540" w:type="dxa"/>
            <w:vAlign w:val="bottom"/>
            <w:vMerge w:val="continue"/>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20,756,536</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03"/>
        </w:trPr>
        <w:tc>
          <w:tcPr>
            <w:tcW w:w="3540" w:type="dxa"/>
            <w:vAlign w:val="bottom"/>
          </w:tcPr>
          <w:p>
            <w:pPr>
              <w:ind w:left="260"/>
              <w:spacing w:after="0" w:line="202" w:lineRule="exact"/>
              <w:rPr>
                <w:sz w:val="20"/>
                <w:szCs w:val="20"/>
                <w:color w:val="auto"/>
              </w:rPr>
            </w:pPr>
            <w:r>
              <w:rPr>
                <w:rFonts w:ascii="Arial" w:cs="Arial" w:eastAsia="Arial" w:hAnsi="Arial"/>
                <w:sz w:val="18"/>
                <w:szCs w:val="18"/>
                <w:color w:val="auto"/>
              </w:rPr>
              <w:t>Issuance of common stock upon</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60"/>
              <w:spacing w:after="0" w:line="202" w:lineRule="exact"/>
              <w:rPr>
                <w:sz w:val="20"/>
                <w:szCs w:val="20"/>
                <w:color w:val="auto"/>
              </w:rPr>
            </w:pPr>
            <w:r>
              <w:rPr>
                <w:rFonts w:ascii="Arial" w:cs="Arial" w:eastAsia="Arial" w:hAnsi="Arial"/>
                <w:sz w:val="18"/>
                <w:szCs w:val="18"/>
                <w:color w:val="auto"/>
              </w:rPr>
              <w:t>exercise of</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400"/>
              <w:spacing w:after="0"/>
              <w:rPr>
                <w:sz w:val="20"/>
                <w:szCs w:val="20"/>
                <w:color w:val="auto"/>
              </w:rPr>
            </w:pPr>
            <w:r>
              <w:rPr>
                <w:rFonts w:ascii="Arial" w:cs="Arial" w:eastAsia="Arial" w:hAnsi="Arial"/>
                <w:sz w:val="18"/>
                <w:szCs w:val="18"/>
                <w:color w:val="auto"/>
              </w:rPr>
              <w:t>common stock options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40" w:type="dxa"/>
            <w:vAlign w:val="bottom"/>
          </w:tcPr>
          <w:p>
            <w:pPr>
              <w:ind w:left="260"/>
              <w:spacing w:after="0" w:line="202" w:lineRule="exact"/>
              <w:rPr>
                <w:sz w:val="20"/>
                <w:szCs w:val="20"/>
                <w:color w:val="auto"/>
              </w:rPr>
            </w:pPr>
            <w:r>
              <w:rPr>
                <w:rFonts w:ascii="Arial" w:cs="Arial" w:eastAsia="Arial" w:hAnsi="Arial"/>
                <w:sz w:val="18"/>
                <w:szCs w:val="18"/>
                <w:color w:val="auto"/>
              </w:rPr>
              <w:t>Issuance of Series B convertible</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60"/>
              <w:spacing w:after="0" w:line="202" w:lineRule="exact"/>
              <w:rPr>
                <w:sz w:val="20"/>
                <w:szCs w:val="20"/>
                <w:color w:val="auto"/>
              </w:rPr>
            </w:pPr>
            <w:r>
              <w:rPr>
                <w:rFonts w:ascii="Arial" w:cs="Arial" w:eastAsia="Arial" w:hAnsi="Arial"/>
                <w:sz w:val="18"/>
                <w:szCs w:val="18"/>
                <w:color w:val="auto"/>
              </w:rPr>
              <w:t>preferred</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400"/>
              <w:spacing w:after="0" w:line="202" w:lineRule="exact"/>
              <w:rPr>
                <w:sz w:val="20"/>
                <w:szCs w:val="20"/>
                <w:color w:val="auto"/>
              </w:rPr>
            </w:pPr>
            <w:r>
              <w:rPr>
                <w:rFonts w:ascii="Arial" w:cs="Arial" w:eastAsia="Arial" w:hAnsi="Arial"/>
                <w:sz w:val="18"/>
                <w:szCs w:val="18"/>
                <w:color w:val="auto"/>
              </w:rPr>
              <w:t>stock and common stock warrants,</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60"/>
              <w:spacing w:after="0" w:line="202" w:lineRule="exact"/>
              <w:rPr>
                <w:sz w:val="20"/>
                <w:szCs w:val="20"/>
                <w:color w:val="auto"/>
              </w:rPr>
            </w:pPr>
            <w:r>
              <w:rPr>
                <w:rFonts w:ascii="Arial" w:cs="Arial" w:eastAsia="Arial" w:hAnsi="Arial"/>
                <w:sz w:val="18"/>
                <w:szCs w:val="18"/>
                <w:color w:val="auto"/>
              </w:rPr>
              <w:t>net</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400"/>
              <w:spacing w:after="0"/>
              <w:rPr>
                <w:sz w:val="20"/>
                <w:szCs w:val="20"/>
                <w:color w:val="auto"/>
              </w:rPr>
            </w:pPr>
            <w:r>
              <w:rPr>
                <w:rFonts w:ascii="Arial" w:cs="Arial" w:eastAsia="Arial" w:hAnsi="Arial"/>
                <w:sz w:val="18"/>
                <w:szCs w:val="18"/>
                <w:color w:val="auto"/>
              </w:rPr>
              <w:t>of issuance costs of $3.5 million</w:t>
            </w:r>
          </w:p>
        </w:tc>
        <w:tc>
          <w:tcPr>
            <w:tcW w:w="1020" w:type="dxa"/>
            <w:vAlign w:val="bottom"/>
          </w:tcPr>
          <w:p>
            <w:pPr>
              <w:jc w:val="right"/>
              <w:spacing w:after="0"/>
              <w:rPr>
                <w:sz w:val="20"/>
                <w:szCs w:val="20"/>
                <w:color w:val="auto"/>
              </w:rPr>
            </w:pPr>
            <w:r>
              <w:rPr>
                <w:rFonts w:ascii="Arial" w:cs="Arial" w:eastAsia="Arial" w:hAnsi="Arial"/>
                <w:sz w:val="18"/>
                <w:szCs w:val="18"/>
                <w:color w:val="auto"/>
              </w:rPr>
              <w:t>74,328,105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70,971</w:t>
            </w:r>
          </w:p>
        </w:tc>
        <w:tc>
          <w:tcPr>
            <w:tcW w:w="0" w:type="dxa"/>
            <w:vAlign w:val="bottom"/>
          </w:tcPr>
          <w:p>
            <w:pPr>
              <w:spacing w:after="0"/>
              <w:rPr>
                <w:sz w:val="1"/>
                <w:szCs w:val="1"/>
                <w:color w:val="auto"/>
              </w:rPr>
            </w:pPr>
          </w:p>
        </w:tc>
      </w:tr>
      <w:tr>
        <w:trPr>
          <w:trHeight w:val="203"/>
        </w:trPr>
        <w:tc>
          <w:tcPr>
            <w:tcW w:w="3540" w:type="dxa"/>
            <w:vAlign w:val="bottom"/>
          </w:tcPr>
          <w:p>
            <w:pPr>
              <w:ind w:left="260"/>
              <w:spacing w:after="0" w:line="202" w:lineRule="exact"/>
              <w:rPr>
                <w:sz w:val="20"/>
                <w:szCs w:val="20"/>
                <w:color w:val="auto"/>
              </w:rPr>
            </w:pPr>
            <w:r>
              <w:rPr>
                <w:rFonts w:ascii="Arial" w:cs="Arial" w:eastAsia="Arial" w:hAnsi="Arial"/>
                <w:sz w:val="18"/>
                <w:szCs w:val="18"/>
                <w:color w:val="auto"/>
              </w:rPr>
              <w:t>Issuance of the Series B-1 convertible</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400"/>
              <w:spacing w:after="0" w:line="202" w:lineRule="exact"/>
              <w:rPr>
                <w:sz w:val="20"/>
                <w:szCs w:val="20"/>
                <w:color w:val="auto"/>
              </w:rPr>
            </w:pPr>
            <w:r>
              <w:rPr>
                <w:rFonts w:ascii="Arial" w:cs="Arial" w:eastAsia="Arial" w:hAnsi="Arial"/>
                <w:sz w:val="18"/>
                <w:szCs w:val="18"/>
                <w:color w:val="auto"/>
              </w:rPr>
              <w:t>preferred stock upon conversion of</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400"/>
              <w:spacing w:after="0"/>
              <w:rPr>
                <w:sz w:val="20"/>
                <w:szCs w:val="20"/>
                <w:color w:val="auto"/>
              </w:rPr>
            </w:pPr>
            <w:r>
              <w:rPr>
                <w:rFonts w:ascii="Arial" w:cs="Arial" w:eastAsia="Arial" w:hAnsi="Arial"/>
                <w:sz w:val="18"/>
                <w:szCs w:val="18"/>
                <w:color w:val="auto"/>
              </w:rPr>
              <w:t>convertible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4,067,148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4,515</w:t>
            </w:r>
          </w:p>
        </w:tc>
        <w:tc>
          <w:tcPr>
            <w:tcW w:w="0" w:type="dxa"/>
            <w:vAlign w:val="bottom"/>
          </w:tcPr>
          <w:p>
            <w:pPr>
              <w:spacing w:after="0"/>
              <w:rPr>
                <w:sz w:val="1"/>
                <w:szCs w:val="1"/>
                <w:color w:val="auto"/>
              </w:rPr>
            </w:pPr>
          </w:p>
        </w:tc>
      </w:tr>
      <w:tr>
        <w:trPr>
          <w:trHeight w:val="216"/>
        </w:trPr>
        <w:tc>
          <w:tcPr>
            <w:tcW w:w="3540" w:type="dxa"/>
            <w:vAlign w:val="bottom"/>
          </w:tcPr>
          <w:p>
            <w:pPr>
              <w:ind w:left="260"/>
              <w:spacing w:after="0"/>
              <w:rPr>
                <w:sz w:val="20"/>
                <w:szCs w:val="20"/>
                <w:color w:val="auto"/>
              </w:rPr>
            </w:pPr>
            <w:r>
              <w:rPr>
                <w:rFonts w:ascii="Arial" w:cs="Arial" w:eastAsia="Arial" w:hAnsi="Arial"/>
                <w:sz w:val="18"/>
                <w:szCs w:val="18"/>
                <w:color w:val="auto"/>
              </w:rPr>
              <w:t>Exercise of common stock warrants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40" w:type="dxa"/>
            <w:vAlign w:val="bottom"/>
          </w:tcPr>
          <w:p>
            <w:pPr>
              <w:ind w:left="260"/>
              <w:spacing w:after="0" w:line="203" w:lineRule="exact"/>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540" w:type="dxa"/>
            <w:vAlign w:val="bottom"/>
          </w:tcPr>
          <w:p>
            <w:pPr>
              <w:spacing w:after="0"/>
              <w:rPr>
                <w:sz w:val="20"/>
                <w:szCs w:val="20"/>
                <w:color w:val="auto"/>
              </w:rPr>
            </w:pPr>
            <w:r>
              <w:rPr>
                <w:rFonts w:ascii="Arial" w:cs="Arial" w:eastAsia="Arial" w:hAnsi="Arial"/>
                <w:sz w:val="18"/>
                <w:szCs w:val="18"/>
                <w:b w:val="1"/>
                <w:bCs w:val="1"/>
                <w:color w:val="auto"/>
              </w:rPr>
              <w:t>Balance as of June 30, 2020</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99,151,789</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92,537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Total</w:t>
            </w:r>
          </w:p>
        </w:tc>
      </w:tr>
      <w:tr>
        <w:trPr>
          <w:trHeight w:val="175"/>
        </w:trPr>
        <w:tc>
          <w:tcPr>
            <w:tcW w:w="200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Paid-In</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Accumulated</w:t>
            </w: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Stockholders’</w:t>
            </w:r>
          </w:p>
        </w:tc>
      </w:tr>
      <w:tr>
        <w:trPr>
          <w:trHeight w:val="169"/>
        </w:trPr>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r>
      <w:tr>
        <w:trPr>
          <w:trHeight w:val="223"/>
        </w:trPr>
        <w:tc>
          <w:tcPr>
            <w:tcW w:w="1020" w:type="dxa"/>
            <w:vAlign w:val="bottom"/>
          </w:tcPr>
          <w:p>
            <w:pPr>
              <w:jc w:val="right"/>
              <w:spacing w:after="0"/>
              <w:rPr>
                <w:sz w:val="20"/>
                <w:szCs w:val="20"/>
                <w:color w:val="auto"/>
              </w:rPr>
            </w:pPr>
            <w:r>
              <w:rPr>
                <w:rFonts w:ascii="Arial" w:cs="Arial" w:eastAsia="Arial" w:hAnsi="Arial"/>
                <w:sz w:val="18"/>
                <w:szCs w:val="18"/>
                <w:color w:val="auto"/>
              </w:rPr>
              <w:t>28,877,500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1,361</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  (21,087)</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   (19,723)</w:t>
            </w:r>
          </w:p>
        </w:tc>
      </w:tr>
      <w:tr>
        <w:trPr>
          <w:trHeight w:val="621"/>
        </w:trPr>
        <w:tc>
          <w:tcPr>
            <w:tcW w:w="1020" w:type="dxa"/>
            <w:vAlign w:val="bottom"/>
          </w:tcPr>
          <w:p>
            <w:pPr>
              <w:jc w:val="right"/>
              <w:spacing w:after="0"/>
              <w:rPr>
                <w:sz w:val="20"/>
                <w:szCs w:val="20"/>
                <w:color w:val="auto"/>
              </w:rPr>
            </w:pPr>
            <w:r>
              <w:rPr>
                <w:rFonts w:ascii="Arial" w:cs="Arial" w:eastAsia="Arial" w:hAnsi="Arial"/>
                <w:sz w:val="18"/>
                <w:szCs w:val="18"/>
                <w:color w:val="auto"/>
              </w:rPr>
              <w:t>2,205,000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10,591</w:t>
            </w:r>
          </w:p>
        </w:tc>
        <w:tc>
          <w:tcPr>
            <w:tcW w:w="220" w:type="dxa"/>
            <w:vAlign w:val="bottom"/>
          </w:tcPr>
          <w:p>
            <w:pPr>
              <w:spacing w:after="0"/>
              <w:rPr>
                <w:sz w:val="18"/>
                <w:szCs w:val="18"/>
                <w:color w:val="auto"/>
              </w:rPr>
            </w:pPr>
          </w:p>
        </w:tc>
        <w:tc>
          <w:tcPr>
            <w:tcW w:w="134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10,591</w:t>
            </w:r>
          </w:p>
        </w:tc>
        <w:tc>
          <w:tcPr>
            <w:tcW w:w="60" w:type="dxa"/>
            <w:vAlign w:val="bottom"/>
          </w:tcPr>
          <w:p>
            <w:pPr>
              <w:spacing w:after="0"/>
              <w:rPr>
                <w:sz w:val="18"/>
                <w:szCs w:val="18"/>
                <w:color w:val="auto"/>
              </w:rPr>
            </w:pPr>
          </w:p>
        </w:tc>
      </w:tr>
      <w:tr>
        <w:trPr>
          <w:trHeight w:val="620"/>
        </w:trPr>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tcPr>
          <w:p>
            <w:pPr>
              <w:jc w:val="right"/>
              <w:spacing w:after="0"/>
              <w:rPr>
                <w:sz w:val="20"/>
                <w:szCs w:val="20"/>
                <w:color w:val="auto"/>
              </w:rPr>
            </w:pPr>
            <w:r>
              <w:rPr>
                <w:rFonts w:ascii="Arial" w:cs="Arial" w:eastAsia="Arial" w:hAnsi="Arial"/>
                <w:sz w:val="18"/>
                <w:szCs w:val="18"/>
                <w:color w:val="auto"/>
              </w:rPr>
              <w:t>5,456,521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134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r>
      <w:tr>
        <w:trPr>
          <w:trHeight w:val="216"/>
        </w:trPr>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134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r>
      <w:tr>
        <w:trPr>
          <w:trHeight w:val="203"/>
        </w:trPr>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(3,797)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(3,797)</w:t>
            </w:r>
          </w:p>
        </w:tc>
      </w:tr>
      <w:tr>
        <w:trPr>
          <w:trHeight w:val="20"/>
        </w:trPr>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20" w:type="dxa"/>
            <w:vAlign w:val="bottom"/>
          </w:tcPr>
          <w:p>
            <w:pPr>
              <w:jc w:val="right"/>
              <w:spacing w:after="0"/>
              <w:rPr>
                <w:sz w:val="20"/>
                <w:szCs w:val="20"/>
                <w:color w:val="auto"/>
              </w:rPr>
            </w:pPr>
            <w:r>
              <w:rPr>
                <w:rFonts w:ascii="Arial" w:cs="Arial" w:eastAsia="Arial" w:hAnsi="Arial"/>
                <w:sz w:val="18"/>
                <w:szCs w:val="18"/>
                <w:color w:val="auto"/>
              </w:rPr>
              <w:t>36,539,021</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12,351</w:t>
            </w:r>
          </w:p>
        </w:tc>
        <w:tc>
          <w:tcPr>
            <w:tcW w:w="220" w:type="dxa"/>
            <w:vAlign w:val="bottom"/>
          </w:tcPr>
          <w:p>
            <w:pPr>
              <w:spacing w:after="0"/>
              <w:rPr>
                <w:sz w:val="18"/>
                <w:szCs w:val="18"/>
                <w:color w:val="auto"/>
              </w:rPr>
            </w:pPr>
          </w:p>
        </w:tc>
        <w:tc>
          <w:tcPr>
            <w:tcW w:w="1340" w:type="dxa"/>
            <w:vAlign w:val="bottom"/>
            <w:gridSpan w:val="4"/>
          </w:tcPr>
          <w:p>
            <w:pPr>
              <w:jc w:val="right"/>
              <w:ind w:right="120"/>
              <w:spacing w:after="0"/>
              <w:rPr>
                <w:sz w:val="20"/>
                <w:szCs w:val="20"/>
                <w:color w:val="auto"/>
              </w:rPr>
            </w:pPr>
            <w:r>
              <w:rPr>
                <w:rFonts w:ascii="Arial" w:cs="Arial" w:eastAsia="Arial" w:hAnsi="Arial"/>
                <w:sz w:val="18"/>
                <w:szCs w:val="18"/>
                <w:color w:val="auto"/>
              </w:rPr>
              <w:t>$  (24,884)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(12,529)</w:t>
            </w:r>
          </w:p>
        </w:tc>
      </w:tr>
      <w:tr>
        <w:trPr>
          <w:trHeight w:val="20"/>
        </w:trPr>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2">
            <w:col w:w="5560" w:space="260"/>
            <w:col w:w="5400"/>
          </w:cols>
          <w:pgMar w:left="320" w:top="360" w:right="359" w:bottom="1440" w:gutter="0" w:footer="0" w:header="0"/>
          <w:type w:val="continuous"/>
        </w:sect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type w:val="continuous"/>
        </w:sectPr>
      </w:pPr>
    </w:p>
    <w:bookmarkStart w:id="234" w:name="page235"/>
    <w:bookmarkEnd w:id="234"/>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10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2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24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148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260"/>
              <w:spacing w:after="0"/>
              <w:rPr>
                <w:sz w:val="20"/>
                <w:szCs w:val="20"/>
                <w:color w:val="auto"/>
              </w:rPr>
            </w:pPr>
            <w:r>
              <w:rPr>
                <w:rFonts w:ascii="Arial" w:cs="Arial" w:eastAsia="Arial" w:hAnsi="Arial"/>
                <w:sz w:val="16"/>
                <w:szCs w:val="16"/>
                <w:color w:val="auto"/>
              </w:rPr>
              <w:t>Net loss</w:t>
            </w:r>
          </w:p>
        </w:tc>
        <w:tc>
          <w:tcPr>
            <w:tcW w:w="2480" w:type="dxa"/>
            <w:vAlign w:val="bottom"/>
            <w:gridSpan w:val="2"/>
          </w:tcPr>
          <w:p>
            <w:pPr>
              <w:jc w:val="right"/>
              <w:ind w:right="848"/>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(2,657)</w:t>
            </w:r>
          </w:p>
        </w:tc>
        <w:tc>
          <w:tcPr>
            <w:tcW w:w="980" w:type="dxa"/>
            <w:vAlign w:val="bottom"/>
          </w:tcPr>
          <w:p>
            <w:pPr>
              <w:jc w:val="right"/>
              <w:ind w:right="82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(3,797)</w:t>
            </w:r>
          </w:p>
        </w:tc>
        <w:tc>
          <w:tcPr>
            <w:tcW w:w="0" w:type="dxa"/>
            <w:vAlign w:val="bottom"/>
          </w:tcPr>
          <w:p>
            <w:pPr>
              <w:spacing w:after="0"/>
              <w:rPr>
                <w:sz w:val="1"/>
                <w:szCs w:val="1"/>
                <w:color w:val="auto"/>
              </w:rPr>
            </w:pPr>
          </w:p>
        </w:tc>
      </w:tr>
      <w:tr>
        <w:trPr>
          <w:trHeight w:val="204"/>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loss to net cash used in operating</w:t>
            </w:r>
          </w:p>
        </w:tc>
        <w:tc>
          <w:tcPr>
            <w:tcW w:w="1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2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activities:</w:t>
            </w:r>
          </w:p>
        </w:tc>
        <w:tc>
          <w:tcPr>
            <w:tcW w:w="14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500"/>
              <w:spacing w:after="0"/>
              <w:rPr>
                <w:sz w:val="20"/>
                <w:szCs w:val="20"/>
                <w:color w:val="auto"/>
              </w:rPr>
            </w:pPr>
            <w:r>
              <w:rPr>
                <w:rFonts w:ascii="Arial" w:cs="Arial" w:eastAsia="Arial" w:hAnsi="Arial"/>
                <w:sz w:val="16"/>
                <w:szCs w:val="16"/>
                <w:color w:val="auto"/>
              </w:rPr>
              <w:t>Stock-based compensation</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120</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Non-cash interest expense on convertible notes</w:t>
            </w:r>
          </w:p>
        </w:tc>
        <w:tc>
          <w:tcPr>
            <w:tcW w:w="1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500"/>
              <w:spacing w:after="0"/>
              <w:rPr>
                <w:sz w:val="20"/>
                <w:szCs w:val="20"/>
                <w:color w:val="auto"/>
              </w:rPr>
            </w:pPr>
            <w:r>
              <w:rPr>
                <w:rFonts w:ascii="Arial" w:cs="Arial" w:eastAsia="Arial" w:hAnsi="Arial"/>
                <w:sz w:val="16"/>
                <w:szCs w:val="16"/>
                <w:color w:val="auto"/>
              </w:rPr>
              <w:t>Accretion of discounts on convertible notes</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101</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 in fair value of derivative liability</w:t>
            </w:r>
          </w:p>
        </w:tc>
        <w:tc>
          <w:tcPr>
            <w:tcW w:w="1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500"/>
              <w:spacing w:after="0"/>
              <w:rPr>
                <w:sz w:val="20"/>
                <w:szCs w:val="20"/>
                <w:color w:val="auto"/>
              </w:rPr>
            </w:pPr>
            <w:r>
              <w:rPr>
                <w:rFonts w:ascii="Arial" w:cs="Arial" w:eastAsia="Arial" w:hAnsi="Arial"/>
                <w:sz w:val="16"/>
                <w:szCs w:val="16"/>
                <w:color w:val="auto"/>
              </w:rPr>
              <w:t>Change in fair value of grant liability</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Gain on extinguishment of convertible notes</w:t>
            </w:r>
          </w:p>
        </w:tc>
        <w:tc>
          <w:tcPr>
            <w:tcW w:w="1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3"/>
        </w:trPr>
        <w:tc>
          <w:tcPr>
            <w:tcW w:w="6240" w:type="dxa"/>
            <w:vAlign w:val="bottom"/>
          </w:tcPr>
          <w:p>
            <w:pPr>
              <w:ind w:left="500"/>
              <w:spacing w:after="0"/>
              <w:rPr>
                <w:sz w:val="20"/>
                <w:szCs w:val="20"/>
                <w:color w:val="auto"/>
              </w:rPr>
            </w:pPr>
            <w:r>
              <w:rPr>
                <w:rFonts w:ascii="Arial" w:cs="Arial" w:eastAsia="Arial" w:hAnsi="Arial"/>
                <w:sz w:val="16"/>
                <w:szCs w:val="16"/>
                <w:color w:val="auto"/>
              </w:rPr>
              <w:t>Changes in operating assets and liabilities:</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FF0FC"/>
          </w:tcPr>
          <w:p>
            <w:pPr>
              <w:ind w:left="620"/>
              <w:spacing w:after="0"/>
              <w:rPr>
                <w:sz w:val="20"/>
                <w:szCs w:val="20"/>
                <w:color w:val="auto"/>
              </w:rPr>
            </w:pPr>
            <w:r>
              <w:rPr>
                <w:rFonts w:ascii="Arial" w:cs="Arial" w:eastAsia="Arial" w:hAnsi="Arial"/>
                <w:sz w:val="16"/>
                <w:szCs w:val="16"/>
                <w:color w:val="auto"/>
              </w:rPr>
              <w:t>Prepaid expenses and other current assets</w:t>
            </w:r>
          </w:p>
        </w:tc>
        <w:tc>
          <w:tcPr>
            <w:tcW w:w="1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(1,203)</w:t>
            </w:r>
          </w:p>
        </w:tc>
        <w:tc>
          <w:tcPr>
            <w:tcW w:w="0" w:type="dxa"/>
            <w:vAlign w:val="bottom"/>
          </w:tcPr>
          <w:p>
            <w:pPr>
              <w:spacing w:after="0"/>
              <w:rPr>
                <w:sz w:val="1"/>
                <w:szCs w:val="1"/>
                <w:color w:val="auto"/>
              </w:rPr>
            </w:pPr>
          </w:p>
        </w:tc>
      </w:tr>
      <w:tr>
        <w:trPr>
          <w:trHeight w:val="203"/>
        </w:trPr>
        <w:tc>
          <w:tcPr>
            <w:tcW w:w="6240" w:type="dxa"/>
            <w:vAlign w:val="bottom"/>
            <w:tcBorders>
              <w:bottom w:val="single" w:sz="8" w:color="CFF0FC"/>
            </w:tcBorders>
          </w:tcPr>
          <w:p>
            <w:pPr>
              <w:ind w:left="620"/>
              <w:spacing w:after="0"/>
              <w:rPr>
                <w:sz w:val="20"/>
                <w:szCs w:val="20"/>
                <w:color w:val="auto"/>
              </w:rPr>
            </w:pPr>
            <w:r>
              <w:rPr>
                <w:rFonts w:ascii="Arial" w:cs="Arial" w:eastAsia="Arial" w:hAnsi="Arial"/>
                <w:sz w:val="16"/>
                <w:szCs w:val="16"/>
                <w:color w:val="auto"/>
              </w:rPr>
              <w:t>Accounts payable and accrued expenses</w:t>
            </w:r>
          </w:p>
        </w:tc>
        <w:tc>
          <w:tcPr>
            <w:tcW w:w="148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w:t>
            </w:r>
          </w:p>
        </w:tc>
        <w:tc>
          <w:tcPr>
            <w:tcW w:w="30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CFF0FC"/>
          </w:tcPr>
          <w:p>
            <w:pPr>
              <w:ind w:left="880"/>
              <w:spacing w:after="0"/>
              <w:rPr>
                <w:sz w:val="20"/>
                <w:szCs w:val="20"/>
                <w:color w:val="auto"/>
              </w:rPr>
            </w:pPr>
            <w:r>
              <w:rPr>
                <w:rFonts w:ascii="Arial" w:cs="Arial" w:eastAsia="Arial" w:hAnsi="Arial"/>
                <w:sz w:val="16"/>
                <w:szCs w:val="16"/>
                <w:color w:val="auto"/>
              </w:rPr>
              <w:t>Net cash used in operating activities</w:t>
            </w:r>
          </w:p>
        </w:tc>
        <w:tc>
          <w:tcPr>
            <w:tcW w:w="1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(1,783)</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(4,037)</w:t>
            </w:r>
          </w:p>
        </w:tc>
        <w:tc>
          <w:tcPr>
            <w:tcW w:w="0" w:type="dxa"/>
            <w:vAlign w:val="bottom"/>
          </w:tcPr>
          <w:p>
            <w:pPr>
              <w:spacing w:after="0"/>
              <w:rPr>
                <w:sz w:val="1"/>
                <w:szCs w:val="1"/>
                <w:color w:val="auto"/>
              </w:rPr>
            </w:pPr>
          </w:p>
        </w:tc>
      </w:tr>
      <w:tr>
        <w:trPr>
          <w:trHeight w:val="196"/>
        </w:trPr>
        <w:tc>
          <w:tcPr>
            <w:tcW w:w="624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4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available-for-sale securities</w:t>
            </w:r>
          </w:p>
        </w:tc>
        <w:tc>
          <w:tcPr>
            <w:tcW w:w="1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(995)</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240" w:type="dxa"/>
            <w:vAlign w:val="bottom"/>
          </w:tcPr>
          <w:p>
            <w:pPr>
              <w:ind w:left="260"/>
              <w:spacing w:after="0"/>
              <w:rPr>
                <w:sz w:val="20"/>
                <w:szCs w:val="20"/>
                <w:color w:val="auto"/>
              </w:rPr>
            </w:pPr>
            <w:r>
              <w:rPr>
                <w:rFonts w:ascii="Arial" w:cs="Arial" w:eastAsia="Arial" w:hAnsi="Arial"/>
                <w:sz w:val="16"/>
                <w:szCs w:val="16"/>
                <w:color w:val="auto"/>
              </w:rPr>
              <w:t>Maturities of available-for-sale securities</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1,500</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Principal payments received on stockholder note receivable</w:t>
            </w:r>
          </w:p>
        </w:tc>
        <w:tc>
          <w:tcPr>
            <w:tcW w:w="1480" w:type="dxa"/>
            <w:vAlign w:val="bottom"/>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00" w:type="dxa"/>
            <w:vAlign w:val="bottom"/>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tcBorders>
              <w:bottom w:val="single" w:sz="8" w:color="CFF0FC"/>
            </w:tcBorders>
          </w:tcPr>
          <w:p>
            <w:pPr>
              <w:ind w:left="880"/>
              <w:spacing w:after="0"/>
              <w:rPr>
                <w:sz w:val="20"/>
                <w:szCs w:val="20"/>
                <w:color w:val="auto"/>
              </w:rPr>
            </w:pPr>
            <w:r>
              <w:rPr>
                <w:rFonts w:ascii="Arial" w:cs="Arial" w:eastAsia="Arial" w:hAnsi="Arial"/>
                <w:sz w:val="16"/>
                <w:szCs w:val="16"/>
                <w:color w:val="auto"/>
              </w:rPr>
              <w:t>Net cash provided by investing activities</w:t>
            </w:r>
          </w:p>
        </w:tc>
        <w:tc>
          <w:tcPr>
            <w:tcW w:w="148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w:t>
            </w:r>
          </w:p>
        </w:tc>
        <w:tc>
          <w:tcPr>
            <w:tcW w:w="30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1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260"/>
              <w:spacing w:after="0"/>
              <w:rPr>
                <w:sz w:val="20"/>
                <w:szCs w:val="20"/>
                <w:color w:val="auto"/>
              </w:rPr>
            </w:pPr>
            <w:r>
              <w:rPr>
                <w:rFonts w:ascii="Arial" w:cs="Arial" w:eastAsia="Arial" w:hAnsi="Arial"/>
                <w:sz w:val="16"/>
                <w:szCs w:val="16"/>
                <w:color w:val="auto"/>
              </w:rPr>
              <w:t>Proceeds from exercise of common stock options</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convertible preferred stock and</w:t>
            </w:r>
          </w:p>
        </w:tc>
        <w:tc>
          <w:tcPr>
            <w:tcW w:w="1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2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common stock warrants, net of issuance costs</w:t>
            </w:r>
          </w:p>
        </w:tc>
        <w:tc>
          <w:tcPr>
            <w:tcW w:w="14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85,396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260"/>
              <w:spacing w:after="0"/>
              <w:rPr>
                <w:sz w:val="20"/>
                <w:szCs w:val="20"/>
                <w:color w:val="auto"/>
              </w:rPr>
            </w:pPr>
            <w:r>
              <w:rPr>
                <w:rFonts w:ascii="Arial" w:cs="Arial" w:eastAsia="Arial" w:hAnsi="Arial"/>
                <w:sz w:val="16"/>
                <w:szCs w:val="16"/>
                <w:color w:val="auto"/>
              </w:rPr>
              <w:t>Proceeds from exercise of common stock warrants</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convertible notes</w:t>
            </w:r>
          </w:p>
        </w:tc>
        <w:tc>
          <w:tcPr>
            <w:tcW w:w="1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260"/>
              <w:spacing w:after="0"/>
              <w:rPr>
                <w:sz w:val="20"/>
                <w:szCs w:val="20"/>
                <w:color w:val="auto"/>
              </w:rPr>
            </w:pPr>
            <w:r>
              <w:rPr>
                <w:rFonts w:ascii="Arial" w:cs="Arial" w:eastAsia="Arial" w:hAnsi="Arial"/>
                <w:sz w:val="16"/>
                <w:szCs w:val="16"/>
                <w:color w:val="auto"/>
              </w:rPr>
              <w:t>Proceeds from Paycheck Protection Program loan</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 of Paycheck Protection Program loan</w:t>
            </w:r>
          </w:p>
        </w:tc>
        <w:tc>
          <w:tcPr>
            <w:tcW w:w="1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02"/>
        </w:trPr>
        <w:tc>
          <w:tcPr>
            <w:tcW w:w="6240" w:type="dxa"/>
            <w:vAlign w:val="bottom"/>
          </w:tcPr>
          <w:p>
            <w:pPr>
              <w:ind w:left="260"/>
              <w:spacing w:after="0"/>
              <w:rPr>
                <w:sz w:val="20"/>
                <w:szCs w:val="20"/>
                <w:color w:val="auto"/>
              </w:rPr>
            </w:pPr>
            <w:r>
              <w:rPr>
                <w:rFonts w:ascii="Arial" w:cs="Arial" w:eastAsia="Arial" w:hAnsi="Arial"/>
                <w:sz w:val="16"/>
                <w:szCs w:val="16"/>
                <w:color w:val="auto"/>
              </w:rPr>
              <w:t>Issuance costs for convertible notes</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(5)</w:t>
            </w:r>
          </w:p>
        </w:tc>
        <w:tc>
          <w:tcPr>
            <w:tcW w:w="9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of deferred offering costs</w:t>
            </w:r>
          </w:p>
        </w:tc>
        <w:tc>
          <w:tcPr>
            <w:tcW w:w="1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196"/>
        </w:trPr>
        <w:tc>
          <w:tcPr>
            <w:tcW w:w="6240" w:type="dxa"/>
            <w:vAlign w:val="bottom"/>
            <w:tcBorders>
              <w:bottom w:val="single" w:sz="8" w:color="CFF0FC"/>
            </w:tcBorders>
          </w:tcPr>
          <w:p>
            <w:pPr>
              <w:ind w:left="880"/>
              <w:spacing w:after="0"/>
              <w:rPr>
                <w:sz w:val="20"/>
                <w:szCs w:val="20"/>
                <w:color w:val="auto"/>
              </w:rPr>
            </w:pPr>
            <w:r>
              <w:rPr>
                <w:rFonts w:ascii="Arial" w:cs="Arial" w:eastAsia="Arial" w:hAnsi="Arial"/>
                <w:sz w:val="16"/>
                <w:szCs w:val="16"/>
                <w:color w:val="auto"/>
              </w:rPr>
              <w:t>Net cash provided by financing activities</w:t>
            </w:r>
          </w:p>
        </w:tc>
        <w:tc>
          <w:tcPr>
            <w:tcW w:w="1480" w:type="dxa"/>
            <w:vAlign w:val="bottom"/>
            <w:tcBorders>
              <w:bottom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300" w:type="dxa"/>
            <w:vAlign w:val="bottom"/>
            <w:tcBorders>
              <w:bottom w:val="single" w:sz="8" w:color="CFF0FC"/>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87,144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CFF0FC"/>
          </w:tcPr>
          <w:p>
            <w:pPr>
              <w:spacing w:after="0"/>
              <w:rPr>
                <w:sz w:val="20"/>
                <w:szCs w:val="20"/>
                <w:color w:val="auto"/>
              </w:rPr>
            </w:pPr>
            <w:r>
              <w:rPr>
                <w:rFonts w:ascii="Arial" w:cs="Arial" w:eastAsia="Arial" w:hAnsi="Arial"/>
                <w:sz w:val="16"/>
                <w:szCs w:val="16"/>
                <w:color w:val="auto"/>
              </w:rPr>
              <w:t>Net (decrease) increase in cash and cash equivalents</w:t>
            </w:r>
          </w:p>
        </w:tc>
        <w:tc>
          <w:tcPr>
            <w:tcW w:w="1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(1,033)</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83,110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beginning of year</w:t>
            </w:r>
          </w:p>
        </w:tc>
        <w:tc>
          <w:tcPr>
            <w:tcW w:w="148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3,317</w:t>
            </w:r>
          </w:p>
        </w:tc>
        <w:tc>
          <w:tcPr>
            <w:tcW w:w="30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end of year</w:t>
            </w:r>
          </w:p>
        </w:tc>
        <w:tc>
          <w:tcPr>
            <w:tcW w:w="2480" w:type="dxa"/>
            <w:vAlign w:val="bottom"/>
            <w:gridSpan w:val="2"/>
            <w:shd w:val="clear" w:color="auto" w:fill="CFF0FC"/>
          </w:tcPr>
          <w:p>
            <w:pPr>
              <w:jc w:val="right"/>
              <w:ind w:right="848"/>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2,284</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85,166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4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4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offering costs included in accounts payable and</w:t>
            </w:r>
          </w:p>
        </w:tc>
        <w:tc>
          <w:tcPr>
            <w:tcW w:w="1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liabilities</w:t>
            </w:r>
          </w:p>
        </w:tc>
        <w:tc>
          <w:tcPr>
            <w:tcW w:w="2480" w:type="dxa"/>
            <w:vAlign w:val="bottom"/>
            <w:gridSpan w:val="2"/>
            <w:shd w:val="clear" w:color="auto" w:fill="CFF0FC"/>
          </w:tcPr>
          <w:p>
            <w:pPr>
              <w:jc w:val="right"/>
              <w:ind w:right="848"/>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Issuance costs for convertible preferred stock included in</w:t>
            </w:r>
          </w:p>
        </w:tc>
        <w:tc>
          <w:tcPr>
            <w:tcW w:w="14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24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240" w:type="dxa"/>
            <w:vAlign w:val="bottom"/>
          </w:tcPr>
          <w:p>
            <w:pPr>
              <w:ind w:left="260"/>
              <w:spacing w:after="0"/>
              <w:rPr>
                <w:sz w:val="20"/>
                <w:szCs w:val="20"/>
                <w:color w:val="auto"/>
              </w:rPr>
            </w:pPr>
            <w:r>
              <w:rPr>
                <w:rFonts w:ascii="Arial" w:cs="Arial" w:eastAsia="Arial" w:hAnsi="Arial"/>
                <w:sz w:val="16"/>
                <w:szCs w:val="16"/>
                <w:color w:val="auto"/>
              </w:rPr>
              <w:t>accounts payable and accrued liabilities</w:t>
            </w:r>
          </w:p>
        </w:tc>
        <w:tc>
          <w:tcPr>
            <w:tcW w:w="2480" w:type="dxa"/>
            <w:vAlign w:val="bottom"/>
            <w:gridSpan w:val="2"/>
          </w:tcPr>
          <w:p>
            <w:pPr>
              <w:jc w:val="right"/>
              <w:ind w:right="848"/>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2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3,470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62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Allocation of proceeds to common stock warrants issued in</w:t>
            </w:r>
          </w:p>
        </w:tc>
        <w:tc>
          <w:tcPr>
            <w:tcW w:w="1480" w:type="dxa"/>
            <w:vAlign w:val="bottom"/>
            <w:tcBorders>
              <w:top w:val="single" w:sz="8" w:color="CFF0FC"/>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Series B convertible preferred stock financing</w:t>
            </w:r>
          </w:p>
        </w:tc>
        <w:tc>
          <w:tcPr>
            <w:tcW w:w="2480" w:type="dxa"/>
            <w:vAlign w:val="bottom"/>
            <w:gridSpan w:val="2"/>
            <w:shd w:val="clear" w:color="auto" w:fill="CFF0FC"/>
          </w:tcPr>
          <w:p>
            <w:pPr>
              <w:jc w:val="right"/>
              <w:ind w:right="848"/>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10,591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Issuance of Series B-1 preferred stock upon conversion of</w:t>
            </w:r>
          </w:p>
        </w:tc>
        <w:tc>
          <w:tcPr>
            <w:tcW w:w="14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24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240" w:type="dxa"/>
            <w:vAlign w:val="bottom"/>
          </w:tcPr>
          <w:p>
            <w:pPr>
              <w:ind w:left="260"/>
              <w:spacing w:after="0"/>
              <w:rPr>
                <w:sz w:val="20"/>
                <w:szCs w:val="20"/>
                <w:color w:val="auto"/>
              </w:rPr>
            </w:pPr>
            <w:r>
              <w:rPr>
                <w:rFonts w:ascii="Arial" w:cs="Arial" w:eastAsia="Arial" w:hAnsi="Arial"/>
                <w:sz w:val="16"/>
                <w:szCs w:val="16"/>
                <w:color w:val="auto"/>
              </w:rPr>
              <w:t>promissory notes</w:t>
            </w:r>
          </w:p>
        </w:tc>
        <w:tc>
          <w:tcPr>
            <w:tcW w:w="2480" w:type="dxa"/>
            <w:vAlign w:val="bottom"/>
            <w:gridSpan w:val="2"/>
          </w:tcPr>
          <w:p>
            <w:pPr>
              <w:jc w:val="right"/>
              <w:ind w:right="848"/>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2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4,515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62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Recognition of warrant liability in connection with Series B</w:t>
            </w:r>
          </w:p>
        </w:tc>
        <w:tc>
          <w:tcPr>
            <w:tcW w:w="1480" w:type="dxa"/>
            <w:vAlign w:val="bottom"/>
            <w:tcBorders>
              <w:top w:val="single" w:sz="8" w:color="CFF0FC"/>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convertible preferred stock financing</w:t>
            </w:r>
          </w:p>
        </w:tc>
        <w:tc>
          <w:tcPr>
            <w:tcW w:w="2480" w:type="dxa"/>
            <w:vAlign w:val="bottom"/>
            <w:gridSpan w:val="2"/>
            <w:shd w:val="clear" w:color="auto" w:fill="CFF0FC"/>
          </w:tcPr>
          <w:p>
            <w:pPr>
              <w:jc w:val="right"/>
              <w:ind w:right="848"/>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Recognition of derivative liability upon issuance of convertible</w:t>
            </w:r>
          </w:p>
        </w:tc>
        <w:tc>
          <w:tcPr>
            <w:tcW w:w="14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24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240" w:type="dxa"/>
            <w:vAlign w:val="bottom"/>
          </w:tcPr>
          <w:p>
            <w:pPr>
              <w:ind w:left="260"/>
              <w:spacing w:after="0"/>
              <w:rPr>
                <w:sz w:val="20"/>
                <w:szCs w:val="20"/>
                <w:color w:val="auto"/>
              </w:rPr>
            </w:pPr>
            <w:r>
              <w:rPr>
                <w:rFonts w:ascii="Arial" w:cs="Arial" w:eastAsia="Arial" w:hAnsi="Arial"/>
                <w:sz w:val="16"/>
                <w:szCs w:val="16"/>
                <w:color w:val="auto"/>
              </w:rPr>
              <w:t>notes</w:t>
            </w:r>
          </w:p>
        </w:tc>
        <w:tc>
          <w:tcPr>
            <w:tcW w:w="2480" w:type="dxa"/>
            <w:vAlign w:val="bottom"/>
            <w:gridSpan w:val="2"/>
          </w:tcPr>
          <w:p>
            <w:pPr>
              <w:jc w:val="right"/>
              <w:ind w:right="848"/>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106</w:t>
            </w:r>
          </w:p>
        </w:tc>
        <w:tc>
          <w:tcPr>
            <w:tcW w:w="300" w:type="dxa"/>
            <w:vAlign w:val="bottom"/>
          </w:tcPr>
          <w:p>
            <w:pPr>
              <w:spacing w:after="0"/>
              <w:rPr>
                <w:sz w:val="16"/>
                <w:szCs w:val="16"/>
                <w:color w:val="auto"/>
              </w:rPr>
            </w:pPr>
          </w:p>
        </w:tc>
        <w:tc>
          <w:tcPr>
            <w:tcW w:w="980" w:type="dxa"/>
            <w:vAlign w:val="bottom"/>
          </w:tcPr>
          <w:p>
            <w:pPr>
              <w:jc w:val="right"/>
              <w:ind w:right="82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774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5" w:name="page236"/>
    <w:bookmarkEnd w:id="235"/>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298" w:lineRule="exact"/>
        <w:rPr>
          <w:sz w:val="20"/>
          <w:szCs w:val="20"/>
          <w:color w:val="auto"/>
        </w:rPr>
      </w:pPr>
    </w:p>
    <w:p>
      <w:pPr>
        <w:ind w:left="580" w:hanging="572"/>
        <w:spacing w:after="0"/>
        <w:tabs>
          <w:tab w:leader="none" w:pos="58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Financial Condition</w:t>
      </w:r>
    </w:p>
    <w:p>
      <w:pPr>
        <w:spacing w:after="0" w:line="126"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Athira Pharma, Inc.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Seattle, Washington. The Company is a late clinical-stage biopharmaceutical company focused on developing small molecules to restore neuronal health and stop neurodegradation.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26"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The accompanying condensed financial statements have been prepared assuming that the Company will continue as a going concern. The Company has incurred net operating losses since its inception and had an accumulated deficit of $ 24.9 million as of June 30, 2020. The Company had cash and cash equivalents of $85.2 million as of June 30, 2020 and has not generated positive cash flows from operations. To date, the Company has been able to fund its operations primarily through the issuance of convertible notes, common stock warrants, and convertible preferred stock, and to a lesser extent, through grants and exercises of stock options. The Company’s currently available cash and cash equivalents as of June 30, 2020 will be sufficient to meet its anticipated cash requirements and management considers that there are no conditions or events, in the aggregate, that raise substantial doubt about the entity’s ability to continue as a going concern for a period of at least one year from the date the financial statements are issued.</w:t>
      </w:r>
    </w:p>
    <w:p>
      <w:pPr>
        <w:spacing w:after="0" w:line="208"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auto"/>
        </w:rPr>
        <w:t>Management expects operating losses to continue for the foreseeable future. There can be no assurance that the Company will ever earn revenues or achieve profitability, or if achieved, that they will be sustained on a continuing basis. In addition, the manufacturing, clinical and preclinical development activities as well as the commercialization of the Company’s therapies, if approved, will require significant additional financing. The Company may be unable to secure such financing when needed, or if available, such financings may be under terms that are unfavorable to the Company or the current stockholders. If the Company is unable to raise additional funds when needed, it may be required to delay, reduce the scope of, or eliminate development programs, which may adversely affect its business and operations.</w:t>
      </w:r>
    </w:p>
    <w:p>
      <w:pPr>
        <w:spacing w:after="0" w:line="291" w:lineRule="exact"/>
        <w:rPr>
          <w:sz w:val="20"/>
          <w:szCs w:val="20"/>
          <w:color w:val="auto"/>
        </w:rPr>
      </w:pPr>
    </w:p>
    <w:p>
      <w:pPr>
        <w:ind w:right="7720" w:firstLine="8"/>
        <w:spacing w:after="0" w:line="372" w:lineRule="auto"/>
        <w:tabs>
          <w:tab w:leader="none" w:pos="798"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Basis of Presentation</w:t>
      </w:r>
    </w:p>
    <w:p>
      <w:pPr>
        <w:ind w:left="580"/>
        <w:spacing w:after="0" w:line="236" w:lineRule="auto"/>
        <w:rPr>
          <w:sz w:val="20"/>
          <w:szCs w:val="20"/>
          <w:color w:val="auto"/>
        </w:rPr>
      </w:pPr>
      <w:r>
        <w:rPr>
          <w:rFonts w:ascii="Arial" w:cs="Arial" w:eastAsia="Arial" w:hAnsi="Arial"/>
          <w:sz w:val="18"/>
          <w:szCs w:val="18"/>
          <w:color w:val="auto"/>
        </w:rPr>
        <w:t>The condensed financial statements have been prepared in conformity with U.S. generally accepted accounting principles (“U.S.</w:t>
      </w:r>
    </w:p>
    <w:p>
      <w:pPr>
        <w:spacing w:after="0"/>
        <w:rPr>
          <w:sz w:val="20"/>
          <w:szCs w:val="20"/>
          <w:color w:val="auto"/>
        </w:rPr>
      </w:pPr>
      <w:r>
        <w:rPr>
          <w:rFonts w:ascii="Arial" w:cs="Arial" w:eastAsia="Arial" w:hAnsi="Arial"/>
          <w:sz w:val="18"/>
          <w:szCs w:val="18"/>
          <w:color w:val="auto"/>
        </w:rPr>
        <w:t>GAAP”).</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Financial Statements</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accompanying condensed balance sheet as of June 30, 2020, and condensed statements of operations and comprehensive loss, condensed statements of cash flows, and condensed statements of convertible preferred stock and stockholders’ deficit for the six months ended June 30, 2019 and 2020, are unaudited. The balance sheet as of December 31, 2019 was derived from the audited financial statements as of and for the year ended December 31, 2019. The unaudited interim condensed financial statements have been prepared on a basis consistent with the audited annual financial statements as of and for the year ended December 31, 2019, and, in the opinion of management, reflect all adjustments, consisting solely of normal recurring adjustments, necessary for the fair presentation of the Company’s financial position as of June 30, 2020, and the condensed results of its operations and its cash flows for the six months ended June 30, 2019 and 2020. The financial data and other information disclosed in these notes related to the six months ended June 30, 2019 and 2020 are also unaudited. The condensed results of operations for the six months ended June 30, 2020 are not necessarily indicative of the results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36" w:name="page237"/>
    <w:bookmarkEnd w:id="236"/>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34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to be expected for the full year ending December 31, 2020 or any other period. These interim condensed financial statements should be read in conjunction with the Company’s audited financial statements included elsewhere in this prospectus.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Balance Sheet Information</w:t>
      </w:r>
    </w:p>
    <w:p>
      <w:pPr>
        <w:spacing w:after="0" w:line="126" w:lineRule="exact"/>
        <w:rPr>
          <w:sz w:val="20"/>
          <w:szCs w:val="20"/>
          <w:color w:val="auto"/>
        </w:rPr>
      </w:pPr>
    </w:p>
    <w:p>
      <w:pPr>
        <w:ind w:right="140" w:firstLine="576"/>
        <w:spacing w:after="0" w:line="237" w:lineRule="auto"/>
        <w:rPr>
          <w:sz w:val="20"/>
          <w:szCs w:val="20"/>
          <w:color w:val="auto"/>
        </w:rPr>
      </w:pPr>
      <w:r>
        <w:rPr>
          <w:rFonts w:ascii="Arial" w:cs="Arial" w:eastAsia="Arial" w:hAnsi="Arial"/>
          <w:sz w:val="18"/>
          <w:szCs w:val="18"/>
          <w:color w:val="auto"/>
        </w:rPr>
        <w:t>In contemplation of the Company’s planned initial public offering (“IPO”), the unaudited pro forma stockholders’ equity in the condensed balance sheet reflects shares of the Company’s common stock outstanding as of June 30, 2020 and assumes the conversion of all outstanding shares of the Company’s convertible preferred stock into shares of its common stock at a ratio of 1:1, upon the closing of a firm-commitment underwritten public offering with gross proceeds of at least $50.0 million. The pro forma financial information also reflects the exercise of outstanding warrants for shares of common stock, the reclassification of the convertible preferred stock warrant liability to additional paid-in capital, and the repayment of the grant liability upon the closing of the IPO. The shares of common stock issuable and the proceeds expected to be received in the IPO are excluded from such pro forma financial information presented herein.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26"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The Company is subject to a number of inherent risks which include, but are not limited to, the need to obtain adequate additional funding, possible failure of clinical trials or other events demonstrating a lack of clinical safety or efficacy of its product candidates, dependence on key personnel, reliance on third-party service providers for manufacturing or drug product and conduct of clinical trials, the ability to successfully secure its proprietary technology, and risks related to the regulatory approval and commercialization of a drug candidate. Additionally, the development and commercialization of new drug products is highly competitive. There are a number of large pharmaceutical and biotechnology companies developing products for the treatment of neurodegenerative diseases that may have significantly greater financial resources and expertise in drug product development. Products or technologies developed by competitors may diminish or render obsolete the Company’s existing products under development.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26" w:lineRule="exact"/>
        <w:rPr>
          <w:sz w:val="20"/>
          <w:szCs w:val="20"/>
          <w:color w:val="auto"/>
        </w:rPr>
      </w:pPr>
    </w:p>
    <w:p>
      <w:pPr>
        <w:ind w:right="80" w:firstLine="576"/>
        <w:spacing w:after="0" w:line="261" w:lineRule="auto"/>
        <w:rPr>
          <w:sz w:val="20"/>
          <w:szCs w:val="20"/>
          <w:color w:val="auto"/>
        </w:rPr>
      </w:pPr>
      <w:r>
        <w:rPr>
          <w:rFonts w:ascii="Arial" w:cs="Arial" w:eastAsia="Arial" w:hAnsi="Arial"/>
          <w:sz w:val="17"/>
          <w:szCs w:val="17"/>
          <w:color w:val="auto"/>
        </w:rPr>
        <w:t>The carrying amounts of certain financial instruments, including cash and cash equivalents, accounts payable and accrued expenses approximate their fair values due to the short-term nature of those amounts. The fair values of the grant liability to Life Services Discovery Fund (“LSDF”), the derivative liability, and the convertible preferred stock warrant liability were estimated using Level 3 unobservable inputs.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139" w:lineRule="exact"/>
        <w:rPr>
          <w:sz w:val="20"/>
          <w:szCs w:val="20"/>
          <w:color w:val="auto"/>
        </w:rPr>
      </w:pPr>
    </w:p>
    <w:p>
      <w:pPr>
        <w:ind w:right="200" w:firstLine="576"/>
        <w:spacing w:after="0" w:line="246" w:lineRule="auto"/>
        <w:rPr>
          <w:sz w:val="20"/>
          <w:szCs w:val="20"/>
          <w:color w:val="auto"/>
        </w:rPr>
      </w:pPr>
      <w:r>
        <w:rPr>
          <w:rFonts w:ascii="Arial" w:cs="Arial" w:eastAsia="Arial" w:hAnsi="Arial"/>
          <w:sz w:val="18"/>
          <w:szCs w:val="18"/>
          <w:color w:val="auto"/>
        </w:rPr>
        <w:t>Freestanding warrants to purchase shares of the Company’s convertible preferred stock are accounted for as liabilities at fair value, because the shares underlying the warrants contain contingent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7" w:name="page238"/>
    <w:bookmarkEnd w:id="237"/>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redemption features outside the control of the Company. Warrants classified as liabilities are recorded on the Company’s balance sheets at their fair value on the date of issuance and remeasured to fair value on each subsequent reporting period, with the changes in fair value recognized as a component of other income (expense), net in the accompanying statements of operations. The Company will continue to adjust the liability for changes in the fair value of these warrants until the earlier of the exercise of the warrants, the expiration of the warrants, or until such time as the warrants are no longer considered liability instruments.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39"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The Company capitalizes costs that are directly associated with in-process equity financings until such financings are consummated, at which time such costs reduce the gross proceeds of the offering. Should an in-process equity financing be abandoned, deferred offering costs are expensed immediately to operating expenses in the statement of operations and comprehensive loss.</w:t>
      </w:r>
    </w:p>
    <w:p>
      <w:pPr>
        <w:spacing w:after="0" w:line="243"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The Company also has deferred offering costs consisting of legal, accounting and other fees and costs directly attributable to the Company’s planned IPO. The deferred offering costs will be offset against the proceeds received upon the completion of the planned IPO. In the event the planned IPO is terminated, or delayed for more than 90 days, all of the deferred offering costs will be expensed within the Company’s condensed statements of operations. The Company had $415,000 of deferred offering costs recorded in other assets on the condensed balance sheet June 30, 2020. There were no deferred offering costs as of December 31,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9"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Research and development expenses consist primarily of direct and indirect costs incurred for research activities, including development of the ATH platform, the Company’s drug discovery efforts and the development of its product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232"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will adjust the amounts recorded accordingly. The Company has not experienced any material differences between accrued or prepaid costs and actual costs since inception.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6" w:lineRule="exact"/>
        <w:rPr>
          <w:sz w:val="20"/>
          <w:szCs w:val="20"/>
          <w:color w:val="auto"/>
        </w:rPr>
      </w:pPr>
    </w:p>
    <w:p>
      <w:pPr>
        <w:ind w:right="220" w:firstLine="576"/>
        <w:spacing w:after="0" w:line="238"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8" w:name="page239"/>
    <w:bookmarkEnd w:id="238"/>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Compensation expense is recognized over the requisite service period on a straight-line basis. Forfeitures are recognized as they occur.</w:t>
      </w:r>
    </w:p>
    <w:p>
      <w:pPr>
        <w:spacing w:after="0" w:line="205"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The Company records compensation expense for stock option grants subject to performance-based milestone vesting using the accelerated attribution method over the remaining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205"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Company adopted Accounting Standard Update (“ASU”) 2018-07 as of January 1, 2020. As a result, stock-based payments issued to non-employees prior to January 1, 2020 have been recorded at their fair values as of the transition date, and are no longer subject to periodic adjustments as the underlying equity instruments vest. Any remaining compensation expense is recognized over the remaining vesting term on a straight-line basis, which reflects the service period, based on the fair value as of January 1,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6" w:lineRule="exact"/>
        <w:rPr>
          <w:sz w:val="20"/>
          <w:szCs w:val="20"/>
          <w:color w:val="auto"/>
        </w:rPr>
      </w:pPr>
    </w:p>
    <w:p>
      <w:pPr>
        <w:ind w:right="620" w:firstLine="576"/>
        <w:spacing w:after="0" w:line="246" w:lineRule="auto"/>
        <w:rPr>
          <w:sz w:val="20"/>
          <w:szCs w:val="20"/>
          <w:color w:val="auto"/>
        </w:rPr>
      </w:pPr>
      <w:r>
        <w:rPr>
          <w:rFonts w:ascii="Arial" w:cs="Arial" w:eastAsia="Arial" w:hAnsi="Arial"/>
          <w:sz w:val="18"/>
          <w:szCs w:val="18"/>
          <w:color w:val="auto"/>
        </w:rPr>
        <w:t>Comprehensive loss consists of net loss and other gains and losses affecting stockholders’ deficit that, under U.S. GAAP, are excluded from net loss. The Company has no items of other comprehensive loss. As such, net loss equals comprehensive loss.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26" w:lineRule="exact"/>
        <w:rPr>
          <w:sz w:val="20"/>
          <w:szCs w:val="20"/>
          <w:color w:val="auto"/>
        </w:rPr>
      </w:pPr>
    </w:p>
    <w:p>
      <w:pPr>
        <w:ind w:right="300" w:firstLine="576"/>
        <w:spacing w:after="0" w:line="238"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126" w:lineRule="exact"/>
        <w:rPr>
          <w:sz w:val="20"/>
          <w:szCs w:val="20"/>
          <w:color w:val="auto"/>
        </w:rPr>
      </w:pPr>
    </w:p>
    <w:p>
      <w:pPr>
        <w:jc w:val="both"/>
        <w:ind w:right="40" w:firstLine="576"/>
        <w:spacing w:after="0" w:line="238" w:lineRule="auto"/>
        <w:rPr>
          <w:sz w:val="20"/>
          <w:szCs w:val="20"/>
          <w:color w:val="auto"/>
        </w:rPr>
      </w:pPr>
      <w:r>
        <w:rPr>
          <w:rFonts w:ascii="Arial" w:cs="Arial" w:eastAsia="Arial" w:hAnsi="Arial"/>
          <w:sz w:val="18"/>
          <w:szCs w:val="18"/>
          <w:color w:val="auto"/>
        </w:rPr>
        <w:t>The unaudited pro forma basic and diluted net loss per share attributable to common stockholders has been computed to give effect to the conversion of all shares of convertible preferred stock into common stock, the exercise of outstanding warrants for shares of common stock, and the repayment of the grant liability upon the closing of an IPO resulting in at least $ 50.0 million in gross proceeds. The unaudited pro forma net loss per share attributable to common stockholders does not include the shares to be sold from the proposed IPO.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26"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The Company has determined that it operates and manages one operating segment, which is the business of developing and commercializing therapeutics. The Company’s chief operating decision maker, its chief executive officer, reviews financial information on an aggregate basis for the purpose of allocating resources.</w:t>
      </w: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39" w:name="page240"/>
    <w:bookmarkEnd w:id="239"/>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39" w:lineRule="exact"/>
        <w:rPr>
          <w:sz w:val="20"/>
          <w:szCs w:val="20"/>
          <w:color w:val="auto"/>
        </w:rPr>
      </w:pPr>
    </w:p>
    <w:p>
      <w:pPr>
        <w:ind w:right="240" w:firstLine="576"/>
        <w:spacing w:after="0" w:line="238" w:lineRule="auto"/>
        <w:rPr>
          <w:sz w:val="20"/>
          <w:szCs w:val="20"/>
          <w:color w:val="auto"/>
        </w:rPr>
      </w:pPr>
      <w:r>
        <w:rPr>
          <w:rFonts w:ascii="Arial" w:cs="Arial" w:eastAsia="Arial" w:hAnsi="Arial"/>
          <w:sz w:val="18"/>
          <w:szCs w:val="18"/>
          <w:color w:val="auto"/>
        </w:rPr>
        <w:t>As of December 31, 2019 and June 30, 2020, the Company had an unsecured note receivable outstanding from its chief executive officer of approximately $36,000 and $33,000, respectively. The note accrues interest at 1.45% and requires monthly payments with final repayment in April 2025. The note is included in current portion of unsecured stockholder note receivable and unsecured stockholder note receivable in the accompanying condensed balance sheets. Interest income is recognized using the effective interest method, and is included in other income (expense), net in the condensed statements of operations and comprehensive loss.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(a) no longer an emerging growth company or (b)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08"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 xml:space="preserve">In February 2016, the Financial Accounting Standards Board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The ASU requires entities to recognize in the balance sheet a liability to make lease payments and a right-of-use asset representing its right to use the underlying asset for the lease term. The Company will adopt the standard on January 1, 2021 using the modified retrospective method in the year of adoption and electing certain transition practical expedients. The Company is currently evaluating the guidance to determine the potential impact on its financial condition, results of operations and cash flows, and financial statement disclosures, and expects that the adoption of the ASU will increase assets and liabilities related to the Company’s operating leases in the balance sheets.</w:t>
      </w:r>
    </w:p>
    <w:p>
      <w:pPr>
        <w:spacing w:after="0" w:line="184" w:lineRule="exact"/>
        <w:rPr>
          <w:sz w:val="20"/>
          <w:szCs w:val="20"/>
          <w:color w:val="auto"/>
        </w:rPr>
      </w:pPr>
    </w:p>
    <w:p>
      <w:pPr>
        <w:ind w:right="100" w:firstLine="576"/>
        <w:spacing w:after="0" w:line="242"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Credit Losses (Topic 326)</w:t>
      </w:r>
      <w:r>
        <w:rPr>
          <w:rFonts w:ascii="Arial" w:cs="Arial" w:eastAsia="Arial" w:hAnsi="Arial"/>
          <w:sz w:val="18"/>
          <w:szCs w:val="18"/>
          <w:color w:val="auto"/>
        </w:rPr>
        <w:t xml:space="preserve"> as clarified in ASU 2019-04 and ASU 2019-05. The objective of the standard is to provide information about expected credit losses on financial instruments at each reporting date and to change how other-than-temporary impairments on investment securities are recorded. The ASU will become effective beginning January 1, 2023, with early adoption permitted. The Company is currently evaluating the potential impacts of the ASU on its financial condition, results of operations, cash flows and financial statement disclosures.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8"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Disclosure Framework – 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w:t>
      </w:r>
      <w:r>
        <w:rPr>
          <w:rFonts w:ascii="Arial" w:cs="Arial" w:eastAsia="Arial" w:hAnsi="Arial"/>
          <w:sz w:val="18"/>
          <w:szCs w:val="18"/>
          <w:color w:val="auto"/>
        </w:rPr>
        <w:t>, which eliminates certain disclosure requirements for fair value measurements for all entities, requires public entities to</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 certain new information and modifies some disclosure requirements. The Company adopted this standard on January 1, 2020 and it did not have a material impact on its financial statements.</w:t>
      </w:r>
    </w:p>
    <w:p>
      <w:pPr>
        <w:spacing w:after="0" w:line="181" w:lineRule="exact"/>
        <w:rPr>
          <w:sz w:val="20"/>
          <w:szCs w:val="20"/>
          <w:color w:val="auto"/>
        </w:rPr>
      </w:pPr>
    </w:p>
    <w:p>
      <w:pPr>
        <w:ind w:right="180" w:firstLine="576"/>
        <w:spacing w:after="0" w:line="245"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326)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The new ASU simplifies the accounting for share-based payments to non-employees by aligning it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accounting for share-based payments to employees, with certain exceptions. The Company adopted the standard on January 1, 2020 and it did not have a material impact on the Company’s financial condition, results of operations and cash flows.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0" w:name="page241"/>
    <w:bookmarkEnd w:id="240"/>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37"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 − Goodwill and Others − 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Accounting for Implementation Costs Incurred in a Cloud Computing Arrangement that Is a Service Contract</w:t>
      </w:r>
      <w:r>
        <w:rPr>
          <w:rFonts w:ascii="Arial" w:cs="Arial" w:eastAsia="Arial" w:hAnsi="Arial"/>
          <w:sz w:val="18"/>
          <w:szCs w:val="18"/>
          <w:color w:val="auto"/>
        </w:rPr>
        <w:t>. The objective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ASU is to align the requirements for capitalizing implementation costs incurred in a hosting arrangement that is a service contract with the requirements for capitalizing implementation costs incurred to develop or obtain internal-use software. The ASU will become effective beginning January 1, 2021, with early adoption permitted. The Company does not expect the adoption of this ASU to have a significant impact on its financial condition, results of operations, cash flows and financial statement disclosures. In August 2018, the FASB issued ASU No. 2018-13, </w:t>
      </w:r>
      <w:r>
        <w:rPr>
          <w:rFonts w:ascii="Arial" w:cs="Arial" w:eastAsia="Arial" w:hAnsi="Arial"/>
          <w:sz w:val="18"/>
          <w:szCs w:val="18"/>
          <w:i w:val="1"/>
          <w:iCs w:val="1"/>
          <w:color w:val="auto"/>
        </w:rPr>
        <w:t>Disclosure Framework – Changes to the Disclosure Requirements for Fair Value Measurement</w:t>
      </w:r>
      <w:r>
        <w:rPr>
          <w:rFonts w:ascii="Arial" w:cs="Arial" w:eastAsia="Arial" w:hAnsi="Arial"/>
          <w:sz w:val="18"/>
          <w:szCs w:val="18"/>
          <w:color w:val="auto"/>
        </w:rPr>
        <w:t>, which eliminates certain disclosure requirements for fair value measurements for all entities, requires public entities to disclose certain new information and modifies some disclosure requirements. The Company adopted this standard on January 1, 2020 and it did not have a material impact on its financial statements.</w:t>
      </w:r>
    </w:p>
    <w:p>
      <w:pPr>
        <w:spacing w:after="0" w:line="171" w:lineRule="exact"/>
        <w:rPr>
          <w:sz w:val="20"/>
          <w:szCs w:val="20"/>
          <w:color w:val="auto"/>
        </w:rPr>
      </w:pPr>
    </w:p>
    <w:p>
      <w:pPr>
        <w:ind w:left="580" w:hanging="572"/>
        <w:spacing w:after="0"/>
        <w:tabs>
          <w:tab w:leader="none" w:pos="58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39" w:lineRule="exact"/>
        <w:rPr>
          <w:sz w:val="20"/>
          <w:szCs w:val="20"/>
          <w:color w:val="auto"/>
        </w:rPr>
      </w:pPr>
    </w:p>
    <w:p>
      <w:pPr>
        <w:ind w:right="100" w:firstLine="576"/>
        <w:spacing w:after="0" w:line="274" w:lineRule="auto"/>
        <w:rPr>
          <w:sz w:val="20"/>
          <w:szCs w:val="20"/>
          <w:color w:val="auto"/>
        </w:rPr>
      </w:pPr>
      <w:r>
        <w:rPr>
          <w:rFonts w:ascii="Arial" w:cs="Arial" w:eastAsia="Arial" w:hAnsi="Arial"/>
          <w:sz w:val="17"/>
          <w:szCs w:val="17"/>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62" w:lineRule="exact"/>
        <w:rPr>
          <w:sz w:val="20"/>
          <w:szCs w:val="20"/>
          <w:color w:val="auto"/>
        </w:rPr>
      </w:pPr>
    </w:p>
    <w:p>
      <w:pPr>
        <w:ind w:left="580" w:right="80"/>
        <w:spacing w:after="0" w:line="26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52" w:lineRule="exact"/>
        <w:rPr>
          <w:sz w:val="20"/>
          <w:szCs w:val="20"/>
          <w:color w:val="auto"/>
        </w:rPr>
      </w:pPr>
    </w:p>
    <w:p>
      <w:pPr>
        <w:ind w:left="580" w:right="360"/>
        <w:spacing w:after="0" w:line="267"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in markets that are not active or financial instruments for which all significant inputs are observable,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52" w:lineRule="exact"/>
        <w:rPr>
          <w:sz w:val="20"/>
          <w:szCs w:val="20"/>
          <w:color w:val="auto"/>
        </w:rPr>
      </w:pPr>
    </w:p>
    <w:p>
      <w:pPr>
        <w:ind w:left="580" w:right="40"/>
        <w:spacing w:after="0" w:line="250"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generally unobservable and reflect management’s estimates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 The fair values are determined using model-based techniques, including probability-based simulation methodologies.</w:t>
      </w:r>
    </w:p>
    <w:p>
      <w:pPr>
        <w:spacing w:after="0" w:line="195" w:lineRule="exact"/>
        <w:rPr>
          <w:sz w:val="20"/>
          <w:szCs w:val="20"/>
          <w:color w:val="auto"/>
        </w:rPr>
      </w:pPr>
    </w:p>
    <w:p>
      <w:pPr>
        <w:jc w:val="both"/>
        <w:ind w:right="100" w:firstLine="576"/>
        <w:spacing w:after="0" w:line="238" w:lineRule="auto"/>
        <w:rPr>
          <w:sz w:val="20"/>
          <w:szCs w:val="20"/>
          <w:color w:val="auto"/>
        </w:rPr>
      </w:pPr>
      <w:r>
        <w:rPr>
          <w:rFonts w:ascii="Arial" w:cs="Arial" w:eastAsia="Arial" w:hAnsi="Arial"/>
          <w:sz w:val="18"/>
          <w:szCs w:val="18"/>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p>
    <w:p>
      <w:pPr>
        <w:spacing w:after="0" w:line="232" w:lineRule="exact"/>
        <w:rPr>
          <w:sz w:val="20"/>
          <w:szCs w:val="20"/>
          <w:color w:val="auto"/>
        </w:rPr>
      </w:pPr>
    </w:p>
    <w:p>
      <w:pPr>
        <w:ind w:right="740" w:firstLine="576"/>
        <w:spacing w:after="0" w:line="246" w:lineRule="auto"/>
        <w:rPr>
          <w:sz w:val="20"/>
          <w:szCs w:val="20"/>
          <w:color w:val="auto"/>
        </w:rPr>
      </w:pPr>
      <w:r>
        <w:rPr>
          <w:rFonts w:ascii="Arial" w:cs="Arial" w:eastAsia="Arial" w:hAnsi="Arial"/>
          <w:sz w:val="18"/>
          <w:szCs w:val="18"/>
          <w:color w:val="auto"/>
        </w:rPr>
        <w:t>The fair value hierarchy of the Company’s liabilities carried at fair value and measured on a recurring basis was as follows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jc w:val="right"/>
              <w:ind w:right="335"/>
              <w:spacing w:after="0"/>
              <w:rPr>
                <w:sz w:val="20"/>
                <w:szCs w:val="20"/>
                <w:color w:val="auto"/>
              </w:rPr>
            </w:pPr>
            <w:r>
              <w:rPr>
                <w:rFonts w:ascii="Arial" w:cs="Arial" w:eastAsia="Arial" w:hAnsi="Arial"/>
                <w:sz w:val="14"/>
                <w:szCs w:val="14"/>
                <w:b w:val="1"/>
                <w:bCs w:val="1"/>
                <w:color w:val="auto"/>
              </w:rPr>
              <w:t>As of December 31, 2019</w:t>
            </w: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55"/>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09"/>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4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Grant liability</w:t>
            </w:r>
          </w:p>
        </w:tc>
        <w:tc>
          <w:tcPr>
            <w:tcW w:w="228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1,036</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liability (see Note 7)</w:t>
            </w:r>
          </w:p>
        </w:tc>
        <w:tc>
          <w:tcPr>
            <w:tcW w:w="140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420" w:type="dxa"/>
            <w:vAlign w:val="bottom"/>
          </w:tcPr>
          <w:p>
            <w:pPr>
              <w:ind w:left="260"/>
              <w:spacing w:after="0"/>
              <w:rPr>
                <w:sz w:val="20"/>
                <w:szCs w:val="20"/>
                <w:color w:val="auto"/>
              </w:rPr>
            </w:pPr>
            <w:r>
              <w:rPr>
                <w:rFonts w:ascii="Arial" w:cs="Arial" w:eastAsia="Arial" w:hAnsi="Arial"/>
                <w:sz w:val="18"/>
                <w:szCs w:val="18"/>
                <w:color w:val="auto"/>
              </w:rPr>
              <w:t>Total</w:t>
            </w:r>
          </w:p>
        </w:tc>
        <w:tc>
          <w:tcPr>
            <w:tcW w:w="228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2,035</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4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515"/>
              <w:spacing w:after="0"/>
              <w:rPr>
                <w:sz w:val="20"/>
                <w:szCs w:val="20"/>
                <w:color w:val="auto"/>
              </w:rPr>
            </w:pPr>
            <w:r>
              <w:rPr>
                <w:rFonts w:ascii="Arial" w:cs="Arial" w:eastAsia="Arial" w:hAnsi="Arial"/>
                <w:sz w:val="14"/>
                <w:szCs w:val="14"/>
                <w:b w:val="1"/>
                <w:bCs w:val="1"/>
                <w:color w:val="auto"/>
              </w:rPr>
              <w:t>As of June 30, 2020</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9"/>
        </w:trPr>
        <w:tc>
          <w:tcPr>
            <w:tcW w:w="4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55"/>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09"/>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4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Grant liability</w:t>
            </w:r>
          </w:p>
        </w:tc>
        <w:tc>
          <w:tcPr>
            <w:tcW w:w="228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1,047</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warrant liability</w:t>
            </w:r>
          </w:p>
        </w:tc>
        <w:tc>
          <w:tcPr>
            <w:tcW w:w="140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420" w:type="dxa"/>
            <w:vAlign w:val="bottom"/>
          </w:tcPr>
          <w:p>
            <w:pPr>
              <w:ind w:left="260"/>
              <w:spacing w:after="0"/>
              <w:rPr>
                <w:sz w:val="20"/>
                <w:szCs w:val="20"/>
                <w:color w:val="auto"/>
              </w:rPr>
            </w:pPr>
            <w:r>
              <w:rPr>
                <w:rFonts w:ascii="Arial" w:cs="Arial" w:eastAsia="Arial" w:hAnsi="Arial"/>
                <w:sz w:val="18"/>
                <w:szCs w:val="18"/>
                <w:color w:val="auto"/>
              </w:rPr>
              <w:t>Total</w:t>
            </w:r>
          </w:p>
        </w:tc>
        <w:tc>
          <w:tcPr>
            <w:tcW w:w="228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1,411</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4420" w:type="dxa"/>
            <w:vAlign w:val="bottom"/>
          </w:tcPr>
          <w:p>
            <w:pPr>
              <w:spacing w:after="0"/>
              <w:rPr>
                <w:sz w:val="24"/>
                <w:szCs w:val="24"/>
                <w:color w:val="auto"/>
              </w:rPr>
            </w:pPr>
          </w:p>
        </w:tc>
        <w:tc>
          <w:tcPr>
            <w:tcW w:w="2280" w:type="dxa"/>
            <w:vAlign w:val="bottom"/>
            <w:gridSpan w:val="2"/>
          </w:tcPr>
          <w:p>
            <w:pPr>
              <w:jc w:val="right"/>
              <w:ind w:right="828"/>
              <w:spacing w:after="0"/>
              <w:rPr>
                <w:sz w:val="20"/>
                <w:szCs w:val="20"/>
                <w:color w:val="auto"/>
              </w:rPr>
            </w:pPr>
            <w:r>
              <w:rPr>
                <w:rFonts w:ascii="Arial" w:cs="Arial" w:eastAsia="Arial" w:hAnsi="Arial"/>
                <w:sz w:val="18"/>
                <w:szCs w:val="18"/>
                <w:color w:val="auto"/>
              </w:rPr>
              <w:t>F-36</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44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41" w:name="page242"/>
    <w:bookmarkEnd w:id="241"/>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(unaudited)</w:t>
      </w:r>
    </w:p>
    <w:p>
      <w:pPr>
        <w:spacing w:after="0" w:line="239" w:lineRule="exact"/>
        <w:rPr>
          <w:sz w:val="20"/>
          <w:szCs w:val="20"/>
          <w:color w:val="auto"/>
        </w:rPr>
      </w:pPr>
    </w:p>
    <w:p>
      <w:pPr>
        <w:ind w:right="920" w:firstLine="576"/>
        <w:spacing w:after="0" w:line="246" w:lineRule="auto"/>
        <w:rPr>
          <w:sz w:val="20"/>
          <w:szCs w:val="20"/>
          <w:color w:val="auto"/>
        </w:rPr>
      </w:pPr>
      <w:r>
        <w:rPr>
          <w:rFonts w:ascii="Arial" w:cs="Arial" w:eastAsia="Arial" w:hAnsi="Arial"/>
          <w:sz w:val="18"/>
          <w:szCs w:val="18"/>
          <w:color w:val="auto"/>
        </w:rPr>
        <w:t>The following table presents the activity for the grant liability for the six months ended June 30, 2019 and June 30, 2020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32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fair value of grant liability</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w:t>
            </w:r>
          </w:p>
        </w:tc>
        <w:tc>
          <w:tcPr>
            <w:tcW w:w="132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120" w:type="dxa"/>
            <w:vAlign w:val="bottom"/>
            <w:shd w:val="clear" w:color="auto" w:fill="CFF0FC"/>
          </w:tcPr>
          <w:p>
            <w:pPr>
              <w:spacing w:after="0"/>
              <w:rPr>
                <w:sz w:val="18"/>
                <w:szCs w:val="18"/>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ind w:right="560" w:firstLine="576"/>
        <w:spacing w:after="0" w:line="246" w:lineRule="auto"/>
        <w:rPr>
          <w:sz w:val="20"/>
          <w:szCs w:val="20"/>
          <w:color w:val="auto"/>
        </w:rPr>
      </w:pPr>
      <w:r>
        <w:rPr>
          <w:rFonts w:ascii="Arial" w:cs="Arial" w:eastAsia="Arial" w:hAnsi="Arial"/>
          <w:sz w:val="18"/>
          <w:szCs w:val="18"/>
          <w:color w:val="auto"/>
        </w:rPr>
        <w:t>The following table presents the activity for the derivative liability for the six months ended June 30, 2019 and June 30, 2020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28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FF0FC"/>
          </w:tcPr>
          <w:p>
            <w:pPr>
              <w:spacing w:after="0"/>
              <w:rPr>
                <w:sz w:val="18"/>
                <w:szCs w:val="18"/>
                <w:color w:val="auto"/>
              </w:rPr>
            </w:pPr>
          </w:p>
        </w:tc>
      </w:tr>
      <w:tr>
        <w:trPr>
          <w:trHeight w:val="215"/>
        </w:trPr>
        <w:tc>
          <w:tcPr>
            <w:tcW w:w="7700" w:type="dxa"/>
            <w:vAlign w:val="bottom"/>
          </w:tcPr>
          <w:p>
            <w:pPr>
              <w:spacing w:after="0"/>
              <w:rPr>
                <w:sz w:val="20"/>
                <w:szCs w:val="20"/>
                <w:color w:val="auto"/>
              </w:rPr>
            </w:pPr>
            <w:r>
              <w:rPr>
                <w:rFonts w:ascii="Arial" w:cs="Arial" w:eastAsia="Arial" w:hAnsi="Arial"/>
                <w:sz w:val="18"/>
                <w:szCs w:val="18"/>
                <w:color w:val="auto"/>
              </w:rPr>
              <w:t>Derivative liability recorded upon issuance</w:t>
            </w: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700" w:type="dxa"/>
            <w:vAlign w:val="bottom"/>
          </w:tcPr>
          <w:p>
            <w:pPr>
              <w:ind w:left="160"/>
              <w:spacing w:after="0" w:line="203" w:lineRule="exact"/>
              <w:rPr>
                <w:sz w:val="20"/>
                <w:szCs w:val="20"/>
                <w:color w:val="auto"/>
              </w:rPr>
            </w:pPr>
            <w:r>
              <w:rPr>
                <w:rFonts w:ascii="Arial" w:cs="Arial" w:eastAsia="Arial" w:hAnsi="Arial"/>
                <w:sz w:val="18"/>
                <w:szCs w:val="18"/>
                <w:color w:val="auto"/>
              </w:rPr>
              <w:t>of convertible notes</w:t>
            </w:r>
          </w:p>
        </w:tc>
        <w:tc>
          <w:tcPr>
            <w:tcW w:w="110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rPr>
              <w:t>106</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rPr>
              <w:t>774</w:t>
            </w:r>
          </w:p>
        </w:tc>
        <w:tc>
          <w:tcPr>
            <w:tcW w:w="120" w:type="dxa"/>
            <w:vAlign w:val="bottom"/>
          </w:tcPr>
          <w:p>
            <w:pPr>
              <w:spacing w:after="0"/>
              <w:rPr>
                <w:sz w:val="17"/>
                <w:szCs w:val="17"/>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w:t>
            </w:r>
          </w:p>
        </w:tc>
        <w:tc>
          <w:tcPr>
            <w:tcW w:w="11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Derivative liability settled upon conversion of convertible notes</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(1,905)</w:t>
            </w:r>
          </w:p>
        </w:tc>
      </w:tr>
      <w:tr>
        <w:trPr>
          <w:trHeight w:val="20"/>
        </w:trPr>
        <w:tc>
          <w:tcPr>
            <w:tcW w:w="77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128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ind w:right="200" w:firstLine="576"/>
        <w:spacing w:after="0" w:line="238" w:lineRule="auto"/>
        <w:rPr>
          <w:sz w:val="20"/>
          <w:szCs w:val="20"/>
          <w:color w:val="auto"/>
        </w:rPr>
      </w:pPr>
      <w:r>
        <w:rPr>
          <w:rFonts w:ascii="Arial" w:cs="Arial" w:eastAsia="Arial" w:hAnsi="Arial"/>
          <w:sz w:val="18"/>
          <w:szCs w:val="18"/>
          <w:color w:val="auto"/>
        </w:rPr>
        <w:t>The losses resulting from the change in fair value of the grant liability and the bifurcated conversion and redemption features related to the derivative liability are classified as other income (expense), net in the accompanying statement of operations and comprehensive loss. Changes in any of the assumptions related to the unobservable inputs identified may change the fair value of these instruments. For example, an increase in interest rates would generally correspond to a decrease in the fair value of the liabilities.</w:t>
      </w:r>
    </w:p>
    <w:p>
      <w:pPr>
        <w:spacing w:after="0" w:line="232" w:lineRule="exact"/>
        <w:rPr>
          <w:sz w:val="20"/>
          <w:szCs w:val="20"/>
          <w:color w:val="auto"/>
        </w:rPr>
      </w:pPr>
    </w:p>
    <w:p>
      <w:pPr>
        <w:ind w:right="660" w:firstLine="576"/>
        <w:spacing w:after="0" w:line="246" w:lineRule="auto"/>
        <w:rPr>
          <w:sz w:val="20"/>
          <w:szCs w:val="20"/>
          <w:color w:val="auto"/>
        </w:rPr>
      </w:pPr>
      <w:r>
        <w:rPr>
          <w:rFonts w:ascii="Arial" w:cs="Arial" w:eastAsia="Arial" w:hAnsi="Arial"/>
          <w:sz w:val="18"/>
          <w:szCs w:val="18"/>
          <w:color w:val="auto"/>
        </w:rPr>
        <w:t>The derivative liability was settled in May 2020 upon conversion of the underlying convertible notes into Series B-1 convertible preferred stock (see Note 7).</w:t>
      </w:r>
    </w:p>
    <w:p>
      <w:pPr>
        <w:spacing w:after="0" w:line="224" w:lineRule="exact"/>
        <w:rPr>
          <w:sz w:val="20"/>
          <w:szCs w:val="20"/>
          <w:color w:val="auto"/>
        </w:rPr>
      </w:pPr>
    </w:p>
    <w:p>
      <w:pPr>
        <w:ind w:right="100" w:firstLine="576"/>
        <w:spacing w:after="0" w:line="246" w:lineRule="auto"/>
        <w:rPr>
          <w:sz w:val="20"/>
          <w:szCs w:val="20"/>
          <w:color w:val="auto"/>
        </w:rPr>
      </w:pPr>
      <w:r>
        <w:rPr>
          <w:rFonts w:ascii="Arial" w:cs="Arial" w:eastAsia="Arial" w:hAnsi="Arial"/>
          <w:sz w:val="18"/>
          <w:szCs w:val="18"/>
          <w:color w:val="auto"/>
        </w:rPr>
        <w:t>The following table presents the activity for the convertible preferred stock warrant liability for the six months ended June 30, 2020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9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June 30,</w:t>
            </w:r>
          </w:p>
        </w:tc>
      </w:tr>
      <w:tr>
        <w:trPr>
          <w:trHeight w:val="175"/>
        </w:trPr>
        <w:tc>
          <w:tcPr>
            <w:tcW w:w="9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r>
      <w:tr>
        <w:trPr>
          <w:trHeight w:val="209"/>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Recognition of convertible preferred stock warrant liability</w:t>
            </w: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FF0FC"/>
            </w:tcBorders>
          </w:tcPr>
          <w:p>
            <w:pPr>
              <w:spacing w:after="0"/>
              <w:rPr>
                <w:sz w:val="18"/>
                <w:szCs w:val="18"/>
                <w:color w:val="auto"/>
              </w:rPr>
            </w:pPr>
          </w:p>
        </w:tc>
      </w:tr>
      <w:tr>
        <w:trPr>
          <w:trHeight w:val="209"/>
        </w:trPr>
        <w:tc>
          <w:tcPr>
            <w:tcW w:w="9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ind w:left="580" w:hanging="572"/>
        <w:spacing w:after="0"/>
        <w:tabs>
          <w:tab w:leader="none" w:pos="58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consisted of the following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60" w:type="dxa"/>
            <w:vAlign w:val="bottom"/>
          </w:tcPr>
          <w:p>
            <w:pPr>
              <w:jc w:val="center"/>
              <w:ind w:left="228"/>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r>
      <w:tr>
        <w:trPr>
          <w:trHeight w:val="175"/>
        </w:trPr>
        <w:tc>
          <w:tcPr>
            <w:tcW w:w="42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260" w:type="dxa"/>
            <w:vAlign w:val="bottom"/>
          </w:tcPr>
          <w:p>
            <w:pPr>
              <w:jc w:val="center"/>
              <w:ind w:left="228"/>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5"/>
                <w:szCs w:val="15"/>
                <w:color w:val="auto"/>
              </w:rPr>
            </w:pPr>
          </w:p>
        </w:tc>
      </w:tr>
      <w:tr>
        <w:trPr>
          <w:trHeight w:val="175"/>
        </w:trPr>
        <w:tc>
          <w:tcPr>
            <w:tcW w:w="4240" w:type="dxa"/>
            <w:vAlign w:val="bottom"/>
            <w:tcBorders>
              <w:bottom w:val="single" w:sz="8" w:color="CFF0FC"/>
            </w:tcBorders>
          </w:tcPr>
          <w:p>
            <w:pPr>
              <w:spacing w:after="0"/>
              <w:rPr>
                <w:sz w:val="15"/>
                <w:szCs w:val="15"/>
                <w:color w:val="auto"/>
              </w:rPr>
            </w:pPr>
          </w:p>
        </w:tc>
        <w:tc>
          <w:tcPr>
            <w:tcW w:w="3460" w:type="dxa"/>
            <w:vAlign w:val="bottom"/>
            <w:tcBorders>
              <w:bottom w:val="single" w:sz="8" w:color="CFF0FC"/>
            </w:tcBorders>
          </w:tcPr>
          <w:p>
            <w:pPr>
              <w:spacing w:after="0"/>
              <w:rPr>
                <w:sz w:val="15"/>
                <w:szCs w:val="15"/>
                <w:color w:val="auto"/>
              </w:rPr>
            </w:pPr>
          </w:p>
        </w:tc>
        <w:tc>
          <w:tcPr>
            <w:tcW w:w="126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4720" w:type="dxa"/>
            <w:vAlign w:val="bottom"/>
            <w:gridSpan w:val="2"/>
            <w:shd w:val="clear" w:color="auto" w:fill="CFF0FC"/>
          </w:tcPr>
          <w:p>
            <w:pPr>
              <w:jc w:val="right"/>
              <w:ind w:right="1088"/>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536</w:t>
            </w: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3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230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and other</w:t>
            </w:r>
          </w:p>
        </w:tc>
        <w:tc>
          <w:tcPr>
            <w:tcW w:w="3460" w:type="dxa"/>
            <w:vAlign w:val="bottom"/>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240" w:type="dxa"/>
            <w:vAlign w:val="bottom"/>
          </w:tcPr>
          <w:p>
            <w:pPr>
              <w:ind w:left="260"/>
              <w:spacing w:after="0"/>
              <w:rPr>
                <w:sz w:val="20"/>
                <w:szCs w:val="20"/>
                <w:color w:val="auto"/>
              </w:rPr>
            </w:pPr>
            <w:r>
              <w:rPr>
                <w:rFonts w:ascii="Arial" w:cs="Arial" w:eastAsia="Arial" w:hAnsi="Arial"/>
                <w:sz w:val="18"/>
                <w:szCs w:val="18"/>
                <w:color w:val="auto"/>
              </w:rPr>
              <w:t>Total accrued expenses</w:t>
            </w:r>
          </w:p>
        </w:tc>
        <w:tc>
          <w:tcPr>
            <w:tcW w:w="4720" w:type="dxa"/>
            <w:vAlign w:val="bottom"/>
            <w:gridSpan w:val="2"/>
          </w:tcPr>
          <w:p>
            <w:pPr>
              <w:jc w:val="right"/>
              <w:ind w:right="1088"/>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852</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4240" w:type="dxa"/>
            <w:vAlign w:val="bottom"/>
          </w:tcPr>
          <w:p>
            <w:pPr>
              <w:spacing w:after="0"/>
              <w:rPr>
                <w:sz w:val="24"/>
                <w:szCs w:val="24"/>
                <w:color w:val="auto"/>
              </w:rPr>
            </w:pPr>
          </w:p>
        </w:tc>
        <w:tc>
          <w:tcPr>
            <w:tcW w:w="4720" w:type="dxa"/>
            <w:vAlign w:val="bottom"/>
            <w:gridSpan w:val="2"/>
          </w:tcPr>
          <w:p>
            <w:pPr>
              <w:jc w:val="right"/>
              <w:ind w:right="3088"/>
              <w:spacing w:after="0"/>
              <w:rPr>
                <w:sz w:val="20"/>
                <w:szCs w:val="20"/>
                <w:color w:val="auto"/>
              </w:rPr>
            </w:pPr>
            <w:r>
              <w:rPr>
                <w:rFonts w:ascii="Arial" w:cs="Arial" w:eastAsia="Arial" w:hAnsi="Arial"/>
                <w:sz w:val="18"/>
                <w:szCs w:val="18"/>
                <w:color w:val="auto"/>
              </w:rPr>
              <w:t>F-37</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4240" w:type="dxa"/>
            <w:vAlign w:val="bottom"/>
            <w:tcBorders>
              <w:bottom w:val="single" w:sz="8" w:color="9A9A9A"/>
            </w:tcBorders>
          </w:tcPr>
          <w:p>
            <w:pPr>
              <w:spacing w:after="0"/>
              <w:rPr>
                <w:sz w:val="8"/>
                <w:szCs w:val="8"/>
                <w:color w:val="auto"/>
              </w:rPr>
            </w:pPr>
          </w:p>
        </w:tc>
        <w:tc>
          <w:tcPr>
            <w:tcW w:w="34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42" w:name="page243"/>
    <w:bookmarkEnd w:id="242"/>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65" w:lineRule="exact"/>
        <w:rPr>
          <w:sz w:val="20"/>
          <w:szCs w:val="20"/>
          <w:color w:val="auto"/>
        </w:rPr>
      </w:pPr>
    </w:p>
    <w:p>
      <w:pPr>
        <w:ind w:left="580" w:hanging="572"/>
        <w:spacing w:after="0"/>
        <w:tabs>
          <w:tab w:leader="none" w:pos="58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 Net</w:t>
      </w:r>
    </w:p>
    <w:p>
      <w:pPr>
        <w:spacing w:after="0" w:line="12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Other income (expense), net consisted of the following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920" w:type="dxa"/>
            <w:vAlign w:val="bottom"/>
            <w:tcBorders>
              <w:bottom w:val="single" w:sz="8" w:color="auto"/>
            </w:tcBorders>
            <w:gridSpan w:val="5"/>
          </w:tcPr>
          <w:p>
            <w:pPr>
              <w:jc w:val="right"/>
              <w:ind w:right="208"/>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 xml:space="preserve">Part the Cloud </w:t>
            </w:r>
            <w:r>
              <w:rPr>
                <w:rFonts w:ascii="Arial" w:cs="Arial" w:eastAsia="Arial" w:hAnsi="Arial"/>
                <w:sz w:val="18"/>
                <w:szCs w:val="18"/>
                <w:color w:val="auto"/>
              </w:rPr>
              <w:t>research grant</w:t>
            </w:r>
          </w:p>
        </w:tc>
        <w:tc>
          <w:tcPr>
            <w:tcW w:w="106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88"/>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(366)</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Change in fair value of derivative liability</w:t>
            </w:r>
          </w:p>
        </w:tc>
        <w:tc>
          <w:tcPr>
            <w:tcW w:w="10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grant liability</w:t>
            </w:r>
          </w:p>
        </w:tc>
        <w:tc>
          <w:tcPr>
            <w:tcW w:w="10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Gain on extinguishment of convertible notes</w:t>
            </w: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other income (expense), net</w:t>
            </w:r>
          </w:p>
        </w:tc>
        <w:tc>
          <w:tcPr>
            <w:tcW w:w="106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88"/>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(278)</w:t>
            </w: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342" w:lineRule="exact"/>
        <w:rPr>
          <w:sz w:val="20"/>
          <w:szCs w:val="20"/>
          <w:color w:val="auto"/>
        </w:rPr>
      </w:pPr>
    </w:p>
    <w:p>
      <w:pPr>
        <w:ind w:left="580" w:hanging="572"/>
        <w:spacing w:after="0"/>
        <w:tabs>
          <w:tab w:leader="none" w:pos="58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Washington State University (“WSU”) License Agreement</w:t>
      </w:r>
    </w:p>
    <w:p>
      <w:pPr>
        <w:spacing w:after="0" w:line="139"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In December 2011, the Company entered into an exclusive license agreement with sublicensing terms with Washington State University Research Fund (“WSURF”), which, after the dissolution of WSURF in 2013, was superseded by an amended and restated exclusive license agreement with sublicensing terms between the Company and WSU in 2015. Under this agreement, the Company has an exclusive license to make, use, sell, and offer for sale a chemical compound that forms the underlying technology of the drug therapies being developed by the Company.</w:t>
      </w:r>
    </w:p>
    <w:p>
      <w:pPr>
        <w:spacing w:after="0" w:line="243" w:lineRule="exact"/>
        <w:rPr>
          <w:sz w:val="20"/>
          <w:szCs w:val="20"/>
          <w:color w:val="auto"/>
        </w:rPr>
      </w:pPr>
    </w:p>
    <w:p>
      <w:pPr>
        <w:ind w:right="820" w:firstLine="576"/>
        <w:spacing w:after="0" w:line="246" w:lineRule="auto"/>
        <w:rPr>
          <w:sz w:val="20"/>
          <w:szCs w:val="20"/>
          <w:color w:val="auto"/>
        </w:rPr>
      </w:pPr>
      <w:r>
        <w:rPr>
          <w:rFonts w:ascii="Arial" w:cs="Arial" w:eastAsia="Arial" w:hAnsi="Arial"/>
          <w:sz w:val="18"/>
          <w:szCs w:val="18"/>
          <w:color w:val="auto"/>
        </w:rPr>
        <w:t>To keep in good standing, the agreement requires the Company to meet certain development milestones and pay an annual maintenance fee. All contractual requirements have been met as of June 30, 2020.</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may also be obligated to pay the following if the related milestones are reached:</w:t>
      </w:r>
    </w:p>
    <w:p>
      <w:pPr>
        <w:spacing w:after="0" w:line="212" w:lineRule="exact"/>
        <w:rPr>
          <w:sz w:val="20"/>
          <w:szCs w:val="20"/>
          <w:color w:val="auto"/>
        </w:rPr>
      </w:pPr>
    </w:p>
    <w:p>
      <w:pPr>
        <w:ind w:left="1300" w:right="360" w:hanging="442"/>
        <w:spacing w:after="0" w:line="246" w:lineRule="auto"/>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$50,000 – At initiation of the first Phase 2 clinical trial in the United States, European Union or Japan for the first licensed product.</w:t>
      </w:r>
    </w:p>
    <w:p>
      <w:pPr>
        <w:spacing w:after="0" w:line="102" w:lineRule="exact"/>
        <w:rPr>
          <w:rFonts w:ascii="Arial" w:cs="Arial" w:eastAsia="Arial" w:hAnsi="Arial"/>
          <w:sz w:val="18"/>
          <w:szCs w:val="18"/>
          <w:color w:val="auto"/>
        </w:rPr>
      </w:pPr>
    </w:p>
    <w:p>
      <w:pPr>
        <w:ind w:left="1300" w:right="260" w:hanging="442"/>
        <w:spacing w:after="0" w:line="246" w:lineRule="auto"/>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102" w:lineRule="exact"/>
        <w:rPr>
          <w:rFonts w:ascii="Arial" w:cs="Arial" w:eastAsia="Arial" w:hAnsi="Arial"/>
          <w:sz w:val="18"/>
          <w:szCs w:val="18"/>
          <w:color w:val="auto"/>
        </w:rPr>
      </w:pPr>
    </w:p>
    <w:p>
      <w:pPr>
        <w:ind w:left="1300" w:hanging="442"/>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June 30, 2020, none of these milestones had been reached.</w:t>
      </w:r>
    </w:p>
    <w:p>
      <w:pPr>
        <w:spacing w:after="0" w:line="252" w:lineRule="exact"/>
        <w:rPr>
          <w:sz w:val="20"/>
          <w:szCs w:val="20"/>
          <w:color w:val="auto"/>
        </w:rPr>
      </w:pPr>
    </w:p>
    <w:p>
      <w:pPr>
        <w:jc w:val="both"/>
        <w:ind w:right="260" w:firstLine="576"/>
        <w:spacing w:after="0"/>
        <w:rPr>
          <w:sz w:val="20"/>
          <w:szCs w:val="20"/>
          <w:color w:val="auto"/>
        </w:rPr>
      </w:pPr>
      <w:r>
        <w:rPr>
          <w:rFonts w:ascii="Arial" w:cs="Arial" w:eastAsia="Arial" w:hAnsi="Arial"/>
          <w:sz w:val="18"/>
          <w:szCs w:val="18"/>
          <w:color w:val="auto"/>
        </w:rPr>
        <w:t>Under the terms of the agreement, the Company will pay a royalty in the mid-single digits of net sales, with the first $100,000 of net sales being exempt from royalty payment, and annual minimum royalty payments of $25,000 beginning after the first commercial sale of a licensed product. As of June 30, 2020, the Company had not incurred a royalty obligation under this agreement.</w:t>
      </w:r>
    </w:p>
    <w:p>
      <w:pPr>
        <w:spacing w:after="0" w:line="203"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Additionally, the agreement allows the Company to sublicense the rights conveyed by the agreement, subject to additional payments to WSU for sublicense consideration received. Such amounts are dependent on the terms of the underlying sublicense, and range from the mid-single digits to mid-tens of any non-sales based payments received, and low twenties of net sales based sublicense royalties. As of June 30, 2020, the Company had not entered into or incurred any liability from a sublicense agreement.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3" w:name="page244"/>
    <w:bookmarkEnd w:id="243"/>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(unaudited)</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26" w:lineRule="exact"/>
        <w:rPr>
          <w:sz w:val="20"/>
          <w:szCs w:val="20"/>
          <w:color w:val="auto"/>
        </w:rPr>
      </w:pPr>
    </w:p>
    <w:p>
      <w:pPr>
        <w:jc w:val="both"/>
        <w:ind w:right="160" w:firstLine="576"/>
        <w:spacing w:after="0"/>
        <w:rPr>
          <w:sz w:val="20"/>
          <w:szCs w:val="20"/>
          <w:color w:val="auto"/>
        </w:rPr>
      </w:pPr>
      <w:r>
        <w:rPr>
          <w:rFonts w:ascii="Arial" w:cs="Arial" w:eastAsia="Arial" w:hAnsi="Arial"/>
          <w:sz w:val="18"/>
          <w:szCs w:val="18"/>
          <w:color w:val="auto"/>
        </w:rPr>
        <w:t>In 2014 and 2015, the Company received $250,000 and $500,000, respectively, from the Washington LSDF under the terms of two matching grant award agreements. In connection with the agreements, LSDF retained the right to receive cash payments of 2.0 times the amounts received, or $1.5 million, upon the occurrence of specified triggering events, including:</w:t>
      </w:r>
    </w:p>
    <w:p>
      <w:pPr>
        <w:spacing w:after="0" w:line="108" w:lineRule="exact"/>
        <w:rPr>
          <w:sz w:val="20"/>
          <w:szCs w:val="20"/>
          <w:color w:val="auto"/>
        </w:rPr>
      </w:pPr>
    </w:p>
    <w:p>
      <w:pPr>
        <w:ind w:left="1300" w:hanging="442"/>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receipt of license revenue, sales revenue, or consideration related to the underlying IP;</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transfers the underlying IP without receiving consideration;</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relocation of the Company from Washington state;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completion of an initial public offering;</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third-party acquisition of a controlling interest in the Company,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termination of the agreements.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June 30, 2020, no triggering events have occurred and no payments to LSDF have been made.</w:t>
      </w:r>
    </w:p>
    <w:p>
      <w:pPr>
        <w:spacing w:after="0" w:line="252"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 xml:space="preserve">To appropriately capture the economics of this arrangement, the grant liability is accounted for under Accounting Standards Codification (“ASC”) 825-10, </w:t>
      </w:r>
      <w:r>
        <w:rPr>
          <w:rFonts w:ascii="Arial" w:cs="Arial" w:eastAsia="Arial" w:hAnsi="Arial"/>
          <w:sz w:val="18"/>
          <w:szCs w:val="18"/>
          <w:i w:val="1"/>
          <w:iCs w:val="1"/>
          <w:color w:val="auto"/>
        </w:rPr>
        <w:t>Financial Instruments −Overall</w:t>
      </w:r>
      <w:r>
        <w:rPr>
          <w:rFonts w:ascii="Arial" w:cs="Arial" w:eastAsia="Arial" w:hAnsi="Arial"/>
          <w:sz w:val="18"/>
          <w:szCs w:val="18"/>
          <w:color w:val="auto"/>
        </w:rPr>
        <w:t>. The estimated fair value of the grant liability is reassessed at each balance sheet date, with changes in fair value reflected in other income (expense), net. To determine the estimated fair value of the grant liability at December 31, 2019 and June 30, 2020, the Company used a 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are subject to significant judgment, and payment may be in an amount different from the liability that the Company estimates. However, total payments under the agreements will not exceed $1.5 million.</w:t>
      </w:r>
    </w:p>
    <w:p>
      <w:pPr>
        <w:spacing w:after="0" w:line="208" w:lineRule="exact"/>
        <w:rPr>
          <w:sz w:val="20"/>
          <w:szCs w:val="20"/>
          <w:color w:val="auto"/>
        </w:rPr>
      </w:pPr>
    </w:p>
    <w:p>
      <w:pPr>
        <w:ind w:right="180" w:firstLine="576"/>
        <w:spacing w:after="0" w:line="238" w:lineRule="auto"/>
        <w:rPr>
          <w:sz w:val="20"/>
          <w:szCs w:val="20"/>
          <w:color w:val="auto"/>
        </w:rPr>
      </w:pPr>
      <w:r>
        <w:rPr>
          <w:rFonts w:ascii="Arial" w:cs="Arial" w:eastAsia="Arial" w:hAnsi="Arial"/>
          <w:sz w:val="18"/>
          <w:szCs w:val="18"/>
          <w:color w:val="auto"/>
        </w:rPr>
        <w:t>The estimated fair value of the grant liability was $1.0 million as of each of December 31, 2019 and June 30, 2020. The changes in the fair value of the liability resulted in losses of approximately $30,000 and $11,000 for the six months period ended June 30, 2019 and 2020, respectively, which was included in other income (expense), net in the accompanying statement of operations and comprehensive loss.</w:t>
      </w:r>
    </w:p>
    <w:p>
      <w:pPr>
        <w:spacing w:after="0" w:line="291" w:lineRule="exact"/>
        <w:rPr>
          <w:sz w:val="20"/>
          <w:szCs w:val="20"/>
          <w:color w:val="auto"/>
        </w:rPr>
      </w:pPr>
    </w:p>
    <w:p>
      <w:pPr>
        <w:ind w:left="580" w:hanging="572"/>
        <w:spacing w:after="0"/>
        <w:tabs>
          <w:tab w:leader="none" w:pos="58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03"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Convertible Notes</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Company issued unsecured convertible notes with aggregate principal amounts of $1.3 million and $ 884,000 in 2018 and 2019, respectively. The Company issued additional unsecured convertible notes with an aggregate principal amount of 1.7 million in 2020. The notes accrue interest at a rate of 5% per year and mature in December 2021, unless earlier converted. No principal or interest is payable prior to maturity as the convertible notes and any accrued interest will automatically convert upon a qualified financing event at a conversion price equal to 85% of the price per share of the qualified financing. Holders may also elect to convert their notes to shares of common stock upon the maturity of the notes at the then fair value of common stock. If the Company experiences a change in control, holders may either convert the outstanding principal amount plus any accrued interest into shares of common stock at the then fair value of common stock or may require the Company to repurchase the notes in cash at a price equal to 200% of the outstanding principal amount plus any accrued interest.</w:t>
      </w:r>
    </w:p>
    <w:p>
      <w:pPr>
        <w:spacing w:after="0" w:line="207" w:lineRule="exact"/>
        <w:rPr>
          <w:sz w:val="20"/>
          <w:szCs w:val="20"/>
          <w:color w:val="auto"/>
        </w:rPr>
      </w:pPr>
    </w:p>
    <w:p>
      <w:pPr>
        <w:jc w:val="both"/>
        <w:ind w:firstLine="576"/>
        <w:spacing w:after="0"/>
        <w:rPr>
          <w:sz w:val="20"/>
          <w:szCs w:val="20"/>
          <w:color w:val="auto"/>
        </w:rPr>
      </w:pPr>
      <w:r>
        <w:rPr>
          <w:rFonts w:ascii="Arial" w:cs="Arial" w:eastAsia="Arial" w:hAnsi="Arial"/>
          <w:sz w:val="18"/>
          <w:szCs w:val="18"/>
          <w:color w:val="auto"/>
        </w:rPr>
        <w:t xml:space="preserve">Certain conversion and redemption features as described above were determined to be an embedded derivative requiring bifurcation and separate accounting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fair value of the embedded derivative was determined using a discounted cash flow simulation methodology that assigns probabilities to the timing and likelihood of each event.</w:t>
      </w: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44" w:name="page245"/>
    <w:bookmarkEnd w:id="244"/>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5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discount rate was determined based on market interest rate data for securities with similar durations and credit ratings to the convertible notes. The fair value of the embedded derivative was recorded as a liability with an offsetting amount recorded as a discount on the convertible notes at each issuance. The discount is being amortized to interest expense using the effective interest method over the contractual term of the notes.</w:t>
      </w:r>
    </w:p>
    <w:p>
      <w:pPr>
        <w:spacing w:after="0" w:line="205" w:lineRule="exact"/>
        <w:rPr>
          <w:sz w:val="20"/>
          <w:szCs w:val="20"/>
          <w:color w:val="auto"/>
        </w:rPr>
      </w:pPr>
    </w:p>
    <w:p>
      <w:pPr>
        <w:ind w:firstLine="576"/>
        <w:spacing w:after="0" w:line="246" w:lineRule="auto"/>
        <w:rPr>
          <w:sz w:val="20"/>
          <w:szCs w:val="20"/>
          <w:color w:val="auto"/>
        </w:rPr>
      </w:pPr>
      <w:r>
        <w:rPr>
          <w:rFonts w:ascii="Arial" w:cs="Arial" w:eastAsia="Arial" w:hAnsi="Arial"/>
          <w:sz w:val="18"/>
          <w:szCs w:val="18"/>
          <w:color w:val="auto"/>
        </w:rPr>
        <w:t>In May 2020, the outstanding principal balance of the convertible notes of $3.8 million and accrued interest of $160,000 converted into 4,067,148 shares of Series B-1 convertible preferred stock.</w:t>
      </w:r>
    </w:p>
    <w:p>
      <w:pPr>
        <w:spacing w:after="0" w:line="197" w:lineRule="exact"/>
        <w:rPr>
          <w:sz w:val="20"/>
          <w:szCs w:val="20"/>
          <w:color w:val="auto"/>
        </w:rPr>
      </w:pPr>
    </w:p>
    <w:p>
      <w:pPr>
        <w:ind w:right="300" w:firstLine="576"/>
        <w:spacing w:after="0" w:line="246" w:lineRule="auto"/>
        <w:rPr>
          <w:sz w:val="20"/>
          <w:szCs w:val="20"/>
          <w:color w:val="auto"/>
        </w:rPr>
      </w:pPr>
      <w:r>
        <w:rPr>
          <w:rFonts w:ascii="Arial" w:cs="Arial" w:eastAsia="Arial" w:hAnsi="Arial"/>
          <w:sz w:val="18"/>
          <w:szCs w:val="18"/>
          <w:color w:val="auto"/>
        </w:rPr>
        <w:t>The excess of the carrying value of the convertible notes and the derivative liability over the fair value of the Series B-1 convertible preferred stock at conversion resulted in a gain upon extinguishment of $199,000. See Note 9.</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w:t>
      </w:r>
    </w:p>
    <w:p>
      <w:pPr>
        <w:spacing w:after="0" w:line="126"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The Company received a loan of $215,000 from the U.S. Small Business Administration Paycheck Protection Program (“PPP”) in April 2020. The PPP loans are intended to assist companies impacted by the COVID-19 pandemic to fund certain types of expenditures, including payroll costs, rent and utility payments. PPP loans and any accrued interest may be forgiven to the extent that all employees are retained, proceeds are used within eight weeks of receipt, and if at least 75% of the loan amount utilized was for payroll costs. The loan bears interest at a rate of 1%, and any portion of the loan not forgiven and any accrued interest thereon must be repaid within two years. The loan was fully repaid in June 2020.</w:t>
      </w:r>
    </w:p>
    <w:p>
      <w:pPr>
        <w:spacing w:after="0" w:line="291" w:lineRule="exact"/>
        <w:rPr>
          <w:sz w:val="20"/>
          <w:szCs w:val="20"/>
          <w:color w:val="auto"/>
        </w:rPr>
      </w:pPr>
    </w:p>
    <w:p>
      <w:pPr>
        <w:ind w:right="7800" w:firstLine="8"/>
        <w:spacing w:after="0" w:line="372" w:lineRule="auto"/>
        <w:tabs>
          <w:tab w:leader="none" w:pos="567"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spacing w:after="0" w:line="1" w:lineRule="exact"/>
        <w:rPr>
          <w:sz w:val="20"/>
          <w:szCs w:val="20"/>
          <w:color w:val="auto"/>
        </w:rPr>
      </w:pPr>
    </w:p>
    <w:p>
      <w:pPr>
        <w:ind w:right="180" w:firstLine="576"/>
        <w:spacing w:after="0"/>
        <w:rPr>
          <w:sz w:val="20"/>
          <w:szCs w:val="20"/>
          <w:color w:val="auto"/>
        </w:rPr>
      </w:pPr>
      <w:r>
        <w:rPr>
          <w:rFonts w:ascii="Arial" w:cs="Arial" w:eastAsia="Arial" w:hAnsi="Arial"/>
          <w:sz w:val="18"/>
          <w:szCs w:val="18"/>
          <w:color w:val="auto"/>
        </w:rPr>
        <w:t xml:space="preserve">The Company leases office and laboratory space with a one-year lease term. Rent is expensed as incurred. The Company incurred rent expense of approximately $44,000 and $39,000 for the six months ended June 30, 2019 and 2020, respectively. The Company will continue to account for its leases under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until it adopts ASC 842, </w:t>
      </w:r>
      <w:r>
        <w:rPr>
          <w:rFonts w:ascii="Arial" w:cs="Arial" w:eastAsia="Arial" w:hAnsi="Arial"/>
          <w:sz w:val="18"/>
          <w:szCs w:val="18"/>
          <w:i w:val="1"/>
          <w:iCs w:val="1"/>
          <w:color w:val="auto"/>
        </w:rPr>
        <w:t>Leases</w:t>
      </w:r>
      <w:r>
        <w:rPr>
          <w:rFonts w:ascii="Arial" w:cs="Arial" w:eastAsia="Arial" w:hAnsi="Arial"/>
          <w:sz w:val="18"/>
          <w:szCs w:val="18"/>
          <w:color w:val="auto"/>
        </w:rPr>
        <w:t>, as discussed further in Note 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26" w:lineRule="exact"/>
        <w:rPr>
          <w:sz w:val="20"/>
          <w:szCs w:val="20"/>
          <w:color w:val="auto"/>
        </w:rPr>
      </w:pPr>
    </w:p>
    <w:p>
      <w:pPr>
        <w:ind w:right="140" w:firstLine="576"/>
        <w:spacing w:after="0"/>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5" w:name="page246"/>
    <w:bookmarkEnd w:id="245"/>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26"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intends to enter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26"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 xml:space="preserve">Management continues </w:t>
      </w:r>
      <w:r>
        <w:rPr>
          <w:rFonts w:ascii="Arial" w:cs="Arial" w:eastAsia="Arial" w:hAnsi="Arial"/>
          <w:sz w:val="18"/>
          <w:szCs w:val="18"/>
          <w:color w:val="212121"/>
        </w:rPr>
        <w:t>to evaluate the impacts and potential impacts of COVID-19 on the development of its product candidates. The</w:t>
      </w:r>
      <w:r>
        <w:rPr>
          <w:rFonts w:ascii="Arial" w:cs="Arial" w:eastAsia="Arial" w:hAnsi="Arial"/>
          <w:sz w:val="18"/>
          <w:szCs w:val="18"/>
          <w:color w:val="auto"/>
        </w:rPr>
        <w:t xml:space="preserve"> </w:t>
      </w:r>
      <w:r>
        <w:rPr>
          <w:rFonts w:ascii="Arial" w:cs="Arial" w:eastAsia="Arial" w:hAnsi="Arial"/>
          <w:sz w:val="18"/>
          <w:szCs w:val="18"/>
          <w:color w:val="212121"/>
        </w:rPr>
        <w:t>Company is working closely with its manufacturing vendors to maintain adequate product supply and with healthcare providers as future studies and trials are planned in order to mitigate risk to patients while adhering to regulatory, institutional and government guidance and policies. The Company remains committed to its development plans and acknowledges the potential risk for delays in the product supply chain and in anticipated timelines for its clinical trials.</w:t>
      </w:r>
    </w:p>
    <w:p>
      <w:pPr>
        <w:spacing w:after="0" w:line="329" w:lineRule="exact"/>
        <w:rPr>
          <w:sz w:val="20"/>
          <w:szCs w:val="20"/>
          <w:color w:val="auto"/>
        </w:rPr>
      </w:pPr>
    </w:p>
    <w:p>
      <w:pPr>
        <w:ind w:left="580" w:hanging="572"/>
        <w:spacing w:after="0"/>
        <w:tabs>
          <w:tab w:leader="none" w:pos="58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26" w:lineRule="exact"/>
        <w:rPr>
          <w:sz w:val="20"/>
          <w:szCs w:val="20"/>
          <w:color w:val="auto"/>
        </w:rPr>
      </w:pPr>
    </w:p>
    <w:p>
      <w:pPr>
        <w:ind w:right="560" w:firstLine="576"/>
        <w:spacing w:after="0" w:line="246" w:lineRule="auto"/>
        <w:rPr>
          <w:sz w:val="20"/>
          <w:szCs w:val="20"/>
          <w:color w:val="auto"/>
        </w:rPr>
      </w:pPr>
      <w:r>
        <w:rPr>
          <w:rFonts w:ascii="Arial" w:cs="Arial" w:eastAsia="Arial" w:hAnsi="Arial"/>
          <w:sz w:val="18"/>
          <w:szCs w:val="18"/>
          <w:color w:val="auto"/>
        </w:rPr>
        <w:t>Convertible preferred stock as of December 31, 2019 and June 30, 2020 consisted of the following (in thousands, except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ind w:right="98"/>
              <w:spacing w:after="0"/>
              <w:rPr>
                <w:sz w:val="20"/>
                <w:szCs w:val="20"/>
                <w:color w:val="auto"/>
              </w:rPr>
            </w:pPr>
            <w:r>
              <w:rPr>
                <w:rFonts w:ascii="Arial" w:cs="Arial" w:eastAsia="Arial" w:hAnsi="Arial"/>
                <w:sz w:val="14"/>
                <w:szCs w:val="14"/>
                <w:b w:val="1"/>
                <w:bCs w:val="1"/>
                <w:color w:val="auto"/>
              </w:rPr>
              <w:t>Carrying Value at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4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Convertible</w:t>
            </w: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Shares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Issued and</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center"/>
              <w:ind w:right="98"/>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Liquidation</w:t>
            </w:r>
          </w:p>
        </w:tc>
      </w:tr>
      <w:tr>
        <w:trPr>
          <w:trHeight w:val="175"/>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Borders>
              <w:bottom w:val="single" w:sz="8" w:color="CFF0FC"/>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Authorized</w:t>
            </w:r>
          </w:p>
        </w:tc>
        <w:tc>
          <w:tcPr>
            <w:tcW w:w="300" w:type="dxa"/>
            <w:vAlign w:val="bottom"/>
            <w:tcBorders>
              <w:bottom w:val="single" w:sz="8" w:color="CFF0FC"/>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3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Preference</w:t>
            </w:r>
          </w:p>
        </w:tc>
        <w:tc>
          <w:tcPr>
            <w:tcW w:w="100" w:type="dxa"/>
            <w:vAlign w:val="bottom"/>
            <w:tcBorders>
              <w:bottom w:val="single" w:sz="8" w:color="CFF0FC"/>
            </w:tcBorders>
          </w:tcPr>
          <w:p>
            <w:pPr>
              <w:spacing w:after="0"/>
              <w:rPr>
                <w:sz w:val="15"/>
                <w:szCs w:val="15"/>
                <w:color w:val="auto"/>
              </w:rPr>
            </w:pPr>
          </w:p>
        </w:tc>
      </w:tr>
      <w:tr>
        <w:trPr>
          <w:trHeight w:val="210"/>
        </w:trPr>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A</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13,600,000</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12,172,000</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15,215</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Series A-1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8,584,536</w:t>
            </w:r>
          </w:p>
        </w:tc>
        <w:tc>
          <w:tcPr>
            <w:tcW w:w="300" w:type="dxa"/>
            <w:vAlign w:val="bottom"/>
            <w:tcBorders>
              <w:bottom w:val="single" w:sz="8" w:color="CFF0FC"/>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8,584,536</w:t>
            </w:r>
          </w:p>
        </w:tc>
        <w:tc>
          <w:tcPr>
            <w:tcW w:w="3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FF0FC"/>
            </w:tcBorders>
          </w:tcPr>
          <w:p>
            <w:pPr>
              <w:spacing w:after="0"/>
              <w:rPr>
                <w:sz w:val="18"/>
                <w:szCs w:val="18"/>
                <w:color w:val="auto"/>
              </w:rPr>
            </w:pPr>
          </w:p>
        </w:tc>
      </w:tr>
      <w:tr>
        <w:trPr>
          <w:trHeight w:val="210"/>
        </w:trPr>
        <w:tc>
          <w:tcPr>
            <w:tcW w:w="4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22,184,536</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20,756,536</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17,051</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16,288</w:t>
            </w:r>
          </w:p>
        </w:tc>
        <w:tc>
          <w:tcPr>
            <w:tcW w:w="100" w:type="dxa"/>
            <w:vAlign w:val="bottom"/>
            <w:shd w:val="clear" w:color="auto" w:fill="CFF0FC"/>
          </w:tcPr>
          <w:p>
            <w:pPr>
              <w:spacing w:after="0"/>
              <w:rPr>
                <w:sz w:val="18"/>
                <w:szCs w:val="18"/>
                <w:color w:val="auto"/>
              </w:rPr>
            </w:pPr>
          </w:p>
        </w:tc>
      </w:tr>
      <w:tr>
        <w:trPr>
          <w:trHeight w:val="20"/>
        </w:trPr>
        <w:tc>
          <w:tcPr>
            <w:tcW w:w="45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359"/>
        </w:trPr>
        <w:tc>
          <w:tcPr>
            <w:tcW w:w="4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center"/>
              <w:ind w:right="98"/>
              <w:spacing w:after="0"/>
              <w:rPr>
                <w:sz w:val="20"/>
                <w:szCs w:val="20"/>
                <w:color w:val="auto"/>
              </w:rPr>
            </w:pPr>
            <w:r>
              <w:rPr>
                <w:rFonts w:ascii="Arial" w:cs="Arial" w:eastAsia="Arial" w:hAnsi="Arial"/>
                <w:sz w:val="14"/>
                <w:szCs w:val="14"/>
                <w:b w:val="1"/>
                <w:bCs w:val="1"/>
                <w:color w:val="auto"/>
              </w:rPr>
              <w:t>Carrying Value at</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4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Convertible</w:t>
            </w: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Shares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Issued and</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center"/>
              <w:ind w:right="98"/>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Liquidation</w:t>
            </w:r>
          </w:p>
        </w:tc>
      </w:tr>
      <w:tr>
        <w:trPr>
          <w:trHeight w:val="175"/>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Borders>
              <w:bottom w:val="single" w:sz="8" w:color="CFF0FC"/>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Authorized</w:t>
            </w:r>
          </w:p>
        </w:tc>
        <w:tc>
          <w:tcPr>
            <w:tcW w:w="300" w:type="dxa"/>
            <w:vAlign w:val="bottom"/>
            <w:tcBorders>
              <w:bottom w:val="single" w:sz="8" w:color="CFF0FC"/>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3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Preference</w:t>
            </w:r>
          </w:p>
        </w:tc>
        <w:tc>
          <w:tcPr>
            <w:tcW w:w="100" w:type="dxa"/>
            <w:vAlign w:val="bottom"/>
            <w:tcBorders>
              <w:bottom w:val="single" w:sz="8" w:color="CFF0FC"/>
            </w:tcBorders>
          </w:tcPr>
          <w:p>
            <w:pPr>
              <w:spacing w:after="0"/>
              <w:rPr>
                <w:sz w:val="15"/>
                <w:szCs w:val="15"/>
                <w:color w:val="auto"/>
              </w:rPr>
            </w:pPr>
          </w:p>
        </w:tc>
      </w:tr>
      <w:tr>
        <w:trPr>
          <w:trHeight w:val="210"/>
        </w:trPr>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A</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12,172,000</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12,172,000</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15,215</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Series A-1</w:t>
            </w:r>
          </w:p>
        </w:tc>
        <w:tc>
          <w:tcPr>
            <w:tcW w:w="1280" w:type="dxa"/>
            <w:vAlign w:val="bottom"/>
          </w:tcPr>
          <w:p>
            <w:pPr>
              <w:jc w:val="right"/>
              <w:spacing w:after="0"/>
              <w:rPr>
                <w:sz w:val="20"/>
                <w:szCs w:val="20"/>
                <w:color w:val="auto"/>
              </w:rPr>
            </w:pPr>
            <w:r>
              <w:rPr>
                <w:rFonts w:ascii="Arial" w:cs="Arial" w:eastAsia="Arial" w:hAnsi="Arial"/>
                <w:sz w:val="18"/>
                <w:szCs w:val="18"/>
                <w:color w:val="auto"/>
              </w:rPr>
              <w:t>8,584,536</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8,584,536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1,888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18"/>
                <w:szCs w:val="18"/>
                <w:color w:val="auto"/>
              </w:rPr>
            </w:pPr>
          </w:p>
        </w:tc>
      </w:tr>
      <w:tr>
        <w:trPr>
          <w:trHeight w:val="216"/>
        </w:trPr>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B</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75,463,020</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74,328,105</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70,971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85,477</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Series B-1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4,067,148</w:t>
            </w:r>
          </w:p>
        </w:tc>
        <w:tc>
          <w:tcPr>
            <w:tcW w:w="300" w:type="dxa"/>
            <w:vAlign w:val="bottom"/>
            <w:tcBorders>
              <w:bottom w:val="single" w:sz="8" w:color="CFF0FC"/>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4,067,148</w:t>
            </w:r>
          </w:p>
        </w:tc>
        <w:tc>
          <w:tcPr>
            <w:tcW w:w="3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4,515</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100" w:type="dxa"/>
            <w:vAlign w:val="bottom"/>
            <w:tcBorders>
              <w:bottom w:val="single" w:sz="8" w:color="CFF0FC"/>
            </w:tcBorders>
          </w:tcPr>
          <w:p>
            <w:pPr>
              <w:spacing w:after="0"/>
              <w:rPr>
                <w:sz w:val="18"/>
                <w:szCs w:val="18"/>
                <w:color w:val="auto"/>
              </w:rPr>
            </w:pPr>
          </w:p>
        </w:tc>
      </w:tr>
      <w:tr>
        <w:trPr>
          <w:trHeight w:val="210"/>
        </w:trPr>
        <w:tc>
          <w:tcPr>
            <w:tcW w:w="4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100,286,704</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99,151,789</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92,537</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105,741</w:t>
            </w:r>
          </w:p>
        </w:tc>
        <w:tc>
          <w:tcPr>
            <w:tcW w:w="100" w:type="dxa"/>
            <w:vAlign w:val="bottom"/>
            <w:shd w:val="clear" w:color="auto" w:fill="CFF0FC"/>
          </w:tcPr>
          <w:p>
            <w:pPr>
              <w:spacing w:after="0"/>
              <w:rPr>
                <w:sz w:val="18"/>
                <w:szCs w:val="18"/>
                <w:color w:val="auto"/>
              </w:rPr>
            </w:pPr>
          </w:p>
        </w:tc>
      </w:tr>
      <w:tr>
        <w:trPr>
          <w:trHeight w:val="20"/>
        </w:trPr>
        <w:tc>
          <w:tcPr>
            <w:tcW w:w="45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212121"/>
        </w:rPr>
        <w:t>In May and June 2020, the Company issued an aggregate of 74,328,105 shares of its Series B convertible preferred stock at a purchase price of $ 1.15 per share for aggregate proceeds of $81.6 million, net of offering costs. The Company issued warrants to purchase 18,582,009 shares of its common stock, of which 5,456,521 were exercised concurrently with the shares of Series B convertible preferred stock issuance, for net proceeds of $55,000. In addition, the Company issued warrants to purchase 1,010,955 shares of its Series B convertible preferred stock at a purchase price of $1.15 per share. The Series B convertible preferred stock financing triggered the automatic conversion of the Company’s outstanding convertible promissory notes into 4,067,148 shares of Series B-1 convertible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6" w:name="page247"/>
    <w:bookmarkEnd w:id="246"/>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212121"/>
        </w:rPr>
        <w:t>preferred stock based on a price of $0.9775 per share (85% of the $1.15 original issuance price of the Series B convertible preferred stock).</w:t>
      </w:r>
    </w:p>
    <w:p>
      <w:pPr>
        <w:spacing w:after="0" w:line="252" w:lineRule="exact"/>
        <w:rPr>
          <w:sz w:val="20"/>
          <w:szCs w:val="20"/>
          <w:color w:val="auto"/>
        </w:rPr>
      </w:pPr>
    </w:p>
    <w:p>
      <w:pPr>
        <w:ind w:right="200" w:firstLine="576"/>
        <w:spacing w:after="0" w:line="246" w:lineRule="auto"/>
        <w:rPr>
          <w:sz w:val="20"/>
          <w:szCs w:val="20"/>
          <w:color w:val="auto"/>
        </w:rPr>
      </w:pPr>
      <w:r>
        <w:rPr>
          <w:rFonts w:ascii="Arial" w:cs="Arial" w:eastAsia="Arial" w:hAnsi="Arial"/>
          <w:sz w:val="18"/>
          <w:szCs w:val="18"/>
          <w:color w:val="auto"/>
        </w:rPr>
        <w:t>The rights, preferences, and privileges of the Series A, A-1, B and B-1 convertible preferred stock (collectively, Preferred Stock) are as follows: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39"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The holders of shares of Series A, A-1, B and B-1 Preferred Stock are entitled to receive non-cumulative dividends and non-dividend distributions in preference to any dividend or non-dividend distribution on the common stock, when, and if declared by the board of directors. Such dividend and non-dividend distribution preference survives until the holders of the Series A, A-1, B and B-1 Preferred Stock have received a per share amount equal to: (a) in the case of dividends, 1.32 times the Series A, A-1, B or B-1 Purchase Price, as applicable, or (b) in the case of non-dividend distributions, the Series A, A-1, B or B-1 Purchase Price, as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39" w:lineRule="exact"/>
        <w:rPr>
          <w:sz w:val="20"/>
          <w:szCs w:val="20"/>
          <w:color w:val="auto"/>
        </w:rPr>
      </w:pPr>
    </w:p>
    <w:p>
      <w:pPr>
        <w:jc w:val="both"/>
        <w:ind w:right="40" w:firstLine="576"/>
        <w:spacing w:after="0" w:line="237" w:lineRule="auto"/>
        <w:rPr>
          <w:sz w:val="20"/>
          <w:szCs w:val="20"/>
          <w:color w:val="auto"/>
        </w:rPr>
      </w:pPr>
      <w:r>
        <w:rPr>
          <w:rFonts w:ascii="Arial" w:cs="Arial" w:eastAsia="Arial" w:hAnsi="Arial"/>
          <w:sz w:val="18"/>
          <w:szCs w:val="18"/>
          <w:color w:val="auto"/>
        </w:rPr>
        <w:t>Preferred Stock will automatically convert into shares of common stock on a 1:1 basis upon the earlier to occur: (a) after the payment of the distribution preference to the holders of the Series A, A-1, B and B-1 Preferred Stock, and (b) upon the closing of a firmly underwritten public offering pursuant to an effective registration statement covering the offer and sale of common stock in which the gross proceeds to the Company are at least $50.0 million. The conversion ratio will be adjusted in the case of specified changes to the Company’s capitalization as a result of stock splits, combinations, common stock dividends and distributions, reclassifications, exchanges, substitutions, reorganizations, mergers or consolidations.</w:t>
      </w:r>
    </w:p>
    <w:p>
      <w:pPr>
        <w:spacing w:after="0" w:line="245"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In addition to the automatic conversion, the holders of Series A, A-1, B and B-1 Preferred Stock have the right to convert such shares, at any time, into shares of common stock. The initial conversion rate shall be 1:1, subject to any adjustments for stock splits, combinations, common stock dividends and distributions, reclassifications, exchanges, substitutions, reorganizations, mergers or consolidations.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Distributions After Conversion</w:t>
      </w:r>
    </w:p>
    <w:p>
      <w:pPr>
        <w:spacing w:after="0" w:line="139" w:lineRule="exact"/>
        <w:rPr>
          <w:sz w:val="20"/>
          <w:szCs w:val="20"/>
          <w:color w:val="auto"/>
        </w:rPr>
      </w:pPr>
    </w:p>
    <w:p>
      <w:pPr>
        <w:jc w:val="both"/>
        <w:ind w:right="20" w:firstLine="576"/>
        <w:spacing w:after="0"/>
        <w:rPr>
          <w:sz w:val="20"/>
          <w:szCs w:val="20"/>
          <w:color w:val="auto"/>
        </w:rPr>
      </w:pPr>
      <w:r>
        <w:rPr>
          <w:rFonts w:ascii="Arial" w:cs="Arial" w:eastAsia="Arial" w:hAnsi="Arial"/>
          <w:sz w:val="18"/>
          <w:szCs w:val="18"/>
          <w:color w:val="auto"/>
        </w:rPr>
        <w:t>After such conversions, the holders of common stock (including the holders of common stock issued upon conversion of the Series A, A-1, B and Series B-1 Preferred Stock) are entitled to participate pro rata in any dividends or non-dividend distributions paid on the Common Stock, when, as and if declared by the board of directors.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Acquisition or Asset Sale</w:t>
      </w:r>
    </w:p>
    <w:p>
      <w:pPr>
        <w:spacing w:after="0" w:line="139"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In the event of any liquidation or winding up of the Company, or upon an acquisition of the Company or the sale or other disposition of substantially all of the Company’s assets, the proceeds shall be paid first to the holders of the Series A, A-1, B and B-1 Preferred Stock equal to their purchase price, less any declared and paid dividends or non-dividend distributions. Any remaining amounts shall be distributed to the holders of the common stock, Series A, A-1, B and B-1 Preferred Stock on a pro rata basis. The liquidation preference is less than the carrying value of the Series A-1 preferred stock as a portion of the carrying value originated from an $815,000 beneficial conversion feature recorded upon issuance of the underlying shares.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holder has one vote for each share of Series A, A-1, B or B-1 Preferred Stock.</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7" w:name="page248"/>
    <w:bookmarkEnd w:id="247"/>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Upon the occurrence of certain change in control events that are outside the Company’s control, including liquidation, sale or transfer of the Company, holders of the convertible preferred stock can effectively cause redemption for cash. As a result, the Company has classified the convertible preferred stock as mezzanine equity on the balance sheets as the stock is contingently redeemable. The Company has elected not to adjust the carrying values of the convertible preferred stock to the liquidation preferences of such shares because it is uncertain whether or when an event would occur that would obligate the Company to pay the liquidation preferences to holders of shares of convertible preferred stock. Subsequent adjustments to the carrying values to the liquidation preferences will be made only when it becomes probable that such a liquidation event will occur.</w:t>
      </w:r>
    </w:p>
    <w:p>
      <w:pPr>
        <w:spacing w:after="0" w:line="289" w:lineRule="exact"/>
        <w:rPr>
          <w:sz w:val="20"/>
          <w:szCs w:val="20"/>
          <w:color w:val="auto"/>
        </w:rPr>
      </w:pPr>
    </w:p>
    <w:p>
      <w:pPr>
        <w:ind w:left="580" w:hanging="572"/>
        <w:spacing w:after="0"/>
        <w:tabs>
          <w:tab w:leader="none" w:pos="58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6"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Each share of common stock has the right to one vote. The holders of common stock are also entitled to receive dividends whenever funds are legally available and if declared by the board of directors, subject to the prior rights of holders of all classes of stock outstanding having priority rights as to dividends. No cash dividends have been declared by the board of directors from inception.</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has reserved the following shares of common stock for future issuance, on an as-converted basis,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 of</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As of</w:t>
            </w:r>
          </w:p>
        </w:tc>
      </w:tr>
      <w:tr>
        <w:trPr>
          <w:trHeight w:val="175"/>
        </w:trPr>
        <w:tc>
          <w:tcPr>
            <w:tcW w:w="7720" w:type="dxa"/>
            <w:vAlign w:val="bottom"/>
          </w:tcPr>
          <w:p>
            <w:pPr>
              <w:spacing w:after="0"/>
              <w:rPr>
                <w:sz w:val="15"/>
                <w:szCs w:val="15"/>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June 30,</w:t>
            </w:r>
          </w:p>
        </w:tc>
      </w:tr>
      <w:tr>
        <w:trPr>
          <w:trHeight w:val="175"/>
        </w:trPr>
        <w:tc>
          <w:tcPr>
            <w:tcW w:w="7720" w:type="dxa"/>
            <w:vAlign w:val="bottom"/>
            <w:tcBorders>
              <w:bottom w:val="single" w:sz="8" w:color="CFF0FC"/>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20,756,536</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99,151,789</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1560" w:type="dxa"/>
            <w:vAlign w:val="bottom"/>
          </w:tcPr>
          <w:p>
            <w:pPr>
              <w:jc w:val="right"/>
              <w:spacing w:after="0"/>
              <w:rPr>
                <w:sz w:val="20"/>
                <w:szCs w:val="20"/>
                <w:color w:val="auto"/>
              </w:rPr>
            </w:pPr>
            <w:r>
              <w:rPr>
                <w:rFonts w:ascii="Arial" w:cs="Arial" w:eastAsia="Arial" w:hAnsi="Arial"/>
                <w:sz w:val="18"/>
                <w:szCs w:val="18"/>
                <w:color w:val="auto"/>
              </w:rPr>
              <w:t>12,012,500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9,982,500</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future grant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3,170,000</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7,495,000</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Common stock warrants</w:t>
            </w:r>
          </w:p>
        </w:tc>
        <w:tc>
          <w:tcPr>
            <w:tcW w:w="1560" w:type="dxa"/>
            <w:vAlign w:val="bottom"/>
          </w:tcPr>
          <w:p>
            <w:pPr>
              <w:jc w:val="right"/>
              <w:spacing w:after="0"/>
              <w:rPr>
                <w:sz w:val="20"/>
                <w:szCs w:val="20"/>
                <w:color w:val="auto"/>
              </w:rPr>
            </w:pPr>
            <w:r>
              <w:rPr>
                <w:rFonts w:ascii="Arial" w:cs="Arial" w:eastAsia="Arial" w:hAnsi="Arial"/>
                <w:sz w:val="18"/>
                <w:szCs w:val="18"/>
                <w:color w:val="auto"/>
              </w:rPr>
              <w:t>26,249</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13,151,737</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warrants</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1,010,955</w:t>
            </w:r>
          </w:p>
        </w:tc>
        <w:tc>
          <w:tcPr>
            <w:tcW w:w="120" w:type="dxa"/>
            <w:vAlign w:val="bottom"/>
            <w:shd w:val="clear" w:color="auto" w:fill="CFF0FC"/>
          </w:tcPr>
          <w:p>
            <w:pPr>
              <w:spacing w:after="0"/>
              <w:rPr>
                <w:sz w:val="18"/>
                <w:szCs w:val="18"/>
                <w:color w:val="auto"/>
              </w:rPr>
            </w:pPr>
          </w:p>
        </w:tc>
      </w:tr>
      <w:tr>
        <w:trPr>
          <w:trHeight w:val="210"/>
        </w:trPr>
        <w:tc>
          <w:tcPr>
            <w:tcW w:w="7720" w:type="dxa"/>
            <w:vAlign w:val="bottom"/>
          </w:tcPr>
          <w:p>
            <w:pPr>
              <w:ind w:left="26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35,965,285</w:t>
            </w:r>
          </w:p>
        </w:tc>
        <w:tc>
          <w:tcPr>
            <w:tcW w:w="28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130,791,981</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Common stock warrants are exercisable at prices ranging from $0.01 to $0.61 per share, and expire in April 2021 and May 2025.</w:t>
      </w:r>
    </w:p>
    <w:p>
      <w:pPr>
        <w:spacing w:after="0" w:line="298" w:lineRule="exact"/>
        <w:rPr>
          <w:sz w:val="20"/>
          <w:szCs w:val="20"/>
          <w:color w:val="auto"/>
        </w:rPr>
      </w:pPr>
    </w:p>
    <w:p>
      <w:pPr>
        <w:ind w:right="8080" w:firstLine="8"/>
        <w:spacing w:after="0" w:line="394" w:lineRule="auto"/>
        <w:tabs>
          <w:tab w:leader="none" w:pos="567"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b w:val="1"/>
          <w:bCs w:val="1"/>
          <w:i w:val="1"/>
          <w:iCs w:val="1"/>
          <w:color w:val="auto"/>
        </w:rPr>
        <w:t>Stock-based Compensation Expense</w:t>
      </w:r>
    </w:p>
    <w:p>
      <w:pPr>
        <w:spacing w:after="0" w:line="1" w:lineRule="exact"/>
        <w:rPr>
          <w:rFonts w:ascii="Arial" w:cs="Arial" w:eastAsia="Arial" w:hAnsi="Arial"/>
          <w:sz w:val="17"/>
          <w:szCs w:val="17"/>
          <w:b w:val="1"/>
          <w:bCs w:val="1"/>
          <w:color w:val="auto"/>
        </w:rPr>
      </w:pPr>
    </w:p>
    <w:p>
      <w:pPr>
        <w:ind w:left="580"/>
        <w:spacing w:after="0" w:line="207" w:lineRule="exact"/>
        <w:rPr>
          <w:rFonts w:ascii="Arial" w:cs="Arial" w:eastAsia="Arial" w:hAnsi="Arial"/>
          <w:sz w:val="17"/>
          <w:szCs w:val="17"/>
          <w:b w:val="1"/>
          <w:bCs w:val="1"/>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was as follows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380" w:type="dxa"/>
            <w:vAlign w:val="bottom"/>
            <w:gridSpan w:val="2"/>
            <w:shd w:val="clear" w:color="auto" w:fill="CFF0FC"/>
          </w:tcPr>
          <w:p>
            <w:pPr>
              <w:jc w:val="right"/>
              <w:ind w:right="9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3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380" w:type="dxa"/>
            <w:vAlign w:val="bottom"/>
            <w:gridSpan w:val="2"/>
            <w:shd w:val="clear" w:color="auto" w:fill="CFF0FC"/>
          </w:tcPr>
          <w:p>
            <w:pPr>
              <w:jc w:val="right"/>
              <w:ind w:right="9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FF0FC"/>
          </w:tcPr>
          <w:p>
            <w:pPr>
              <w:spacing w:after="0"/>
              <w:rPr>
                <w:sz w:val="18"/>
                <w:szCs w:val="18"/>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26" w:lineRule="exact"/>
        <w:rPr>
          <w:sz w:val="20"/>
          <w:szCs w:val="20"/>
          <w:color w:val="auto"/>
        </w:rPr>
      </w:pPr>
    </w:p>
    <w:p>
      <w:pPr>
        <w:ind w:right="380" w:firstLine="576"/>
        <w:spacing w:after="0" w:line="246" w:lineRule="auto"/>
        <w:rPr>
          <w:sz w:val="20"/>
          <w:szCs w:val="20"/>
          <w:color w:val="auto"/>
        </w:rPr>
      </w:pPr>
      <w:r>
        <w:rPr>
          <w:rFonts w:ascii="Arial" w:cs="Arial" w:eastAsia="Arial" w:hAnsi="Arial"/>
          <w:sz w:val="18"/>
          <w:szCs w:val="18"/>
          <w:color w:val="auto"/>
        </w:rPr>
        <w:t>The fair value of stock options was determined using the Black-Scholes option-pricing model and the assumptions below. Each of these inputs is subjective and generally required significant judgment.</w:t>
      </w:r>
    </w:p>
    <w:p>
      <w:pPr>
        <w:spacing w:after="0" w:line="71" w:lineRule="exact"/>
        <w:rPr>
          <w:sz w:val="20"/>
          <w:szCs w:val="20"/>
          <w:color w:val="auto"/>
        </w:rPr>
      </w:pPr>
    </w:p>
    <w:p>
      <w:pPr>
        <w:ind w:left="1300" w:right="100" w:hanging="442"/>
        <w:spacing w:after="0" w:line="250" w:lineRule="auto"/>
        <w:tabs>
          <w:tab w:leader="none" w:pos="1300"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grant date fair market value of the shares of common stock underlying stock options has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historically been determined by the Company’s board of directors. Because there has been no public market for the Company’s common stock,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8" w:name="page249"/>
    <w:bookmarkEnd w:id="248"/>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47" w:lineRule="exact"/>
        <w:rPr>
          <w:sz w:val="20"/>
          <w:szCs w:val="20"/>
          <w:color w:val="auto"/>
        </w:rPr>
      </w:pPr>
    </w:p>
    <w:p>
      <w:pPr>
        <w:ind w:left="1300" w:right="20"/>
        <w:spacing w:after="0" w:line="253" w:lineRule="auto"/>
        <w:rPr>
          <w:sz w:val="20"/>
          <w:szCs w:val="20"/>
          <w:color w:val="auto"/>
        </w:rPr>
      </w:pPr>
      <w:r>
        <w:rPr>
          <w:rFonts w:ascii="Arial" w:cs="Arial" w:eastAsia="Arial" w:hAnsi="Arial"/>
          <w:sz w:val="17"/>
          <w:szCs w:val="17"/>
          <w:color w:val="auto"/>
        </w:rPr>
        <w:t>board of directors exercises reasonable judgment and considers a number of objective and subjective factors to determine the best estimate of the fair market value, which include contemporaneous valuations performed by an independent third-party, important developments in the Company’s operations, sales of convertible preferred stock, the rights, preferences and privileges of the Company’s convertible preferred stock relative to those of its common stock, lack of marketability of its common stock, actual operating results, financial performance, the progress of clinical development, the likelihood of achieving a liquidity event or the Company’s security holders, the trends, development and conditions in the life sciences and biotechnology sectors, the economy in general, the stock price performance and volatility of comparable public companies.</w:t>
      </w:r>
    </w:p>
    <w:p>
      <w:pPr>
        <w:spacing w:after="0" w:line="65" w:lineRule="exact"/>
        <w:rPr>
          <w:sz w:val="20"/>
          <w:szCs w:val="20"/>
          <w:color w:val="auto"/>
        </w:rPr>
      </w:pPr>
    </w:p>
    <w:p>
      <w:pPr>
        <w:ind w:left="1300" w:right="100" w:hanging="442"/>
        <w:spacing w:after="0" w:line="267" w:lineRule="auto"/>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the option.</w:t>
      </w:r>
    </w:p>
    <w:p>
      <w:pPr>
        <w:spacing w:after="0" w:line="52" w:lineRule="exact"/>
        <w:rPr>
          <w:rFonts w:ascii="Arial" w:cs="Arial" w:eastAsia="Arial" w:hAnsi="Arial"/>
          <w:sz w:val="18"/>
          <w:szCs w:val="18"/>
          <w:color w:val="auto"/>
        </w:rPr>
      </w:pPr>
    </w:p>
    <w:p>
      <w:pPr>
        <w:ind w:left="1300" w:right="300" w:hanging="442"/>
        <w:spacing w:after="0" w:line="242" w:lineRule="auto"/>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—Because the Company has been privately held and does not have any trading history for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76" w:lineRule="exact"/>
        <w:rPr>
          <w:rFonts w:ascii="Arial" w:cs="Arial" w:eastAsia="Arial" w:hAnsi="Arial"/>
          <w:sz w:val="18"/>
          <w:szCs w:val="18"/>
          <w:color w:val="auto"/>
        </w:rPr>
      </w:pPr>
    </w:p>
    <w:p>
      <w:pPr>
        <w:ind w:left="1300" w:right="140" w:hanging="442"/>
        <w:spacing w:after="0" w:line="250" w:lineRule="auto"/>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and</w:t>
      </w:r>
      <w:r>
        <w:rPr>
          <w:rFonts w:ascii="Arial" w:cs="Arial" w:eastAsia="Arial" w:hAnsi="Arial"/>
          <w:sz w:val="18"/>
          <w:szCs w:val="18"/>
          <w:i w:val="1"/>
          <w:iCs w:val="1"/>
          <w:color w:val="auto"/>
        </w:rPr>
        <w:t xml:space="preserve"> </w:t>
      </w:r>
      <w:r>
        <w:rPr>
          <w:rFonts w:ascii="Arial" w:cs="Arial" w:eastAsia="Arial" w:hAnsi="Arial"/>
          <w:sz w:val="18"/>
          <w:szCs w:val="18"/>
          <w:color w:val="auto"/>
        </w:rPr>
        <w:t>is determined using the simplified method (based on the midpoint between the vesting date and the end of the contractual term) as the Company has limited history of relevant stock option exercise activity.</w:t>
      </w:r>
    </w:p>
    <w:p>
      <w:pPr>
        <w:spacing w:after="0" w:line="68" w:lineRule="exact"/>
        <w:rPr>
          <w:rFonts w:ascii="Arial" w:cs="Arial" w:eastAsia="Arial" w:hAnsi="Arial"/>
          <w:sz w:val="18"/>
          <w:szCs w:val="18"/>
          <w:color w:val="auto"/>
        </w:rPr>
      </w:pPr>
    </w:p>
    <w:p>
      <w:pPr>
        <w:ind w:left="1300" w:right="200" w:hanging="442"/>
        <w:spacing w:after="0" w:line="267" w:lineRule="auto"/>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its common stock and has no plans to pay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on its common stock. Therefore, it used an expected dividend yield of zero.</w:t>
      </w:r>
    </w:p>
    <w:p>
      <w:pPr>
        <w:spacing w:after="0" w:line="178" w:lineRule="exact"/>
        <w:rPr>
          <w:sz w:val="20"/>
          <w:szCs w:val="20"/>
          <w:color w:val="auto"/>
        </w:rPr>
      </w:pPr>
    </w:p>
    <w:p>
      <w:pPr>
        <w:ind w:right="180" w:firstLine="576"/>
        <w:spacing w:after="0" w:line="210" w:lineRule="exact"/>
        <w:rPr>
          <w:sz w:val="20"/>
          <w:szCs w:val="20"/>
          <w:color w:val="auto"/>
        </w:rPr>
      </w:pPr>
      <w:r>
        <w:rPr>
          <w:rFonts w:ascii="Arial" w:cs="Arial" w:eastAsia="Arial" w:hAnsi="Arial"/>
          <w:sz w:val="18"/>
          <w:szCs w:val="18"/>
          <w:color w:val="auto"/>
        </w:rPr>
        <w:t>The fair value of each stock option was estimated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with the following weighted-average assumptions:</w:t>
      </w:r>
    </w:p>
    <w:p>
      <w:pPr>
        <w:spacing w:after="0" w:line="257"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Six Months Ended June 30,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Borders>
              <w:bottom w:val="single" w:sz="8" w:color="CFF0FC"/>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CFF0FC"/>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r>
      <w:tr>
        <w:trPr>
          <w:trHeight w:val="210"/>
        </w:trPr>
        <w:tc>
          <w:tcPr>
            <w:tcW w:w="8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1.86%</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w:t>
            </w: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74.45%</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78.15%</w:t>
            </w:r>
          </w:p>
        </w:tc>
      </w:tr>
      <w:tr>
        <w:trPr>
          <w:trHeight w:val="216"/>
        </w:trPr>
        <w:tc>
          <w:tcPr>
            <w:tcW w:w="8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180" w:type="dxa"/>
            <w:vAlign w:val="bottom"/>
            <w:shd w:val="clear" w:color="auto" w:fill="CFF0FC"/>
          </w:tcPr>
          <w:p>
            <w:pPr>
              <w:spacing w:after="0"/>
              <w:rPr>
                <w:sz w:val="18"/>
                <w:szCs w:val="18"/>
                <w:color w:val="auto"/>
              </w:rPr>
            </w:pP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The weighted-average grant-date fair value of options granted to employees and directors during the six months ended June 30, 2019 and 2020 were $79,000 and $32,000 respectively. The re-measured weighted-average fair value of options granted to advisors during the six months ended June 30, 2019 was $13,000. The weighted-average grant-date fair value of options granted to advisors during the six months ended June 30, 2020 was $10,000.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9" w:name="page250"/>
    <w:bookmarkEnd w:id="249"/>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option activity for the six months ended June 30, 2020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Average</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5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Value</w:t>
            </w:r>
          </w:p>
        </w:tc>
      </w:tr>
      <w:tr>
        <w:trPr>
          <w:trHeight w:val="162"/>
        </w:trPr>
        <w:tc>
          <w:tcPr>
            <w:tcW w:w="518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Available</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price</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w:t>
            </w:r>
          </w:p>
        </w:tc>
      </w:tr>
      <w:tr>
        <w:trPr>
          <w:trHeight w:val="175"/>
        </w:trPr>
        <w:tc>
          <w:tcPr>
            <w:tcW w:w="518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for Grant</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per Share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thousands)</w:t>
            </w:r>
          </w:p>
        </w:tc>
        <w:tc>
          <w:tcPr>
            <w:tcW w:w="100" w:type="dxa"/>
            <w:vAlign w:val="bottom"/>
            <w:tcBorders>
              <w:bottom w:val="single" w:sz="8" w:color="CFF0FC"/>
            </w:tcBorders>
          </w:tcPr>
          <w:p>
            <w:pPr>
              <w:spacing w:after="0"/>
              <w:rPr>
                <w:sz w:val="15"/>
                <w:szCs w:val="15"/>
                <w:color w:val="auto"/>
              </w:rPr>
            </w:pPr>
          </w:p>
        </w:tc>
      </w:tr>
      <w:tr>
        <w:trPr>
          <w:trHeight w:val="20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3,170,000</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12,012,500</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Authorized</w:t>
            </w:r>
          </w:p>
        </w:tc>
        <w:tc>
          <w:tcPr>
            <w:tcW w:w="1000" w:type="dxa"/>
            <w:vAlign w:val="bottom"/>
          </w:tcPr>
          <w:p>
            <w:pPr>
              <w:jc w:val="right"/>
              <w:spacing w:after="0"/>
              <w:rPr>
                <w:sz w:val="20"/>
                <w:szCs w:val="20"/>
                <w:color w:val="auto"/>
              </w:rPr>
            </w:pPr>
            <w:r>
              <w:rPr>
                <w:rFonts w:ascii="Arial" w:cs="Arial" w:eastAsia="Arial" w:hAnsi="Arial"/>
                <w:sz w:val="18"/>
                <w:szCs w:val="18"/>
                <w:color w:val="auto"/>
              </w:rPr>
              <w:t>2,295,000</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(355,000)</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355,000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Exercised</w:t>
            </w:r>
          </w:p>
        </w:tc>
        <w:tc>
          <w:tcPr>
            <w:tcW w:w="1000" w:type="dxa"/>
            <w:vAlign w:val="bottom"/>
          </w:tcPr>
          <w:p>
            <w:pPr>
              <w:jc w:val="right"/>
              <w:spacing w:after="0"/>
              <w:rPr>
                <w:sz w:val="20"/>
                <w:szCs w:val="20"/>
                <w:color w:val="auto"/>
              </w:rPr>
            </w:pPr>
            <w:r>
              <w:rPr>
                <w:rFonts w:ascii="Arial" w:cs="Arial" w:eastAsia="Arial" w:hAnsi="Arial"/>
                <w:sz w:val="18"/>
                <w:szCs w:val="18"/>
                <w:color w:val="auto"/>
              </w:rPr>
              <w:t>2,205,000</w:t>
            </w: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(2,205,000)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0.11</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Forfeited/expired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180,000</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(180,000)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9"/>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June 30,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7,495,000</w:t>
            </w:r>
          </w:p>
        </w:tc>
        <w:tc>
          <w:tcPr>
            <w:tcW w:w="220" w:type="dxa"/>
            <w:vAlign w:val="bottom"/>
            <w:tcBorders>
              <w:bottom w:val="single" w:sz="8" w:color="CFF0FC"/>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9,982,500</w:t>
            </w:r>
          </w:p>
        </w:tc>
        <w:tc>
          <w:tcPr>
            <w:tcW w:w="14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Borders>
              <w:bottom w:val="single" w:sz="8" w:color="CFF0FC"/>
            </w:tcBorders>
          </w:tcPr>
          <w:p>
            <w:pPr>
              <w:spacing w:after="0"/>
              <w:rPr>
                <w:sz w:val="21"/>
                <w:szCs w:val="21"/>
                <w:color w:val="auto"/>
              </w:rPr>
            </w:pPr>
          </w:p>
        </w:tc>
        <w:tc>
          <w:tcPr>
            <w:tcW w:w="10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6.89</w:t>
            </w:r>
          </w:p>
        </w:tc>
        <w:tc>
          <w:tcPr>
            <w:tcW w:w="2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5,644</w:t>
            </w:r>
          </w:p>
        </w:tc>
        <w:tc>
          <w:tcPr>
            <w:tcW w:w="100" w:type="dxa"/>
            <w:vAlign w:val="bottom"/>
            <w:tcBorders>
              <w:bottom w:val="single" w:sz="8" w:color="CFF0FC"/>
            </w:tcBorders>
          </w:tcPr>
          <w:p>
            <w:pPr>
              <w:spacing w:after="0"/>
              <w:rPr>
                <w:sz w:val="21"/>
                <w:szCs w:val="21"/>
                <w:color w:val="auto"/>
              </w:rPr>
            </w:pPr>
          </w:p>
        </w:tc>
      </w:tr>
      <w:tr>
        <w:trPr>
          <w:trHeight w:val="197"/>
        </w:trPr>
        <w:tc>
          <w:tcPr>
            <w:tcW w:w="51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Expected to vest</w:t>
            </w:r>
          </w:p>
        </w:tc>
        <w:tc>
          <w:tcPr>
            <w:tcW w:w="10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3,626,314</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0.17</w:t>
            </w:r>
          </w:p>
        </w:tc>
        <w:tc>
          <w:tcPr>
            <w:tcW w:w="2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8.55</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1,928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5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180" w:type="dxa"/>
            <w:vAlign w:val="bottom"/>
          </w:tcPr>
          <w:p>
            <w:pPr>
              <w:spacing w:after="0" w:line="196" w:lineRule="exact"/>
              <w:rPr>
                <w:sz w:val="20"/>
                <w:szCs w:val="20"/>
                <w:color w:val="auto"/>
              </w:rPr>
            </w:pPr>
            <w:r>
              <w:rPr>
                <w:rFonts w:ascii="Arial" w:cs="Arial" w:eastAsia="Arial" w:hAnsi="Arial"/>
                <w:sz w:val="18"/>
                <w:szCs w:val="18"/>
                <w:color w:val="auto"/>
              </w:rPr>
              <w:t>Options exercisable</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6,282,082</w:t>
            </w:r>
          </w:p>
        </w:tc>
        <w:tc>
          <w:tcPr>
            <w:tcW w:w="140" w:type="dxa"/>
            <w:vAlign w:val="bottom"/>
          </w:tcPr>
          <w:p>
            <w:pPr>
              <w:spacing w:after="0"/>
              <w:rPr>
                <w:sz w:val="17"/>
                <w:szCs w:val="17"/>
                <w:color w:val="auto"/>
              </w:rPr>
            </w:pPr>
          </w:p>
        </w:tc>
        <w:tc>
          <w:tcPr>
            <w:tcW w:w="2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0.11</w:t>
            </w:r>
          </w:p>
        </w:tc>
        <w:tc>
          <w:tcPr>
            <w:tcW w:w="2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5.92</w:t>
            </w:r>
          </w:p>
        </w:tc>
        <w:tc>
          <w:tcPr>
            <w:tcW w:w="2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3,677</w:t>
            </w:r>
          </w:p>
        </w:tc>
        <w:tc>
          <w:tcPr>
            <w:tcW w:w="100" w:type="dxa"/>
            <w:vAlign w:val="bottom"/>
          </w:tcPr>
          <w:p>
            <w:pPr>
              <w:spacing w:after="0"/>
              <w:rPr>
                <w:sz w:val="17"/>
                <w:szCs w:val="17"/>
                <w:color w:val="auto"/>
              </w:rPr>
            </w:pPr>
          </w:p>
        </w:tc>
      </w:tr>
      <w:tr>
        <w:trPr>
          <w:trHeight w:val="20"/>
        </w:trPr>
        <w:tc>
          <w:tcPr>
            <w:tcW w:w="5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The total fair value of options granted to employees, directors, and advisors that vested during the six months ended June 30, 2019 was $82,000, which included $45,000 for options granted to employees and directors and $ 37,000 for options granted to advisors. The total fair value of options that vested during the six months ended June 30, 2020 was $124,000, which included $72,000 for options granted to employees and directors and $52,000 for options granted to advisors.</w:t>
      </w:r>
    </w:p>
    <w:p>
      <w:pPr>
        <w:spacing w:after="0" w:line="205"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The aggregate intrinsic value in the table above is calculated as the difference between the exercise price of the underlying options and the estimated fair value of the Company’s common stock for all options that were in-the-money at June 30, 2020. The aggregate intrinsic value of options exercised was $2,000 and $1.3 million during the six months ended June 30, 2019 and 2020, respectively, determined as of the date of option exercise. As of June 30, 2020, there was $288,000 of total unrecognized compensation cost related to unvested stock options. The Company expects to recognize this cost over a remaining weighted-average period of 1.23. The Company utilizes newly issued shares to satisfy option exercises.</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Stock options outstanding and exercisable consisted of the following at June 30, 2020:</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52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4"/>
                <w:szCs w:val="14"/>
                <w:b w:val="1"/>
                <w:bCs w:val="1"/>
                <w:color w:val="auto"/>
              </w:rPr>
              <w:t>Employees and Directors</w:t>
            </w:r>
          </w:p>
        </w:tc>
        <w:tc>
          <w:tcPr>
            <w:tcW w:w="240" w:type="dxa"/>
            <w:vAlign w:val="bottom"/>
          </w:tcPr>
          <w:p>
            <w:pPr>
              <w:spacing w:after="0"/>
              <w:rPr>
                <w:sz w:val="15"/>
                <w:szCs w:val="15"/>
                <w:color w:val="auto"/>
              </w:rPr>
            </w:pPr>
          </w:p>
        </w:tc>
        <w:tc>
          <w:tcPr>
            <w:tcW w:w="254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4"/>
                <w:szCs w:val="14"/>
                <w:b w:val="1"/>
                <w:bCs w:val="1"/>
                <w:color w:val="auto"/>
              </w:rPr>
              <w:t>Non-employees</w:t>
            </w:r>
          </w:p>
        </w:tc>
        <w:tc>
          <w:tcPr>
            <w:tcW w:w="100" w:type="dxa"/>
            <w:vAlign w:val="bottom"/>
          </w:tcPr>
          <w:p>
            <w:pPr>
              <w:spacing w:after="0"/>
              <w:rPr>
                <w:sz w:val="15"/>
                <w:szCs w:val="15"/>
                <w:color w:val="auto"/>
              </w:rPr>
            </w:pPr>
          </w:p>
        </w:tc>
      </w:tr>
      <w:tr>
        <w:trPr>
          <w:trHeight w:val="156"/>
        </w:trPr>
        <w:tc>
          <w:tcPr>
            <w:tcW w:w="120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3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Shares</w:t>
            </w:r>
          </w:p>
        </w:tc>
        <w:tc>
          <w:tcPr>
            <w:tcW w:w="13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Shares</w:t>
            </w:r>
          </w:p>
        </w:tc>
        <w:tc>
          <w:tcPr>
            <w:tcW w:w="13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Shares</w:t>
            </w:r>
          </w:p>
        </w:tc>
        <w:tc>
          <w:tcPr>
            <w:tcW w:w="1260" w:type="dxa"/>
            <w:vAlign w:val="bottom"/>
            <w:gridSpan w:val="2"/>
          </w:tcPr>
          <w:p>
            <w:pPr>
              <w:jc w:val="center"/>
              <w:ind w:right="100"/>
              <w:spacing w:after="0" w:line="156" w:lineRule="exact"/>
              <w:rPr>
                <w:sz w:val="20"/>
                <w:szCs w:val="20"/>
                <w:color w:val="auto"/>
              </w:rPr>
            </w:pPr>
            <w:r>
              <w:rPr>
                <w:rFonts w:ascii="Arial" w:cs="Arial" w:eastAsia="Arial" w:hAnsi="Arial"/>
                <w:sz w:val="14"/>
                <w:szCs w:val="14"/>
                <w:b w:val="1"/>
                <w:bCs w:val="1"/>
                <w:color w:val="auto"/>
              </w:rPr>
              <w:t>Shares</w:t>
            </w:r>
          </w:p>
        </w:tc>
      </w:tr>
      <w:tr>
        <w:trPr>
          <w:trHeight w:val="169"/>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Exercise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Exercisable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Exercisable</w:t>
            </w:r>
          </w:p>
        </w:tc>
      </w:tr>
      <w:tr>
        <w:trPr>
          <w:trHeight w:val="216"/>
        </w:trPr>
        <w:tc>
          <w:tcPr>
            <w:tcW w:w="1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0.02</w:t>
            </w:r>
          </w:p>
        </w:tc>
        <w:tc>
          <w:tcPr>
            <w:tcW w:w="46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0.06</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1,387,500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1,387,500</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0.125</w:t>
            </w:r>
          </w:p>
        </w:tc>
        <w:tc>
          <w:tcPr>
            <w:tcW w:w="46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0.13</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1,362,500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1,187,500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250,000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8"/>
                <w:szCs w:val="18"/>
                <w:color w:val="auto"/>
              </w:rPr>
            </w:pP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0.15</w:t>
            </w:r>
          </w:p>
        </w:tc>
        <w:tc>
          <w:tcPr>
            <w:tcW w:w="46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527,500</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418,333</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275,000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0.165</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500,000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500,000</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0.17</w:t>
            </w:r>
          </w:p>
        </w:tc>
        <w:tc>
          <w:tcPr>
            <w:tcW w:w="46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3,080,000</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374,166</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1,325,000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781,250</w:t>
            </w:r>
          </w:p>
        </w:tc>
        <w:tc>
          <w:tcPr>
            <w:tcW w:w="100" w:type="dxa"/>
            <w:vAlign w:val="bottom"/>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0.187</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250,000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83,333</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84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7,707,500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4,550,832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2,275,000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1,731,250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 Activity</w:t>
      </w:r>
    </w:p>
    <w:p>
      <w:pPr>
        <w:spacing w:after="0" w:line="126" w:lineRule="exact"/>
        <w:rPr>
          <w:sz w:val="20"/>
          <w:szCs w:val="20"/>
          <w:color w:val="auto"/>
        </w:rPr>
      </w:pPr>
    </w:p>
    <w:p>
      <w:pPr>
        <w:jc w:val="both"/>
        <w:ind w:right="140" w:firstLine="576"/>
        <w:spacing w:after="0"/>
        <w:rPr>
          <w:sz w:val="20"/>
          <w:szCs w:val="20"/>
          <w:color w:val="auto"/>
        </w:rPr>
      </w:pPr>
      <w:r>
        <w:rPr>
          <w:rFonts w:ascii="Arial" w:cs="Arial" w:eastAsia="Arial" w:hAnsi="Arial"/>
          <w:sz w:val="18"/>
          <w:szCs w:val="18"/>
          <w:color w:val="auto"/>
        </w:rPr>
        <w:t>In 2018, the Company issued a restricted stock award (“RSA”) to an advisor under the 2014 Plan. The restricted stock award vests over three years and requires continued service to the Company during the vesting period. The vesting provisions of individual awards may vary as approved by the board of</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0" w:name="page251"/>
    <w:bookmarkEnd w:id="250"/>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4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directors. If continued service terminates for any reason, the Company has the right to repurchase the unvested shares for no consideration. As of each of December 31, 2019 and June 30, 2020, there were 66,667 shares subject to repurchase, all of which were related to non-employee RSAs.</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RSA activity for the six months ended June 30, 2020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7720" w:type="dxa"/>
            <w:vAlign w:val="bottom"/>
          </w:tcPr>
          <w:p>
            <w:pPr>
              <w:spacing w:after="0"/>
              <w:rPr>
                <w:sz w:val="14"/>
                <w:szCs w:val="1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Share</w:t>
            </w:r>
          </w:p>
        </w:tc>
        <w:tc>
          <w:tcPr>
            <w:tcW w:w="24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Grant Date</w:t>
            </w:r>
          </w:p>
        </w:tc>
      </w:tr>
      <w:tr>
        <w:trPr>
          <w:trHeight w:val="175"/>
        </w:trPr>
        <w:tc>
          <w:tcPr>
            <w:tcW w:w="7720" w:type="dxa"/>
            <w:vAlign w:val="bottom"/>
          </w:tcPr>
          <w:p>
            <w:pPr>
              <w:spacing w:after="0"/>
              <w:rPr>
                <w:sz w:val="15"/>
                <w:szCs w:val="15"/>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Equivalent</w:t>
            </w:r>
          </w:p>
        </w:tc>
        <w:tc>
          <w:tcPr>
            <w:tcW w:w="24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2019</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66,667</w:t>
            </w:r>
          </w:p>
        </w:tc>
        <w:tc>
          <w:tcPr>
            <w:tcW w:w="3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7720" w:type="dxa"/>
            <w:vAlign w:val="bottom"/>
          </w:tcPr>
          <w:p>
            <w:pPr>
              <w:spacing w:after="0"/>
              <w:rPr>
                <w:sz w:val="20"/>
                <w:szCs w:val="20"/>
                <w:color w:val="auto"/>
              </w:rPr>
            </w:pPr>
            <w:r>
              <w:rPr>
                <w:rFonts w:ascii="Arial" w:cs="Arial" w:eastAsia="Arial" w:hAnsi="Arial"/>
                <w:sz w:val="18"/>
                <w:szCs w:val="18"/>
                <w:color w:val="auto"/>
              </w:rPr>
              <w:t>Non-vested at June 30, 2020</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66,667</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140" w:firstLine="576"/>
        <w:spacing w:after="0" w:line="246" w:lineRule="auto"/>
        <w:rPr>
          <w:sz w:val="20"/>
          <w:szCs w:val="20"/>
          <w:color w:val="auto"/>
        </w:rPr>
      </w:pPr>
      <w:r>
        <w:rPr>
          <w:rFonts w:ascii="Arial" w:cs="Arial" w:eastAsia="Arial" w:hAnsi="Arial"/>
          <w:sz w:val="18"/>
          <w:szCs w:val="18"/>
          <w:color w:val="auto"/>
        </w:rPr>
        <w:t>As of June 30, 2020, there was approximately $3,000 of total unrecognized compensation cost related to non-vested restricted stock awards that will be recognized as expense over a weighted-average period of 0.73 years.</w:t>
      </w:r>
    </w:p>
    <w:p>
      <w:pPr>
        <w:spacing w:after="0" w:line="364" w:lineRule="exact"/>
        <w:rPr>
          <w:sz w:val="20"/>
          <w:szCs w:val="20"/>
          <w:color w:val="auto"/>
        </w:rPr>
      </w:pPr>
    </w:p>
    <w:p>
      <w:pPr>
        <w:ind w:left="580" w:hanging="572"/>
        <w:spacing w:after="0"/>
        <w:tabs>
          <w:tab w:leader="none" w:pos="58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26" w:lineRule="exact"/>
        <w:rPr>
          <w:sz w:val="20"/>
          <w:szCs w:val="20"/>
          <w:color w:val="auto"/>
        </w:rPr>
      </w:pPr>
    </w:p>
    <w:p>
      <w:pPr>
        <w:ind w:right="40" w:firstLine="576"/>
        <w:spacing w:after="0" w:line="246"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198"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Six Months Ended</w:t>
      </w:r>
    </w:p>
    <w:p>
      <w:pPr>
        <w:spacing w:after="0" w:line="15"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69"/>
        </w:trPr>
        <w:tc>
          <w:tcPr>
            <w:tcW w:w="7720" w:type="dxa"/>
            <w:vAlign w:val="bottom"/>
            <w:tcBorders>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on an as-converted basis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20,756,536</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99,151,789</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Unvested RSAs</w:t>
            </w:r>
          </w:p>
        </w:tc>
        <w:tc>
          <w:tcPr>
            <w:tcW w:w="1560" w:type="dxa"/>
            <w:vAlign w:val="bottom"/>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66,667</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10,832,500</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9,982,500</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Common stock warrants</w:t>
            </w:r>
          </w:p>
        </w:tc>
        <w:tc>
          <w:tcPr>
            <w:tcW w:w="1560" w:type="dxa"/>
            <w:vAlign w:val="bottom"/>
          </w:tcPr>
          <w:p>
            <w:pPr>
              <w:jc w:val="right"/>
              <w:spacing w:after="0"/>
              <w:rPr>
                <w:sz w:val="20"/>
                <w:szCs w:val="20"/>
                <w:color w:val="auto"/>
              </w:rPr>
            </w:pPr>
            <w:r>
              <w:rPr>
                <w:rFonts w:ascii="Arial" w:cs="Arial" w:eastAsia="Arial" w:hAnsi="Arial"/>
                <w:sz w:val="18"/>
                <w:szCs w:val="18"/>
                <w:color w:val="auto"/>
              </w:rPr>
              <w:t>26,249</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13,151,737</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warrants</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1,010,955</w:t>
            </w:r>
          </w:p>
        </w:tc>
        <w:tc>
          <w:tcPr>
            <w:tcW w:w="120" w:type="dxa"/>
            <w:vAlign w:val="bottom"/>
            <w:shd w:val="clear" w:color="auto" w:fill="CFF0FC"/>
          </w:tcPr>
          <w:p>
            <w:pPr>
              <w:spacing w:after="0"/>
              <w:rPr>
                <w:sz w:val="18"/>
                <w:szCs w:val="18"/>
                <w:color w:val="auto"/>
              </w:rPr>
            </w:pPr>
          </w:p>
        </w:tc>
      </w:tr>
      <w:tr>
        <w:trPr>
          <w:trHeight w:val="210"/>
        </w:trPr>
        <w:tc>
          <w:tcPr>
            <w:tcW w:w="7720" w:type="dxa"/>
            <w:vAlign w:val="bottom"/>
          </w:tcPr>
          <w:p>
            <w:pPr>
              <w:ind w:left="26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31,715,285</w:t>
            </w:r>
          </w:p>
        </w:tc>
        <w:tc>
          <w:tcPr>
            <w:tcW w:w="28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123,363,648</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8" w:lineRule="exact"/>
        <w:rPr>
          <w:sz w:val="20"/>
          <w:szCs w:val="20"/>
          <w:color w:val="auto"/>
        </w:rPr>
      </w:pPr>
    </w:p>
    <w:p>
      <w:pPr>
        <w:ind w:left="580" w:hanging="572"/>
        <w:spacing w:after="0"/>
        <w:tabs>
          <w:tab w:leader="none" w:pos="58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Net Loss Per Share Attributable to Common Stockholders</w:t>
      </w:r>
    </w:p>
    <w:p>
      <w:pPr>
        <w:spacing w:after="0" w:line="139" w:lineRule="exact"/>
        <w:rPr>
          <w:sz w:val="20"/>
          <w:szCs w:val="20"/>
          <w:color w:val="auto"/>
        </w:rPr>
      </w:pPr>
    </w:p>
    <w:p>
      <w:pPr>
        <w:jc w:val="both"/>
        <w:ind w:right="20" w:firstLine="576"/>
        <w:spacing w:after="0"/>
        <w:rPr>
          <w:sz w:val="20"/>
          <w:szCs w:val="20"/>
          <w:color w:val="auto"/>
        </w:rPr>
      </w:pPr>
      <w:r>
        <w:rPr>
          <w:rFonts w:ascii="Arial" w:cs="Arial" w:eastAsia="Arial" w:hAnsi="Arial"/>
          <w:sz w:val="18"/>
          <w:szCs w:val="18"/>
          <w:color w:val="auto"/>
        </w:rPr>
        <w:t>Basic and diluted pro forma net loss per share has been computed to give effect to the assumed conversion of all outstanding shares of the Company’s convertible preferred stock into shares of its common stock upon completion of a qualifying IPO of the Company’s common stock.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1" w:name="page252"/>
    <w:bookmarkEnd w:id="251"/>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4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55" w:lineRule="exact"/>
        <w:rPr>
          <w:sz w:val="20"/>
          <w:szCs w:val="20"/>
          <w:color w:val="auto"/>
        </w:rPr>
      </w:pPr>
    </w:p>
    <w:p>
      <w:pPr>
        <w:ind w:right="120" w:firstLine="576"/>
        <w:spacing w:after="0" w:line="246" w:lineRule="auto"/>
        <w:rPr>
          <w:sz w:val="20"/>
          <w:szCs w:val="20"/>
          <w:color w:val="auto"/>
        </w:rPr>
      </w:pPr>
      <w:r>
        <w:rPr>
          <w:rFonts w:ascii="Arial" w:cs="Arial" w:eastAsia="Arial" w:hAnsi="Arial"/>
          <w:sz w:val="18"/>
          <w:szCs w:val="18"/>
          <w:color w:val="auto"/>
        </w:rPr>
        <w:t>The following table sets forth the computation of the unaudited basic and diluted pro forma net loss per share attributable to common stockholders (in thousands, except share and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Six Months Ended</w:t>
            </w:r>
          </w:p>
        </w:tc>
      </w:tr>
      <w:tr>
        <w:trPr>
          <w:trHeight w:val="176"/>
        </w:trPr>
        <w:tc>
          <w:tcPr>
            <w:tcW w:w="9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June 30,</w:t>
            </w:r>
          </w:p>
        </w:tc>
      </w:tr>
      <w:tr>
        <w:trPr>
          <w:trHeight w:val="175"/>
        </w:trPr>
        <w:tc>
          <w:tcPr>
            <w:tcW w:w="9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r>
      <w:tr>
        <w:trPr>
          <w:trHeight w:val="209"/>
        </w:trPr>
        <w:tc>
          <w:tcPr>
            <w:tcW w:w="9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(3,797)</w:t>
            </w: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Loss on remeasurement of grant liability</w:t>
            </w:r>
          </w:p>
        </w:tc>
        <w:tc>
          <w:tcPr>
            <w:tcW w:w="20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8"/>
                <w:szCs w:val="18"/>
                <w:color w:val="auto"/>
              </w:rPr>
            </w:pPr>
          </w:p>
        </w:tc>
      </w:tr>
      <w:tr>
        <w:trPr>
          <w:trHeight w:val="209"/>
        </w:trPr>
        <w:tc>
          <w:tcPr>
            <w:tcW w:w="9240" w:type="dxa"/>
            <w:vAlign w:val="bottom"/>
          </w:tcPr>
          <w:p>
            <w:pPr>
              <w:spacing w:after="0"/>
              <w:rPr>
                <w:sz w:val="20"/>
                <w:szCs w:val="20"/>
                <w:color w:val="auto"/>
              </w:rPr>
            </w:pPr>
            <w:r>
              <w:rPr>
                <w:rFonts w:ascii="Arial" w:cs="Arial" w:eastAsia="Arial" w:hAnsi="Arial"/>
                <w:sz w:val="18"/>
                <w:szCs w:val="18"/>
                <w:color w:val="auto"/>
              </w:rPr>
              <w:t>Net loss used in computing pro forma net loss per share attributable to common</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9240" w:type="dxa"/>
            <w:vAlign w:val="bottom"/>
          </w:tcPr>
          <w:p>
            <w:pPr>
              <w:ind w:left="160"/>
              <w:spacing w:after="0" w:line="203" w:lineRule="exact"/>
              <w:rPr>
                <w:sz w:val="20"/>
                <w:szCs w:val="20"/>
                <w:color w:val="auto"/>
              </w:rPr>
            </w:pPr>
            <w:r>
              <w:rPr>
                <w:rFonts w:ascii="Arial" w:cs="Arial" w:eastAsia="Arial" w:hAnsi="Arial"/>
                <w:sz w:val="18"/>
                <w:szCs w:val="18"/>
                <w:color w:val="auto"/>
              </w:rPr>
              <w:t>stockholders, basic and diluted</w:t>
            </w: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(3,786)</w:t>
            </w:r>
          </w:p>
        </w:tc>
      </w:tr>
      <w:tr>
        <w:trPr>
          <w:trHeight w:val="196"/>
        </w:trPr>
        <w:tc>
          <w:tcPr>
            <w:tcW w:w="92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200" w:type="dxa"/>
            <w:vAlign w:val="bottom"/>
            <w:tcBorders>
              <w:top w:val="single" w:sz="8" w:color="auto"/>
            </w:tcBorders>
            <w:shd w:val="clear" w:color="auto" w:fill="CFF0FC"/>
          </w:tcPr>
          <w:p>
            <w:pPr>
              <w:spacing w:after="0"/>
              <w:rPr>
                <w:sz w:val="17"/>
                <w:szCs w:val="17"/>
                <w:color w:val="auto"/>
              </w:rPr>
            </w:pPr>
          </w:p>
        </w:tc>
        <w:tc>
          <w:tcPr>
            <w:tcW w:w="1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5"/>
        </w:trPr>
        <w:tc>
          <w:tcPr>
            <w:tcW w:w="9240" w:type="dxa"/>
            <w:vAlign w:val="bottom"/>
          </w:tcPr>
          <w:p>
            <w:pPr>
              <w:spacing w:after="0"/>
              <w:rPr>
                <w:sz w:val="20"/>
                <w:szCs w:val="20"/>
                <w:color w:val="auto"/>
              </w:rPr>
            </w:pPr>
            <w:r>
              <w:rPr>
                <w:rFonts w:ascii="Arial" w:cs="Arial" w:eastAsia="Arial" w:hAnsi="Arial"/>
                <w:sz w:val="18"/>
                <w:szCs w:val="18"/>
                <w:color w:val="auto"/>
              </w:rPr>
              <w:t>Weighted-average shares of common stock used in computing net loss per share</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9240" w:type="dxa"/>
            <w:vAlign w:val="bottom"/>
          </w:tcPr>
          <w:p>
            <w:pPr>
              <w:ind w:left="160"/>
              <w:spacing w:after="0" w:line="203" w:lineRule="exact"/>
              <w:rPr>
                <w:sz w:val="20"/>
                <w:szCs w:val="20"/>
                <w:color w:val="auto"/>
              </w:rPr>
            </w:pPr>
            <w:r>
              <w:rPr>
                <w:rFonts w:ascii="Arial" w:cs="Arial" w:eastAsia="Arial" w:hAnsi="Arial"/>
                <w:sz w:val="18"/>
                <w:szCs w:val="18"/>
                <w:color w:val="auto"/>
              </w:rPr>
              <w:t>attributable to common stockholders</w:t>
            </w:r>
          </w:p>
        </w:tc>
        <w:tc>
          <w:tcPr>
            <w:tcW w:w="20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31,225,260</w:t>
            </w:r>
          </w:p>
        </w:tc>
        <w:tc>
          <w:tcPr>
            <w:tcW w:w="100" w:type="dxa"/>
            <w:vAlign w:val="bottom"/>
          </w:tcPr>
          <w:p>
            <w:pPr>
              <w:spacing w:after="0"/>
              <w:rPr>
                <w:sz w:val="17"/>
                <w:szCs w:val="17"/>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Pro forma adjustment to reflect conversion of convertible preferred stock</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 forma adjustment to reflect exercise of common stock warrants</w:t>
            </w: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09"/>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of common stock used in computing pro forma net loss</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924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per share attributable to common stockholders, basic and diluted</w:t>
            </w:r>
          </w:p>
        </w:tc>
        <w:tc>
          <w:tcPr>
            <w:tcW w:w="20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9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240" w:type="dxa"/>
            <w:vAlign w:val="bottom"/>
          </w:tcPr>
          <w:p>
            <w:pPr>
              <w:spacing w:after="0" w:line="196" w:lineRule="exact"/>
              <w:rPr>
                <w:sz w:val="20"/>
                <w:szCs w:val="20"/>
                <w:color w:val="auto"/>
              </w:rPr>
            </w:pPr>
            <w:r>
              <w:rPr>
                <w:rFonts w:ascii="Arial" w:cs="Arial" w:eastAsia="Arial" w:hAnsi="Arial"/>
                <w:sz w:val="18"/>
                <w:szCs w:val="18"/>
                <w:color w:val="auto"/>
              </w:rPr>
              <w:t>Pro forma net loss per share attributable to common stockholders, basic and diluted</w:t>
            </w: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9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ind w:left="580" w:hanging="572"/>
        <w:spacing w:after="0"/>
        <w:tabs>
          <w:tab w:leader="none" w:pos="58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39" w:lineRule="exact"/>
        <w:rPr>
          <w:sz w:val="20"/>
          <w:szCs w:val="20"/>
          <w:color w:val="auto"/>
        </w:rPr>
      </w:pPr>
    </w:p>
    <w:p>
      <w:pPr>
        <w:ind w:right="60" w:firstLine="576"/>
        <w:spacing w:after="0" w:line="246" w:lineRule="auto"/>
        <w:rPr>
          <w:sz w:val="20"/>
          <w:szCs w:val="20"/>
          <w:color w:val="auto"/>
        </w:rPr>
      </w:pPr>
      <w:r>
        <w:rPr>
          <w:rFonts w:ascii="Arial" w:cs="Arial" w:eastAsia="Arial" w:hAnsi="Arial"/>
          <w:sz w:val="18"/>
          <w:szCs w:val="18"/>
          <w:color w:val="auto"/>
        </w:rPr>
        <w:t>In July 2020, the Company established Athira Pharma Australia PTY LTD, a subsidiary, to facilitate clinical trials in Australia. As of the date hereof, research and development operations have not commenced in Australia.</w:t>
      </w:r>
    </w:p>
    <w:p>
      <w:pPr>
        <w:spacing w:after="0" w:line="2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August 2020, the remaining balance of the unsecured note receivable from the Company’s chief executive offer was repaid in full.</w:t>
      </w:r>
    </w:p>
    <w:p>
      <w:pPr>
        <w:spacing w:after="0" w:line="212" w:lineRule="exact"/>
        <w:rPr>
          <w:sz w:val="20"/>
          <w:szCs w:val="20"/>
          <w:color w:val="auto"/>
        </w:rPr>
      </w:pPr>
    </w:p>
    <w:p>
      <w:pPr>
        <w:ind w:right="180" w:firstLine="576"/>
        <w:spacing w:after="0" w:line="246" w:lineRule="auto"/>
        <w:rPr>
          <w:sz w:val="20"/>
          <w:szCs w:val="20"/>
          <w:color w:val="auto"/>
        </w:rPr>
      </w:pPr>
      <w:r>
        <w:rPr>
          <w:rFonts w:ascii="Arial" w:cs="Arial" w:eastAsia="Arial" w:hAnsi="Arial"/>
          <w:sz w:val="18"/>
          <w:szCs w:val="18"/>
          <w:color w:val="auto"/>
        </w:rPr>
        <w:t xml:space="preserve">Management evaluated </w:t>
      </w:r>
      <w:r>
        <w:rPr>
          <w:rFonts w:ascii="Arial" w:cs="Arial" w:eastAsia="Arial" w:hAnsi="Arial"/>
          <w:sz w:val="18"/>
          <w:szCs w:val="18"/>
          <w:color w:val="212121"/>
        </w:rPr>
        <w:t>subsequent events through August 26, 2020, the date these condensed financial statements were available</w:t>
      </w:r>
      <w:r>
        <w:rPr>
          <w:rFonts w:ascii="Arial" w:cs="Arial" w:eastAsia="Arial" w:hAnsi="Arial"/>
          <w:sz w:val="18"/>
          <w:szCs w:val="18"/>
          <w:color w:val="auto"/>
        </w:rPr>
        <w:t xml:space="preserve"> </w:t>
      </w:r>
      <w:r>
        <w:rPr>
          <w:rFonts w:ascii="Arial" w:cs="Arial" w:eastAsia="Arial" w:hAnsi="Arial"/>
          <w:sz w:val="18"/>
          <w:szCs w:val="18"/>
          <w:color w:val="212121"/>
        </w:rPr>
        <w:t>to be issued.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2" w:name="page253"/>
    <w:bookmarkEnd w:id="252"/>
    <w:p>
      <w:pPr>
        <w:spacing w:after="0" w:line="2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860"/>
        <w:spacing w:after="0"/>
        <w:rPr>
          <w:sz w:val="20"/>
          <w:szCs w:val="20"/>
          <w:color w:val="auto"/>
        </w:rPr>
      </w:pPr>
      <w:r>
        <w:rPr>
          <w:rFonts w:ascii="Arial" w:cs="Arial" w:eastAsia="Arial" w:hAnsi="Arial"/>
          <w:sz w:val="25"/>
          <w:szCs w:val="25"/>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Athira Pharma, Inc.</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562610</wp:posOffset>
            </wp:positionV>
            <wp:extent cx="118300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1985645</wp:posOffset>
            </wp:positionV>
            <wp:extent cx="118300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183005"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708025</wp:posOffset>
            </wp:positionV>
            <wp:extent cx="2134235" cy="1054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34235"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5100" w:val="left"/>
          <w:tab w:leader="none" w:pos="1060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Jefferies</w:t>
      </w:r>
      <w:r>
        <w:rPr>
          <w:sz w:val="20"/>
          <w:szCs w:val="20"/>
          <w:color w:val="auto"/>
        </w:rPr>
        <w:tab/>
      </w:r>
      <w:r>
        <w:rPr>
          <w:rFonts w:ascii="Arial" w:cs="Arial" w:eastAsia="Arial" w:hAnsi="Arial"/>
          <w:sz w:val="25"/>
          <w:szCs w:val="25"/>
          <w:b w:val="1"/>
          <w:bCs w:val="1"/>
          <w:color w:val="auto"/>
        </w:rPr>
        <w:t>Stifel</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JMP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228600</wp:posOffset>
            </wp:positionV>
            <wp:extent cx="118300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b w:val="1"/>
          <w:bCs w:val="1"/>
          <w:color w:val="auto"/>
        </w:rPr>
        <w:t>Through and including , 2020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342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884555</wp:posOffset>
            </wp:positionV>
            <wp:extent cx="7149465"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3" w:name="page254"/>
    <w:bookmarkEnd w:id="253"/>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6" w:lineRule="exact"/>
        <w:rPr>
          <w:sz w:val="20"/>
          <w:szCs w:val="20"/>
          <w:color w:val="auto"/>
        </w:rPr>
      </w:pPr>
    </w:p>
    <w:p>
      <w:pPr>
        <w:ind w:right="120" w:firstLine="576"/>
        <w:spacing w:after="0" w:line="246" w:lineRule="auto"/>
        <w:rPr>
          <w:sz w:val="20"/>
          <w:szCs w:val="20"/>
          <w:color w:val="auto"/>
        </w:rPr>
      </w:pPr>
      <w:r>
        <w:rPr>
          <w:rFonts w:ascii="Arial" w:cs="Arial" w:eastAsia="Arial" w:hAnsi="Arial"/>
          <w:sz w:val="18"/>
          <w:szCs w:val="18"/>
          <w:color w:val="auto"/>
        </w:rPr>
        <w:t>Estimated expenses, other than underwriting discounts and commissions, payable by the registrant in connection with the sale of the common stock being registered under this registration statement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Amount Paid or</w:t>
            </w:r>
          </w:p>
        </w:tc>
      </w:tr>
      <w:tr>
        <w:trPr>
          <w:trHeight w:val="175"/>
        </w:trPr>
        <w:tc>
          <w:tcPr>
            <w:tcW w:w="64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to Be Paid</w:t>
            </w:r>
          </w:p>
        </w:tc>
      </w:tr>
      <w:tr>
        <w:trPr>
          <w:trHeight w:val="209"/>
        </w:trPr>
        <w:tc>
          <w:tcPr>
            <w:tcW w:w="6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SEC registration fee</w:t>
            </w:r>
          </w:p>
        </w:tc>
        <w:tc>
          <w:tcPr>
            <w:tcW w:w="2840" w:type="dxa"/>
            <w:vAlign w:val="bottom"/>
            <w:tcBorders>
              <w:top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FINRA filing fee</w:t>
            </w:r>
          </w:p>
        </w:tc>
        <w:tc>
          <w:tcPr>
            <w:tcW w:w="28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15,500</w:t>
            </w:r>
          </w:p>
        </w:tc>
        <w:tc>
          <w:tcPr>
            <w:tcW w:w="100" w:type="dxa"/>
            <w:vAlign w:val="bottom"/>
          </w:tcPr>
          <w:p>
            <w:pPr>
              <w:spacing w:after="0"/>
              <w:rPr>
                <w:sz w:val="18"/>
                <w:szCs w:val="18"/>
                <w:color w:val="auto"/>
              </w:rPr>
            </w:pPr>
          </w:p>
        </w:tc>
      </w:tr>
      <w:tr>
        <w:trPr>
          <w:trHeight w:val="216"/>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Exchange listing fee</w:t>
            </w:r>
          </w:p>
        </w:tc>
        <w:tc>
          <w:tcPr>
            <w:tcW w:w="284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8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Legal fees and expenses</w:t>
            </w:r>
          </w:p>
        </w:tc>
        <w:tc>
          <w:tcPr>
            <w:tcW w:w="284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8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Transfer agent and registrar fees and expenses</w:t>
            </w:r>
          </w:p>
        </w:tc>
        <w:tc>
          <w:tcPr>
            <w:tcW w:w="284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Miscellaneous</w:t>
            </w:r>
          </w:p>
        </w:tc>
        <w:tc>
          <w:tcPr>
            <w:tcW w:w="2840" w:type="dxa"/>
            <w:vAlign w:val="bottom"/>
            <w:tcBorders>
              <w:bottom w:val="single" w:sz="8" w:color="CFF0FC"/>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r>
      <w:tr>
        <w:trPr>
          <w:trHeight w:val="209"/>
        </w:trPr>
        <w:tc>
          <w:tcPr>
            <w:tcW w:w="6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8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34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1" w:lineRule="exact"/>
        <w:rPr>
          <w:sz w:val="20"/>
          <w:szCs w:val="20"/>
          <w:color w:val="auto"/>
        </w:rPr>
      </w:pPr>
    </w:p>
    <w:p>
      <w:pPr>
        <w:ind w:left="480" w:hanging="472"/>
        <w:spacing w:after="0"/>
        <w:tabs>
          <w:tab w:leader="none" w:pos="48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6"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Section 145 of the Delaware General Corporation Law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its best interests, and, with respect to any criminal action, had no reasonable cause to believe the person’s actions were unlawful.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provides for the indemnification of the registrant’s directors and officers to the fullest extent permitted under the Delaware General Corporation Law. In addition, the bylaws of the registrant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203"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redemptions or other distributions or (4) for any transaction from which the director derived an improper personal benefit. The registrant’s certificate of incorporation provides that the registrant’s directors shall not be personally liable to it or its stockholders for monetary damages for breach of fiduciary duty as a director and that if the Delaware General Corporation Law is amended to authorize corporate action further eliminating or limiting the personal liability of directors, then the liability of the registrant’s directors shall be eliminated or limited to the fullest extent permitted by the Delaware General Corporation Law, as so amended.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4" w:name="page255"/>
    <w:bookmarkEnd w:id="254"/>
    <w:p>
      <w:pPr>
        <w:ind w:right="80" w:firstLine="576"/>
        <w:spacing w:after="0" w:line="238" w:lineRule="auto"/>
        <w:rPr>
          <w:sz w:val="20"/>
          <w:szCs w:val="20"/>
          <w:color w:val="auto"/>
        </w:rPr>
      </w:pPr>
      <w:r>
        <w:rPr>
          <w:rFonts w:ascii="Arial" w:cs="Arial" w:eastAsia="Arial" w:hAnsi="Arial"/>
          <w:sz w:val="18"/>
          <w:szCs w:val="18"/>
          <w:color w:val="auto"/>
        </w:rPr>
        <w:t>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202" w:lineRule="exact"/>
        <w:rPr>
          <w:sz w:val="20"/>
          <w:szCs w:val="20"/>
          <w:color w:val="auto"/>
        </w:rPr>
      </w:pPr>
    </w:p>
    <w:p>
      <w:pPr>
        <w:jc w:val="both"/>
        <w:ind w:right="300" w:firstLine="576"/>
        <w:spacing w:after="0"/>
        <w:rPr>
          <w:sz w:val="20"/>
          <w:szCs w:val="20"/>
          <w:color w:val="auto"/>
        </w:rPr>
      </w:pPr>
      <w:r>
        <w:rPr>
          <w:rFonts w:ascii="Arial" w:cs="Arial" w:eastAsia="Arial" w:hAnsi="Arial"/>
          <w:sz w:val="18"/>
          <w:szCs w:val="18"/>
          <w:color w:val="auto"/>
        </w:rPr>
        <w:t>As permitted by the Delaware General Corporation Law, the registrant has entered into separate indemnification agreements with each of the registrant’s directors and certain of the registrant’s officers which require the registrant, among other things, to indemnify them against certain liabilities which may arise by reason of their status as directors, officers or certain other employees.</w:t>
      </w:r>
    </w:p>
    <w:p>
      <w:pPr>
        <w:spacing w:after="0" w:line="203"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Delaware General Corporation Law.</w:t>
      </w:r>
    </w:p>
    <w:p>
      <w:pPr>
        <w:spacing w:after="0" w:line="202"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 arising under the Securities Act of 1933.</w:t>
      </w:r>
    </w:p>
    <w:p>
      <w:pPr>
        <w:spacing w:after="0" w:line="203"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underwriting agreement between the registrant and the underwriters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list sets forth information regarding all unregistered securities sold by us since August 26, 2017:</w:t>
      </w:r>
    </w:p>
    <w:p>
      <w:pPr>
        <w:spacing w:after="0" w:line="212" w:lineRule="exact"/>
        <w:rPr>
          <w:sz w:val="20"/>
          <w:szCs w:val="20"/>
          <w:color w:val="auto"/>
        </w:rPr>
      </w:pPr>
    </w:p>
    <w:p>
      <w:pPr>
        <w:ind w:right="40" w:firstLine="584"/>
        <w:spacing w:after="0" w:line="238" w:lineRule="auto"/>
        <w:tabs>
          <w:tab w:leader="none" w:pos="84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From August 26, 2017 through August 26, 2020, we granted 6,465,000 options to purchase shares of our common stock to our employees, directors and consultants at a weighted-average exercise price of $0.17 per share under our 2014 Equity Incentive Plan, or 2014 Plan. We also issued and sold an aggregate of 6,950,000 shares of our common stock to our employees, directors and consultants at a weighted-average exercise price of $0.09 per share pursuant to exercises of options granted under our 2014 Plan.</w:t>
      </w:r>
    </w:p>
    <w:p>
      <w:pPr>
        <w:spacing w:after="0" w:line="204" w:lineRule="exact"/>
        <w:rPr>
          <w:rFonts w:ascii="Arial" w:cs="Arial" w:eastAsia="Arial" w:hAnsi="Arial"/>
          <w:sz w:val="18"/>
          <w:szCs w:val="18"/>
          <w:color w:val="auto"/>
        </w:rPr>
      </w:pPr>
    </w:p>
    <w:p>
      <w:pPr>
        <w:ind w:right="740" w:firstLine="584"/>
        <w:spacing w:after="0" w:line="246" w:lineRule="auto"/>
        <w:tabs>
          <w:tab w:leader="none" w:pos="84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From December 17, 2018 through January 13, 2020, we issued and sold subordinated convertible promissory notes in an aggregate principal amount of $3.8 million.</w:t>
      </w:r>
    </w:p>
    <w:p>
      <w:pPr>
        <w:spacing w:after="0" w:line="196" w:lineRule="exact"/>
        <w:rPr>
          <w:rFonts w:ascii="Arial" w:cs="Arial" w:eastAsia="Arial" w:hAnsi="Arial"/>
          <w:sz w:val="18"/>
          <w:szCs w:val="18"/>
          <w:color w:val="auto"/>
        </w:rPr>
      </w:pPr>
    </w:p>
    <w:p>
      <w:pPr>
        <w:ind w:right="500" w:firstLine="584"/>
        <w:spacing w:after="0" w:line="246" w:lineRule="auto"/>
        <w:tabs>
          <w:tab w:leader="none" w:pos="8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From October 17, 2017 to March 13, 2018, we issued and sold an aggregate of 3,313,220 shares of our Series A convertible preferred stock at a purchase price of $1.25 per share, for aggregate consideration of approximately $4.1 million.</w:t>
      </w:r>
    </w:p>
    <w:p>
      <w:pPr>
        <w:spacing w:after="0" w:line="196" w:lineRule="exact"/>
        <w:rPr>
          <w:rFonts w:ascii="Arial" w:cs="Arial" w:eastAsia="Arial" w:hAnsi="Arial"/>
          <w:sz w:val="18"/>
          <w:szCs w:val="18"/>
          <w:color w:val="auto"/>
        </w:rPr>
      </w:pPr>
    </w:p>
    <w:p>
      <w:pPr>
        <w:ind w:right="140" w:firstLine="584"/>
        <w:spacing w:after="0" w:line="246" w:lineRule="auto"/>
        <w:tabs>
          <w:tab w:leader="none" w:pos="84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 November 2018, we issued 100,000 restricted shares of our common stock to an advisory board member as compensation for services provided to 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55" w:name="page256"/>
    <w:bookmarkEnd w:id="255"/>
    <w:p>
      <w:pPr>
        <w:ind w:right="600" w:firstLine="584"/>
        <w:spacing w:after="0" w:line="246" w:lineRule="auto"/>
        <w:tabs>
          <w:tab w:leader="none" w:pos="84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On May 29, 2020, we issued and sold an aggregate of 4,067,148 shares of our Series B-1 convertible preferred stock upon conversion of approximately $4.0 million in outstanding convertible notes, at a conversion price of $0.98 per share.</w:t>
      </w:r>
    </w:p>
    <w:p>
      <w:pPr>
        <w:spacing w:after="0" w:line="196" w:lineRule="exact"/>
        <w:rPr>
          <w:rFonts w:ascii="Arial" w:cs="Arial" w:eastAsia="Arial" w:hAnsi="Arial"/>
          <w:sz w:val="18"/>
          <w:szCs w:val="18"/>
          <w:color w:val="auto"/>
        </w:rPr>
      </w:pPr>
    </w:p>
    <w:p>
      <w:pPr>
        <w:ind w:right="120" w:firstLine="584"/>
        <w:spacing w:after="0" w:line="237" w:lineRule="auto"/>
        <w:tabs>
          <w:tab w:leader="none" w:pos="79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From May 29, 2020 through June 23, 2020, we issued and sold an aggregate of 74,328,105 shares of our Series B convertible preferred stock at a purchase price of $1.15 per share, for aggregate consideration of approximately $85.5 million. Concurrently with these issuances, we also issued and sold warrants to purchase 18,582,009 shares of our common stock at an exercise price of $0.01 per share to the purchasers of our Series B convertible preferred stock. Each purchaser of our Series B convertible preferred stock received warrants to purchase a number of shares of our common stock equal to 25% of the number of shares of our Series B convertible preferred stock purchased by such purchaser in the transaction.</w:t>
      </w:r>
    </w:p>
    <w:p>
      <w:pPr>
        <w:spacing w:after="0" w:line="204" w:lineRule="exact"/>
        <w:rPr>
          <w:rFonts w:ascii="Arial" w:cs="Arial" w:eastAsia="Arial" w:hAnsi="Arial"/>
          <w:sz w:val="18"/>
          <w:szCs w:val="18"/>
          <w:color w:val="auto"/>
        </w:rPr>
      </w:pPr>
    </w:p>
    <w:p>
      <w:pPr>
        <w:ind w:right="60" w:firstLine="584"/>
        <w:spacing w:after="0" w:line="246" w:lineRule="auto"/>
        <w:tabs>
          <w:tab w:leader="none" w:pos="84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On May 29, 2020, we issued warrants to purchase up to 1,010,955 shares of our Series B convertible preferred stock to JMP Securities LLC, in partial consideration for their services in connection with the sale and issuance of our Series B convertible preferred stock.</w:t>
      </w:r>
    </w:p>
    <w:p>
      <w:pPr>
        <w:spacing w:after="0" w:line="196" w:lineRule="exact"/>
        <w:rPr>
          <w:rFonts w:ascii="Arial" w:cs="Arial" w:eastAsia="Arial" w:hAnsi="Arial"/>
          <w:sz w:val="18"/>
          <w:szCs w:val="18"/>
          <w:color w:val="auto"/>
        </w:rPr>
      </w:pPr>
    </w:p>
    <w:p>
      <w:pPr>
        <w:ind w:right="20" w:firstLine="584"/>
        <w:spacing w:after="0" w:line="246" w:lineRule="auto"/>
        <w:tabs>
          <w:tab w:leader="none" w:pos="84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From May 29, 2020 to July 28, 2020, we issued an aggregate of 8,499,998 shares of our common stock upon exercise of warrants to purchase shares of our common stock, at an exercise price of $0.01 per share.</w:t>
      </w:r>
    </w:p>
    <w:p>
      <w:pPr>
        <w:spacing w:after="0" w:line="197" w:lineRule="exact"/>
        <w:rPr>
          <w:sz w:val="20"/>
          <w:szCs w:val="20"/>
          <w:color w:val="auto"/>
        </w:rPr>
      </w:pPr>
    </w:p>
    <w:p>
      <w:pPr>
        <w:ind w:right="60" w:firstLine="576"/>
        <w:spacing w:after="0" w:line="246" w:lineRule="auto"/>
        <w:rPr>
          <w:sz w:val="20"/>
          <w:szCs w:val="20"/>
          <w:color w:val="auto"/>
        </w:rPr>
      </w:pPr>
      <w:r>
        <w:rPr>
          <w:rFonts w:ascii="Arial" w:cs="Arial" w:eastAsia="Arial" w:hAnsi="Arial"/>
          <w:sz w:val="18"/>
          <w:szCs w:val="18"/>
          <w:color w:val="auto"/>
        </w:rPr>
        <w:t>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97"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offers, sales and issuances of the securities described in Items 15(b), (c), (e), (f), (g), and (h) were exempt from registration under the Securities Act under Section 4(a)(2) of the Securities Act or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and had adequate access, through employment, business or other relationships, to information about the registrant.</w:t>
      </w:r>
    </w:p>
    <w:p>
      <w:pPr>
        <w:spacing w:after="0" w:line="205"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offers, sales and issuances of the securities described in Item 15(a) and (d) were exempt from registration under the Securities Act under Section 4(a)(2) of the Securities Act in that such sales did not involve a public offering or under Rule 701 in that the transactions were under compensatory benefit plans and contracts relating to compensation as provided under Rule 701. The recipients of such securities were the registrant’s employees, consultants or directors and received the securities under the registrant’s 2014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jc w:val="right"/>
              <w:ind w:right="132"/>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5"/>
        </w:trPr>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10220" w:type="dxa"/>
            <w:vAlign w:val="bottom"/>
            <w:tcBorders>
              <w:bottom w:val="single" w:sz="8" w:color="auto"/>
            </w:tcBorders>
            <w:gridSpan w:val="3"/>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Arial" w:cs="Arial" w:eastAsia="Arial" w:hAnsi="Arial"/>
                <w:sz w:val="18"/>
                <w:szCs w:val="18"/>
                <w:color w:val="auto"/>
              </w:rPr>
              <w:t>Form of Underwriting Agreement</w:t>
            </w:r>
          </w:p>
        </w:tc>
      </w:tr>
      <w:tr>
        <w:trPr>
          <w:trHeight w:val="337"/>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Arial" w:cs="Arial" w:eastAsia="Arial" w:hAnsi="Arial"/>
                <w:sz w:val="18"/>
                <w:szCs w:val="18"/>
                <w:color w:val="auto"/>
              </w:rPr>
              <w:t>Form of Amended and Restated Certificate of Incorporation, to be effective upon completion of the offering</w:t>
            </w:r>
          </w:p>
        </w:tc>
      </w:tr>
      <w:tr>
        <w:trPr>
          <w:trHeight w:val="33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Arial" w:cs="Arial" w:eastAsia="Arial" w:hAnsi="Arial"/>
                <w:sz w:val="18"/>
                <w:szCs w:val="18"/>
                <w:color w:val="auto"/>
              </w:rPr>
              <w:t>Form of Amended and Restated Bylaws, to be effective upon completion of the offering</w:t>
            </w:r>
          </w:p>
        </w:tc>
      </w:tr>
      <w:tr>
        <w:trPr>
          <w:trHeight w:val="33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Arial" w:cs="Arial" w:eastAsia="Arial" w:hAnsi="Arial"/>
                <w:sz w:val="18"/>
                <w:szCs w:val="18"/>
                <w:color w:val="auto"/>
              </w:rPr>
              <w:t>Specimen Common Stock Certificate of the Registrant</w:t>
            </w:r>
          </w:p>
        </w:tc>
      </w:tr>
      <w:tr>
        <w:trPr>
          <w:trHeight w:val="323"/>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Arial" w:cs="Arial" w:eastAsia="Arial" w:hAnsi="Arial"/>
                <w:sz w:val="18"/>
                <w:szCs w:val="18"/>
                <w:color w:val="auto"/>
              </w:rPr>
              <w:t>Investors’ Rights Agreement, dated May 29, 2020, as amended, by and among the Registrant and the Investors and Key</w:t>
            </w:r>
          </w:p>
        </w:tc>
      </w:tr>
      <w:tr>
        <w:trPr>
          <w:trHeight w:val="217"/>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20" w:type="dxa"/>
            <w:vAlign w:val="bottom"/>
            <w:gridSpan w:val="3"/>
          </w:tcPr>
          <w:p>
            <w:pPr>
              <w:spacing w:after="0"/>
              <w:rPr>
                <w:sz w:val="20"/>
                <w:szCs w:val="20"/>
                <w:color w:val="auto"/>
              </w:rPr>
            </w:pPr>
            <w:r>
              <w:rPr>
                <w:rFonts w:ascii="Arial" w:cs="Arial" w:eastAsia="Arial" w:hAnsi="Arial"/>
                <w:sz w:val="18"/>
                <w:szCs w:val="18"/>
                <w:color w:val="auto"/>
              </w:rPr>
              <w:t>Holders party thereto</w:t>
            </w:r>
          </w:p>
        </w:tc>
      </w:tr>
      <w:tr>
        <w:trPr>
          <w:trHeight w:val="324"/>
        </w:trPr>
        <w:tc>
          <w:tcPr>
            <w:tcW w:w="920" w:type="dxa"/>
            <w:vAlign w:val="bottom"/>
          </w:tcPr>
          <w:p>
            <w:pPr>
              <w:jc w:val="right"/>
              <w:ind w:right="47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0220" w:type="dxa"/>
            <w:vAlign w:val="bottom"/>
            <w:gridSpan w:val="3"/>
          </w:tcPr>
          <w:p>
            <w:pPr>
              <w:spacing w:after="0"/>
              <w:rPr>
                <w:rFonts w:ascii="Arial" w:cs="Arial" w:eastAsia="Arial" w:hAnsi="Arial"/>
                <w:sz w:val="18"/>
                <w:szCs w:val="18"/>
                <w:u w:val="single" w:color="auto"/>
                <w:color w:val="0000EE"/>
              </w:rPr>
            </w:pPr>
            <w:hyperlink w:anchor="page260">
              <w:r>
                <w:rPr>
                  <w:rFonts w:ascii="Arial" w:cs="Arial" w:eastAsia="Arial" w:hAnsi="Arial"/>
                  <w:sz w:val="18"/>
                  <w:szCs w:val="18"/>
                  <w:u w:val="single" w:color="auto"/>
                  <w:color w:val="0000EE"/>
                </w:rPr>
                <w:t>Form of Warrant to Purchase Series B Preferred Stock</w:t>
              </w:r>
            </w:hyperlink>
          </w:p>
        </w:tc>
      </w:tr>
      <w:tr>
        <w:trPr>
          <w:trHeight w:val="338"/>
        </w:trPr>
        <w:tc>
          <w:tcPr>
            <w:tcW w:w="920" w:type="dxa"/>
            <w:vAlign w:val="bottom"/>
          </w:tcPr>
          <w:p>
            <w:pPr>
              <w:jc w:val="right"/>
              <w:ind w:right="47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10220" w:type="dxa"/>
            <w:vAlign w:val="bottom"/>
            <w:gridSpan w:val="3"/>
          </w:tcPr>
          <w:p>
            <w:pPr>
              <w:spacing w:after="0"/>
              <w:rPr>
                <w:rFonts w:ascii="Arial" w:cs="Arial" w:eastAsia="Arial" w:hAnsi="Arial"/>
                <w:sz w:val="18"/>
                <w:szCs w:val="18"/>
                <w:u w:val="single" w:color="auto"/>
                <w:color w:val="0000EE"/>
              </w:rPr>
            </w:pPr>
            <w:hyperlink w:anchor="page281">
              <w:r>
                <w:rPr>
                  <w:rFonts w:ascii="Arial" w:cs="Arial" w:eastAsia="Arial" w:hAnsi="Arial"/>
                  <w:sz w:val="18"/>
                  <w:szCs w:val="18"/>
                  <w:u w:val="single" w:color="auto"/>
                  <w:color w:val="0000EE"/>
                </w:rPr>
                <w:t>Form of Warrant to Purchase Common Stock</w:t>
              </w:r>
            </w:hyperlink>
          </w:p>
        </w:tc>
      </w:tr>
      <w:tr>
        <w:trPr>
          <w:trHeight w:val="33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Arial" w:cs="Arial" w:eastAsia="Arial" w:hAnsi="Arial"/>
                <w:sz w:val="18"/>
                <w:szCs w:val="18"/>
                <w:color w:val="auto"/>
              </w:rPr>
              <w:t>Warrant to Purchase Common Stock of the Registrant, dated April 8, 2013</w:t>
            </w:r>
          </w:p>
        </w:tc>
      </w:tr>
      <w:tr>
        <w:trPr>
          <w:trHeight w:val="33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Arial" w:cs="Arial" w:eastAsia="Arial" w:hAnsi="Arial"/>
                <w:sz w:val="18"/>
                <w:szCs w:val="18"/>
                <w:color w:val="auto"/>
              </w:rPr>
              <w:t>Opinion of Wilson Sonsini Goodrich &amp; Rosati, Professional Corporation</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220" w:type="dxa"/>
            <w:vAlign w:val="bottom"/>
            <w:gridSpan w:val="3"/>
          </w:tcPr>
          <w:p>
            <w:pPr>
              <w:spacing w:after="0"/>
              <w:rPr>
                <w:rFonts w:ascii="Arial" w:cs="Arial" w:eastAsia="Arial" w:hAnsi="Arial"/>
                <w:sz w:val="18"/>
                <w:szCs w:val="18"/>
                <w:u w:val="single" w:color="auto"/>
                <w:color w:val="0000EE"/>
              </w:rPr>
            </w:pPr>
            <w:hyperlink w:anchor="page304">
              <w:r>
                <w:rPr>
                  <w:rFonts w:ascii="Arial" w:cs="Arial" w:eastAsia="Arial" w:hAnsi="Arial"/>
                  <w:sz w:val="18"/>
                  <w:szCs w:val="18"/>
                  <w:u w:val="single" w:color="auto"/>
                  <w:color w:val="0000EE"/>
                </w:rPr>
                <w:t>Form of Director and Executive Officer Indemnification Agreement</w:t>
              </w:r>
            </w:hyperlink>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Arial" w:cs="Arial" w:eastAsia="Arial" w:hAnsi="Arial"/>
                <w:sz w:val="18"/>
                <w:szCs w:val="18"/>
                <w:color w:val="auto"/>
              </w:rPr>
              <w:t>2014 Equity Incentive Plan</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Arial" w:cs="Arial" w:eastAsia="Arial" w:hAnsi="Arial"/>
                <w:sz w:val="18"/>
                <w:szCs w:val="18"/>
                <w:color w:val="auto"/>
              </w:rPr>
              <w:t>Form of Stock Option Agreement under the 2014 Equity Incentive Plan</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Arial" w:cs="Arial" w:eastAsia="Arial" w:hAnsi="Arial"/>
                <w:sz w:val="18"/>
                <w:szCs w:val="18"/>
                <w:color w:val="auto"/>
              </w:rPr>
              <w:t>2020 Equity Incentive Plan</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Arial" w:cs="Arial" w:eastAsia="Arial" w:hAnsi="Arial"/>
                <w:sz w:val="18"/>
                <w:szCs w:val="18"/>
                <w:color w:val="auto"/>
              </w:rPr>
              <w:t>Form of Stock Option Agreement under the 2020 Equity Incentive Plan</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Arial" w:cs="Arial" w:eastAsia="Arial" w:hAnsi="Arial"/>
                <w:sz w:val="18"/>
                <w:szCs w:val="18"/>
                <w:color w:val="auto"/>
              </w:rPr>
              <w:t>2020 Employee Stock Purchase Plan</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Arial" w:cs="Arial" w:eastAsia="Arial" w:hAnsi="Arial"/>
                <w:sz w:val="18"/>
                <w:szCs w:val="18"/>
                <w:color w:val="auto"/>
              </w:rPr>
              <w:t>Form of Subscription Agreement under the 2020 Employee Stock Purchase Plan</w:t>
            </w:r>
          </w:p>
        </w:tc>
      </w:tr>
      <w:tr>
        <w:trPr>
          <w:trHeight w:val="338"/>
        </w:trPr>
        <w:tc>
          <w:tcPr>
            <w:tcW w:w="920" w:type="dxa"/>
            <w:vAlign w:val="bottom"/>
          </w:tcPr>
          <w:p>
            <w:pPr>
              <w:jc w:val="right"/>
              <w:ind w:right="412"/>
              <w:spacing w:after="0"/>
              <w:rPr>
                <w:sz w:val="20"/>
                <w:szCs w:val="20"/>
                <w:color w:val="auto"/>
              </w:rPr>
            </w:pPr>
            <w:r>
              <w:rPr>
                <w:rFonts w:ascii="Arial" w:cs="Arial" w:eastAsia="Arial" w:hAnsi="Arial"/>
                <w:sz w:val="18"/>
                <w:szCs w:val="18"/>
                <w:color w:val="auto"/>
                <w:w w:val="95"/>
              </w:rPr>
              <w:t>10.8*</w:t>
            </w:r>
          </w:p>
        </w:tc>
        <w:tc>
          <w:tcPr>
            <w:tcW w:w="10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Arial" w:cs="Arial" w:eastAsia="Arial" w:hAnsi="Arial"/>
                <w:sz w:val="18"/>
                <w:szCs w:val="18"/>
                <w:color w:val="auto"/>
              </w:rPr>
              <w:t>Lease agreement, dated July 20, 2020, by and between the Registrant and North Creek Parkway Center Investors, LP</w:t>
            </w:r>
          </w:p>
        </w:tc>
      </w:tr>
      <w:tr>
        <w:trPr>
          <w:trHeight w:val="297"/>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984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317">
              <w:r>
                <w:rPr>
                  <w:rFonts w:ascii="Arial" w:cs="Arial" w:eastAsia="Arial" w:hAnsi="Arial"/>
                  <w:sz w:val="18"/>
                  <w:szCs w:val="18"/>
                  <w:color w:val="0000EE"/>
                  <w:w w:val="99"/>
                </w:rPr>
                <w:t>Amended and Restated Standard Exclusive Licensing Agreement with Sublicensing Terms, dated October 28, 2015, by and</w:t>
              </w:r>
            </w:hyperlink>
          </w:p>
        </w:tc>
        <w:tc>
          <w:tcPr>
            <w:tcW w:w="380" w:type="dxa"/>
            <w:vAlign w:val="bottom"/>
          </w:tcPr>
          <w:p>
            <w:pPr>
              <w:spacing w:after="0"/>
              <w:rPr>
                <w:sz w:val="24"/>
                <w:szCs w:val="24"/>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0" w:type="dxa"/>
            <w:vAlign w:val="bottom"/>
            <w:tcBorders>
              <w:bottom w:val="single" w:sz="8" w:color="0000EE"/>
            </w:tcBorders>
          </w:tcPr>
          <w:p>
            <w:pPr>
              <w:spacing w:after="0" w:line="182" w:lineRule="exact"/>
              <w:rPr>
                <w:rFonts w:ascii="Arial" w:cs="Arial" w:eastAsia="Arial" w:hAnsi="Arial"/>
                <w:sz w:val="18"/>
                <w:szCs w:val="18"/>
                <w:color w:val="0000EE"/>
                <w:w w:val="99"/>
              </w:rPr>
            </w:pPr>
            <w:hyperlink w:anchor="page317">
              <w:r>
                <w:rPr>
                  <w:rFonts w:ascii="Arial" w:cs="Arial" w:eastAsia="Arial" w:hAnsi="Arial"/>
                  <w:sz w:val="18"/>
                  <w:szCs w:val="18"/>
                  <w:color w:val="0000EE"/>
                  <w:w w:val="99"/>
                </w:rPr>
                <w:t>between the Registrant and Washington State University, and amendments thereto</w:t>
              </w:r>
            </w:hyperlink>
          </w:p>
        </w:tc>
        <w:tc>
          <w:tcPr>
            <w:tcW w:w="3620" w:type="dxa"/>
            <w:vAlign w:val="bottom"/>
            <w:gridSpan w:val="2"/>
          </w:tcPr>
          <w:p>
            <w:pPr>
              <w:spacing w:after="0"/>
              <w:rPr>
                <w:sz w:val="15"/>
                <w:szCs w:val="15"/>
                <w:color w:val="auto"/>
              </w:rPr>
            </w:pPr>
          </w:p>
        </w:tc>
      </w:tr>
      <w:tr>
        <w:trPr>
          <w:trHeight w:val="345"/>
        </w:trPr>
        <w:tc>
          <w:tcPr>
            <w:tcW w:w="920" w:type="dxa"/>
            <w:vAlign w:val="bottom"/>
          </w:tcPr>
          <w:p>
            <w:pPr>
              <w:jc w:val="right"/>
              <w:ind w:right="412"/>
              <w:spacing w:after="0"/>
              <w:rPr>
                <w:sz w:val="20"/>
                <w:szCs w:val="20"/>
                <w:color w:val="auto"/>
              </w:rPr>
            </w:pPr>
            <w:r>
              <w:rPr>
                <w:rFonts w:ascii="Arial" w:cs="Arial" w:eastAsia="Arial" w:hAnsi="Arial"/>
                <w:sz w:val="18"/>
                <w:szCs w:val="18"/>
                <w:color w:val="auto"/>
                <w:w w:val="95"/>
              </w:rPr>
              <w:t>21.1*</w:t>
            </w:r>
          </w:p>
        </w:tc>
        <w:tc>
          <w:tcPr>
            <w:tcW w:w="10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Arial" w:cs="Arial" w:eastAsia="Arial" w:hAnsi="Arial"/>
                <w:sz w:val="18"/>
                <w:szCs w:val="18"/>
                <w:color w:val="auto"/>
              </w:rPr>
              <w:t>List of subsidiaries of the Registrant</w:t>
            </w:r>
          </w:p>
        </w:tc>
      </w:tr>
      <w:tr>
        <w:trPr>
          <w:trHeight w:val="338"/>
        </w:trPr>
        <w:tc>
          <w:tcPr>
            <w:tcW w:w="920" w:type="dxa"/>
            <w:vAlign w:val="bottom"/>
          </w:tcPr>
          <w:p>
            <w:pPr>
              <w:jc w:val="right"/>
              <w:ind w:right="472"/>
              <w:spacing w:after="0"/>
              <w:rPr>
                <w:sz w:val="20"/>
                <w:szCs w:val="20"/>
                <w:color w:val="auto"/>
              </w:rPr>
            </w:pPr>
            <w:r>
              <w:rPr>
                <w:rFonts w:ascii="Arial" w:cs="Arial" w:eastAsia="Arial" w:hAnsi="Arial"/>
                <w:sz w:val="18"/>
                <w:szCs w:val="18"/>
                <w:color w:val="auto"/>
                <w:w w:val="96"/>
              </w:rPr>
              <w:t>23.1</w:t>
            </w:r>
          </w:p>
        </w:tc>
        <w:tc>
          <w:tcPr>
            <w:tcW w:w="100" w:type="dxa"/>
            <w:vAlign w:val="bottom"/>
          </w:tcPr>
          <w:p>
            <w:pPr>
              <w:spacing w:after="0"/>
              <w:rPr>
                <w:sz w:val="24"/>
                <w:szCs w:val="24"/>
                <w:color w:val="auto"/>
              </w:rPr>
            </w:pPr>
          </w:p>
        </w:tc>
        <w:tc>
          <w:tcPr>
            <w:tcW w:w="10220" w:type="dxa"/>
            <w:vAlign w:val="bottom"/>
            <w:gridSpan w:val="3"/>
          </w:tcPr>
          <w:p>
            <w:pPr>
              <w:spacing w:after="0"/>
              <w:rPr>
                <w:rFonts w:ascii="Arial" w:cs="Arial" w:eastAsia="Arial" w:hAnsi="Arial"/>
                <w:sz w:val="18"/>
                <w:szCs w:val="18"/>
                <w:u w:val="single" w:color="auto"/>
                <w:color w:val="0000EE"/>
              </w:rPr>
            </w:pPr>
            <w:hyperlink w:anchor="page351">
              <w:r>
                <w:rPr>
                  <w:rFonts w:ascii="Arial" w:cs="Arial" w:eastAsia="Arial" w:hAnsi="Arial"/>
                  <w:sz w:val="18"/>
                  <w:szCs w:val="18"/>
                  <w:u w:val="single" w:color="auto"/>
                  <w:color w:val="0000EE"/>
                </w:rPr>
                <w:t>Consent of Ernst and Young, LLP, Independent Registered Public Accounting Firm</w:t>
              </w:r>
            </w:hyperlink>
          </w:p>
        </w:tc>
      </w:tr>
      <w:tr>
        <w:trPr>
          <w:trHeight w:val="338"/>
        </w:trPr>
        <w:tc>
          <w:tcPr>
            <w:tcW w:w="920" w:type="dxa"/>
            <w:vAlign w:val="bottom"/>
          </w:tcPr>
          <w:p>
            <w:pPr>
              <w:jc w:val="right"/>
              <w:ind w:right="412"/>
              <w:spacing w:after="0"/>
              <w:rPr>
                <w:sz w:val="20"/>
                <w:szCs w:val="20"/>
                <w:color w:val="auto"/>
              </w:rPr>
            </w:pPr>
            <w:r>
              <w:rPr>
                <w:rFonts w:ascii="Arial" w:cs="Arial" w:eastAsia="Arial" w:hAnsi="Arial"/>
                <w:sz w:val="18"/>
                <w:szCs w:val="18"/>
                <w:color w:val="auto"/>
                <w:w w:val="95"/>
              </w:rPr>
              <w:t>23.2*</w:t>
            </w:r>
          </w:p>
        </w:tc>
        <w:tc>
          <w:tcPr>
            <w:tcW w:w="10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r>
      <w:tr>
        <w:trPr>
          <w:trHeight w:val="338"/>
        </w:trPr>
        <w:tc>
          <w:tcPr>
            <w:tcW w:w="920" w:type="dxa"/>
            <w:vAlign w:val="bottom"/>
          </w:tcPr>
          <w:p>
            <w:pPr>
              <w:jc w:val="right"/>
              <w:ind w:right="472"/>
              <w:spacing w:after="0"/>
              <w:rPr>
                <w:sz w:val="20"/>
                <w:szCs w:val="20"/>
                <w:color w:val="auto"/>
              </w:rPr>
            </w:pPr>
            <w:r>
              <w:rPr>
                <w:rFonts w:ascii="Arial" w:cs="Arial" w:eastAsia="Arial" w:hAnsi="Arial"/>
                <w:sz w:val="18"/>
                <w:szCs w:val="18"/>
                <w:color w:val="auto"/>
                <w:w w:val="96"/>
              </w:rPr>
              <w:t>24.1</w:t>
            </w:r>
          </w:p>
        </w:tc>
        <w:tc>
          <w:tcPr>
            <w:tcW w:w="100" w:type="dxa"/>
            <w:vAlign w:val="bottom"/>
          </w:tcPr>
          <w:p>
            <w:pPr>
              <w:spacing w:after="0"/>
              <w:rPr>
                <w:sz w:val="24"/>
                <w:szCs w:val="24"/>
                <w:color w:val="auto"/>
              </w:rPr>
            </w:pPr>
          </w:p>
        </w:tc>
        <w:tc>
          <w:tcPr>
            <w:tcW w:w="10220" w:type="dxa"/>
            <w:vAlign w:val="bottom"/>
            <w:gridSpan w:val="3"/>
          </w:tcPr>
          <w:p>
            <w:pPr>
              <w:spacing w:after="0"/>
              <w:rPr>
                <w:rFonts w:ascii="Arial" w:cs="Arial" w:eastAsia="Arial" w:hAnsi="Arial"/>
                <w:sz w:val="18"/>
                <w:szCs w:val="18"/>
                <w:u w:val="single" w:color="auto"/>
                <w:color w:val="0000EE"/>
              </w:rPr>
            </w:pPr>
            <w:hyperlink w:anchor="page259">
              <w:r>
                <w:rPr>
                  <w:rFonts w:ascii="Arial" w:cs="Arial" w:eastAsia="Arial" w:hAnsi="Arial"/>
                  <w:sz w:val="18"/>
                  <w:szCs w:val="18"/>
                  <w:u w:val="single" w:color="auto"/>
                  <w:color w:val="0000EE"/>
                </w:rPr>
                <w:t>Power of Attorney (included in page II-6 herein)</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174" w:lineRule="exact"/>
        <w:rPr>
          <w:sz w:val="20"/>
          <w:szCs w:val="20"/>
          <w:color w:val="auto"/>
        </w:rPr>
      </w:pPr>
    </w:p>
    <w:p>
      <w:pPr>
        <w:ind w:left="480" w:hanging="472"/>
        <w:spacing w:after="0"/>
        <w:tabs>
          <w:tab w:leader="none" w:pos="48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w:t>
      </w:r>
    </w:p>
    <w:p>
      <w:pPr>
        <w:spacing w:after="0" w:line="42" w:lineRule="exact"/>
        <w:rPr>
          <w:sz w:val="20"/>
          <w:szCs w:val="20"/>
          <w:color w:val="auto"/>
        </w:rPr>
      </w:pPr>
    </w:p>
    <w:p>
      <w:pPr>
        <w:ind w:left="480" w:right="660" w:hanging="472"/>
        <w:spacing w:after="0" w:line="258" w:lineRule="auto"/>
        <w:tabs>
          <w:tab w:leader="none" w:pos="48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Pursuant to Item 601(b)(10) of Regulation S-K, certain portions of this exhibit have been omitted by means of marking such portions with asterisks because the Registrant has determined that the information is not material and would likely cause competitive harm to the Registrant if publicly disclosed.</w:t>
      </w:r>
    </w:p>
    <w:p>
      <w:pPr>
        <w:spacing w:after="0" w:line="18" w:lineRule="exact"/>
        <w:rPr>
          <w:sz w:val="20"/>
          <w:szCs w:val="20"/>
          <w:color w:val="auto"/>
        </w:rPr>
      </w:pPr>
    </w:p>
    <w:p>
      <w:pPr>
        <w:ind w:left="480" w:hanging="472"/>
        <w:spacing w:after="0"/>
        <w:tabs>
          <w:tab w:leader="none" w:pos="480" w:val="left"/>
        </w:tabs>
        <w:numPr>
          <w:ilvl w:val="0"/>
          <w:numId w:val="171"/>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26" w:lineRule="exact"/>
        <w:rPr>
          <w:sz w:val="20"/>
          <w:szCs w:val="20"/>
          <w:color w:val="auto"/>
        </w:rPr>
      </w:pPr>
    </w:p>
    <w:p>
      <w:pPr>
        <w:ind w:right="360" w:firstLine="576"/>
        <w:spacing w:after="0" w:line="246"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financial statements or notes thereto.</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undersigned registrant hereby undertakes that:</w:t>
      </w:r>
    </w:p>
    <w:p>
      <w:pPr>
        <w:spacing w:after="0" w:line="104" w:lineRule="exact"/>
        <w:rPr>
          <w:sz w:val="20"/>
          <w:szCs w:val="20"/>
          <w:color w:val="auto"/>
        </w:rPr>
      </w:pPr>
    </w:p>
    <w:p>
      <w:pPr>
        <w:ind w:left="1140" w:right="120" w:hanging="565"/>
        <w:spacing w:after="0" w:line="238" w:lineRule="auto"/>
        <w:tabs>
          <w:tab w:leader="none" w:pos="11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96" w:lineRule="exact"/>
        <w:rPr>
          <w:rFonts w:ascii="Arial" w:cs="Arial" w:eastAsia="Arial" w:hAnsi="Arial"/>
          <w:sz w:val="18"/>
          <w:szCs w:val="18"/>
          <w:color w:val="auto"/>
        </w:rPr>
      </w:pPr>
    </w:p>
    <w:p>
      <w:pPr>
        <w:ind w:left="1140" w:right="260" w:hanging="565"/>
        <w:spacing w:after="0"/>
        <w:tabs>
          <w:tab w:leader="none" w:pos="11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258" w:name="page259"/>
    <w:bookmarkEnd w:id="258"/>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right="20" w:firstLine="576"/>
        <w:spacing w:after="0" w:line="246"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Seattle, State of Washington, on August 26, 2020.</w:t>
      </w:r>
    </w:p>
    <w:p>
      <w:pPr>
        <w:spacing w:after="0" w:line="175"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ATHIRA PHARMA, INC.</w:t>
      </w:r>
    </w:p>
    <w:p>
      <w:pPr>
        <w:spacing w:after="0" w:line="234" w:lineRule="exact"/>
        <w:rPr>
          <w:sz w:val="20"/>
          <w:szCs w:val="20"/>
          <w:color w:val="auto"/>
        </w:rPr>
      </w:pPr>
    </w:p>
    <w:p>
      <w:pPr>
        <w:ind w:left="6300"/>
        <w:spacing w:after="0"/>
        <w:tabs>
          <w:tab w:leader="none" w:pos="6760" w:val="left"/>
        </w:tabs>
        <w:rPr>
          <w:sz w:val="20"/>
          <w:szCs w:val="20"/>
          <w:color w:val="auto"/>
        </w:rPr>
      </w:pPr>
      <w:r>
        <w:rPr>
          <w:rFonts w:ascii="Arial" w:cs="Arial" w:eastAsia="Arial" w:hAnsi="Arial"/>
          <w:sz w:val="18"/>
          <w:szCs w:val="18"/>
          <w:color w:val="auto"/>
        </w:rPr>
        <w:t>By:</w:t>
        <w:tab/>
        <w:t>/s/ 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6350</wp:posOffset>
            </wp:positionV>
            <wp:extent cx="28289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8"/>
          <w:szCs w:val="18"/>
          <w:color w:val="auto"/>
        </w:rPr>
        <w:t>Leen Kawas</w:t>
      </w: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34"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KNOW ALL PERSONS BY THESE PRESENTS, that each person whose individual signature appears below hereby authorizes and appoints Leen Kawas and Mark Litton,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registration statement on Form S-1, and to file the same, with all exhibits thereto, and all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spacing w:after="0" w:line="208" w:lineRule="exact"/>
        <w:rPr>
          <w:sz w:val="20"/>
          <w:szCs w:val="20"/>
          <w:color w:val="auto"/>
        </w:rPr>
      </w:pPr>
    </w:p>
    <w:p>
      <w:pPr>
        <w:ind w:firstLine="576"/>
        <w:spacing w:after="0" w:line="24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5120" w:type="dxa"/>
            <w:vAlign w:val="bottom"/>
          </w:tcPr>
          <w:p>
            <w:pPr>
              <w:ind w:left="2980"/>
              <w:spacing w:after="0"/>
              <w:rPr>
                <w:sz w:val="20"/>
                <w:szCs w:val="20"/>
                <w:color w:val="auto"/>
              </w:rPr>
            </w:pPr>
            <w:r>
              <w:rPr>
                <w:rFonts w:ascii="Arial" w:cs="Arial" w:eastAsia="Arial" w:hAnsi="Arial"/>
                <w:sz w:val="14"/>
                <w:szCs w:val="14"/>
                <w:b w:val="1"/>
                <w:bCs w:val="1"/>
                <w:color w:val="auto"/>
              </w:rPr>
              <w:t>Title</w:t>
            </w:r>
          </w:p>
        </w:tc>
        <w:tc>
          <w:tcPr>
            <w:tcW w:w="2600" w:type="dxa"/>
            <w:vAlign w:val="bottom"/>
          </w:tcPr>
          <w:p>
            <w:pPr>
              <w:jc w:val="center"/>
              <w:ind w:left="1193"/>
              <w:spacing w:after="0"/>
              <w:rPr>
                <w:sz w:val="20"/>
                <w:szCs w:val="20"/>
                <w:color w:val="auto"/>
              </w:rPr>
            </w:pPr>
            <w:r>
              <w:rPr>
                <w:rFonts w:ascii="Arial" w:cs="Arial" w:eastAsia="Arial" w:hAnsi="Arial"/>
                <w:sz w:val="14"/>
                <w:szCs w:val="14"/>
                <w:b w:val="1"/>
                <w:bCs w:val="1"/>
                <w:color w:val="auto"/>
              </w:rPr>
              <w:t>Date</w:t>
            </w:r>
          </w:p>
        </w:tc>
      </w:tr>
      <w:tr>
        <w:trPr>
          <w:trHeight w:val="323"/>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Leen Kawas</w:t>
            </w:r>
          </w:p>
        </w:tc>
        <w:tc>
          <w:tcPr>
            <w:tcW w:w="5120" w:type="dxa"/>
            <w:vAlign w:val="bottom"/>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2600" w:type="dxa"/>
            <w:vAlign w:val="bottom"/>
          </w:tcPr>
          <w:p>
            <w:pPr>
              <w:jc w:val="center"/>
              <w:ind w:left="1193"/>
              <w:spacing w:after="0"/>
              <w:rPr>
                <w:sz w:val="20"/>
                <w:szCs w:val="20"/>
                <w:color w:val="auto"/>
              </w:rPr>
            </w:pPr>
            <w:r>
              <w:rPr>
                <w:rFonts w:ascii="Arial" w:cs="Arial" w:eastAsia="Arial" w:hAnsi="Arial"/>
                <w:sz w:val="18"/>
                <w:szCs w:val="18"/>
                <w:color w:val="auto"/>
              </w:rPr>
              <w:t>August 26, 2020</w:t>
            </w:r>
          </w:p>
        </w:tc>
      </w:tr>
      <w:tr>
        <w:trPr>
          <w:trHeight w:val="215"/>
        </w:trPr>
        <w:tc>
          <w:tcPr>
            <w:tcW w:w="3380" w:type="dxa"/>
            <w:vAlign w:val="bottom"/>
          </w:tcPr>
          <w:p>
            <w:pPr>
              <w:jc w:val="center"/>
              <w:spacing w:after="0"/>
              <w:rPr>
                <w:sz w:val="20"/>
                <w:szCs w:val="20"/>
                <w:color w:val="auto"/>
              </w:rPr>
            </w:pPr>
            <w:r>
              <w:rPr>
                <w:rFonts w:ascii="Arial" w:cs="Arial" w:eastAsia="Arial" w:hAnsi="Arial"/>
                <w:sz w:val="18"/>
                <w:szCs w:val="18"/>
                <w:color w:val="auto"/>
              </w:rPr>
              <w:t>Leen Kawas</w:t>
            </w:r>
          </w:p>
        </w:tc>
        <w:tc>
          <w:tcPr>
            <w:tcW w:w="512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2600" w:type="dxa"/>
            <w:vAlign w:val="bottom"/>
          </w:tcPr>
          <w:p>
            <w:pPr>
              <w:spacing w:after="0"/>
              <w:rPr>
                <w:sz w:val="18"/>
                <w:szCs w:val="18"/>
                <w:color w:val="auto"/>
              </w:rPr>
            </w:pPr>
          </w:p>
        </w:tc>
      </w:tr>
      <w:tr>
        <w:trPr>
          <w:trHeight w:val="332"/>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Glenna Mileson</w:t>
            </w:r>
          </w:p>
        </w:tc>
        <w:tc>
          <w:tcPr>
            <w:tcW w:w="51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2600" w:type="dxa"/>
            <w:vAlign w:val="bottom"/>
          </w:tcPr>
          <w:p>
            <w:pPr>
              <w:jc w:val="center"/>
              <w:ind w:left="1193"/>
              <w:spacing w:after="0"/>
              <w:rPr>
                <w:sz w:val="20"/>
                <w:szCs w:val="20"/>
                <w:color w:val="auto"/>
              </w:rPr>
            </w:pPr>
            <w:r>
              <w:rPr>
                <w:rFonts w:ascii="Arial" w:cs="Arial" w:eastAsia="Arial" w:hAnsi="Arial"/>
                <w:sz w:val="18"/>
                <w:szCs w:val="18"/>
                <w:color w:val="auto"/>
              </w:rPr>
              <w:t>August 26, 2020</w:t>
            </w:r>
          </w:p>
        </w:tc>
      </w:tr>
      <w:tr>
        <w:trPr>
          <w:trHeight w:val="215"/>
        </w:trPr>
        <w:tc>
          <w:tcPr>
            <w:tcW w:w="3380" w:type="dxa"/>
            <w:vAlign w:val="bottom"/>
          </w:tcPr>
          <w:p>
            <w:pPr>
              <w:jc w:val="center"/>
              <w:spacing w:after="0"/>
              <w:rPr>
                <w:sz w:val="20"/>
                <w:szCs w:val="20"/>
                <w:color w:val="auto"/>
              </w:rPr>
            </w:pPr>
            <w:r>
              <w:rPr>
                <w:rFonts w:ascii="Arial" w:cs="Arial" w:eastAsia="Arial" w:hAnsi="Arial"/>
                <w:sz w:val="18"/>
                <w:szCs w:val="18"/>
                <w:color w:val="auto"/>
                <w:w w:val="99"/>
              </w:rPr>
              <w:t>Glenna Mileson</w:t>
            </w:r>
          </w:p>
        </w:tc>
        <w:tc>
          <w:tcPr>
            <w:tcW w:w="512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and Accounting Officer)</w:t>
            </w:r>
          </w:p>
        </w:tc>
        <w:tc>
          <w:tcPr>
            <w:tcW w:w="2600" w:type="dxa"/>
            <w:vAlign w:val="bottom"/>
          </w:tcPr>
          <w:p>
            <w:pPr>
              <w:spacing w:after="0"/>
              <w:rPr>
                <w:sz w:val="18"/>
                <w:szCs w:val="18"/>
                <w:color w:val="auto"/>
              </w:rPr>
            </w:pPr>
          </w:p>
        </w:tc>
      </w:tr>
      <w:tr>
        <w:trPr>
          <w:trHeight w:val="332"/>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Tadataka Yamada</w:t>
            </w:r>
          </w:p>
        </w:tc>
        <w:tc>
          <w:tcPr>
            <w:tcW w:w="5120" w:type="dxa"/>
            <w:vAlign w:val="bottom"/>
          </w:tcPr>
          <w:p>
            <w:pPr>
              <w:ind w:left="120"/>
              <w:spacing w:after="0"/>
              <w:rPr>
                <w:sz w:val="20"/>
                <w:szCs w:val="20"/>
                <w:color w:val="auto"/>
              </w:rPr>
            </w:pPr>
            <w:r>
              <w:rPr>
                <w:rFonts w:ascii="Arial" w:cs="Arial" w:eastAsia="Arial" w:hAnsi="Arial"/>
                <w:sz w:val="18"/>
                <w:szCs w:val="18"/>
                <w:color w:val="auto"/>
              </w:rPr>
              <w:t>Chairman of the Board of Directors</w:t>
            </w:r>
          </w:p>
        </w:tc>
        <w:tc>
          <w:tcPr>
            <w:tcW w:w="2600" w:type="dxa"/>
            <w:vAlign w:val="bottom"/>
          </w:tcPr>
          <w:p>
            <w:pPr>
              <w:jc w:val="center"/>
              <w:ind w:left="1193"/>
              <w:spacing w:after="0"/>
              <w:rPr>
                <w:sz w:val="20"/>
                <w:szCs w:val="20"/>
                <w:color w:val="auto"/>
              </w:rPr>
            </w:pPr>
            <w:r>
              <w:rPr>
                <w:rFonts w:ascii="Arial" w:cs="Arial" w:eastAsia="Arial" w:hAnsi="Arial"/>
                <w:sz w:val="18"/>
                <w:szCs w:val="18"/>
                <w:color w:val="auto"/>
              </w:rPr>
              <w:t>August 26, 2020</w:t>
            </w:r>
          </w:p>
        </w:tc>
      </w:tr>
      <w:tr>
        <w:trPr>
          <w:trHeight w:val="210"/>
        </w:trPr>
        <w:tc>
          <w:tcPr>
            <w:tcW w:w="3380" w:type="dxa"/>
            <w:vAlign w:val="bottom"/>
          </w:tcPr>
          <w:p>
            <w:pPr>
              <w:jc w:val="center"/>
              <w:spacing w:after="0"/>
              <w:rPr>
                <w:sz w:val="20"/>
                <w:szCs w:val="20"/>
                <w:color w:val="auto"/>
              </w:rPr>
            </w:pPr>
            <w:r>
              <w:rPr>
                <w:rFonts w:ascii="Arial" w:cs="Arial" w:eastAsia="Arial" w:hAnsi="Arial"/>
                <w:sz w:val="18"/>
                <w:szCs w:val="18"/>
                <w:color w:val="auto"/>
                <w:w w:val="97"/>
              </w:rPr>
              <w:t>Tadataka Yamada</w:t>
            </w:r>
          </w:p>
        </w:tc>
        <w:tc>
          <w:tcPr>
            <w:tcW w:w="512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337"/>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Joseph Edelman</w:t>
            </w:r>
          </w:p>
        </w:tc>
        <w:tc>
          <w:tcPr>
            <w:tcW w:w="51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00" w:type="dxa"/>
            <w:vAlign w:val="bottom"/>
          </w:tcPr>
          <w:p>
            <w:pPr>
              <w:jc w:val="center"/>
              <w:ind w:left="1193"/>
              <w:spacing w:after="0"/>
              <w:rPr>
                <w:sz w:val="20"/>
                <w:szCs w:val="20"/>
                <w:color w:val="auto"/>
              </w:rPr>
            </w:pPr>
            <w:r>
              <w:rPr>
                <w:rFonts w:ascii="Arial" w:cs="Arial" w:eastAsia="Arial" w:hAnsi="Arial"/>
                <w:sz w:val="18"/>
                <w:szCs w:val="18"/>
                <w:color w:val="auto"/>
              </w:rPr>
              <w:t>August 26, 2020</w:t>
            </w:r>
          </w:p>
        </w:tc>
      </w:tr>
      <w:tr>
        <w:trPr>
          <w:trHeight w:val="210"/>
        </w:trPr>
        <w:tc>
          <w:tcPr>
            <w:tcW w:w="3380" w:type="dxa"/>
            <w:vAlign w:val="bottom"/>
          </w:tcPr>
          <w:p>
            <w:pPr>
              <w:jc w:val="center"/>
              <w:spacing w:after="0"/>
              <w:rPr>
                <w:sz w:val="20"/>
                <w:szCs w:val="20"/>
                <w:color w:val="auto"/>
              </w:rPr>
            </w:pPr>
            <w:r>
              <w:rPr>
                <w:rFonts w:ascii="Arial" w:cs="Arial" w:eastAsia="Arial" w:hAnsi="Arial"/>
                <w:sz w:val="18"/>
                <w:szCs w:val="18"/>
                <w:color w:val="auto"/>
                <w:w w:val="99"/>
              </w:rPr>
              <w:t>Joseph Edelman</w:t>
            </w:r>
          </w:p>
        </w:tc>
        <w:tc>
          <w:tcPr>
            <w:tcW w:w="512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337"/>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John M. Fluke, Jr.</w:t>
            </w:r>
          </w:p>
        </w:tc>
        <w:tc>
          <w:tcPr>
            <w:tcW w:w="51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00" w:type="dxa"/>
            <w:vAlign w:val="bottom"/>
          </w:tcPr>
          <w:p>
            <w:pPr>
              <w:jc w:val="center"/>
              <w:ind w:left="1193"/>
              <w:spacing w:after="0"/>
              <w:rPr>
                <w:sz w:val="20"/>
                <w:szCs w:val="20"/>
                <w:color w:val="auto"/>
              </w:rPr>
            </w:pPr>
            <w:r>
              <w:rPr>
                <w:rFonts w:ascii="Arial" w:cs="Arial" w:eastAsia="Arial" w:hAnsi="Arial"/>
                <w:sz w:val="18"/>
                <w:szCs w:val="18"/>
                <w:color w:val="auto"/>
              </w:rPr>
              <w:t>August 26, 2020</w:t>
            </w:r>
          </w:p>
        </w:tc>
      </w:tr>
      <w:tr>
        <w:trPr>
          <w:trHeight w:val="210"/>
        </w:trPr>
        <w:tc>
          <w:tcPr>
            <w:tcW w:w="3380" w:type="dxa"/>
            <w:vAlign w:val="bottom"/>
          </w:tcPr>
          <w:p>
            <w:pPr>
              <w:jc w:val="center"/>
              <w:spacing w:after="0"/>
              <w:rPr>
                <w:sz w:val="20"/>
                <w:szCs w:val="20"/>
                <w:color w:val="auto"/>
              </w:rPr>
            </w:pPr>
            <w:r>
              <w:rPr>
                <w:rFonts w:ascii="Arial" w:cs="Arial" w:eastAsia="Arial" w:hAnsi="Arial"/>
                <w:sz w:val="18"/>
                <w:szCs w:val="18"/>
                <w:color w:val="auto"/>
                <w:w w:val="99"/>
              </w:rPr>
              <w:t>John M. Fluke, Jr.</w:t>
            </w:r>
          </w:p>
        </w:tc>
        <w:tc>
          <w:tcPr>
            <w:tcW w:w="512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337"/>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James A. Johnson</w:t>
            </w:r>
          </w:p>
        </w:tc>
        <w:tc>
          <w:tcPr>
            <w:tcW w:w="51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00" w:type="dxa"/>
            <w:vAlign w:val="bottom"/>
          </w:tcPr>
          <w:p>
            <w:pPr>
              <w:jc w:val="center"/>
              <w:ind w:left="1193"/>
              <w:spacing w:after="0"/>
              <w:rPr>
                <w:sz w:val="20"/>
                <w:szCs w:val="20"/>
                <w:color w:val="auto"/>
              </w:rPr>
            </w:pPr>
            <w:r>
              <w:rPr>
                <w:rFonts w:ascii="Arial" w:cs="Arial" w:eastAsia="Arial" w:hAnsi="Arial"/>
                <w:sz w:val="18"/>
                <w:szCs w:val="18"/>
                <w:color w:val="auto"/>
              </w:rPr>
              <w:t>August 26, 2020</w:t>
            </w:r>
          </w:p>
        </w:tc>
      </w:tr>
      <w:tr>
        <w:trPr>
          <w:trHeight w:val="210"/>
        </w:trPr>
        <w:tc>
          <w:tcPr>
            <w:tcW w:w="3380" w:type="dxa"/>
            <w:vAlign w:val="bottom"/>
          </w:tcPr>
          <w:p>
            <w:pPr>
              <w:jc w:val="center"/>
              <w:spacing w:after="0"/>
              <w:rPr>
                <w:sz w:val="20"/>
                <w:szCs w:val="20"/>
                <w:color w:val="auto"/>
              </w:rPr>
            </w:pPr>
            <w:r>
              <w:rPr>
                <w:rFonts w:ascii="Arial" w:cs="Arial" w:eastAsia="Arial" w:hAnsi="Arial"/>
                <w:sz w:val="18"/>
                <w:szCs w:val="18"/>
                <w:color w:val="auto"/>
                <w:w w:val="99"/>
              </w:rPr>
              <w:t>James A. Johnson</w:t>
            </w:r>
          </w:p>
        </w:tc>
        <w:tc>
          <w:tcPr>
            <w:tcW w:w="512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647"/>
        </w:trPr>
        <w:tc>
          <w:tcPr>
            <w:tcW w:w="3380" w:type="dxa"/>
            <w:vAlign w:val="bottom"/>
          </w:tcPr>
          <w:p>
            <w:pPr>
              <w:spacing w:after="0"/>
              <w:rPr>
                <w:sz w:val="24"/>
                <w:szCs w:val="24"/>
                <w:color w:val="auto"/>
              </w:rPr>
            </w:pPr>
          </w:p>
        </w:tc>
        <w:tc>
          <w:tcPr>
            <w:tcW w:w="5120" w:type="dxa"/>
            <w:vAlign w:val="bottom"/>
          </w:tcPr>
          <w:p>
            <w:pPr>
              <w:ind w:left="2120"/>
              <w:spacing w:after="0"/>
              <w:rPr>
                <w:sz w:val="20"/>
                <w:szCs w:val="20"/>
                <w:color w:val="auto"/>
              </w:rPr>
            </w:pPr>
            <w:r>
              <w:rPr>
                <w:rFonts w:ascii="Arial" w:cs="Arial" w:eastAsia="Arial" w:hAnsi="Arial"/>
                <w:sz w:val="18"/>
                <w:szCs w:val="18"/>
                <w:color w:val="auto"/>
              </w:rPr>
              <w:t>II-6</w:t>
            </w:r>
          </w:p>
        </w:tc>
        <w:tc>
          <w:tcPr>
            <w:tcW w:w="2600" w:type="dxa"/>
            <w:vAlign w:val="bottom"/>
          </w:tcPr>
          <w:p>
            <w:pPr>
              <w:spacing w:after="0"/>
              <w:rPr>
                <w:sz w:val="24"/>
                <w:szCs w:val="24"/>
                <w:color w:val="auto"/>
              </w:rPr>
            </w:pPr>
          </w:p>
        </w:tc>
      </w:tr>
    </w:tbl>
    <w:p>
      <w:pPr>
        <w:sectPr>
          <w:pgSz w:w="11900" w:h="16838" w:orient="portrait"/>
          <w:cols w:equalWidth="0" w:num="1">
            <w:col w:w="11120"/>
          </w:cols>
          <w:pgMar w:left="320" w:top="360" w:right="459" w:bottom="1440" w:gutter="0" w:footer="0" w:header="0"/>
        </w:sectPr>
      </w:pPr>
    </w:p>
    <w:bookmarkStart w:id="259" w:name="page260"/>
    <w:bookmarkEnd w:id="259"/>
    <w:p>
      <w:pPr>
        <w:ind w:left="10320"/>
        <w:spacing w:after="0"/>
        <w:rPr>
          <w:sz w:val="20"/>
          <w:szCs w:val="20"/>
          <w:color w:val="auto"/>
        </w:rPr>
      </w:pPr>
      <w:r>
        <w:rPr>
          <w:rFonts w:ascii="Arial" w:cs="Arial" w:eastAsia="Arial" w:hAnsi="Arial"/>
          <w:sz w:val="18"/>
          <w:szCs w:val="18"/>
          <w:b w:val="1"/>
          <w:bCs w:val="1"/>
          <w:color w:val="auto"/>
        </w:rPr>
        <w:t>Exhibit 4.3</w:t>
      </w:r>
    </w:p>
    <w:p>
      <w:pPr>
        <w:spacing w:after="0" w:line="25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OFFER AND SALE OF THIS WARRANT AND THE UNDERLYING SECURITIES HAVE NOT BEEN REGISTERED UNDER THE SECURITIES ACT OF 1933,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OR UNDER THE SECURITIES LAWS OF ANY STATE. THESE SECURITIES MAY NOT BE OFFERED, SOLD OR OTHERWISE TRANSFERRED, PLEDGED OR HYPOTHECATED EXCEPT AS PERMITTED UNDER THE ACT AND APPLICABLE STATE SECURITIES LAWS IN ACCORDANCE WITH APPLICABLE REGISTRATION REQUIREMENTS OR AN EXEMPTION THEREFROM. THE ISSUER OF THESE SECURITIES MAY REQUIRE AN OPINION OF COUNSEL REASONABLY SATISFACTORY TO THE ISSUER THAT SUCH OFFER, SALE, TRANSFER, PLEDGE OR HYPOTHECATION OTHERWISE COMPLIES WITH THE ACT AND ANY APPLICABLE STATE SECURITIES LAWS. THIS WARRANT MUST BE SURRENDERED TO THE COMPANY OR ITS TRANSFER AGENT AS A CONDITION PRECEDENT TO THE SALE, TRANSFER, PLEDGE OR HYPOTHECATION OF ANY INTEREST IN ANY OF THE SECURITIES REPRESENTED HEREBY.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WARRANT TO PURCHASE SHARES OF SERIES B PREFERRED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jc w:val="center"/>
        <w:spacing w:after="0"/>
        <w:rPr>
          <w:sz w:val="20"/>
          <w:szCs w:val="20"/>
          <w:color w:val="auto"/>
        </w:rPr>
      </w:pPr>
      <w:r>
        <w:rPr>
          <w:rFonts w:ascii="Arial" w:cs="Arial" w:eastAsia="Arial" w:hAnsi="Arial"/>
          <w:sz w:val="20"/>
          <w:szCs w:val="20"/>
          <w:b w:val="1"/>
          <w:bCs w:val="1"/>
          <w:color w:val="auto"/>
        </w:rPr>
        <w:t>ATHIRA PHARMA,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Dated as of May 29, 2020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Void after the date specified in Section 8</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1</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Warrant to Purchase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1,010,955 Shares of</w:t>
      </w:r>
    </w:p>
    <w:p>
      <w:pPr>
        <w:jc w:val="right"/>
        <w:spacing w:after="0"/>
        <w:rPr>
          <w:sz w:val="20"/>
          <w:szCs w:val="20"/>
          <w:color w:val="auto"/>
        </w:rPr>
      </w:pPr>
      <w:r>
        <w:rPr>
          <w:rFonts w:ascii="Arial" w:cs="Arial" w:eastAsia="Arial" w:hAnsi="Arial"/>
          <w:sz w:val="16"/>
          <w:szCs w:val="16"/>
          <w:b w:val="1"/>
          <w:bCs w:val="1"/>
          <w:color w:val="auto"/>
        </w:rPr>
        <w:t>Series B Preferred Stock</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(subject to adjustment)</w:t>
      </w:r>
    </w:p>
    <w:p>
      <w:pPr>
        <w:spacing w:after="0" w:line="200" w:lineRule="exact"/>
        <w:rPr>
          <w:sz w:val="20"/>
          <w:szCs w:val="20"/>
          <w:color w:val="auto"/>
        </w:rPr>
      </w:pPr>
    </w:p>
    <w:p>
      <w:pPr>
        <w:sectPr>
          <w:pgSz w:w="11900" w:h="16838" w:orient="portrait"/>
          <w:cols w:equalWidth="0" w:num="2">
            <w:col w:w="8440" w:space="720"/>
            <w:col w:w="2080"/>
          </w:cols>
          <w:pgMar w:left="320" w:top="333" w:right="339" w:bottom="1440" w:gutter="0" w:footer="0" w:header="0"/>
          <w:type w:val="continuous"/>
        </w:sectPr>
      </w:pPr>
    </w:p>
    <w:p>
      <w:pPr>
        <w:spacing w:after="0" w:line="23" w:lineRule="exact"/>
        <w:rPr>
          <w:sz w:val="20"/>
          <w:szCs w:val="20"/>
          <w:color w:val="auto"/>
        </w:rPr>
      </w:pPr>
    </w:p>
    <w:p>
      <w:pPr>
        <w:jc w:val="both"/>
        <w:ind w:firstLine="832"/>
        <w:spacing w:after="0" w:line="259" w:lineRule="auto"/>
        <w:rPr>
          <w:sz w:val="20"/>
          <w:szCs w:val="20"/>
          <w:color w:val="auto"/>
        </w:rPr>
      </w:pPr>
      <w:r>
        <w:rPr>
          <w:rFonts w:ascii="Arial" w:cs="Arial" w:eastAsia="Arial" w:hAnsi="Arial"/>
          <w:sz w:val="19"/>
          <w:szCs w:val="19"/>
          <w:color w:val="auto"/>
        </w:rPr>
        <w:t>THIS CERTIFIES THAT, for value received, JMP Securities LLC, or its registered assigns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is entitled, subject to the provisions and upon the terms and conditions set forth herein, to purchase from Athira Pharma,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shares of the Company’s Series B Preferred Stock, $0.0001 par value per share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in the amounts, at such times and at the price per share set forth in Section 1. The term “</w:t>
      </w:r>
      <w:r>
        <w:rPr>
          <w:rFonts w:ascii="Arial" w:cs="Arial" w:eastAsia="Arial" w:hAnsi="Arial"/>
          <w:sz w:val="19"/>
          <w:szCs w:val="19"/>
          <w:b w:val="1"/>
          <w:bCs w:val="1"/>
          <w:i w:val="1"/>
          <w:iCs w:val="1"/>
          <w:color w:val="auto"/>
        </w:rPr>
        <w:t>Warrant</w:t>
      </w:r>
      <w:r>
        <w:rPr>
          <w:rFonts w:ascii="Arial" w:cs="Arial" w:eastAsia="Arial" w:hAnsi="Arial"/>
          <w:sz w:val="19"/>
          <w:szCs w:val="19"/>
          <w:color w:val="auto"/>
        </w:rPr>
        <w:t>” as used herein shall include this Warrant and any warrants delivered in substitution or exchange therefor as provided herein. The following is a statement of the rights of the Holder and the conditions to which this Warrant is subject, and to which Holder, by acceptance of this Warrant, agrees:</w:t>
      </w:r>
    </w:p>
    <w:p>
      <w:pPr>
        <w:spacing w:after="0" w:line="172" w:lineRule="exact"/>
        <w:rPr>
          <w:sz w:val="20"/>
          <w:szCs w:val="20"/>
          <w:color w:val="auto"/>
        </w:rPr>
      </w:pPr>
    </w:p>
    <w:p>
      <w:pPr>
        <w:ind w:left="1640" w:hanging="800"/>
        <w:spacing w:after="0"/>
        <w:tabs>
          <w:tab w:leader="none" w:pos="1640" w:val="left"/>
        </w:tabs>
        <w:numPr>
          <w:ilvl w:val="0"/>
          <w:numId w:val="173"/>
        </w:numPr>
        <w:rPr>
          <w:rFonts w:ascii="Arial" w:cs="Arial" w:eastAsia="Arial" w:hAnsi="Arial"/>
          <w:sz w:val="20"/>
          <w:szCs w:val="20"/>
          <w:color w:val="auto"/>
        </w:rPr>
      </w:pPr>
      <w:r>
        <w:rPr>
          <w:rFonts w:ascii="Arial" w:cs="Arial" w:eastAsia="Arial" w:hAnsi="Arial"/>
          <w:sz w:val="20"/>
          <w:szCs w:val="20"/>
          <w:b w:val="1"/>
          <w:bCs w:val="1"/>
          <w:color w:val="auto"/>
        </w:rPr>
        <w:t>Number and Price of Shares; Exercise Period.</w:t>
      </w:r>
    </w:p>
    <w:p>
      <w:pPr>
        <w:spacing w:after="0" w:line="221" w:lineRule="exact"/>
        <w:rPr>
          <w:rFonts w:ascii="Arial" w:cs="Arial" w:eastAsia="Arial" w:hAnsi="Arial"/>
          <w:sz w:val="20"/>
          <w:szCs w:val="20"/>
          <w:color w:val="auto"/>
        </w:rPr>
      </w:pPr>
    </w:p>
    <w:p>
      <w:pPr>
        <w:ind w:left="2540" w:hanging="869"/>
        <w:spacing w:after="0"/>
        <w:tabs>
          <w:tab w:leader="none" w:pos="2540" w:val="left"/>
        </w:tabs>
        <w:numPr>
          <w:ilvl w:val="1"/>
          <w:numId w:val="17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Definition of Shares. </w:t>
      </w:r>
      <w:r>
        <w:rPr>
          <w:rFonts w:ascii="Arial" w:cs="Arial" w:eastAsia="Arial" w:hAnsi="Arial"/>
          <w:sz w:val="20"/>
          <w:szCs w:val="20"/>
          <w:color w:val="auto"/>
        </w:rPr>
        <w:t>“</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shall mean shares of the Company’s Series B Preferred Stock.</w:t>
      </w:r>
    </w:p>
    <w:p>
      <w:pPr>
        <w:spacing w:after="0" w:line="215" w:lineRule="exact"/>
        <w:rPr>
          <w:rFonts w:ascii="Arial" w:cs="Arial" w:eastAsia="Arial" w:hAnsi="Arial"/>
          <w:sz w:val="20"/>
          <w:szCs w:val="20"/>
          <w:color w:val="auto"/>
        </w:rPr>
      </w:pPr>
    </w:p>
    <w:p>
      <w:pPr>
        <w:ind w:right="20" w:firstLine="1671"/>
        <w:spacing w:after="0" w:line="260" w:lineRule="auto"/>
        <w:tabs>
          <w:tab w:leader="none" w:pos="2542" w:val="left"/>
        </w:tabs>
        <w:numPr>
          <w:ilvl w:val="1"/>
          <w:numId w:val="17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Number of Shares. </w:t>
      </w:r>
      <w:r>
        <w:rPr>
          <w:rFonts w:ascii="Arial" w:cs="Arial" w:eastAsia="Arial" w:hAnsi="Arial"/>
          <w:sz w:val="20"/>
          <w:szCs w:val="20"/>
          <w:color w:val="auto"/>
        </w:rPr>
        <w:t>Subject to any previous exercise of the Warrant, the Holder shall have the right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purchase up to 1,010,955 Shares, as may be adjusted pursuant hereto .</w:t>
      </w:r>
    </w:p>
    <w:p>
      <w:pPr>
        <w:spacing w:after="0" w:line="176" w:lineRule="exact"/>
        <w:rPr>
          <w:rFonts w:ascii="Arial" w:cs="Arial" w:eastAsia="Arial" w:hAnsi="Arial"/>
          <w:sz w:val="20"/>
          <w:szCs w:val="20"/>
          <w:color w:val="auto"/>
        </w:rPr>
      </w:pPr>
    </w:p>
    <w:p>
      <w:pPr>
        <w:ind w:left="2540" w:hanging="869"/>
        <w:spacing w:after="0"/>
        <w:tabs>
          <w:tab w:leader="none" w:pos="2540" w:val="left"/>
        </w:tabs>
        <w:numPr>
          <w:ilvl w:val="1"/>
          <w:numId w:val="1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Exercise Price. </w:t>
      </w:r>
      <w:r>
        <w:rPr>
          <w:rFonts w:ascii="Arial" w:cs="Arial" w:eastAsia="Arial" w:hAnsi="Arial"/>
          <w:sz w:val="18"/>
          <w:szCs w:val="18"/>
          <w:color w:val="auto"/>
        </w:rPr>
        <w:t>The exercise price per Share shall be equal to $1.15, subject to adjustment pursuant hereto</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w:t>
      </w:r>
      <w:r>
        <w:rPr>
          <w:rFonts w:ascii="Arial" w:cs="Arial" w:eastAsia="Arial" w:hAnsi="Arial"/>
          <w:sz w:val="20"/>
          <w:szCs w:val="20"/>
          <w:b w:val="1"/>
          <w:bCs w:val="1"/>
          <w:i w:val="1"/>
          <w:iCs w:val="1"/>
          <w:color w:val="auto"/>
        </w:rPr>
        <w:t>Exercise Price</w:t>
      </w:r>
      <w:r>
        <w:rPr>
          <w:rFonts w:ascii="Arial" w:cs="Arial" w:eastAsia="Arial" w:hAnsi="Arial"/>
          <w:sz w:val="20"/>
          <w:szCs w:val="20"/>
          <w:color w:val="auto"/>
        </w:rPr>
        <w:t>”).</w:t>
      </w:r>
    </w:p>
    <w:p>
      <w:pPr>
        <w:spacing w:after="0" w:line="199" w:lineRule="exact"/>
        <w:rPr>
          <w:rFonts w:ascii="Arial" w:cs="Arial" w:eastAsia="Arial" w:hAnsi="Arial"/>
          <w:sz w:val="18"/>
          <w:szCs w:val="18"/>
          <w:color w:val="auto"/>
        </w:rPr>
      </w:pPr>
    </w:p>
    <w:p>
      <w:pPr>
        <w:ind w:firstLine="1671"/>
        <w:spacing w:after="0" w:line="260" w:lineRule="auto"/>
        <w:tabs>
          <w:tab w:leader="none" w:pos="2542" w:val="left"/>
        </w:tabs>
        <w:numPr>
          <w:ilvl w:val="1"/>
          <w:numId w:val="17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Exercise Period. </w:t>
      </w:r>
      <w:r>
        <w:rPr>
          <w:rFonts w:ascii="Arial" w:cs="Arial" w:eastAsia="Arial" w:hAnsi="Arial"/>
          <w:sz w:val="20"/>
          <w:szCs w:val="20"/>
          <w:color w:val="auto"/>
        </w:rPr>
        <w:t>This Warrant shall be exercisable, in whole or in part, prior to (or in connection with)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expiration of this Warrant as set forth in Section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4946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60" w:name="page261"/>
    <w:bookmarkEnd w:id="260"/>
    <w:p>
      <w:pPr>
        <w:ind w:left="1640" w:hanging="800"/>
        <w:spacing w:after="0"/>
        <w:tabs>
          <w:tab w:leader="none" w:pos="1640" w:val="left"/>
        </w:tabs>
        <w:numPr>
          <w:ilvl w:val="1"/>
          <w:numId w:val="174"/>
        </w:numPr>
        <w:rPr>
          <w:rFonts w:ascii="Arial" w:cs="Arial" w:eastAsia="Arial" w:hAnsi="Arial"/>
          <w:sz w:val="20"/>
          <w:szCs w:val="20"/>
          <w:color w:val="auto"/>
        </w:rPr>
      </w:pPr>
      <w:r>
        <w:rPr>
          <w:rFonts w:ascii="Arial" w:cs="Arial" w:eastAsia="Arial" w:hAnsi="Arial"/>
          <w:sz w:val="20"/>
          <w:szCs w:val="20"/>
          <w:b w:val="1"/>
          <w:bCs w:val="1"/>
          <w:color w:val="auto"/>
        </w:rPr>
        <w:t>Exercise of the Warrant.</w:t>
      </w:r>
    </w:p>
    <w:p>
      <w:pPr>
        <w:spacing w:after="0" w:line="221" w:lineRule="exact"/>
        <w:rPr>
          <w:rFonts w:ascii="Arial" w:cs="Arial" w:eastAsia="Arial" w:hAnsi="Arial"/>
          <w:sz w:val="20"/>
          <w:szCs w:val="20"/>
          <w:color w:val="auto"/>
        </w:rPr>
      </w:pPr>
    </w:p>
    <w:p>
      <w:pPr>
        <w:jc w:val="both"/>
        <w:ind w:firstLine="1671"/>
        <w:spacing w:after="0" w:line="246" w:lineRule="auto"/>
        <w:tabs>
          <w:tab w:leader="none" w:pos="2531" w:val="left"/>
        </w:tabs>
        <w:numPr>
          <w:ilvl w:val="2"/>
          <w:numId w:val="17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Exercise. </w:t>
      </w:r>
      <w:r>
        <w:rPr>
          <w:rFonts w:ascii="Arial" w:cs="Arial" w:eastAsia="Arial" w:hAnsi="Arial"/>
          <w:sz w:val="20"/>
          <w:szCs w:val="20"/>
          <w:color w:val="auto"/>
        </w:rPr>
        <w:t>The purchase rights represented by this Warrant may be exercised at the election of the Holder,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whole or in part, but not for less than One Hundred Thousand (100,000) Shares at a time (or such lesser number of shares which may then constitute the maximum number purchasable pursuant to Section 1) (such number being subject to adjustment as provided in Section 6), in accordance with Section 1, by:</w:t>
      </w:r>
    </w:p>
    <w:p>
      <w:pPr>
        <w:spacing w:after="0" w:line="191" w:lineRule="exact"/>
        <w:rPr>
          <w:rFonts w:ascii="Arial" w:cs="Arial" w:eastAsia="Arial" w:hAnsi="Arial"/>
          <w:sz w:val="20"/>
          <w:szCs w:val="20"/>
          <w:color w:val="auto"/>
        </w:rPr>
      </w:pPr>
    </w:p>
    <w:p>
      <w:pPr>
        <w:jc w:val="both"/>
        <w:ind w:firstLine="2920"/>
        <w:spacing w:after="0" w:line="250" w:lineRule="auto"/>
        <w:tabs>
          <w:tab w:leader="none" w:pos="3747" w:val="left"/>
        </w:tabs>
        <w:numPr>
          <w:ilvl w:val="3"/>
          <w:numId w:val="174"/>
        </w:numPr>
        <w:rPr>
          <w:rFonts w:ascii="Arial" w:cs="Arial" w:eastAsia="Arial" w:hAnsi="Arial"/>
          <w:sz w:val="20"/>
          <w:szCs w:val="20"/>
          <w:color w:val="auto"/>
        </w:rPr>
      </w:pPr>
      <w:r>
        <w:rPr>
          <w:rFonts w:ascii="Arial" w:cs="Arial" w:eastAsia="Arial" w:hAnsi="Arial"/>
          <w:sz w:val="20"/>
          <w:szCs w:val="20"/>
          <w:color w:val="auto"/>
        </w:rPr>
        <w:t>the tender to the Company at its principal office (or such other office or agency as the Company may designate) of a notice of exercise in the form of Exhibit A (the “</w:t>
      </w:r>
      <w:r>
        <w:rPr>
          <w:rFonts w:ascii="Arial" w:cs="Arial" w:eastAsia="Arial" w:hAnsi="Arial"/>
          <w:sz w:val="20"/>
          <w:szCs w:val="20"/>
          <w:b w:val="1"/>
          <w:bCs w:val="1"/>
          <w:i w:val="1"/>
          <w:iCs w:val="1"/>
          <w:color w:val="auto"/>
        </w:rPr>
        <w:t>Notice of Exercise</w:t>
      </w:r>
      <w:r>
        <w:rPr>
          <w:rFonts w:ascii="Arial" w:cs="Arial" w:eastAsia="Arial" w:hAnsi="Arial"/>
          <w:sz w:val="20"/>
          <w:szCs w:val="20"/>
          <w:color w:val="auto"/>
        </w:rPr>
        <w:t>”), duly completed and executed by or on behalf of the Holder, together with the surrender of this Warrant; and</w:t>
      </w:r>
    </w:p>
    <w:p>
      <w:pPr>
        <w:spacing w:after="0" w:line="185" w:lineRule="exact"/>
        <w:rPr>
          <w:rFonts w:ascii="Arial" w:cs="Arial" w:eastAsia="Arial" w:hAnsi="Arial"/>
          <w:sz w:val="20"/>
          <w:szCs w:val="20"/>
          <w:color w:val="auto"/>
        </w:rPr>
      </w:pPr>
    </w:p>
    <w:p>
      <w:pPr>
        <w:ind w:left="3820" w:hanging="900"/>
        <w:spacing w:after="0"/>
        <w:tabs>
          <w:tab w:leader="none" w:pos="3820" w:val="left"/>
        </w:tabs>
        <w:numPr>
          <w:ilvl w:val="3"/>
          <w:numId w:val="174"/>
        </w:numPr>
        <w:rPr>
          <w:rFonts w:ascii="Arial" w:cs="Arial" w:eastAsia="Arial" w:hAnsi="Arial"/>
          <w:sz w:val="19"/>
          <w:szCs w:val="19"/>
          <w:color w:val="auto"/>
        </w:rPr>
      </w:pPr>
      <w:r>
        <w:rPr>
          <w:rFonts w:ascii="Arial" w:cs="Arial" w:eastAsia="Arial" w:hAnsi="Arial"/>
          <w:sz w:val="19"/>
          <w:szCs w:val="19"/>
          <w:color w:val="auto"/>
        </w:rPr>
        <w:t>the payment to the Company of an amount equal to (x) the Exercise Price multiplied by</w:t>
      </w:r>
    </w:p>
    <w:p>
      <w:pPr>
        <w:spacing w:after="0" w:line="27" w:lineRule="exact"/>
        <w:rPr>
          <w:rFonts w:ascii="Arial" w:cs="Arial" w:eastAsia="Arial" w:hAnsi="Arial"/>
          <w:sz w:val="19"/>
          <w:szCs w:val="19"/>
          <w:color w:val="auto"/>
        </w:rPr>
      </w:pPr>
    </w:p>
    <w:p>
      <w:pPr>
        <w:jc w:val="both"/>
        <w:ind w:firstLine="8"/>
        <w:spacing w:after="0" w:line="241" w:lineRule="auto"/>
        <w:tabs>
          <w:tab w:leader="none" w:pos="28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the number of Shares being purchased, by (a) wire transfer or certified, cashier’s or other check acceptable to the Company and payable to the order of the Company; (b) surrender and cancellation of promissory notes or other instruments representing indebtedness of the Company to the Holder; or (c) a combination of (a) and (b).</w:t>
      </w:r>
    </w:p>
    <w:p>
      <w:pPr>
        <w:spacing w:after="0" w:line="196" w:lineRule="exact"/>
        <w:rPr>
          <w:sz w:val="20"/>
          <w:szCs w:val="20"/>
          <w:color w:val="auto"/>
        </w:rPr>
      </w:pPr>
    </w:p>
    <w:p>
      <w:pPr>
        <w:jc w:val="both"/>
        <w:ind w:firstLine="832"/>
        <w:spacing w:after="0" w:line="274" w:lineRule="auto"/>
        <w:rPr>
          <w:sz w:val="20"/>
          <w:szCs w:val="20"/>
          <w:color w:val="auto"/>
        </w:rPr>
      </w:pPr>
      <w:r>
        <w:rPr>
          <w:rFonts w:ascii="Arial" w:cs="Arial" w:eastAsia="Arial" w:hAnsi="Arial"/>
          <w:sz w:val="18"/>
          <w:szCs w:val="18"/>
          <w:color w:val="auto"/>
        </w:rPr>
        <w:t>As a condition to the issuance of Shares following exercise of this Warrant, the Company may require Holder to execute counterpart signature pages as an Investor (as defined in the Transaction Documents) to the Company’s Investors’ Rights Agreement by and among the Company and the parties thereto dated on or about the date hereof, as may be amended from to time (the “</w:t>
      </w:r>
      <w:r>
        <w:rPr>
          <w:rFonts w:ascii="Arial" w:cs="Arial" w:eastAsia="Arial" w:hAnsi="Arial"/>
          <w:sz w:val="18"/>
          <w:szCs w:val="18"/>
          <w:b w:val="1"/>
          <w:bCs w:val="1"/>
          <w:i w:val="1"/>
          <w:iCs w:val="1"/>
          <w:color w:val="auto"/>
        </w:rPr>
        <w:t>Rights Agreement</w:t>
      </w:r>
      <w:r>
        <w:rPr>
          <w:rFonts w:ascii="Arial" w:cs="Arial" w:eastAsia="Arial" w:hAnsi="Arial"/>
          <w:sz w:val="18"/>
          <w:szCs w:val="18"/>
          <w:color w:val="auto"/>
        </w:rPr>
        <w:t>”), the Company’s Right of First Refusal and Co-Sale Agreement by and among the Company and the parties thereto dated on or about the date hereof, as may be amended from time to time (the “</w:t>
      </w:r>
      <w:r>
        <w:rPr>
          <w:rFonts w:ascii="Arial" w:cs="Arial" w:eastAsia="Arial" w:hAnsi="Arial"/>
          <w:sz w:val="18"/>
          <w:szCs w:val="18"/>
          <w:b w:val="1"/>
          <w:bCs w:val="1"/>
          <w:i w:val="1"/>
          <w:iCs w:val="1"/>
          <w:color w:val="auto"/>
        </w:rPr>
        <w:t>ROFR &amp; Co-Sale Agreement</w:t>
      </w:r>
      <w:r>
        <w:rPr>
          <w:rFonts w:ascii="Arial" w:cs="Arial" w:eastAsia="Arial" w:hAnsi="Arial"/>
          <w:sz w:val="18"/>
          <w:szCs w:val="18"/>
          <w:color w:val="auto"/>
        </w:rPr>
        <w:t>”), and the Company’s Voting Agreement by and among the Company and the parties thereto dated on or about the date hereof, as may be amended from time to time (the “</w:t>
      </w:r>
      <w:r>
        <w:rPr>
          <w:rFonts w:ascii="Arial" w:cs="Arial" w:eastAsia="Arial" w:hAnsi="Arial"/>
          <w:sz w:val="18"/>
          <w:szCs w:val="18"/>
          <w:b w:val="1"/>
          <w:bCs w:val="1"/>
          <w:i w:val="1"/>
          <w:iCs w:val="1"/>
          <w:color w:val="auto"/>
        </w:rPr>
        <w:t>Voting Agreement</w:t>
      </w:r>
      <w:r>
        <w:rPr>
          <w:rFonts w:ascii="Arial" w:cs="Arial" w:eastAsia="Arial" w:hAnsi="Arial"/>
          <w:sz w:val="18"/>
          <w:szCs w:val="18"/>
          <w:color w:val="auto"/>
        </w:rPr>
        <w:t>,” and together with the Rights Agreement and the ROFR &amp; Co-Sale Agreement, the “</w:t>
      </w:r>
      <w:r>
        <w:rPr>
          <w:rFonts w:ascii="Arial" w:cs="Arial" w:eastAsia="Arial" w:hAnsi="Arial"/>
          <w:sz w:val="18"/>
          <w:szCs w:val="18"/>
          <w:b w:val="1"/>
          <w:bCs w:val="1"/>
          <w:i w:val="1"/>
          <w:iCs w:val="1"/>
          <w:color w:val="auto"/>
        </w:rPr>
        <w:t>Transaction Documents</w:t>
      </w:r>
      <w:r>
        <w:rPr>
          <w:rFonts w:ascii="Arial" w:cs="Arial" w:eastAsia="Arial" w:hAnsi="Arial"/>
          <w:sz w:val="18"/>
          <w:szCs w:val="18"/>
          <w:color w:val="auto"/>
        </w:rPr>
        <w:t>”).</w:t>
      </w:r>
    </w:p>
    <w:p>
      <w:pPr>
        <w:spacing w:after="0" w:line="168" w:lineRule="exact"/>
        <w:rPr>
          <w:sz w:val="20"/>
          <w:szCs w:val="20"/>
          <w:color w:val="auto"/>
        </w:rPr>
      </w:pPr>
    </w:p>
    <w:p>
      <w:pPr>
        <w:jc w:val="both"/>
        <w:ind w:firstLine="1671"/>
        <w:spacing w:after="0" w:line="243" w:lineRule="auto"/>
        <w:tabs>
          <w:tab w:leader="none" w:pos="2542" w:val="left"/>
        </w:tabs>
        <w:numPr>
          <w:ilvl w:val="0"/>
          <w:numId w:val="17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Net Issue Exercise. </w:t>
      </w:r>
      <w:r>
        <w:rPr>
          <w:rFonts w:ascii="Arial" w:cs="Arial" w:eastAsia="Arial" w:hAnsi="Arial"/>
          <w:sz w:val="20"/>
          <w:szCs w:val="20"/>
          <w:color w:val="auto"/>
        </w:rPr>
        <w:t>In lieu of exercising this Warrant pursuant to Section 2(a)(ii), if the fair market value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one Share is greater than the Exercise Price (at the date of calculation as set forth below), the Holder may elect to receive a number of Shares equal to the value of this Warrant (or of any portion of this Warrant being canceled) by surrender of this Warrant at the principal office of the Company (or such other office or agency as the Company may designate) together with a properly completed and executed Notice of Exercise reflecting such election, in which event the Company shall issue to the Holder that number of Shares computed using the following formula:</w:t>
      </w:r>
    </w:p>
    <w:p>
      <w:pPr>
        <w:spacing w:after="0" w:line="196" w:lineRule="exact"/>
        <w:rPr>
          <w:sz w:val="20"/>
          <w:szCs w:val="20"/>
          <w:color w:val="auto"/>
        </w:rPr>
      </w:pPr>
    </w:p>
    <w:tbl>
      <w:tblPr>
        <w:tblLayout w:type="fixed"/>
        <w:tblInd w:w="3960" w:type="dxa"/>
        <w:tblCellMar>
          <w:top w:w="0" w:type="dxa"/>
          <w:left w:w="0" w:type="dxa"/>
          <w:bottom w:w="0" w:type="dxa"/>
          <w:right w:w="0" w:type="dxa"/>
        </w:tblCellMar>
      </w:tblPr>
      <w:tr>
        <w:trPr>
          <w:trHeight w:val="246"/>
        </w:trPr>
        <w:tc>
          <w:tcPr>
            <w:tcW w:w="540" w:type="dxa"/>
            <w:vAlign w:val="bottom"/>
            <w:vMerge w:val="restart"/>
          </w:tcPr>
          <w:p>
            <w:pPr>
              <w:spacing w:after="0"/>
              <w:rPr>
                <w:sz w:val="20"/>
                <w:szCs w:val="20"/>
                <w:color w:val="auto"/>
              </w:rPr>
            </w:pPr>
            <w:r>
              <w:rPr>
                <w:rFonts w:ascii="Arial" w:cs="Arial" w:eastAsia="Arial" w:hAnsi="Arial"/>
                <w:sz w:val="20"/>
                <w:szCs w:val="20"/>
                <w:color w:val="auto"/>
              </w:rPr>
              <w:t>X</w:t>
            </w:r>
          </w:p>
        </w:tc>
        <w:tc>
          <w:tcPr>
            <w:tcW w:w="820" w:type="dxa"/>
            <w:vAlign w:val="bottom"/>
            <w:vMerge w:val="restart"/>
          </w:tcPr>
          <w:p>
            <w:pPr>
              <w:jc w:val="right"/>
              <w:ind w:right="201"/>
              <w:spacing w:after="0"/>
              <w:rPr>
                <w:sz w:val="20"/>
                <w:szCs w:val="20"/>
                <w:color w:val="auto"/>
              </w:rPr>
            </w:pPr>
            <w:r>
              <w:rPr>
                <w:rFonts w:ascii="Arial" w:cs="Arial" w:eastAsia="Arial" w:hAnsi="Arial"/>
                <w:sz w:val="20"/>
                <w:szCs w:val="20"/>
                <w:color w:val="auto"/>
              </w:rPr>
              <w:t>=</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Y(A–B)</w:t>
            </w:r>
          </w:p>
        </w:tc>
        <w:tc>
          <w:tcPr>
            <w:tcW w:w="0" w:type="dxa"/>
            <w:vAlign w:val="bottom"/>
          </w:tcPr>
          <w:p>
            <w:pPr>
              <w:spacing w:after="0"/>
              <w:rPr>
                <w:sz w:val="1"/>
                <w:szCs w:val="1"/>
                <w:color w:val="auto"/>
              </w:rPr>
            </w:pPr>
          </w:p>
        </w:tc>
      </w:tr>
      <w:tr>
        <w:trPr>
          <w:trHeight w:val="92"/>
        </w:trPr>
        <w:tc>
          <w:tcPr>
            <w:tcW w:w="5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880" w:type="dxa"/>
            <w:vAlign w:val="bottom"/>
            <w:vMerge w:val="restart"/>
          </w:tcPr>
          <w:p>
            <w:pPr>
              <w:jc w:val="center"/>
              <w:spacing w:after="0"/>
              <w:rPr>
                <w:sz w:val="20"/>
                <w:szCs w:val="20"/>
                <w:color w:val="auto"/>
              </w:rPr>
            </w:pPr>
            <w:r>
              <w:rPr>
                <w:rFonts w:ascii="Arial" w:cs="Arial" w:eastAsia="Arial" w:hAnsi="Arial"/>
                <w:sz w:val="20"/>
                <w:szCs w:val="20"/>
                <w:color w:val="auto"/>
              </w:rPr>
              <w:t>A</w:t>
            </w: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Where:</w:t>
      </w:r>
    </w:p>
    <w:p>
      <w:pPr>
        <w:spacing w:after="0" w:line="108" w:lineRule="exact"/>
        <w:rPr>
          <w:sz w:val="20"/>
          <w:szCs w:val="20"/>
          <w:color w:val="auto"/>
        </w:rPr>
      </w:pPr>
    </w:p>
    <w:p>
      <w:pPr>
        <w:ind w:left="1900" w:hanging="579"/>
        <w:spacing w:after="0"/>
        <w:tabs>
          <w:tab w:leader="none" w:pos="190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  The number of Shares to be issued to the Holder</w:t>
      </w:r>
    </w:p>
    <w:p>
      <w:pPr>
        <w:spacing w:after="0" w:line="216" w:lineRule="exact"/>
        <w:rPr>
          <w:sz w:val="20"/>
          <w:szCs w:val="20"/>
          <w:color w:val="auto"/>
        </w:rPr>
      </w:pPr>
    </w:p>
    <w:p>
      <w:pPr>
        <w:ind w:left="2180" w:right="1080" w:hanging="859"/>
        <w:spacing w:after="0" w:line="287" w:lineRule="auto"/>
        <w:tabs>
          <w:tab w:leader="none" w:pos="1895" w:val="left"/>
        </w:tabs>
        <w:numPr>
          <w:ilvl w:val="0"/>
          <w:numId w:val="178"/>
        </w:numPr>
        <w:rPr>
          <w:rFonts w:ascii="Arial" w:cs="Arial" w:eastAsia="Arial" w:hAnsi="Arial"/>
          <w:sz w:val="19"/>
          <w:szCs w:val="19"/>
          <w:color w:val="auto"/>
        </w:rPr>
      </w:pPr>
      <w:r>
        <w:rPr>
          <w:rFonts w:ascii="Arial" w:cs="Arial" w:eastAsia="Arial" w:hAnsi="Arial"/>
          <w:sz w:val="19"/>
          <w:szCs w:val="19"/>
          <w:color w:val="auto"/>
        </w:rPr>
        <w:t>= The number of Shares purchasable under this Warrant or, if only a portion of the Warrant is being exercised, the portion of the Warrant being canceled (at the date of such calculation)</w:t>
      </w:r>
    </w:p>
    <w:p>
      <w:pPr>
        <w:spacing w:after="0" w:line="152" w:lineRule="exact"/>
        <w:rPr>
          <w:sz w:val="20"/>
          <w:szCs w:val="20"/>
          <w:color w:val="auto"/>
        </w:rPr>
      </w:pPr>
    </w:p>
    <w:p>
      <w:pPr>
        <w:ind w:left="1900" w:hanging="579"/>
        <w:spacing w:after="0"/>
        <w:tabs>
          <w:tab w:leader="none" w:pos="190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  The fair market value of one Share (at the date of such calculation)</w:t>
      </w:r>
    </w:p>
    <w:p>
      <w:pPr>
        <w:spacing w:after="0" w:line="216" w:lineRule="exact"/>
        <w:rPr>
          <w:sz w:val="20"/>
          <w:szCs w:val="20"/>
          <w:color w:val="auto"/>
        </w:rPr>
      </w:pPr>
    </w:p>
    <w:p>
      <w:pPr>
        <w:ind w:left="1900" w:hanging="574"/>
        <w:spacing w:after="0"/>
        <w:tabs>
          <w:tab w:leader="none" w:pos="190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  The Exercise Price (as adjusted to the date of such calculation)</w:t>
      </w:r>
    </w:p>
    <w:p>
      <w:pPr>
        <w:spacing w:after="0" w:line="337" w:lineRule="exact"/>
        <w:rPr>
          <w:rFonts w:ascii="Arial" w:cs="Arial" w:eastAsia="Arial" w:hAnsi="Arial"/>
          <w:sz w:val="20"/>
          <w:szCs w:val="20"/>
          <w:color w:val="auto"/>
        </w:rPr>
      </w:pPr>
    </w:p>
    <w:p>
      <w:pPr>
        <w:ind w:left="5580" w:hanging="121"/>
        <w:spacing w:after="0"/>
        <w:tabs>
          <w:tab w:leader="none" w:pos="5580" w:val="left"/>
        </w:tabs>
        <w:numPr>
          <w:ilvl w:val="1"/>
          <w:numId w:val="180"/>
        </w:numPr>
        <w:rPr>
          <w:rFonts w:ascii="Arial" w:cs="Arial" w:eastAsia="Arial" w:hAnsi="Arial"/>
          <w:sz w:val="20"/>
          <w:szCs w:val="20"/>
          <w:color w:val="auto"/>
        </w:rPr>
      </w:pPr>
      <w:r>
        <w:rPr>
          <w:rFonts w:ascii="Arial" w:cs="Arial" w:eastAsia="Arial" w:hAnsi="Arial"/>
          <w:sz w:val="20"/>
          <w:szCs w:val="20"/>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61" w:name="page262"/>
    <w:bookmarkEnd w:id="261"/>
    <w:p>
      <w:pPr>
        <w:jc w:val="both"/>
        <w:ind w:firstLine="832"/>
        <w:spacing w:after="0" w:line="328" w:lineRule="auto"/>
        <w:rPr>
          <w:sz w:val="20"/>
          <w:szCs w:val="20"/>
          <w:color w:val="auto"/>
        </w:rPr>
      </w:pPr>
      <w:r>
        <w:rPr>
          <w:rFonts w:ascii="Arial" w:cs="Arial" w:eastAsia="Arial" w:hAnsi="Arial"/>
          <w:sz w:val="16"/>
          <w:szCs w:val="16"/>
          <w:color w:val="auto"/>
        </w:rPr>
        <w:t xml:space="preserve">For purposes of the calculation above, the fair market value of one Share shall be determined by the Board of Directors of the Company, acting in good faith;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Warrant is exercised in connection with the Company’s initial public offering of common stock, the fair market value per Share shall be the product of (x) the per share offering price to the public of the Company’s initial public offering and (y) the number of shares of common stock into which each Share is convertible at the time of such exercise, as applicable.</w:t>
      </w:r>
    </w:p>
    <w:p>
      <w:pPr>
        <w:spacing w:after="0" w:line="128" w:lineRule="exact"/>
        <w:rPr>
          <w:sz w:val="20"/>
          <w:szCs w:val="20"/>
          <w:color w:val="auto"/>
        </w:rPr>
      </w:pPr>
    </w:p>
    <w:p>
      <w:pPr>
        <w:jc w:val="both"/>
        <w:ind w:firstLine="1671"/>
        <w:spacing w:after="0" w:line="273" w:lineRule="auto"/>
        <w:tabs>
          <w:tab w:leader="none" w:pos="2531" w:val="left"/>
        </w:tabs>
        <w:numPr>
          <w:ilvl w:val="0"/>
          <w:numId w:val="1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 Certificates. </w:t>
      </w:r>
      <w:r>
        <w:rPr>
          <w:rFonts w:ascii="Arial" w:cs="Arial" w:eastAsia="Arial" w:hAnsi="Arial"/>
          <w:sz w:val="18"/>
          <w:szCs w:val="18"/>
          <w:color w:val="auto"/>
        </w:rPr>
        <w:t>The rights under this Warrant shall be deemed to have been exercised and the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issuable upon such exercise shall be deemed to have been issued immediately prior to the close of business on the date this Warrant is exercised in accordance with its terms, and the person entitled to receive the Shares issuable upon such exercise shall be treated for all purposes as the holder of record of such Shares as of the close of business on such date. As promptly as reasonably practicable on or after such date, and in any event within thirty (30) days thereafter, the Company shall issue and deliver to the person or persons entitled to receive the same a certificate or certificates (or an electronic Share ownership certificate through Carta ownership and equity management platform) for that number of shares issuable upon such exercise. In the event that the rights under this Warrant are exercised in part and have not expired, the Company shall execute and deliver a new Warrant reflecting the number of Shares that remain subject to this Warrant.</w:t>
      </w:r>
    </w:p>
    <w:p>
      <w:pPr>
        <w:spacing w:after="0" w:line="168" w:lineRule="exact"/>
        <w:rPr>
          <w:rFonts w:ascii="Arial" w:cs="Arial" w:eastAsia="Arial" w:hAnsi="Arial"/>
          <w:sz w:val="18"/>
          <w:szCs w:val="18"/>
          <w:color w:val="auto"/>
        </w:rPr>
      </w:pPr>
    </w:p>
    <w:p>
      <w:pPr>
        <w:jc w:val="both"/>
        <w:ind w:right="20" w:firstLine="1671"/>
        <w:spacing w:after="0" w:line="269" w:lineRule="auto"/>
        <w:tabs>
          <w:tab w:leader="none" w:pos="2542" w:val="left"/>
        </w:tabs>
        <w:numPr>
          <w:ilvl w:val="0"/>
          <w:numId w:val="18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 Fractional Shares or Scrip. </w:t>
      </w:r>
      <w:r>
        <w:rPr>
          <w:rFonts w:ascii="Arial" w:cs="Arial" w:eastAsia="Arial" w:hAnsi="Arial"/>
          <w:sz w:val="19"/>
          <w:szCs w:val="19"/>
          <w:color w:val="auto"/>
        </w:rPr>
        <w:t>No fractional shares or scrip representing fractional shares shall be issued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upon the exercise of the rights under this Warrant. In lieu of such fractional share to which the Holder would otherwise be entitled, the Company shall make a cash payment equal to the then fair market value of a Share multiplied by such fraction.</w:t>
      </w:r>
    </w:p>
    <w:p>
      <w:pPr>
        <w:spacing w:after="0" w:line="169" w:lineRule="exact"/>
        <w:rPr>
          <w:rFonts w:ascii="Arial" w:cs="Arial" w:eastAsia="Arial" w:hAnsi="Arial"/>
          <w:sz w:val="19"/>
          <w:szCs w:val="19"/>
          <w:color w:val="auto"/>
        </w:rPr>
      </w:pPr>
    </w:p>
    <w:p>
      <w:pPr>
        <w:jc w:val="both"/>
        <w:ind w:firstLine="1671"/>
        <w:spacing w:after="0" w:line="250" w:lineRule="auto"/>
        <w:tabs>
          <w:tab w:leader="none" w:pos="2531" w:val="left"/>
        </w:tabs>
        <w:numPr>
          <w:ilvl w:val="0"/>
          <w:numId w:val="18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Conditional Exercise. </w:t>
      </w:r>
      <w:r>
        <w:rPr>
          <w:rFonts w:ascii="Arial" w:cs="Arial" w:eastAsia="Arial" w:hAnsi="Arial"/>
          <w:sz w:val="20"/>
          <w:szCs w:val="20"/>
          <w:color w:val="auto"/>
        </w:rPr>
        <w:t>The Holder may exercise this Warrant conditioned upon (and effective immediately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prior to) consummation of any transaction that would cause the expiration of this Warrant pursuant to Section 8 by so indicating in the notice of exercise.</w:t>
      </w:r>
    </w:p>
    <w:p>
      <w:pPr>
        <w:spacing w:after="0" w:line="185" w:lineRule="exact"/>
        <w:rPr>
          <w:rFonts w:ascii="Arial" w:cs="Arial" w:eastAsia="Arial" w:hAnsi="Arial"/>
          <w:sz w:val="20"/>
          <w:szCs w:val="20"/>
          <w:color w:val="auto"/>
        </w:rPr>
      </w:pPr>
    </w:p>
    <w:p>
      <w:pPr>
        <w:jc w:val="both"/>
        <w:ind w:firstLine="1671"/>
        <w:spacing w:after="0" w:line="276" w:lineRule="auto"/>
        <w:tabs>
          <w:tab w:leader="none" w:pos="2509" w:val="left"/>
        </w:tabs>
        <w:numPr>
          <w:ilvl w:val="0"/>
          <w:numId w:val="1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Automatic Exercise. </w:t>
      </w:r>
      <w:r>
        <w:rPr>
          <w:rFonts w:ascii="Arial" w:cs="Arial" w:eastAsia="Arial" w:hAnsi="Arial"/>
          <w:sz w:val="18"/>
          <w:szCs w:val="18"/>
          <w:color w:val="auto"/>
        </w:rPr>
        <w:t>If the Holder of this Warrant has not elected to exercise this Warrant prior to expiration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this Warrant pursuant to Section 8, then this Warrant shall automatically (without any act on the part of the Holder) be exercised pursuant to Section 2(b) effective immediately prior to the expiration of the Warrant to the extent such net issue exercise would result in the issuance of Shares, unless Holder shall earlier provide written notice to the Company that the Holder desires that this Warrant expire unexercised. If this Warrant is automatically exercised, the Company shall notify the Holder of the automatic exercise as soon as reasonably practicable, and the Holder shall surrender the Warrant to the Company in accordance with the terms hereof.</w:t>
      </w:r>
    </w:p>
    <w:p>
      <w:pPr>
        <w:spacing w:after="0" w:line="164" w:lineRule="exact"/>
        <w:rPr>
          <w:rFonts w:ascii="Arial" w:cs="Arial" w:eastAsia="Arial" w:hAnsi="Arial"/>
          <w:sz w:val="18"/>
          <w:szCs w:val="18"/>
          <w:color w:val="auto"/>
        </w:rPr>
      </w:pPr>
    </w:p>
    <w:p>
      <w:pPr>
        <w:jc w:val="both"/>
        <w:ind w:firstLine="1671"/>
        <w:spacing w:after="0" w:line="255" w:lineRule="auto"/>
        <w:tabs>
          <w:tab w:leader="none" w:pos="2542" w:val="left"/>
        </w:tabs>
        <w:numPr>
          <w:ilvl w:val="0"/>
          <w:numId w:val="18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Reservation of Stock. </w:t>
      </w:r>
      <w:r>
        <w:rPr>
          <w:rFonts w:ascii="Arial" w:cs="Arial" w:eastAsia="Arial" w:hAnsi="Arial"/>
          <w:sz w:val="19"/>
          <w:szCs w:val="19"/>
          <w:color w:val="auto"/>
        </w:rPr>
        <w:t>The Company agrees during the term the rights under this Warrant are exercisable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take all reasonable action to reserve and keep available from its authorized and unissued shares of Series B Preferred Stock for the purpose of effecting the exercise of this Warrant such number of shares (and shares of common stock for issuance on conversion of such shares) as shall from time to time be sufficient to effect the exercise of the rights under this Warrant; and if at any time the number of authorized but unissued shares of Series B Preferred Stock (and shares of common stock for issuance on conversion of such shares) shall not be sufficient for purposes of the exercise of this Warrant in accordance with its terms and the conversion of the Shares, without limitation of such other remedies as may be available to the Holder, the Company will use its best efforts to take such corporate action as may, in the opinion of counsel, be necessary to increase its authorized and unissued shares of its Series B Preferred Stock (and shares of common stock for issuance on conversion of such shares) to a number of shares as shall be sufficient for such purposes. The Company represents and warrants that all shares that may be issued upon the exercise of this Warrant will, when issued in accordance with the terms hereof, be validly issued, fully paid and nonassessable.</w:t>
      </w:r>
    </w:p>
    <w:p>
      <w:pPr>
        <w:spacing w:after="0" w:line="200" w:lineRule="exact"/>
        <w:rPr>
          <w:rFonts w:ascii="Arial" w:cs="Arial" w:eastAsia="Arial" w:hAnsi="Arial"/>
          <w:sz w:val="19"/>
          <w:szCs w:val="19"/>
          <w:color w:val="auto"/>
        </w:rPr>
      </w:pPr>
    </w:p>
    <w:p>
      <w:pPr>
        <w:ind w:left="5580" w:hanging="121"/>
        <w:spacing w:after="0"/>
        <w:tabs>
          <w:tab w:leader="none" w:pos="5580" w:val="left"/>
        </w:tabs>
        <w:numPr>
          <w:ilvl w:val="1"/>
          <w:numId w:val="181"/>
        </w:numPr>
        <w:rPr>
          <w:rFonts w:ascii="Arial" w:cs="Arial" w:eastAsia="Arial" w:hAnsi="Arial"/>
          <w:sz w:val="20"/>
          <w:szCs w:val="20"/>
          <w:color w:val="auto"/>
        </w:rPr>
      </w:pPr>
      <w:r>
        <w:rPr>
          <w:rFonts w:ascii="Arial" w:cs="Arial" w:eastAsia="Arial" w:hAnsi="Arial"/>
          <w:sz w:val="20"/>
          <w:szCs w:val="20"/>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62" w:name="page263"/>
    <w:bookmarkEnd w:id="262"/>
    <w:p>
      <w:pPr>
        <w:jc w:val="both"/>
        <w:ind w:left="-840" w:firstLine="840"/>
        <w:spacing w:after="0" w:line="285" w:lineRule="auto"/>
        <w:tabs>
          <w:tab w:leader="none" w:pos="788"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 xml:space="preserve">Replacement of the Warrant. </w:t>
      </w:r>
      <w:r>
        <w:rPr>
          <w:rFonts w:ascii="Arial" w:cs="Arial" w:eastAsia="Arial" w:hAnsi="Arial"/>
          <w:sz w:val="18"/>
          <w:szCs w:val="18"/>
          <w:color w:val="auto"/>
        </w:rPr>
        <w:t>Subject to the receipt of evidence reasonably satisfactory to the Company of the loss,</w:t>
      </w:r>
      <w:r>
        <w:rPr>
          <w:rFonts w:ascii="Arial" w:cs="Arial" w:eastAsia="Arial" w:hAnsi="Arial"/>
          <w:sz w:val="18"/>
          <w:szCs w:val="18"/>
          <w:b w:val="1"/>
          <w:bCs w:val="1"/>
          <w:color w:val="auto"/>
        </w:rPr>
        <w:t xml:space="preserve"> </w:t>
      </w:r>
      <w:r>
        <w:rPr>
          <w:rFonts w:ascii="Arial" w:cs="Arial" w:eastAsia="Arial" w:hAnsi="Arial"/>
          <w:sz w:val="18"/>
          <w:szCs w:val="18"/>
          <w:color w:val="auto"/>
        </w:rPr>
        <w:t>theft, destruction or mutilation of this Warrant and, in the case of loss, theft or destruction, on delivery of an indemnity agreement reasonably satisfactory in form and substance to the Company or, in the case of mutilation, on surrender and cancellation of this Warrant, the Company at the expense of the Holder shall execute and deliver, in lieu of this Warrant, a new warrant of like tenor and amount.</w:t>
      </w:r>
    </w:p>
    <w:p>
      <w:pPr>
        <w:spacing w:after="0" w:line="150" w:lineRule="exact"/>
        <w:rPr>
          <w:rFonts w:ascii="Arial" w:cs="Arial" w:eastAsia="Arial" w:hAnsi="Arial"/>
          <w:sz w:val="18"/>
          <w:szCs w:val="18"/>
          <w:color w:val="auto"/>
        </w:rPr>
      </w:pPr>
    </w:p>
    <w:p>
      <w:pPr>
        <w:ind w:left="800" w:hanging="800"/>
        <w:spacing w:after="0"/>
        <w:tabs>
          <w:tab w:leader="none" w:pos="800" w:val="left"/>
        </w:tabs>
        <w:numPr>
          <w:ilvl w:val="0"/>
          <w:numId w:val="182"/>
        </w:numPr>
        <w:rPr>
          <w:rFonts w:ascii="Arial" w:cs="Arial" w:eastAsia="Arial" w:hAnsi="Arial"/>
          <w:sz w:val="20"/>
          <w:szCs w:val="20"/>
          <w:color w:val="auto"/>
        </w:rPr>
      </w:pPr>
      <w:r>
        <w:rPr>
          <w:rFonts w:ascii="Arial" w:cs="Arial" w:eastAsia="Arial" w:hAnsi="Arial"/>
          <w:sz w:val="20"/>
          <w:szCs w:val="20"/>
          <w:b w:val="1"/>
          <w:bCs w:val="1"/>
          <w:color w:val="auto"/>
        </w:rPr>
        <w:t>Transfer of the Warrant.</w:t>
      </w:r>
    </w:p>
    <w:p>
      <w:pPr>
        <w:spacing w:after="0" w:line="221" w:lineRule="exact"/>
        <w:rPr>
          <w:rFonts w:ascii="Arial" w:cs="Arial" w:eastAsia="Arial" w:hAnsi="Arial"/>
          <w:sz w:val="20"/>
          <w:szCs w:val="20"/>
          <w:color w:val="auto"/>
        </w:rPr>
      </w:pPr>
    </w:p>
    <w:p>
      <w:pPr>
        <w:jc w:val="both"/>
        <w:ind w:left="-840" w:firstLine="1671"/>
        <w:spacing w:after="0" w:line="244" w:lineRule="auto"/>
        <w:tabs>
          <w:tab w:leader="none" w:pos="1691" w:val="left"/>
        </w:tabs>
        <w:numPr>
          <w:ilvl w:val="1"/>
          <w:numId w:val="18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Warrant Register. </w:t>
      </w:r>
      <w:r>
        <w:rPr>
          <w:rFonts w:ascii="Arial" w:cs="Arial" w:eastAsia="Arial" w:hAnsi="Arial"/>
          <w:sz w:val="20"/>
          <w:szCs w:val="20"/>
          <w:color w:val="auto"/>
        </w:rPr>
        <w:t>The Company shall maintain a register (the “</w:t>
      </w:r>
      <w:r>
        <w:rPr>
          <w:rFonts w:ascii="Arial" w:cs="Arial" w:eastAsia="Arial" w:hAnsi="Arial"/>
          <w:sz w:val="20"/>
          <w:szCs w:val="20"/>
          <w:b w:val="1"/>
          <w:bCs w:val="1"/>
          <w:i w:val="1"/>
          <w:iCs w:val="1"/>
          <w:color w:val="auto"/>
        </w:rPr>
        <w:t>Warrant Register</w:t>
      </w:r>
      <w:r>
        <w:rPr>
          <w:rFonts w:ascii="Arial" w:cs="Arial" w:eastAsia="Arial" w:hAnsi="Arial"/>
          <w:sz w:val="20"/>
          <w:szCs w:val="20"/>
          <w:color w:val="auto"/>
        </w:rPr>
        <w:t>”) containing the name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address of the Holder or Holders. Until this Warrant is transferred on the Warrant Register in accordance herewith, the Company may treat the Holder as shown on the Warrant Register as the absolute owner of this Warrant for all purposes, notwithstanding any notice to the contrary. Any Holder of this Warrant (or of any portion of this Warrant) may change its address as shown on the Warrant Register by written notice to the Company requesting a change.</w:t>
      </w:r>
    </w:p>
    <w:p>
      <w:pPr>
        <w:spacing w:after="0" w:line="194" w:lineRule="exact"/>
        <w:rPr>
          <w:rFonts w:ascii="Arial" w:cs="Arial" w:eastAsia="Arial" w:hAnsi="Arial"/>
          <w:sz w:val="20"/>
          <w:szCs w:val="20"/>
          <w:color w:val="auto"/>
        </w:rPr>
      </w:pPr>
    </w:p>
    <w:p>
      <w:pPr>
        <w:jc w:val="both"/>
        <w:ind w:left="-840" w:firstLine="1671"/>
        <w:spacing w:after="0" w:line="250" w:lineRule="auto"/>
        <w:tabs>
          <w:tab w:leader="none" w:pos="1702" w:val="left"/>
        </w:tabs>
        <w:numPr>
          <w:ilvl w:val="1"/>
          <w:numId w:val="18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Warrant Agent. </w:t>
      </w:r>
      <w:r>
        <w:rPr>
          <w:rFonts w:ascii="Arial" w:cs="Arial" w:eastAsia="Arial" w:hAnsi="Arial"/>
          <w:sz w:val="20"/>
          <w:szCs w:val="20"/>
          <w:color w:val="auto"/>
        </w:rPr>
        <w:t>The Company may appoint an agent for the purpose of maintaining the Warrant Register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referred to in Section 4(a), issuing the Shares or other securities then issuable upon the exercise of the rights under this Warrant, exchanging this Warrant, replacing this Warrant or conducting related activities.</w:t>
      </w:r>
    </w:p>
    <w:p>
      <w:pPr>
        <w:spacing w:after="0" w:line="185" w:lineRule="exact"/>
        <w:rPr>
          <w:rFonts w:ascii="Arial" w:cs="Arial" w:eastAsia="Arial" w:hAnsi="Arial"/>
          <w:sz w:val="20"/>
          <w:szCs w:val="20"/>
          <w:color w:val="auto"/>
        </w:rPr>
      </w:pPr>
    </w:p>
    <w:p>
      <w:pPr>
        <w:jc w:val="both"/>
        <w:ind w:left="-840" w:firstLine="1671"/>
        <w:spacing w:after="0" w:line="244" w:lineRule="auto"/>
        <w:tabs>
          <w:tab w:leader="none" w:pos="1691" w:val="left"/>
        </w:tabs>
        <w:numPr>
          <w:ilvl w:val="1"/>
          <w:numId w:val="18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Transferability of the Warrant. </w:t>
      </w:r>
      <w:r>
        <w:rPr>
          <w:rFonts w:ascii="Arial" w:cs="Arial" w:eastAsia="Arial" w:hAnsi="Arial"/>
          <w:sz w:val="20"/>
          <w:szCs w:val="20"/>
          <w:color w:val="auto"/>
        </w:rPr>
        <w:t>Subject to the provisions of this Warrant with respect to compliance with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Securities Act of 1933, as amended (the “</w:t>
      </w:r>
      <w:r>
        <w:rPr>
          <w:rFonts w:ascii="Arial" w:cs="Arial" w:eastAsia="Arial" w:hAnsi="Arial"/>
          <w:sz w:val="20"/>
          <w:szCs w:val="20"/>
          <w:b w:val="1"/>
          <w:bCs w:val="1"/>
          <w:i w:val="1"/>
          <w:iCs w:val="1"/>
          <w:color w:val="auto"/>
        </w:rPr>
        <w:t>Securities Act</w:t>
      </w:r>
      <w:r>
        <w:rPr>
          <w:rFonts w:ascii="Arial" w:cs="Arial" w:eastAsia="Arial" w:hAnsi="Arial"/>
          <w:sz w:val="20"/>
          <w:szCs w:val="20"/>
          <w:color w:val="auto"/>
        </w:rPr>
        <w:t>”) and limitations on assignments and transfers, including without limitation compliance with the restrictions on transfer set forth in Section 5, title to this Warrant may be transferred by endorsement (by the transferor and the transferee executing the assignment form attached as Exhibit B (the “</w:t>
      </w:r>
      <w:r>
        <w:rPr>
          <w:rFonts w:ascii="Arial" w:cs="Arial" w:eastAsia="Arial" w:hAnsi="Arial"/>
          <w:sz w:val="20"/>
          <w:szCs w:val="20"/>
          <w:b w:val="1"/>
          <w:bCs w:val="1"/>
          <w:i w:val="1"/>
          <w:iCs w:val="1"/>
          <w:color w:val="auto"/>
        </w:rPr>
        <w:t>Assignment Form</w:t>
      </w:r>
      <w:r>
        <w:rPr>
          <w:rFonts w:ascii="Arial" w:cs="Arial" w:eastAsia="Arial" w:hAnsi="Arial"/>
          <w:sz w:val="20"/>
          <w:szCs w:val="20"/>
          <w:color w:val="auto"/>
        </w:rPr>
        <w:t>”)) and delivery in the same manner as a negotiable instrument transferable by endorsement and delivery.</w:t>
      </w:r>
    </w:p>
    <w:p>
      <w:pPr>
        <w:spacing w:after="0" w:line="194" w:lineRule="exact"/>
        <w:rPr>
          <w:rFonts w:ascii="Arial" w:cs="Arial" w:eastAsia="Arial" w:hAnsi="Arial"/>
          <w:sz w:val="20"/>
          <w:szCs w:val="20"/>
          <w:color w:val="auto"/>
        </w:rPr>
      </w:pPr>
    </w:p>
    <w:p>
      <w:pPr>
        <w:jc w:val="both"/>
        <w:ind w:left="-840" w:firstLine="1671"/>
        <w:spacing w:after="0" w:line="274" w:lineRule="auto"/>
        <w:tabs>
          <w:tab w:leader="none" w:pos="1702" w:val="left"/>
        </w:tabs>
        <w:numPr>
          <w:ilvl w:val="1"/>
          <w:numId w:val="1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Exchange of the Warrant upon a Transfer. </w:t>
      </w:r>
      <w:r>
        <w:rPr>
          <w:rFonts w:ascii="Arial" w:cs="Arial" w:eastAsia="Arial" w:hAnsi="Arial"/>
          <w:sz w:val="18"/>
          <w:szCs w:val="18"/>
          <w:color w:val="auto"/>
        </w:rPr>
        <w:t>On surrender of this Warrant (and a properly endorsed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Assignment Form) for exchange, subject to the provisions of this Warrant with respect to compliance with the Securities Act and limitations on assignments and transfers, the Company shall issue to or on the order of the Holder a new warrant or warrants of like tenor, in the name of the Holder or as the Holder (on payment by the Holder of any applicable transfer taxes) may direct, for the number of shares issuable upon exercise hereof, and the Company shall register any such transfer upon the Warrant Register. This Warrant (and the securities issuable upon exercise of the rights under this Warrant) must be surrendered to the Company or its warrant or transfer agent, as applicable, as a condition precedent to the sale, pledge, hypothecation or other transfer of any interest in any of the securities represented hereby.</w:t>
      </w:r>
    </w:p>
    <w:p>
      <w:pPr>
        <w:spacing w:after="0" w:line="168" w:lineRule="exact"/>
        <w:rPr>
          <w:rFonts w:ascii="Arial" w:cs="Arial" w:eastAsia="Arial" w:hAnsi="Arial"/>
          <w:sz w:val="18"/>
          <w:szCs w:val="18"/>
          <w:color w:val="auto"/>
        </w:rPr>
      </w:pPr>
    </w:p>
    <w:p>
      <w:pPr>
        <w:jc w:val="both"/>
        <w:ind w:left="-840" w:firstLine="1671"/>
        <w:spacing w:after="0" w:line="250" w:lineRule="auto"/>
        <w:tabs>
          <w:tab w:leader="none" w:pos="1691" w:val="left"/>
        </w:tabs>
        <w:numPr>
          <w:ilvl w:val="1"/>
          <w:numId w:val="18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Minimum Transfer. </w:t>
      </w:r>
      <w:r>
        <w:rPr>
          <w:rFonts w:ascii="Arial" w:cs="Arial" w:eastAsia="Arial" w:hAnsi="Arial"/>
          <w:sz w:val="20"/>
          <w:szCs w:val="20"/>
          <w:color w:val="auto"/>
        </w:rPr>
        <w:t>This Warrant may not be transferred in part unless such transfer is to a transferee who,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pursuant to such transfer, receives the right to purchase at least One Hundred Thousand (100,000) Shares hereunder (as adjusted from time to time in accordance with Section 6).</w:t>
      </w:r>
    </w:p>
    <w:p>
      <w:pPr>
        <w:spacing w:after="0" w:line="185" w:lineRule="exact"/>
        <w:rPr>
          <w:rFonts w:ascii="Arial" w:cs="Arial" w:eastAsia="Arial" w:hAnsi="Arial"/>
          <w:sz w:val="20"/>
          <w:szCs w:val="20"/>
          <w:color w:val="auto"/>
        </w:rPr>
      </w:pPr>
    </w:p>
    <w:p>
      <w:pPr>
        <w:jc w:val="both"/>
        <w:ind w:left="-840" w:firstLine="1671"/>
        <w:spacing w:after="0" w:line="244" w:lineRule="auto"/>
        <w:tabs>
          <w:tab w:leader="none" w:pos="1669" w:val="left"/>
        </w:tabs>
        <w:numPr>
          <w:ilvl w:val="1"/>
          <w:numId w:val="18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Taxes. </w:t>
      </w:r>
      <w:r>
        <w:rPr>
          <w:rFonts w:ascii="Arial" w:cs="Arial" w:eastAsia="Arial" w:hAnsi="Arial"/>
          <w:sz w:val="20"/>
          <w:szCs w:val="20"/>
          <w:color w:val="auto"/>
        </w:rPr>
        <w:t>In no event shall the Company be required to pay any tax which may be payable in respect of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transfer involved in the issue and delivery of any certificate, or a book entry, in a name other than that of the Holder, and the Company shall not be required to issue or deliver any such certificate, or make such book entry, unless and until the person or persons requesting the issue or entry thereof shall have paid to the Company the amount of such tax or shall have established to the satisfaction of the Company that such tax has been paid or is not payable.</w:t>
      </w:r>
    </w:p>
    <w:p>
      <w:pPr>
        <w:spacing w:after="0" w:line="207" w:lineRule="exact"/>
        <w:rPr>
          <w:rFonts w:ascii="Arial" w:cs="Arial" w:eastAsia="Arial" w:hAnsi="Arial"/>
          <w:sz w:val="20"/>
          <w:szCs w:val="20"/>
          <w:color w:val="auto"/>
        </w:rPr>
      </w:pPr>
    </w:p>
    <w:p>
      <w:pPr>
        <w:ind w:left="4740" w:hanging="121"/>
        <w:spacing w:after="0"/>
        <w:tabs>
          <w:tab w:leader="none" w:pos="4740" w:val="left"/>
        </w:tabs>
        <w:numPr>
          <w:ilvl w:val="2"/>
          <w:numId w:val="182"/>
        </w:numPr>
        <w:rPr>
          <w:rFonts w:ascii="Arial" w:cs="Arial" w:eastAsia="Arial" w:hAnsi="Arial"/>
          <w:sz w:val="20"/>
          <w:szCs w:val="20"/>
          <w:color w:val="auto"/>
        </w:rPr>
      </w:pPr>
      <w:r>
        <w:rPr>
          <w:rFonts w:ascii="Arial" w:cs="Arial" w:eastAsia="Arial" w:hAnsi="Arial"/>
          <w:sz w:val="20"/>
          <w:szCs w:val="20"/>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78740</wp:posOffset>
            </wp:positionV>
            <wp:extent cx="7149465"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00"/>
          </w:cols>
          <w:pgMar w:left="1160" w:top="549" w:right="339" w:bottom="1440" w:gutter="0" w:footer="0" w:header="0"/>
        </w:sectPr>
      </w:pPr>
    </w:p>
    <w:bookmarkStart w:id="263" w:name="page264"/>
    <w:bookmarkEnd w:id="263"/>
    <w:p>
      <w:pPr>
        <w:ind w:left="-840" w:firstLine="840"/>
        <w:spacing w:after="0" w:line="267" w:lineRule="auto"/>
        <w:tabs>
          <w:tab w:leader="none" w:pos="788" w:val="left"/>
        </w:tabs>
        <w:numPr>
          <w:ilvl w:val="0"/>
          <w:numId w:val="183"/>
        </w:numPr>
        <w:rPr>
          <w:rFonts w:ascii="Arial" w:cs="Arial" w:eastAsia="Arial" w:hAnsi="Arial"/>
          <w:sz w:val="20"/>
          <w:szCs w:val="20"/>
          <w:color w:val="auto"/>
        </w:rPr>
      </w:pPr>
      <w:r>
        <w:rPr>
          <w:rFonts w:ascii="Arial" w:cs="Arial" w:eastAsia="Arial" w:hAnsi="Arial"/>
          <w:sz w:val="20"/>
          <w:szCs w:val="20"/>
          <w:b w:val="1"/>
          <w:bCs w:val="1"/>
          <w:color w:val="auto"/>
        </w:rPr>
        <w:t xml:space="preserve">Restrictions on Transfer of the Warrant and Shares; Compliance with Securities Laws. </w:t>
      </w:r>
      <w:r>
        <w:rPr>
          <w:rFonts w:ascii="Arial" w:cs="Arial" w:eastAsia="Arial" w:hAnsi="Arial"/>
          <w:sz w:val="20"/>
          <w:szCs w:val="20"/>
          <w:color w:val="auto"/>
        </w:rPr>
        <w:t>By acceptance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Warrant, the Holder agrees to comply with the following:</w:t>
      </w:r>
    </w:p>
    <w:p>
      <w:pPr>
        <w:spacing w:after="0" w:line="169" w:lineRule="exact"/>
        <w:rPr>
          <w:rFonts w:ascii="Arial" w:cs="Arial" w:eastAsia="Arial" w:hAnsi="Arial"/>
          <w:sz w:val="20"/>
          <w:szCs w:val="20"/>
          <w:color w:val="auto"/>
        </w:rPr>
      </w:pPr>
    </w:p>
    <w:p>
      <w:pPr>
        <w:jc w:val="both"/>
        <w:ind w:left="-840" w:firstLine="1671"/>
        <w:spacing w:after="0" w:line="257" w:lineRule="auto"/>
        <w:tabs>
          <w:tab w:leader="none" w:pos="1691" w:val="left"/>
        </w:tabs>
        <w:numPr>
          <w:ilvl w:val="1"/>
          <w:numId w:val="18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Restrictions on Transfers. </w:t>
      </w:r>
      <w:r>
        <w:rPr>
          <w:rFonts w:ascii="Arial" w:cs="Arial" w:eastAsia="Arial" w:hAnsi="Arial"/>
          <w:sz w:val="19"/>
          <w:szCs w:val="19"/>
          <w:color w:val="auto"/>
        </w:rPr>
        <w:t>Subject to Section 5(b), this Warrant may not be transferred or assigned in whole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 in part without the Company’s prior written consent (which shall not be unreasonably withheld), and any attempt by Holder to transfer or assign any rights, duties or obligations that arise under this Warrant without such permission shall be void. Any transfer of this Warrant or the Shares or the shares of common stock issuable upon conversion of the Shares (the “</w:t>
      </w:r>
      <w:r>
        <w:rPr>
          <w:rFonts w:ascii="Arial" w:cs="Arial" w:eastAsia="Arial" w:hAnsi="Arial"/>
          <w:sz w:val="19"/>
          <w:szCs w:val="19"/>
          <w:b w:val="1"/>
          <w:bCs w:val="1"/>
          <w:i w:val="1"/>
          <w:iCs w:val="1"/>
          <w:color w:val="auto"/>
        </w:rPr>
        <w:t>Securities</w:t>
      </w:r>
      <w:r>
        <w:rPr>
          <w:rFonts w:ascii="Arial" w:cs="Arial" w:eastAsia="Arial" w:hAnsi="Arial"/>
          <w:sz w:val="19"/>
          <w:szCs w:val="19"/>
          <w:color w:val="auto"/>
        </w:rPr>
        <w:t>”) must be in compliance with all applicable federal and state securities laws. The Holder agrees not to make any sale, assignment, transfer, pledge or other disposition of all or any portion of the Securities, or any beneficial interest therein, unless and until the transferee thereof has agreed in writing for the benefit of the Company to take and hold such Securities subject to, and to be bound by, the terms and conditions set forth in this Warrant to the same extent as if the transferee were the original Holder hereunder, and</w:t>
      </w:r>
    </w:p>
    <w:p>
      <w:pPr>
        <w:spacing w:after="0" w:line="180" w:lineRule="exact"/>
        <w:rPr>
          <w:rFonts w:ascii="Arial" w:cs="Arial" w:eastAsia="Arial" w:hAnsi="Arial"/>
          <w:sz w:val="19"/>
          <w:szCs w:val="19"/>
          <w:color w:val="auto"/>
        </w:rPr>
      </w:pPr>
    </w:p>
    <w:p>
      <w:pPr>
        <w:ind w:left="-840" w:firstLine="2504"/>
        <w:spacing w:after="0" w:line="260" w:lineRule="auto"/>
        <w:tabs>
          <w:tab w:leader="none" w:pos="2490" w:val="left"/>
        </w:tabs>
        <w:numPr>
          <w:ilvl w:val="2"/>
          <w:numId w:val="183"/>
        </w:numPr>
        <w:rPr>
          <w:rFonts w:ascii="Arial" w:cs="Arial" w:eastAsia="Arial" w:hAnsi="Arial"/>
          <w:sz w:val="20"/>
          <w:szCs w:val="20"/>
          <w:color w:val="auto"/>
        </w:rPr>
      </w:pPr>
      <w:r>
        <w:rPr>
          <w:rFonts w:ascii="Arial" w:cs="Arial" w:eastAsia="Arial" w:hAnsi="Arial"/>
          <w:sz w:val="20"/>
          <w:szCs w:val="20"/>
          <w:color w:val="auto"/>
        </w:rPr>
        <w:t>there is then in effect a registration statement under the Securities Act covering such proposed disposition and such disposition is made in accordance with such registration statement, or</w:t>
      </w:r>
    </w:p>
    <w:p>
      <w:pPr>
        <w:spacing w:after="0" w:line="176" w:lineRule="exact"/>
        <w:rPr>
          <w:rFonts w:ascii="Arial" w:cs="Arial" w:eastAsia="Arial" w:hAnsi="Arial"/>
          <w:sz w:val="20"/>
          <w:szCs w:val="20"/>
          <w:color w:val="auto"/>
        </w:rPr>
      </w:pPr>
    </w:p>
    <w:p>
      <w:pPr>
        <w:jc w:val="both"/>
        <w:ind w:left="-840" w:firstLine="2504"/>
        <w:spacing w:after="0" w:line="271" w:lineRule="auto"/>
        <w:tabs>
          <w:tab w:leader="none" w:pos="2545" w:val="left"/>
        </w:tabs>
        <w:numPr>
          <w:ilvl w:val="2"/>
          <w:numId w:val="183"/>
        </w:numPr>
        <w:rPr>
          <w:rFonts w:ascii="Arial" w:cs="Arial" w:eastAsia="Arial" w:hAnsi="Arial"/>
          <w:sz w:val="18"/>
          <w:szCs w:val="18"/>
          <w:color w:val="auto"/>
        </w:rPr>
      </w:pPr>
      <w:r>
        <w:rPr>
          <w:rFonts w:ascii="Arial" w:cs="Arial" w:eastAsia="Arial" w:hAnsi="Arial"/>
          <w:sz w:val="18"/>
          <w:szCs w:val="18"/>
          <w:color w:val="auto"/>
        </w:rPr>
        <w:t>(A) such Holder shall have given prior written notice to the Company of such Holder’s intention to make such disposition and shall have furnished the Company with a detailed description of the manner and circumstances of the proposed disposition, (B) the transferee shall have confirmed to the satisfaction of the Company in writing, substantially in the form of Exhibit A-1, that the Securities are being acquired (i) solely for the transferee’s own account and not as a nominee for any other party, (ii) for investment and (iii) not with a view toward distribution or resale, and shall have confirmed such other matters related thereto as may be reasonably requested by the Company, and (C) if requested by the Company, such Holder shall have furnished the Company, at the Holder’s expense, with (i) an opinion of counsel, reasonably satisfactory to the Company, to the effect that evidence reasonably satisfactory to the Company that such disposition will not require registration of such Securities under the Securities Act or (ii) a “no action” letter from the Securities and Exchange Commission to the effect that the transfer of such Securities without registration will not result in a recommendation by the staff of the Securities and Exchange Commission that action be taken with respect thereto, whereupon such Holder shall be entitled to transfer such Securities in accordance with the terms of the notice delivered by the Holder to the Company.</w:t>
      </w:r>
    </w:p>
    <w:p>
      <w:pPr>
        <w:spacing w:after="0" w:line="169" w:lineRule="exact"/>
        <w:rPr>
          <w:rFonts w:ascii="Arial" w:cs="Arial" w:eastAsia="Arial" w:hAnsi="Arial"/>
          <w:sz w:val="18"/>
          <w:szCs w:val="18"/>
          <w:color w:val="auto"/>
        </w:rPr>
      </w:pPr>
    </w:p>
    <w:p>
      <w:pPr>
        <w:jc w:val="both"/>
        <w:ind w:left="-840" w:firstLine="1671"/>
        <w:spacing w:after="0" w:line="273" w:lineRule="auto"/>
        <w:tabs>
          <w:tab w:leader="none" w:pos="1702" w:val="left"/>
        </w:tabs>
        <w:numPr>
          <w:ilvl w:val="1"/>
          <w:numId w:val="1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Permitted Transfers. </w:t>
      </w:r>
      <w:r>
        <w:rPr>
          <w:rFonts w:ascii="Arial" w:cs="Arial" w:eastAsia="Arial" w:hAnsi="Arial"/>
          <w:sz w:val="18"/>
          <w:szCs w:val="18"/>
          <w:color w:val="auto"/>
        </w:rPr>
        <w:t>Permitted transfers with respect to Section 5(a) include (i) a transfer not involving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change in beneficial ownership, or (ii) transactions involving the distribution without consideration of Securities by any Holder to (x) a parent, subsidiary or other affiliate of a Holder that is a corporation, (y) any of the Holder’s partners, members or other equity owners, or retired partners or members, or to the estate of any of its partners, members or other equity owners or retired partners or members, or (z) a venture capital fund that is controlled by or under common control with one or more general partners or managing members of, or shares the same management company with, the Holder, or (iii) a transfer to a third-party approved by a majority of the Board of Directors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in each case, that the Holder shall give written notice to the Company of the Holder’s intention to effect such disposition and shall have furnished the Company with a detailed description of the manner and circumstances of the proposed disposition.</w:t>
      </w:r>
    </w:p>
    <w:p>
      <w:pPr>
        <w:spacing w:after="0" w:line="168" w:lineRule="exact"/>
        <w:rPr>
          <w:rFonts w:ascii="Arial" w:cs="Arial" w:eastAsia="Arial" w:hAnsi="Arial"/>
          <w:sz w:val="18"/>
          <w:szCs w:val="18"/>
          <w:color w:val="auto"/>
        </w:rPr>
      </w:pPr>
    </w:p>
    <w:p>
      <w:pPr>
        <w:jc w:val="both"/>
        <w:ind w:left="-840" w:firstLine="1671"/>
        <w:spacing w:after="0" w:line="259" w:lineRule="auto"/>
        <w:tabs>
          <w:tab w:leader="none" w:pos="1691" w:val="left"/>
        </w:tabs>
        <w:numPr>
          <w:ilvl w:val="1"/>
          <w:numId w:val="18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Investment Representation Statement. </w:t>
      </w:r>
      <w:r>
        <w:rPr>
          <w:rFonts w:ascii="Arial" w:cs="Arial" w:eastAsia="Arial" w:hAnsi="Arial"/>
          <w:sz w:val="19"/>
          <w:szCs w:val="19"/>
          <w:color w:val="auto"/>
        </w:rPr>
        <w:t>Unless the rights under this Warrant are exercised pursuant to an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effective registration statement under the Securities Act that includes the Shares with respect to which the Warrant was exercised, it shall be a condition to any exercise of the rights under this Warrant that the Holder shall have confirmed to the satisfaction of the Company in writing, substantially in the form of Exhibit A-1, that the Shares so purchased are being acquired solely for the Holder’s own account and not as a nominee for any other party, for investment and not with a view toward distribution or resale and that the Holder shall have confirmed such other matters related thereto as may be reasonably requested by the Company.</w:t>
      </w:r>
    </w:p>
    <w:p>
      <w:pPr>
        <w:spacing w:after="0" w:line="191" w:lineRule="exact"/>
        <w:rPr>
          <w:rFonts w:ascii="Arial" w:cs="Arial" w:eastAsia="Arial" w:hAnsi="Arial"/>
          <w:sz w:val="19"/>
          <w:szCs w:val="19"/>
          <w:color w:val="auto"/>
        </w:rPr>
      </w:pPr>
    </w:p>
    <w:p>
      <w:pPr>
        <w:ind w:left="4740" w:hanging="121"/>
        <w:spacing w:after="0"/>
        <w:tabs>
          <w:tab w:leader="none" w:pos="4740" w:val="left"/>
        </w:tabs>
        <w:numPr>
          <w:ilvl w:val="3"/>
          <w:numId w:val="183"/>
        </w:numPr>
        <w:rPr>
          <w:rFonts w:ascii="Arial" w:cs="Arial" w:eastAsia="Arial" w:hAnsi="Arial"/>
          <w:sz w:val="20"/>
          <w:szCs w:val="20"/>
          <w:color w:val="auto"/>
        </w:rPr>
      </w:pPr>
      <w:r>
        <w:rPr>
          <w:rFonts w:ascii="Arial" w:cs="Arial" w:eastAsia="Arial" w:hAnsi="Arial"/>
          <w:sz w:val="20"/>
          <w:szCs w:val="20"/>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78740</wp:posOffset>
            </wp:positionV>
            <wp:extent cx="7149465"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00"/>
          </w:cols>
          <w:pgMar w:left="1160" w:top="549" w:right="339" w:bottom="1440" w:gutter="0" w:footer="0" w:header="0"/>
        </w:sectPr>
      </w:pPr>
    </w:p>
    <w:bookmarkStart w:id="264" w:name="page265"/>
    <w:bookmarkEnd w:id="264"/>
    <w:p>
      <w:pPr>
        <w:jc w:val="both"/>
        <w:ind w:left="-840" w:firstLine="1671"/>
        <w:spacing w:after="0" w:line="250" w:lineRule="auto"/>
        <w:tabs>
          <w:tab w:leader="none" w:pos="1702" w:val="left"/>
        </w:tabs>
        <w:numPr>
          <w:ilvl w:val="0"/>
          <w:numId w:val="18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Securities Law Legend. </w:t>
      </w:r>
      <w:r>
        <w:rPr>
          <w:rFonts w:ascii="Arial" w:cs="Arial" w:eastAsia="Arial" w:hAnsi="Arial"/>
          <w:sz w:val="20"/>
          <w:szCs w:val="20"/>
          <w:color w:val="auto"/>
        </w:rPr>
        <w:t>Each certificate, instrument or book entry representing the Securities shall (unless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otherwise permitted by the provisions of this Warrant) be notated with a legend substantially similar to the following (in addition to any legend required by state securities laws):</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OFFER AND SALE OF THE SECURITIES REPRESENTED HEREBY HAVE NOT BEEN REGISTERED UNDER THE SECURITIES ACT OF 1933, AS AMENDED (THE “ACT”), OR UNDER THE SECURITIES LAWS OF CERTAIN STATES. THESE SECURITIES MAY NOT BE OFFERED, SOLD OR OTHERWISE TRANSFERRED, PLEDGED OR HYPOTHECATED EXCEPT AS PERMITTED UNDER THE ACT AND APPLICABLE STATE SECURITIES LAWS IN ACCORDANCE WITH APPLICABLE REGISTRATION REQUIREMENTS OR AN EXEMPTION THEREFROM. THE ISSUER OF THESE SECURITIES MAY REQUIRE AN OPINION OF COUNSEL REASONABLY SATISFACTORY TO THE ISSUER THAT SUCH OFFER, SALE OR TRANSFER, PLEDGE OR HYPOTHECATION OTHERWISE COMPLIES WITH THE ACT AND ANY APPLICABLE STATE SECURITIES LAWS. THIS CERTIFICATE MUST BE SURRENDERED TO THE COMPANY OR ITS TRANSFER AGENT AS A CONDITION PRECEDENT TO THE SALE, TRANSFER, PLEDGE OR HYPOTHECATION OF ANY INTEREST IN ANY OF THE SECURITIES REPRESENTED HEREBY.</w:t>
      </w:r>
    </w:p>
    <w:p>
      <w:pPr>
        <w:spacing w:after="0" w:line="190" w:lineRule="exact"/>
        <w:rPr>
          <w:sz w:val="20"/>
          <w:szCs w:val="20"/>
          <w:color w:val="auto"/>
        </w:rPr>
      </w:pPr>
    </w:p>
    <w:p>
      <w:pPr>
        <w:ind w:left="-840" w:firstLine="1671"/>
        <w:spacing w:after="0" w:line="260" w:lineRule="auto"/>
        <w:tabs>
          <w:tab w:leader="none" w:pos="1691" w:val="left"/>
        </w:tabs>
        <w:numPr>
          <w:ilvl w:val="0"/>
          <w:numId w:val="18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Market Stand-off Legend. </w:t>
      </w:r>
      <w:r>
        <w:rPr>
          <w:rFonts w:ascii="Arial" w:cs="Arial" w:eastAsia="Arial" w:hAnsi="Arial"/>
          <w:sz w:val="20"/>
          <w:szCs w:val="20"/>
          <w:color w:val="auto"/>
        </w:rPr>
        <w:t>Each certificate, instrument or book entry representing the Shares and common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stock issued upon conversion thereof shall also be notated with a legend in substantially the following form:</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SECURITIES REPRESENTED HEREBY ARE SUBJECT TO RESTRICTIONS ON TRANSFERABILITY AND RESALE, INCLUDING A LOCK-UP PERIOD IN THE EVENT OF A PUBLIC OFFERING, AS SET FORTH IN THE WARRANT PURSUANT TO WHICH THESE SHARES WERE ISSUED, A COPY OF WHICH MAY BE OBTAINED AT THE PRINCIPAL OFFICE OF THE COMPANY.</w:t>
      </w:r>
    </w:p>
    <w:p>
      <w:pPr>
        <w:spacing w:after="0" w:line="191" w:lineRule="exact"/>
        <w:rPr>
          <w:sz w:val="20"/>
          <w:szCs w:val="20"/>
          <w:color w:val="auto"/>
        </w:rPr>
      </w:pPr>
    </w:p>
    <w:p>
      <w:pPr>
        <w:ind w:left="-840" w:firstLine="1671"/>
        <w:spacing w:after="0" w:line="316" w:lineRule="auto"/>
        <w:tabs>
          <w:tab w:leader="none" w:pos="1669" w:val="left"/>
        </w:tabs>
        <w:numPr>
          <w:ilvl w:val="0"/>
          <w:numId w:val="18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Instructions Regarding Transfer Restrictions. </w:t>
      </w:r>
      <w:r>
        <w:rPr>
          <w:rFonts w:ascii="Arial" w:cs="Arial" w:eastAsia="Arial" w:hAnsi="Arial"/>
          <w:sz w:val="18"/>
          <w:szCs w:val="18"/>
          <w:color w:val="auto"/>
        </w:rPr>
        <w:t>The Holder consents to the Company making a notation on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records and giving instructions to any transfer agent in order to implement the restrictions on transfer established in this Section 5.</w:t>
      </w:r>
    </w:p>
    <w:p>
      <w:pPr>
        <w:spacing w:after="0" w:line="129" w:lineRule="exact"/>
        <w:rPr>
          <w:rFonts w:ascii="Arial" w:cs="Arial" w:eastAsia="Arial" w:hAnsi="Arial"/>
          <w:sz w:val="18"/>
          <w:szCs w:val="18"/>
          <w:color w:val="auto"/>
        </w:rPr>
      </w:pPr>
    </w:p>
    <w:p>
      <w:pPr>
        <w:jc w:val="both"/>
        <w:ind w:left="-840" w:firstLine="1671"/>
        <w:spacing w:after="0" w:line="259" w:lineRule="auto"/>
        <w:tabs>
          <w:tab w:leader="none" w:pos="1702" w:val="left"/>
        </w:tabs>
        <w:numPr>
          <w:ilvl w:val="0"/>
          <w:numId w:val="18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Removal of Legend. </w:t>
      </w:r>
      <w:r>
        <w:rPr>
          <w:rFonts w:ascii="Arial" w:cs="Arial" w:eastAsia="Arial" w:hAnsi="Arial"/>
          <w:sz w:val="19"/>
          <w:szCs w:val="19"/>
          <w:color w:val="auto"/>
        </w:rPr>
        <w:t>The legend referring to federal and state securities laws identified in Section 5(d)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notated on any certificate evidencing the Shares (and the common stock issuable upon conversion thereof) and the stock transfer instructions and record notations with respect to such securities shall be removed, and the Company shall issue a certificate without such legend to the holder of such securities (to the extent the securities are certificated), if (i) such securities are registered under the Securities Act, or (ii) such holder provides the Company with an opinion of counsel reasonably acceptable to the Company to the effect that a sale or transfer of such securities may be made without registration, qualification or legend.</w:t>
      </w:r>
    </w:p>
    <w:p>
      <w:pPr>
        <w:spacing w:after="0" w:line="172" w:lineRule="exact"/>
        <w:rPr>
          <w:rFonts w:ascii="Arial" w:cs="Arial" w:eastAsia="Arial" w:hAnsi="Arial"/>
          <w:sz w:val="19"/>
          <w:szCs w:val="19"/>
          <w:color w:val="auto"/>
        </w:rPr>
      </w:pPr>
    </w:p>
    <w:p>
      <w:pPr>
        <w:jc w:val="both"/>
        <w:ind w:left="-840" w:firstLine="1671"/>
        <w:spacing w:after="0" w:line="256" w:lineRule="auto"/>
        <w:tabs>
          <w:tab w:leader="none" w:pos="1702" w:val="left"/>
        </w:tabs>
        <w:numPr>
          <w:ilvl w:val="0"/>
          <w:numId w:val="186"/>
        </w:numPr>
        <w:rPr>
          <w:rFonts w:ascii="Arial" w:cs="Arial" w:eastAsia="Arial" w:hAnsi="Arial"/>
          <w:sz w:val="19"/>
          <w:szCs w:val="19"/>
          <w:color w:val="auto"/>
        </w:rPr>
      </w:pPr>
      <w:r>
        <w:rPr>
          <w:rFonts w:ascii="Arial" w:cs="Arial" w:eastAsia="Arial" w:hAnsi="Arial"/>
          <w:sz w:val="19"/>
          <w:szCs w:val="19"/>
          <w:b w:val="1"/>
          <w:bCs w:val="1"/>
          <w:i w:val="1"/>
          <w:iCs w:val="1"/>
          <w:color w:val="auto"/>
        </w:rPr>
        <w:t>No Transfers to Bad Actors; Notice of Bad Actor Status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Holder agrees not to sell, assign, transfer,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pledge or otherwise dispose of any securities of the Company, or any beneficial interest therein, to any person (other than the Company) unless and until the proposed transferee confirms to the reasonable satisfaction of the Company that neither the proposed transferee nor any of its directors, executive officers, other officers that may serve as a director or officer of any company in which it invests, general partners or managing members nor any person that would be deemed a beneficial owner of those securities (in accordance with Rule 506(d) of the Securities Act) is subject to any of the “bad actor” disqualifications described in Rule 506(d)(1)(i) through (viii) under the Securities Act, except as set forth in Rule 506(d)(2)(ii) or (iii) or (d)(3) under the Securities Act and disclosed, reasonably in advance of the transfer, in writing in reasonable detail to the Company. The Holder will promptly notify the Company in writing if the Holder or, to the Holder’s knowledge, any person specified in Rule 506(d)(1) under the Securities Act becomes subject to any of the “bad actor” disqualifications described in Rule 506(d)(1)(i) through (viii) under the Securities Act.</w:t>
      </w:r>
    </w:p>
    <w:p>
      <w:pPr>
        <w:spacing w:after="0" w:line="199" w:lineRule="exact"/>
        <w:rPr>
          <w:rFonts w:ascii="Arial" w:cs="Arial" w:eastAsia="Arial" w:hAnsi="Arial"/>
          <w:sz w:val="19"/>
          <w:szCs w:val="19"/>
          <w:color w:val="auto"/>
        </w:rPr>
      </w:pPr>
    </w:p>
    <w:p>
      <w:pPr>
        <w:ind w:left="4740" w:hanging="121"/>
        <w:spacing w:after="0"/>
        <w:tabs>
          <w:tab w:leader="none" w:pos="4740" w:val="left"/>
        </w:tabs>
        <w:numPr>
          <w:ilvl w:val="1"/>
          <w:numId w:val="186"/>
        </w:numPr>
        <w:rPr>
          <w:rFonts w:ascii="Arial" w:cs="Arial" w:eastAsia="Arial" w:hAnsi="Arial"/>
          <w:sz w:val="20"/>
          <w:szCs w:val="20"/>
          <w:color w:val="auto"/>
        </w:rPr>
      </w:pPr>
      <w:r>
        <w:rPr>
          <w:rFonts w:ascii="Arial" w:cs="Arial" w:eastAsia="Arial" w:hAnsi="Arial"/>
          <w:sz w:val="20"/>
          <w:szCs w:val="20"/>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78740</wp:posOffset>
            </wp:positionV>
            <wp:extent cx="7149465"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00"/>
          </w:cols>
          <w:pgMar w:left="1160" w:top="555" w:right="339" w:bottom="1440" w:gutter="0" w:footer="0" w:header="0"/>
        </w:sectPr>
      </w:pPr>
    </w:p>
    <w:bookmarkStart w:id="265" w:name="page266"/>
    <w:bookmarkEnd w:id="265"/>
    <w:p>
      <w:pPr>
        <w:ind w:left="-840" w:firstLine="840"/>
        <w:spacing w:after="0" w:line="267" w:lineRule="auto"/>
        <w:tabs>
          <w:tab w:leader="none" w:pos="788" w:val="left"/>
        </w:tabs>
        <w:numPr>
          <w:ilvl w:val="0"/>
          <w:numId w:val="187"/>
        </w:numPr>
        <w:rPr>
          <w:rFonts w:ascii="Arial" w:cs="Arial" w:eastAsia="Arial" w:hAnsi="Arial"/>
          <w:sz w:val="20"/>
          <w:szCs w:val="20"/>
          <w:color w:val="auto"/>
        </w:rPr>
      </w:pPr>
      <w:r>
        <w:rPr>
          <w:rFonts w:ascii="Arial" w:cs="Arial" w:eastAsia="Arial" w:hAnsi="Arial"/>
          <w:sz w:val="20"/>
          <w:szCs w:val="20"/>
          <w:b w:val="1"/>
          <w:bCs w:val="1"/>
          <w:color w:val="auto"/>
        </w:rPr>
        <w:t xml:space="preserve">Adjustments. </w:t>
      </w:r>
      <w:r>
        <w:rPr>
          <w:rFonts w:ascii="Arial" w:cs="Arial" w:eastAsia="Arial" w:hAnsi="Arial"/>
          <w:sz w:val="20"/>
          <w:szCs w:val="20"/>
          <w:color w:val="auto"/>
        </w:rPr>
        <w:t>Subject to the expiration of this Warrant pursuant to Section 8, the number and kind of shares purchasable</w:t>
      </w:r>
      <w:r>
        <w:rPr>
          <w:rFonts w:ascii="Arial" w:cs="Arial" w:eastAsia="Arial" w:hAnsi="Arial"/>
          <w:sz w:val="20"/>
          <w:szCs w:val="20"/>
          <w:b w:val="1"/>
          <w:bCs w:val="1"/>
          <w:color w:val="auto"/>
        </w:rPr>
        <w:t xml:space="preserve"> </w:t>
      </w:r>
      <w:r>
        <w:rPr>
          <w:rFonts w:ascii="Arial" w:cs="Arial" w:eastAsia="Arial" w:hAnsi="Arial"/>
          <w:sz w:val="20"/>
          <w:szCs w:val="20"/>
          <w:color w:val="auto"/>
        </w:rPr>
        <w:t>hereunder and the Exercise Price therefor are subject to adjustment from time to time, as follows:</w:t>
      </w:r>
    </w:p>
    <w:p>
      <w:pPr>
        <w:spacing w:after="0" w:line="169" w:lineRule="exact"/>
        <w:rPr>
          <w:rFonts w:ascii="Arial" w:cs="Arial" w:eastAsia="Arial" w:hAnsi="Arial"/>
          <w:sz w:val="20"/>
          <w:szCs w:val="20"/>
          <w:color w:val="auto"/>
        </w:rPr>
      </w:pPr>
    </w:p>
    <w:p>
      <w:pPr>
        <w:jc w:val="both"/>
        <w:ind w:left="-840" w:firstLine="1671"/>
        <w:spacing w:after="0" w:line="255" w:lineRule="auto"/>
        <w:tabs>
          <w:tab w:leader="none" w:pos="1691" w:val="left"/>
        </w:tabs>
        <w:numPr>
          <w:ilvl w:val="1"/>
          <w:numId w:val="18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Merger or Reorganization. </w:t>
      </w:r>
      <w:r>
        <w:rPr>
          <w:rFonts w:ascii="Arial" w:cs="Arial" w:eastAsia="Arial" w:hAnsi="Arial"/>
          <w:sz w:val="19"/>
          <w:szCs w:val="19"/>
          <w:color w:val="auto"/>
        </w:rPr>
        <w:t>If at any time there shall be any reorganization, recapitalization, merger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consolidation (a “</w:t>
      </w:r>
      <w:r>
        <w:rPr>
          <w:rFonts w:ascii="Arial" w:cs="Arial" w:eastAsia="Arial" w:hAnsi="Arial"/>
          <w:sz w:val="19"/>
          <w:szCs w:val="19"/>
          <w:b w:val="1"/>
          <w:bCs w:val="1"/>
          <w:i w:val="1"/>
          <w:iCs w:val="1"/>
          <w:color w:val="auto"/>
        </w:rPr>
        <w:t>Reorganization</w:t>
      </w:r>
      <w:r>
        <w:rPr>
          <w:rFonts w:ascii="Arial" w:cs="Arial" w:eastAsia="Arial" w:hAnsi="Arial"/>
          <w:sz w:val="19"/>
          <w:szCs w:val="19"/>
          <w:color w:val="auto"/>
        </w:rPr>
        <w:t>”) involving the Company (other than as otherwise provided for herein or as would cause the expiration of this Warrant under Section 8) in which shares of the Company’s stock are converted into or exchanged for securities, cash or other property, then, as a part of such Reorganization, lawful provision shall be made so that the Holder shall thereafter be entitled to receive upon exercise of this Warrant, the kind and amount of securities, cash or other property of the successor corporation resulting from such Reorganization, equivalent in value to that which a holder of the Shares deliverable upon exercise of this Warrant would have been entitled in such Reorganization if the right to purchase the Shares hereunder had been exercised immediately prior to such Reorganization. In any such case, appropriate adjustment (as determined in good faith by the Board of Directors of the successor corporation) shall be made in the application of the provisions of this Warrant with respect to the rights and interests of the Holder after such Reorganization to the end that the provisions of this Warrant shall be applicable after the event, as near as reasonably may be, in relation to any shares or other securities deliverable after that event upon the exercise of this Warrant.</w:t>
      </w:r>
    </w:p>
    <w:p>
      <w:pPr>
        <w:spacing w:after="0" w:line="186" w:lineRule="exact"/>
        <w:rPr>
          <w:rFonts w:ascii="Arial" w:cs="Arial" w:eastAsia="Arial" w:hAnsi="Arial"/>
          <w:sz w:val="19"/>
          <w:szCs w:val="19"/>
          <w:color w:val="auto"/>
        </w:rPr>
      </w:pPr>
    </w:p>
    <w:p>
      <w:pPr>
        <w:jc w:val="both"/>
        <w:ind w:left="-840" w:firstLine="1671"/>
        <w:spacing w:after="0" w:line="242" w:lineRule="auto"/>
        <w:tabs>
          <w:tab w:leader="none" w:pos="1702" w:val="left"/>
        </w:tabs>
        <w:numPr>
          <w:ilvl w:val="1"/>
          <w:numId w:val="18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Reclassification of Shares. </w:t>
      </w:r>
      <w:r>
        <w:rPr>
          <w:rFonts w:ascii="Arial" w:cs="Arial" w:eastAsia="Arial" w:hAnsi="Arial"/>
          <w:sz w:val="20"/>
          <w:szCs w:val="20"/>
          <w:color w:val="auto"/>
        </w:rPr>
        <w:t>If the securities issuable upon exercise of this Warrant are changed into the same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 a different number of securities of any other class or classes by reclassification, capital reorganization, conversion of all outstanding shares of the relevant class or series (other than as would cause the expiration of this Warrant pursuant to Section 8) or otherwise (other than as otherwise provided for herein) (a “</w:t>
      </w:r>
      <w:r>
        <w:rPr>
          <w:rFonts w:ascii="Arial" w:cs="Arial" w:eastAsia="Arial" w:hAnsi="Arial"/>
          <w:sz w:val="20"/>
          <w:szCs w:val="20"/>
          <w:b w:val="1"/>
          <w:bCs w:val="1"/>
          <w:i w:val="1"/>
          <w:iCs w:val="1"/>
          <w:color w:val="auto"/>
        </w:rPr>
        <w:t>Reclassification</w:t>
      </w:r>
      <w:r>
        <w:rPr>
          <w:rFonts w:ascii="Arial" w:cs="Arial" w:eastAsia="Arial" w:hAnsi="Arial"/>
          <w:sz w:val="20"/>
          <w:szCs w:val="20"/>
          <w:color w:val="auto"/>
        </w:rPr>
        <w:t>”), then, in any such event, in lieu of the number of Shares which the Holder would otherwise have been entitled to receive, the Holder shall have the right thereafter to exercise this Warrant for a number of shares of such other class or classes of stock that a holder of the number of securities deliverable upon exercise of this Warrant immediately before that change would have been entitled to receive in such Reclassification, all subject to further adjustment as provided herein with respect to such other shares.</w:t>
      </w:r>
    </w:p>
    <w:p>
      <w:pPr>
        <w:spacing w:after="0" w:line="196" w:lineRule="exact"/>
        <w:rPr>
          <w:rFonts w:ascii="Arial" w:cs="Arial" w:eastAsia="Arial" w:hAnsi="Arial"/>
          <w:sz w:val="20"/>
          <w:szCs w:val="20"/>
          <w:color w:val="auto"/>
        </w:rPr>
      </w:pPr>
    </w:p>
    <w:p>
      <w:pPr>
        <w:jc w:val="both"/>
        <w:ind w:left="-840" w:firstLine="1671"/>
        <w:spacing w:after="0" w:line="242" w:lineRule="auto"/>
        <w:tabs>
          <w:tab w:leader="none" w:pos="1691" w:val="left"/>
        </w:tabs>
        <w:numPr>
          <w:ilvl w:val="1"/>
          <w:numId w:val="18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Subdivisions and Combinations. </w:t>
      </w:r>
      <w:r>
        <w:rPr>
          <w:rFonts w:ascii="Arial" w:cs="Arial" w:eastAsia="Arial" w:hAnsi="Arial"/>
          <w:sz w:val="20"/>
          <w:szCs w:val="20"/>
          <w:color w:val="auto"/>
        </w:rPr>
        <w:t>In the event that the outstanding shares of Series B Preferred Stock are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subdivided (by stock split, by payment of a stock dividend or otherwise) into a greater number of shares of such securities, the number of Shares issuable upon exercise of the rights under this Warrant immediately prior to such subdivision shall, concurrently with the effectiveness of such subdivision, be proportionately increased, and the Exercise Price shall be proportionately decreased, and in the event that the outstanding shares of Series B Preferred Stock are combined (by reclassification or otherwise) into a lesser number of shares of such securities, the number of Shares issuable upon exercise of the rights under this Warrant immediately prior to such combination shall, concurrently with the effectiveness of such combination, be proportionately decreased, and the Exercise Price shall be proportionately increased.</w:t>
      </w:r>
    </w:p>
    <w:p>
      <w:pPr>
        <w:spacing w:after="0" w:line="196" w:lineRule="exact"/>
        <w:rPr>
          <w:rFonts w:ascii="Arial" w:cs="Arial" w:eastAsia="Arial" w:hAnsi="Arial"/>
          <w:sz w:val="20"/>
          <w:szCs w:val="20"/>
          <w:color w:val="auto"/>
        </w:rPr>
      </w:pPr>
    </w:p>
    <w:p>
      <w:pPr>
        <w:jc w:val="both"/>
        <w:ind w:left="-840" w:firstLine="1671"/>
        <w:spacing w:after="0" w:line="259" w:lineRule="auto"/>
        <w:tabs>
          <w:tab w:leader="none" w:pos="1702" w:val="left"/>
        </w:tabs>
        <w:numPr>
          <w:ilvl w:val="1"/>
          <w:numId w:val="18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Notice of Adjustments. </w:t>
      </w:r>
      <w:r>
        <w:rPr>
          <w:rFonts w:ascii="Arial" w:cs="Arial" w:eastAsia="Arial" w:hAnsi="Arial"/>
          <w:sz w:val="19"/>
          <w:szCs w:val="19"/>
          <w:color w:val="auto"/>
        </w:rPr>
        <w:t>Upon any adjustment in accordance with this Section 6, the Company shall give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notice thereof to the Holder, which notice shall state the event giving rise to the adjustment, the Exercise Price as adjusted and the number of securities or other property purchasable upon the exercise of the rights under this Warrant, setting forth in reasonable detail the method of calculation of each. The Company shall, upon the written request of any Holder, furnish or cause to be furnished to such Holder a certificate setting forth (i) such adjustments, (ii) the Exercise Price at the time in effect and (iii) the number of securities and the amount, if any, of other property that at the time would be received upon exercise of this Warrant.</w:t>
      </w:r>
    </w:p>
    <w:p>
      <w:pPr>
        <w:spacing w:after="0" w:line="172" w:lineRule="exact"/>
        <w:rPr>
          <w:rFonts w:ascii="Arial" w:cs="Arial" w:eastAsia="Arial" w:hAnsi="Arial"/>
          <w:sz w:val="19"/>
          <w:szCs w:val="19"/>
          <w:color w:val="auto"/>
        </w:rPr>
      </w:pPr>
    </w:p>
    <w:p>
      <w:pPr>
        <w:ind w:left="-840" w:firstLine="840"/>
        <w:spacing w:after="0" w:line="267" w:lineRule="auto"/>
        <w:tabs>
          <w:tab w:leader="none" w:pos="788" w:val="left"/>
        </w:tabs>
        <w:numPr>
          <w:ilvl w:val="0"/>
          <w:numId w:val="187"/>
        </w:numPr>
        <w:rPr>
          <w:rFonts w:ascii="Arial" w:cs="Arial" w:eastAsia="Arial" w:hAnsi="Arial"/>
          <w:sz w:val="20"/>
          <w:szCs w:val="20"/>
          <w:color w:val="auto"/>
        </w:rPr>
      </w:pPr>
      <w:r>
        <w:rPr>
          <w:rFonts w:ascii="Arial" w:cs="Arial" w:eastAsia="Arial" w:hAnsi="Arial"/>
          <w:sz w:val="20"/>
          <w:szCs w:val="20"/>
          <w:b w:val="1"/>
          <w:bCs w:val="1"/>
          <w:color w:val="auto"/>
        </w:rPr>
        <w:t xml:space="preserve">Notification of Certain Events. </w:t>
      </w:r>
      <w:r>
        <w:rPr>
          <w:rFonts w:ascii="Arial" w:cs="Arial" w:eastAsia="Arial" w:hAnsi="Arial"/>
          <w:sz w:val="20"/>
          <w:szCs w:val="20"/>
          <w:color w:val="auto"/>
        </w:rPr>
        <w:t>Prior to the expiration of this Warrant pursuant to Section 8, in the event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shall authorize:</w:t>
      </w:r>
    </w:p>
    <w:p>
      <w:pPr>
        <w:spacing w:after="0" w:line="182" w:lineRule="exact"/>
        <w:rPr>
          <w:rFonts w:ascii="Arial" w:cs="Arial" w:eastAsia="Arial" w:hAnsi="Arial"/>
          <w:sz w:val="20"/>
          <w:szCs w:val="20"/>
          <w:color w:val="auto"/>
        </w:rPr>
      </w:pPr>
    </w:p>
    <w:p>
      <w:pPr>
        <w:ind w:left="4740" w:hanging="121"/>
        <w:spacing w:after="0"/>
        <w:tabs>
          <w:tab w:leader="none" w:pos="4740" w:val="left"/>
        </w:tabs>
        <w:numPr>
          <w:ilvl w:val="2"/>
          <w:numId w:val="187"/>
        </w:numPr>
        <w:rPr>
          <w:rFonts w:ascii="Arial" w:cs="Arial" w:eastAsia="Arial" w:hAnsi="Arial"/>
          <w:sz w:val="20"/>
          <w:szCs w:val="20"/>
          <w:color w:val="auto"/>
        </w:rPr>
      </w:pPr>
      <w:r>
        <w:rPr>
          <w:rFonts w:ascii="Arial" w:cs="Arial" w:eastAsia="Arial" w:hAnsi="Arial"/>
          <w:sz w:val="20"/>
          <w:szCs w:val="20"/>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78740</wp:posOffset>
            </wp:positionV>
            <wp:extent cx="7149465"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00"/>
          </w:cols>
          <w:pgMar w:left="1160" w:top="549" w:right="339" w:bottom="1440" w:gutter="0" w:footer="0" w:header="0"/>
        </w:sectPr>
      </w:pPr>
    </w:p>
    <w:bookmarkStart w:id="266" w:name="page267"/>
    <w:bookmarkEnd w:id="266"/>
    <w:p>
      <w:pPr>
        <w:ind w:left="1680"/>
        <w:spacing w:after="0"/>
        <w:tabs>
          <w:tab w:leader="none" w:pos="252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the issuance of any dividend or other distribution on the capital stock of the Company (other than</w:t>
      </w:r>
    </w:p>
    <w:p>
      <w:pPr>
        <w:spacing w:after="0" w:line="16" w:lineRule="exact"/>
        <w:rPr>
          <w:sz w:val="20"/>
          <w:szCs w:val="20"/>
          <w:color w:val="auto"/>
        </w:rPr>
      </w:pPr>
    </w:p>
    <w:p>
      <w:pPr>
        <w:jc w:val="both"/>
        <w:ind w:firstLine="8"/>
        <w:spacing w:after="0" w:line="266" w:lineRule="auto"/>
        <w:tabs>
          <w:tab w:leader="none" w:pos="24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dividends or distributions otherwise provided for in Section 6, (ii) repurchases of common stock issued to or held by employees, officers, directors or consultants of the Company or its subsidiaries upon termination of their employment or services pursuant to agreements providing for the right of said repurchase; (iii) repurchases of common stock issued to or held by employees, officers, directors or consultants of the Company or its subsidiaries pursuant to rights of first refusal or first offer contained in agreements providing for such rights; or</w:t>
      </w:r>
    </w:p>
    <w:p>
      <w:pPr>
        <w:ind w:firstLine="8"/>
        <w:spacing w:after="0" w:line="244" w:lineRule="auto"/>
        <w:tabs>
          <w:tab w:leader="none" w:pos="366" w:val="left"/>
        </w:tabs>
        <w:numPr>
          <w:ilvl w:val="0"/>
          <w:numId w:val="189"/>
        </w:numPr>
        <w:rPr>
          <w:rFonts w:ascii="Arial" w:cs="Arial" w:eastAsia="Arial" w:hAnsi="Arial"/>
          <w:sz w:val="20"/>
          <w:szCs w:val="20"/>
          <w:color w:val="auto"/>
        </w:rPr>
      </w:pPr>
      <w:r>
        <w:rPr>
          <w:rFonts w:ascii="Arial" w:cs="Arial" w:eastAsia="Arial" w:hAnsi="Arial"/>
          <w:sz w:val="20"/>
          <w:szCs w:val="20"/>
          <w:color w:val="auto"/>
        </w:rPr>
        <w:t>repurchases of capital stock of the Company in connection with the settlement of disputes with any stockholder), whether in cash, property, stock or other securities;</w:t>
      </w:r>
    </w:p>
    <w:p>
      <w:pPr>
        <w:spacing w:after="0" w:line="191" w:lineRule="exact"/>
        <w:rPr>
          <w:rFonts w:ascii="Arial" w:cs="Arial" w:eastAsia="Arial" w:hAnsi="Arial"/>
          <w:sz w:val="20"/>
          <w:szCs w:val="20"/>
          <w:color w:val="auto"/>
        </w:rPr>
      </w:pPr>
    </w:p>
    <w:p>
      <w:pPr>
        <w:ind w:left="2560" w:hanging="889"/>
        <w:spacing w:after="0"/>
        <w:tabs>
          <w:tab w:leader="none" w:pos="256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the voluntary liquidation, dissolution or winding up of the Company; or</w:t>
      </w:r>
    </w:p>
    <w:p>
      <w:pPr>
        <w:spacing w:after="0" w:line="215" w:lineRule="exact"/>
        <w:rPr>
          <w:rFonts w:ascii="Arial" w:cs="Arial" w:eastAsia="Arial" w:hAnsi="Arial"/>
          <w:sz w:val="20"/>
          <w:szCs w:val="20"/>
          <w:color w:val="auto"/>
        </w:rPr>
      </w:pPr>
    </w:p>
    <w:p>
      <w:pPr>
        <w:ind w:left="2540" w:hanging="869"/>
        <w:spacing w:after="0"/>
        <w:tabs>
          <w:tab w:leader="none" w:pos="254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any transaction resulting in the expiration of this Warrant pursuant to Section 8(b) or 8(c);</w:t>
      </w:r>
    </w:p>
    <w:p>
      <w:pPr>
        <w:spacing w:after="0" w:line="216" w:lineRule="exact"/>
        <w:rPr>
          <w:sz w:val="20"/>
          <w:szCs w:val="20"/>
          <w:color w:val="auto"/>
        </w:rPr>
      </w:pPr>
    </w:p>
    <w:p>
      <w:pPr>
        <w:jc w:val="both"/>
        <w:ind w:firstLine="832"/>
        <w:spacing w:after="0" w:line="246" w:lineRule="auto"/>
        <w:rPr>
          <w:sz w:val="20"/>
          <w:szCs w:val="20"/>
          <w:color w:val="auto"/>
        </w:rPr>
      </w:pPr>
      <w:r>
        <w:rPr>
          <w:rFonts w:ascii="Arial" w:cs="Arial" w:eastAsia="Arial" w:hAnsi="Arial"/>
          <w:sz w:val="20"/>
          <w:szCs w:val="20"/>
          <w:color w:val="auto"/>
        </w:rPr>
        <w:t>the Company shall send to the Holder of this Warrant at least ten (10) days prior written notice of the date on which a record shall be taken for any such dividend or distribution specified in clause (a) or the expected effective date of any such other event specified in clause (b) or (c), as applicable. The notice provisions set forth in this section may be shortened or waived prospectively or retrospectively by the consent of the Holder of this Warrant.</w:t>
      </w:r>
    </w:p>
    <w:p>
      <w:pPr>
        <w:spacing w:after="0" w:line="185" w:lineRule="exact"/>
        <w:rPr>
          <w:sz w:val="20"/>
          <w:szCs w:val="20"/>
          <w:color w:val="auto"/>
        </w:rPr>
      </w:pPr>
    </w:p>
    <w:p>
      <w:pPr>
        <w:ind w:left="1640" w:hanging="800"/>
        <w:spacing w:after="0"/>
        <w:tabs>
          <w:tab w:leader="none" w:pos="1640" w:val="left"/>
        </w:tabs>
        <w:numPr>
          <w:ilvl w:val="0"/>
          <w:numId w:val="190"/>
        </w:numPr>
        <w:rPr>
          <w:rFonts w:ascii="Arial" w:cs="Arial" w:eastAsia="Arial" w:hAnsi="Arial"/>
          <w:sz w:val="20"/>
          <w:szCs w:val="20"/>
          <w:color w:val="auto"/>
        </w:rPr>
      </w:pPr>
      <w:r>
        <w:rPr>
          <w:rFonts w:ascii="Arial" w:cs="Arial" w:eastAsia="Arial" w:hAnsi="Arial"/>
          <w:sz w:val="20"/>
          <w:szCs w:val="20"/>
          <w:b w:val="1"/>
          <w:bCs w:val="1"/>
          <w:color w:val="auto"/>
        </w:rPr>
        <w:t xml:space="preserve">Expiration of the Warrant. </w:t>
      </w:r>
      <w:r>
        <w:rPr>
          <w:rFonts w:ascii="Arial" w:cs="Arial" w:eastAsia="Arial" w:hAnsi="Arial"/>
          <w:sz w:val="20"/>
          <w:szCs w:val="20"/>
          <w:color w:val="auto"/>
        </w:rPr>
        <w:t>This Warrant shall expire and shall no longer be exercisable as of the earlier of:</w:t>
      </w:r>
    </w:p>
    <w:p>
      <w:pPr>
        <w:spacing w:after="0" w:line="221" w:lineRule="exact"/>
        <w:rPr>
          <w:rFonts w:ascii="Arial" w:cs="Arial" w:eastAsia="Arial" w:hAnsi="Arial"/>
          <w:sz w:val="20"/>
          <w:szCs w:val="20"/>
          <w:color w:val="auto"/>
        </w:rPr>
      </w:pPr>
    </w:p>
    <w:p>
      <w:pPr>
        <w:ind w:left="2540" w:hanging="869"/>
        <w:spacing w:after="0"/>
        <w:tabs>
          <w:tab w:leader="none" w:pos="2540" w:val="left"/>
        </w:tabs>
        <w:numPr>
          <w:ilvl w:val="1"/>
          <w:numId w:val="190"/>
        </w:numPr>
        <w:rPr>
          <w:rFonts w:ascii="Arial" w:cs="Arial" w:eastAsia="Arial" w:hAnsi="Arial"/>
          <w:sz w:val="20"/>
          <w:szCs w:val="20"/>
          <w:color w:val="auto"/>
        </w:rPr>
      </w:pPr>
      <w:r>
        <w:rPr>
          <w:rFonts w:ascii="Arial" w:cs="Arial" w:eastAsia="Arial" w:hAnsi="Arial"/>
          <w:sz w:val="20"/>
          <w:szCs w:val="20"/>
          <w:color w:val="auto"/>
        </w:rPr>
        <w:t>5:00 p.m., Pacific time, on May 29, 2025;</w:t>
      </w:r>
    </w:p>
    <w:p>
      <w:pPr>
        <w:spacing w:after="0" w:line="215" w:lineRule="exact"/>
        <w:rPr>
          <w:rFonts w:ascii="Arial" w:cs="Arial" w:eastAsia="Arial" w:hAnsi="Arial"/>
          <w:sz w:val="20"/>
          <w:szCs w:val="20"/>
          <w:color w:val="auto"/>
        </w:rPr>
      </w:pPr>
    </w:p>
    <w:p>
      <w:pPr>
        <w:jc w:val="both"/>
        <w:ind w:firstLine="1671"/>
        <w:spacing w:after="0" w:line="255" w:lineRule="auto"/>
        <w:tabs>
          <w:tab w:leader="none" w:pos="2542" w:val="left"/>
        </w:tabs>
        <w:numPr>
          <w:ilvl w:val="1"/>
          <w:numId w:val="190"/>
        </w:numPr>
        <w:rPr>
          <w:rFonts w:ascii="Arial" w:cs="Arial" w:eastAsia="Arial" w:hAnsi="Arial"/>
          <w:sz w:val="19"/>
          <w:szCs w:val="19"/>
          <w:color w:val="auto"/>
        </w:rPr>
      </w:pPr>
      <w:r>
        <w:rPr>
          <w:rFonts w:ascii="Arial" w:cs="Arial" w:eastAsia="Arial" w:hAnsi="Arial"/>
          <w:sz w:val="19"/>
          <w:szCs w:val="19"/>
          <w:color w:val="auto"/>
        </w:rPr>
        <w:t>(i) the acquisition of the Company by another entity by means of any transaction or series of related transactions to which the Company is a party (including, without limitation, any stock acquisition, reorganization, merger or consolidation, but excluding any sale of stock for capital raising purposes and any transaction effected primarily for purposes of changing the Company’s jurisdiction of incorporation) other than a transaction or series of related transactions in which the holders of the voting securities of the Company outstanding immediately prior to such transaction or series of related transactions retain, immediately after such transaction or series of transactions, as a result of shares in the Company held by such holders prior to such transaction or series of transactions, at least a majority of the total voting power represented by the outstanding voting securities of the Company or such other surviving or resulting entity (or if the Company or such other surviving or resulting entity is a wholly-owned subsidiary immediately following such acquisition, its parent), or (ii) a sale, lease or other disposition of all or substantially all of the assets of the Company and its subsidiaries taken as a whole by means of any transaction or series of related transactions, except where such sale, lease or other disposition is to a wholly-owned subsidiary of the Company; or</w:t>
      </w:r>
    </w:p>
    <w:p>
      <w:pPr>
        <w:spacing w:after="0" w:line="186" w:lineRule="exact"/>
        <w:rPr>
          <w:rFonts w:ascii="Arial" w:cs="Arial" w:eastAsia="Arial" w:hAnsi="Arial"/>
          <w:sz w:val="19"/>
          <w:szCs w:val="19"/>
          <w:color w:val="auto"/>
        </w:rPr>
      </w:pPr>
    </w:p>
    <w:p>
      <w:pPr>
        <w:ind w:right="20" w:firstLine="1671"/>
        <w:spacing w:after="0" w:line="287" w:lineRule="auto"/>
        <w:tabs>
          <w:tab w:leader="none" w:pos="2531" w:val="left"/>
        </w:tabs>
        <w:numPr>
          <w:ilvl w:val="1"/>
          <w:numId w:val="190"/>
        </w:numPr>
        <w:rPr>
          <w:rFonts w:ascii="Arial" w:cs="Arial" w:eastAsia="Arial" w:hAnsi="Arial"/>
          <w:sz w:val="19"/>
          <w:szCs w:val="19"/>
          <w:color w:val="auto"/>
        </w:rPr>
      </w:pPr>
      <w:r>
        <w:rPr>
          <w:rFonts w:ascii="Arial" w:cs="Arial" w:eastAsia="Arial" w:hAnsi="Arial"/>
          <w:sz w:val="19"/>
          <w:szCs w:val="19"/>
          <w:color w:val="auto"/>
        </w:rPr>
        <w:t>Immediately prior to the closing of a firm commitment underwritten initial public offering pursuant to an effective registration statement filed under the Securities Act covering the offering and sale of the Company’s common stock.</w:t>
      </w:r>
    </w:p>
    <w:p>
      <w:pPr>
        <w:spacing w:after="0" w:line="146" w:lineRule="exact"/>
        <w:rPr>
          <w:rFonts w:ascii="Arial" w:cs="Arial" w:eastAsia="Arial" w:hAnsi="Arial"/>
          <w:sz w:val="19"/>
          <w:szCs w:val="19"/>
          <w:color w:val="auto"/>
        </w:rPr>
      </w:pPr>
    </w:p>
    <w:p>
      <w:pPr>
        <w:jc w:val="both"/>
        <w:ind w:firstLine="840"/>
        <w:spacing w:after="0" w:line="260" w:lineRule="auto"/>
        <w:tabs>
          <w:tab w:leader="none" w:pos="1628" w:val="left"/>
        </w:tabs>
        <w:numPr>
          <w:ilvl w:val="0"/>
          <w:numId w:val="190"/>
        </w:numPr>
        <w:rPr>
          <w:rFonts w:ascii="Arial" w:cs="Arial" w:eastAsia="Arial" w:hAnsi="Arial"/>
          <w:sz w:val="19"/>
          <w:szCs w:val="19"/>
          <w:color w:val="auto"/>
        </w:rPr>
      </w:pPr>
      <w:r>
        <w:rPr>
          <w:rFonts w:ascii="Arial" w:cs="Arial" w:eastAsia="Arial" w:hAnsi="Arial"/>
          <w:sz w:val="19"/>
          <w:szCs w:val="19"/>
          <w:b w:val="1"/>
          <w:bCs w:val="1"/>
          <w:color w:val="auto"/>
        </w:rPr>
        <w:t xml:space="preserve">No Rights as a Stockholder. </w:t>
      </w:r>
      <w:r>
        <w:rPr>
          <w:rFonts w:ascii="Arial" w:cs="Arial" w:eastAsia="Arial" w:hAnsi="Arial"/>
          <w:sz w:val="19"/>
          <w:szCs w:val="19"/>
          <w:color w:val="auto"/>
        </w:rPr>
        <w:t>Nothing contained herein shall entitle the Holder to any rights as a stockholder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to be deemed the holder of any securities that may at any time be issuable on the exercise of the rights hereunder for any purpose nor shall anything contained herein be construed to confer upon the Holder, as such, any right to vote for the election of directors or upon any matter submitted to stockholders at any meeting thereof, or to give or withhold consent to any corporate action (whether upon any recapitalization, issuance of stock, reclassification of stock, change of par value or change of stock to no par value, consolidation, merger, conveyance or otherwise) or to receive notice of meetings, or to receive dividends</w:t>
      </w:r>
    </w:p>
    <w:p>
      <w:pPr>
        <w:spacing w:after="0" w:line="192" w:lineRule="exact"/>
        <w:rPr>
          <w:rFonts w:ascii="Arial" w:cs="Arial" w:eastAsia="Arial" w:hAnsi="Arial"/>
          <w:sz w:val="19"/>
          <w:szCs w:val="19"/>
          <w:color w:val="auto"/>
        </w:rPr>
      </w:pPr>
    </w:p>
    <w:p>
      <w:pPr>
        <w:ind w:left="5580" w:hanging="121"/>
        <w:spacing w:after="0"/>
        <w:tabs>
          <w:tab w:leader="none" w:pos="5580" w:val="left"/>
        </w:tabs>
        <w:numPr>
          <w:ilvl w:val="2"/>
          <w:numId w:val="190"/>
        </w:numPr>
        <w:rPr>
          <w:rFonts w:ascii="Arial" w:cs="Arial" w:eastAsia="Arial" w:hAnsi="Arial"/>
          <w:sz w:val="20"/>
          <w:szCs w:val="20"/>
          <w:color w:val="auto"/>
        </w:rPr>
      </w:pPr>
      <w:r>
        <w:rPr>
          <w:rFonts w:ascii="Arial" w:cs="Arial" w:eastAsia="Arial" w:hAnsi="Arial"/>
          <w:sz w:val="20"/>
          <w:szCs w:val="20"/>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67" w:name="page268"/>
    <w:bookmarkEnd w:id="267"/>
    <w:p>
      <w:pPr>
        <w:spacing w:after="0" w:line="287" w:lineRule="auto"/>
        <w:rPr>
          <w:sz w:val="20"/>
          <w:szCs w:val="20"/>
          <w:color w:val="auto"/>
        </w:rPr>
      </w:pPr>
      <w:r>
        <w:rPr>
          <w:rFonts w:ascii="Arial" w:cs="Arial" w:eastAsia="Arial" w:hAnsi="Arial"/>
          <w:sz w:val="19"/>
          <w:szCs w:val="19"/>
          <w:color w:val="auto"/>
        </w:rPr>
        <w:t>or subscription rights or any other rights of a stockholder of the Company until the rights under the Warrant shall have been exercised and the Shares purchasable upon exercise of the rights hereunder shall have become deliverable as provided herein.</w:t>
      </w:r>
    </w:p>
    <w:p>
      <w:pPr>
        <w:spacing w:after="0" w:line="146" w:lineRule="exact"/>
        <w:rPr>
          <w:sz w:val="20"/>
          <w:szCs w:val="20"/>
          <w:color w:val="auto"/>
        </w:rPr>
      </w:pPr>
    </w:p>
    <w:p>
      <w:pPr>
        <w:ind w:right="20" w:firstLine="840"/>
        <w:spacing w:after="0" w:line="267" w:lineRule="auto"/>
        <w:tabs>
          <w:tab w:leader="none" w:pos="1727" w:val="left"/>
        </w:tabs>
        <w:numPr>
          <w:ilvl w:val="0"/>
          <w:numId w:val="191"/>
        </w:numPr>
        <w:rPr>
          <w:rFonts w:ascii="Arial" w:cs="Arial" w:eastAsia="Arial" w:hAnsi="Arial"/>
          <w:sz w:val="20"/>
          <w:szCs w:val="20"/>
          <w:color w:val="auto"/>
        </w:rPr>
      </w:pPr>
      <w:r>
        <w:rPr>
          <w:rFonts w:ascii="Arial" w:cs="Arial" w:eastAsia="Arial" w:hAnsi="Arial"/>
          <w:sz w:val="20"/>
          <w:szCs w:val="20"/>
          <w:b w:val="1"/>
          <w:bCs w:val="1"/>
          <w:color w:val="auto"/>
        </w:rPr>
        <w:t xml:space="preserve">Market Stand-off. </w:t>
      </w:r>
      <w:r>
        <w:rPr>
          <w:rFonts w:ascii="Arial" w:cs="Arial" w:eastAsia="Arial" w:hAnsi="Arial"/>
          <w:sz w:val="20"/>
          <w:szCs w:val="20"/>
          <w:color w:val="auto"/>
        </w:rPr>
        <w:t>The Holder agrees that the Warrant and the Shares issued thereunder are subject to the market</w:t>
      </w:r>
      <w:r>
        <w:rPr>
          <w:rFonts w:ascii="Arial" w:cs="Arial" w:eastAsia="Arial" w:hAnsi="Arial"/>
          <w:sz w:val="20"/>
          <w:szCs w:val="20"/>
          <w:b w:val="1"/>
          <w:bCs w:val="1"/>
          <w:color w:val="auto"/>
        </w:rPr>
        <w:t xml:space="preserve"> </w:t>
      </w:r>
      <w:r>
        <w:rPr>
          <w:rFonts w:ascii="Arial" w:cs="Arial" w:eastAsia="Arial" w:hAnsi="Arial"/>
          <w:sz w:val="20"/>
          <w:szCs w:val="20"/>
          <w:color w:val="auto"/>
        </w:rPr>
        <w:t>stand-off provision of Section 2.11 of the Rights Agreement.</w:t>
      </w:r>
    </w:p>
    <w:p>
      <w:pPr>
        <w:spacing w:after="0" w:line="163" w:lineRule="exact"/>
        <w:rPr>
          <w:rFonts w:ascii="Arial" w:cs="Arial" w:eastAsia="Arial" w:hAnsi="Arial"/>
          <w:sz w:val="20"/>
          <w:szCs w:val="20"/>
          <w:color w:val="auto"/>
        </w:rPr>
      </w:pPr>
    </w:p>
    <w:p>
      <w:pPr>
        <w:ind w:firstLine="840"/>
        <w:spacing w:after="0" w:line="267" w:lineRule="auto"/>
        <w:tabs>
          <w:tab w:leader="none" w:pos="1720" w:val="left"/>
        </w:tabs>
        <w:numPr>
          <w:ilvl w:val="0"/>
          <w:numId w:val="191"/>
        </w:numPr>
        <w:rPr>
          <w:rFonts w:ascii="Arial" w:cs="Arial" w:eastAsia="Arial" w:hAnsi="Arial"/>
          <w:sz w:val="20"/>
          <w:szCs w:val="20"/>
          <w:color w:val="auto"/>
        </w:rPr>
      </w:pPr>
      <w:r>
        <w:rPr>
          <w:rFonts w:ascii="Arial" w:cs="Arial" w:eastAsia="Arial" w:hAnsi="Arial"/>
          <w:sz w:val="20"/>
          <w:szCs w:val="20"/>
          <w:b w:val="1"/>
          <w:bCs w:val="1"/>
          <w:color w:val="auto"/>
        </w:rPr>
        <w:t xml:space="preserve">Representations and Warranties of the Holder. </w:t>
      </w:r>
      <w:r>
        <w:rPr>
          <w:rFonts w:ascii="Arial" w:cs="Arial" w:eastAsia="Arial" w:hAnsi="Arial"/>
          <w:sz w:val="20"/>
          <w:szCs w:val="20"/>
          <w:color w:val="auto"/>
        </w:rPr>
        <w:t>By acceptance of this Warrant, the Holder represents and warrants to</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as follows:</w:t>
      </w:r>
    </w:p>
    <w:p>
      <w:pPr>
        <w:spacing w:after="0" w:line="169" w:lineRule="exact"/>
        <w:rPr>
          <w:rFonts w:ascii="Arial" w:cs="Arial" w:eastAsia="Arial" w:hAnsi="Arial"/>
          <w:sz w:val="20"/>
          <w:szCs w:val="20"/>
          <w:color w:val="auto"/>
        </w:rPr>
      </w:pPr>
    </w:p>
    <w:p>
      <w:pPr>
        <w:jc w:val="both"/>
        <w:ind w:firstLine="1671"/>
        <w:spacing w:after="0" w:line="246" w:lineRule="auto"/>
        <w:tabs>
          <w:tab w:leader="none" w:pos="2531" w:val="left"/>
        </w:tabs>
        <w:numPr>
          <w:ilvl w:val="1"/>
          <w:numId w:val="19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No Registration. </w:t>
      </w:r>
      <w:r>
        <w:rPr>
          <w:rFonts w:ascii="Arial" w:cs="Arial" w:eastAsia="Arial" w:hAnsi="Arial"/>
          <w:sz w:val="20"/>
          <w:szCs w:val="20"/>
          <w:color w:val="auto"/>
        </w:rPr>
        <w:t>The Holder understands that the Securities have not been, and will not be, registered under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the Securities Act by reason of a specific exemption from the registration provisions of the Securities Act, the availability of which depends upon, among other things, the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nature of the investment intent and the accuracy of the Holder’s representations as expressed herein or otherwise made pursuant hereto.</w:t>
      </w:r>
    </w:p>
    <w:p>
      <w:pPr>
        <w:spacing w:after="0" w:line="191" w:lineRule="exact"/>
        <w:rPr>
          <w:rFonts w:ascii="Arial" w:cs="Arial" w:eastAsia="Arial" w:hAnsi="Arial"/>
          <w:sz w:val="20"/>
          <w:szCs w:val="20"/>
          <w:color w:val="auto"/>
        </w:rPr>
      </w:pPr>
    </w:p>
    <w:p>
      <w:pPr>
        <w:jc w:val="both"/>
        <w:ind w:firstLine="1671"/>
        <w:spacing w:after="0" w:line="246" w:lineRule="auto"/>
        <w:tabs>
          <w:tab w:leader="none" w:pos="2542" w:val="left"/>
        </w:tabs>
        <w:numPr>
          <w:ilvl w:val="1"/>
          <w:numId w:val="19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Investment Intent. </w:t>
      </w:r>
      <w:r>
        <w:rPr>
          <w:rFonts w:ascii="Arial" w:cs="Arial" w:eastAsia="Arial" w:hAnsi="Arial"/>
          <w:sz w:val="20"/>
          <w:szCs w:val="20"/>
          <w:color w:val="auto"/>
        </w:rPr>
        <w:t>The Holder is acquiring the Securities for investment for its own account, not as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nominee or agent, and not with a view to, or for resale in connection with, any distribution thereof. The Holder has no present intention of selling, granting any participation in, or otherwise distributing the Securities, nor does it have any contract, undertaking, agreement or arrangement for the same.</w:t>
      </w:r>
    </w:p>
    <w:p>
      <w:pPr>
        <w:spacing w:after="0" w:line="191" w:lineRule="exact"/>
        <w:rPr>
          <w:rFonts w:ascii="Arial" w:cs="Arial" w:eastAsia="Arial" w:hAnsi="Arial"/>
          <w:sz w:val="20"/>
          <w:szCs w:val="20"/>
          <w:color w:val="auto"/>
        </w:rPr>
      </w:pPr>
    </w:p>
    <w:p>
      <w:pPr>
        <w:jc w:val="both"/>
        <w:ind w:firstLine="1671"/>
        <w:spacing w:after="0" w:line="291" w:lineRule="auto"/>
        <w:tabs>
          <w:tab w:leader="none" w:pos="2531" w:val="left"/>
        </w:tabs>
        <w:numPr>
          <w:ilvl w:val="1"/>
          <w:numId w:val="19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Investment Experience. </w:t>
      </w:r>
      <w:r>
        <w:rPr>
          <w:rFonts w:ascii="Arial" w:cs="Arial" w:eastAsia="Arial" w:hAnsi="Arial"/>
          <w:sz w:val="18"/>
          <w:szCs w:val="18"/>
          <w:color w:val="auto"/>
        </w:rPr>
        <w:t>The Holder has substantial experience in evaluating and investing in private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placement transactions of securities in companies similar to the Company, and has such knowledge and experience in financial or business matters so that it is capable of evaluating the merits and risks of its investment in the Company and protecting its own interests.</w:t>
      </w:r>
    </w:p>
    <w:p>
      <w:pPr>
        <w:spacing w:after="0" w:line="151" w:lineRule="exact"/>
        <w:rPr>
          <w:rFonts w:ascii="Arial" w:cs="Arial" w:eastAsia="Arial" w:hAnsi="Arial"/>
          <w:sz w:val="18"/>
          <w:szCs w:val="18"/>
          <w:color w:val="auto"/>
        </w:rPr>
      </w:pPr>
    </w:p>
    <w:p>
      <w:pPr>
        <w:jc w:val="both"/>
        <w:ind w:right="20" w:firstLine="1671"/>
        <w:spacing w:after="0" w:line="291" w:lineRule="auto"/>
        <w:tabs>
          <w:tab w:leader="none" w:pos="2542" w:val="left"/>
        </w:tabs>
        <w:numPr>
          <w:ilvl w:val="1"/>
          <w:numId w:val="19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Speculative Nature of Investment. </w:t>
      </w:r>
      <w:r>
        <w:rPr>
          <w:rFonts w:ascii="Arial" w:cs="Arial" w:eastAsia="Arial" w:hAnsi="Arial"/>
          <w:sz w:val="18"/>
          <w:szCs w:val="18"/>
          <w:color w:val="auto"/>
        </w:rPr>
        <w:t>The Holder understands and acknowledges that its investment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is highly speculative and involves substantial risks. The Holder can bear the economic risk of its investment and is able, without impairing its financial condition, to hold the Securities for an indefinite period of time and to suffer a complete loss of its investment.</w:t>
      </w:r>
    </w:p>
    <w:p>
      <w:pPr>
        <w:spacing w:after="0" w:line="151" w:lineRule="exact"/>
        <w:rPr>
          <w:rFonts w:ascii="Arial" w:cs="Arial" w:eastAsia="Arial" w:hAnsi="Arial"/>
          <w:sz w:val="18"/>
          <w:szCs w:val="18"/>
          <w:color w:val="auto"/>
        </w:rPr>
      </w:pPr>
    </w:p>
    <w:p>
      <w:pPr>
        <w:jc w:val="both"/>
        <w:ind w:firstLine="1671"/>
        <w:spacing w:after="0" w:line="274" w:lineRule="auto"/>
        <w:tabs>
          <w:tab w:leader="none" w:pos="2531" w:val="left"/>
        </w:tabs>
        <w:numPr>
          <w:ilvl w:val="1"/>
          <w:numId w:val="19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Access to Data. </w:t>
      </w:r>
      <w:r>
        <w:rPr>
          <w:rFonts w:ascii="Arial" w:cs="Arial" w:eastAsia="Arial" w:hAnsi="Arial"/>
          <w:sz w:val="18"/>
          <w:szCs w:val="18"/>
          <w:color w:val="auto"/>
        </w:rPr>
        <w:t>The Holder has had an opportunity to ask questions of officers of the Company,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questions were answered to its satisfaction. The Holder believes that it has received all the information that it considers necessary or appropriate for deciding whether to acquire the Securities. The Holder understands that any such discussions, as well as any information issued by the Company, were intended to describe certain aspects of the Company’s business and prospects, but were not necessarily a thorough or exhaustive description. The Holder acknowledges that any business plans prepared by the Company have been, and continue to be, subject to change and that any projections included in such business plans or otherwise are necessarily speculative in nature, and it can be expected that some or all of the assumptions underlying the projections will not materialize or will vary significantly from actual results.</w:t>
      </w:r>
    </w:p>
    <w:p>
      <w:pPr>
        <w:spacing w:after="0" w:line="168" w:lineRule="exact"/>
        <w:rPr>
          <w:rFonts w:ascii="Arial" w:cs="Arial" w:eastAsia="Arial" w:hAnsi="Arial"/>
          <w:sz w:val="18"/>
          <w:szCs w:val="18"/>
          <w:color w:val="auto"/>
        </w:rPr>
      </w:pPr>
    </w:p>
    <w:p>
      <w:pPr>
        <w:jc w:val="both"/>
        <w:ind w:firstLine="1671"/>
        <w:spacing w:after="0" w:line="244" w:lineRule="auto"/>
        <w:tabs>
          <w:tab w:leader="none" w:pos="2509" w:val="left"/>
        </w:tabs>
        <w:numPr>
          <w:ilvl w:val="1"/>
          <w:numId w:val="19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Accredited Investor. </w:t>
      </w:r>
      <w:r>
        <w:rPr>
          <w:rFonts w:ascii="Arial" w:cs="Arial" w:eastAsia="Arial" w:hAnsi="Arial"/>
          <w:sz w:val="20"/>
          <w:szCs w:val="20"/>
          <w:color w:val="auto"/>
        </w:rPr>
        <w:t>The Holder is an “accredited investor” within the meaning of Regulation D, Rule 501(a),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promulgated by the Securities and Exchange Commission and agrees to submit to the Company such further assurances of such status as may be reasonably requested by the Company. The Holder has furnished or made available any and all information requested by the Company or otherwise necessary to satisfy any applicable verification requirements as to “accredited investor” status. Any such information is true, correct, timely and complete</w:t>
      </w:r>
    </w:p>
    <w:p>
      <w:pPr>
        <w:spacing w:after="0" w:line="194" w:lineRule="exact"/>
        <w:rPr>
          <w:rFonts w:ascii="Arial" w:cs="Arial" w:eastAsia="Arial" w:hAnsi="Arial"/>
          <w:sz w:val="20"/>
          <w:szCs w:val="20"/>
          <w:color w:val="auto"/>
        </w:rPr>
      </w:pPr>
    </w:p>
    <w:p>
      <w:pPr>
        <w:ind w:firstLine="1671"/>
        <w:spacing w:after="0" w:line="260" w:lineRule="auto"/>
        <w:tabs>
          <w:tab w:leader="none" w:pos="2542" w:val="left"/>
        </w:tabs>
        <w:numPr>
          <w:ilvl w:val="1"/>
          <w:numId w:val="19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Residency. </w:t>
      </w:r>
      <w:r>
        <w:rPr>
          <w:rFonts w:ascii="Arial" w:cs="Arial" w:eastAsia="Arial" w:hAnsi="Arial"/>
          <w:sz w:val="20"/>
          <w:szCs w:val="20"/>
          <w:color w:val="auto"/>
        </w:rPr>
        <w:t>The residency of the Holder (or, in the case of a partnership or corporation, such entity’s principal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place of business) is correctly set forth on the signature page hereto.</w:t>
      </w:r>
    </w:p>
    <w:p>
      <w:pPr>
        <w:spacing w:after="0" w:line="190" w:lineRule="exact"/>
        <w:rPr>
          <w:rFonts w:ascii="Arial" w:cs="Arial" w:eastAsia="Arial" w:hAnsi="Arial"/>
          <w:sz w:val="20"/>
          <w:szCs w:val="20"/>
          <w:color w:val="auto"/>
        </w:rPr>
      </w:pPr>
    </w:p>
    <w:p>
      <w:pPr>
        <w:ind w:left="5580" w:hanging="121"/>
        <w:spacing w:after="0"/>
        <w:tabs>
          <w:tab w:leader="none" w:pos="5580" w:val="left"/>
        </w:tabs>
        <w:numPr>
          <w:ilvl w:val="2"/>
          <w:numId w:val="191"/>
        </w:numPr>
        <w:rPr>
          <w:rFonts w:ascii="Arial" w:cs="Arial" w:eastAsia="Arial" w:hAnsi="Arial"/>
          <w:sz w:val="20"/>
          <w:szCs w:val="20"/>
          <w:color w:val="auto"/>
        </w:rPr>
      </w:pPr>
      <w:r>
        <w:rPr>
          <w:rFonts w:ascii="Arial" w:cs="Arial" w:eastAsia="Arial" w:hAnsi="Arial"/>
          <w:sz w:val="20"/>
          <w:szCs w:val="20"/>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68" w:name="page269"/>
    <w:bookmarkEnd w:id="268"/>
    <w:p>
      <w:pPr>
        <w:jc w:val="both"/>
        <w:ind w:left="-1120" w:firstLine="1671"/>
        <w:spacing w:after="0" w:line="269" w:lineRule="auto"/>
        <w:tabs>
          <w:tab w:leader="none" w:pos="1422" w:val="left"/>
        </w:tabs>
        <w:numPr>
          <w:ilvl w:val="0"/>
          <w:numId w:val="19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on Resales. </w:t>
      </w:r>
      <w:r>
        <w:rPr>
          <w:rFonts w:ascii="Arial" w:cs="Arial" w:eastAsia="Arial" w:hAnsi="Arial"/>
          <w:sz w:val="18"/>
          <w:szCs w:val="18"/>
          <w:color w:val="auto"/>
        </w:rPr>
        <w:t>The Holder acknowledges that the Securities must be held indefinitely unless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subsequently registered under the Securities Act or an exemption from such registration is available. The Holder is aware of the provisions of Rule 144 promulgated under the Securities Act, which permit resale of shares purchased in a private placement subject to the satisfaction of certain conditions, which may include, among other things, the availability of certain current public information about the Company; the resale occurring not less than a specified period after a party has purchased and paid for the security to be sold; the number of shares being sold during any three-month period not exceeding specified limitations; the sale being effected through a “broker’s transaction,” a transaction directly with a “market maker” or a “riskless principal transaction” (as those terms are defined in the Securities Act or the Securities Exchange Act of 1934, as amended, and the rules and regulations promulgated thereunder); and the filing of a Form 144 notice, if applicable. The Holder acknowledges and understands that the Company may not be satisfying the current public information requirement of Rule 144 at the time the Holder wishes to sell the Securities and that, in such event, the Holder may be precluded from selling the Securities under Rule 144 even if the other applicable requirements of Rule 144 have been satisfied. The Holder acknowledges that, in the event the applicable requirements of Rule 144 are not met, registration under the Securities Act or an exemption from registration will be required for any disposition of the Securities. The Holder understands that, although Rule 144 is not exclusive, the Securities and Exchange Commission has expressed its opinion that persons proposing to sell restricted securities received in a private offering other than in a registered offering or pursuant to Rule 144 will have a substantial burden of proof in establishing that an exemption from registration is available for such offers or sales and that such persons and the brokers who participate in the transactions do so at their own risk.</w:t>
      </w:r>
    </w:p>
    <w:p>
      <w:pPr>
        <w:spacing w:after="0" w:line="176" w:lineRule="exact"/>
        <w:rPr>
          <w:rFonts w:ascii="Arial" w:cs="Arial" w:eastAsia="Arial" w:hAnsi="Arial"/>
          <w:sz w:val="18"/>
          <w:szCs w:val="18"/>
          <w:color w:val="auto"/>
        </w:rPr>
      </w:pPr>
    </w:p>
    <w:p>
      <w:pPr>
        <w:jc w:val="both"/>
        <w:ind w:left="-1120" w:firstLine="1671"/>
        <w:spacing w:after="0" w:line="250" w:lineRule="auto"/>
        <w:tabs>
          <w:tab w:leader="none" w:pos="1378" w:val="left"/>
        </w:tabs>
        <w:numPr>
          <w:ilvl w:val="0"/>
          <w:numId w:val="19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No Public Market. </w:t>
      </w:r>
      <w:r>
        <w:rPr>
          <w:rFonts w:ascii="Arial" w:cs="Arial" w:eastAsia="Arial" w:hAnsi="Arial"/>
          <w:sz w:val="20"/>
          <w:szCs w:val="20"/>
          <w:color w:val="auto"/>
        </w:rPr>
        <w:t>The Holder understands and acknowledges that no public market now exists for any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securities issued by the Company and that the Company has made no assurances that a public market will ever exist for the Company’s securities.</w:t>
      </w:r>
    </w:p>
    <w:p>
      <w:pPr>
        <w:spacing w:after="0" w:line="185" w:lineRule="exact"/>
        <w:rPr>
          <w:rFonts w:ascii="Arial" w:cs="Arial" w:eastAsia="Arial" w:hAnsi="Arial"/>
          <w:sz w:val="20"/>
          <w:szCs w:val="20"/>
          <w:color w:val="auto"/>
        </w:rPr>
      </w:pPr>
    </w:p>
    <w:p>
      <w:pPr>
        <w:jc w:val="both"/>
        <w:ind w:left="-1120" w:firstLine="1671"/>
        <w:spacing w:after="0" w:line="269" w:lineRule="auto"/>
        <w:tabs>
          <w:tab w:leader="none" w:pos="1378" w:val="left"/>
        </w:tabs>
        <w:numPr>
          <w:ilvl w:val="0"/>
          <w:numId w:val="19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Brokers and Finders. </w:t>
      </w:r>
      <w:r>
        <w:rPr>
          <w:rFonts w:ascii="Arial" w:cs="Arial" w:eastAsia="Arial" w:hAnsi="Arial"/>
          <w:sz w:val="19"/>
          <w:szCs w:val="19"/>
          <w:color w:val="auto"/>
        </w:rPr>
        <w:t>The Holder has not engaged any brokers, finders or agents in connection with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Securities, and the Company has not incurred nor will incur, directly or indirectly, as a result of any action taken by the Holder, any liability for brokerage or finders’ fees or agents’ commissions or any similar charges in connection with the Securities.</w:t>
      </w:r>
    </w:p>
    <w:p>
      <w:pPr>
        <w:spacing w:after="0" w:line="169" w:lineRule="exact"/>
        <w:rPr>
          <w:rFonts w:ascii="Arial" w:cs="Arial" w:eastAsia="Arial" w:hAnsi="Arial"/>
          <w:sz w:val="19"/>
          <w:szCs w:val="19"/>
          <w:color w:val="auto"/>
        </w:rPr>
      </w:pPr>
    </w:p>
    <w:p>
      <w:pPr>
        <w:jc w:val="both"/>
        <w:ind w:left="-1120" w:firstLine="1671"/>
        <w:spacing w:after="0" w:line="342" w:lineRule="auto"/>
        <w:tabs>
          <w:tab w:leader="none" w:pos="1422" w:val="left"/>
        </w:tabs>
        <w:numPr>
          <w:ilvl w:val="0"/>
          <w:numId w:val="19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Legal Counsel. </w:t>
      </w:r>
      <w:r>
        <w:rPr>
          <w:rFonts w:ascii="Arial" w:cs="Arial" w:eastAsia="Arial" w:hAnsi="Arial"/>
          <w:sz w:val="16"/>
          <w:szCs w:val="16"/>
          <w:color w:val="auto"/>
        </w:rPr>
        <w:t>The Holder has had the opportunity to review this Warrant, the exhibits and schedules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attached hereto and the transactions contemplated by this Warrant with its own legal counsel. The Holder is not relying on any statements or representations of the Company or its agents for legal advice with respect to this investment or the transactions contemplated by this Warrant.</w:t>
      </w:r>
    </w:p>
    <w:p>
      <w:pPr>
        <w:spacing w:after="0" w:line="117" w:lineRule="exact"/>
        <w:rPr>
          <w:rFonts w:ascii="Arial" w:cs="Arial" w:eastAsia="Arial" w:hAnsi="Arial"/>
          <w:sz w:val="16"/>
          <w:szCs w:val="16"/>
          <w:color w:val="auto"/>
        </w:rPr>
      </w:pPr>
    </w:p>
    <w:p>
      <w:pPr>
        <w:jc w:val="both"/>
        <w:ind w:left="-1120" w:firstLine="1671"/>
        <w:spacing w:after="0" w:line="244" w:lineRule="auto"/>
        <w:tabs>
          <w:tab w:leader="none" w:pos="1378" w:val="left"/>
        </w:tabs>
        <w:numPr>
          <w:ilvl w:val="0"/>
          <w:numId w:val="19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Tax Advisors. </w:t>
      </w:r>
      <w:r>
        <w:rPr>
          <w:rFonts w:ascii="Arial" w:cs="Arial" w:eastAsia="Arial" w:hAnsi="Arial"/>
          <w:sz w:val="20"/>
          <w:szCs w:val="20"/>
          <w:color w:val="auto"/>
        </w:rPr>
        <w:t>The Holder has reviewed with its own tax advisors the U.S. federal, state and local and non-U.S. tax consequences of this investment and the transactions contemplated by this Warrant. With respect to such matters, the Holder relies solely on any such advisors and not on any statements or representations of the Company or any of its agents, written or oral. The Holder understands that it (and not the Company) shall be responsible for its own tax liability that may arise as a result of this investment and the transactions contemplated by this Warrant.</w:t>
      </w:r>
    </w:p>
    <w:p>
      <w:pPr>
        <w:spacing w:after="0" w:line="194" w:lineRule="exact"/>
        <w:rPr>
          <w:rFonts w:ascii="Arial" w:cs="Arial" w:eastAsia="Arial" w:hAnsi="Arial"/>
          <w:sz w:val="20"/>
          <w:szCs w:val="20"/>
          <w:color w:val="auto"/>
        </w:rPr>
      </w:pPr>
    </w:p>
    <w:p>
      <w:pPr>
        <w:jc w:val="both"/>
        <w:ind w:left="-1120" w:firstLine="1671"/>
        <w:spacing w:after="0" w:line="243" w:lineRule="auto"/>
        <w:tabs>
          <w:tab w:leader="none" w:pos="1477" w:val="left"/>
        </w:tabs>
        <w:numPr>
          <w:ilvl w:val="0"/>
          <w:numId w:val="19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No “Bad Actor” Disqualification. </w:t>
      </w:r>
      <w:r>
        <w:rPr>
          <w:rFonts w:ascii="Arial" w:cs="Arial" w:eastAsia="Arial" w:hAnsi="Arial"/>
          <w:sz w:val="20"/>
          <w:szCs w:val="20"/>
          <w:color w:val="auto"/>
        </w:rPr>
        <w:t>Neither (i) the Holder, (ii) any of its directors, executive officers, other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officers that may serve as a director or officer of any company in which it invests, general partners or managing members, nor (iii) any beneficial owner of any of the Company’s voting equity securities (in accordance with Rule 506(d) of the Securities Act) held by the Holder is subject to any of the “bad actor” disqualifications described in Rule 506(d)(1)(i) through (viii) under the Securities Act, except as set forth in Rule 506(d)(2)(ii) or (iii) or (d)(3) under the Securities Act and disclosed, reasonably in advance of the acceptance of this Warrant, in writing in reasonable detail to the Company.</w:t>
      </w:r>
    </w:p>
    <w:p>
      <w:pPr>
        <w:spacing w:after="0" w:line="209" w:lineRule="exact"/>
        <w:rPr>
          <w:rFonts w:ascii="Arial" w:cs="Arial" w:eastAsia="Arial" w:hAnsi="Arial"/>
          <w:sz w:val="20"/>
          <w:szCs w:val="20"/>
          <w:color w:val="auto"/>
        </w:rPr>
      </w:pPr>
    </w:p>
    <w:p>
      <w:pPr>
        <w:ind w:left="4400" w:hanging="110"/>
        <w:spacing w:after="0"/>
        <w:tabs>
          <w:tab w:leader="none" w:pos="4400" w:val="left"/>
        </w:tabs>
        <w:numPr>
          <w:ilvl w:val="1"/>
          <w:numId w:val="192"/>
        </w:numPr>
        <w:rPr>
          <w:rFonts w:ascii="Arial" w:cs="Arial" w:eastAsia="Arial" w:hAnsi="Arial"/>
          <w:sz w:val="20"/>
          <w:szCs w:val="20"/>
          <w:color w:val="auto"/>
        </w:rPr>
      </w:pPr>
      <w:r>
        <w:rPr>
          <w:rFonts w:ascii="Arial" w:cs="Arial" w:eastAsia="Arial" w:hAnsi="Arial"/>
          <w:sz w:val="20"/>
          <w:szCs w:val="20"/>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78740</wp:posOffset>
            </wp:positionV>
            <wp:extent cx="7149465"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555" w:right="339" w:bottom="1440" w:gutter="0" w:footer="0" w:header="0"/>
        </w:sectPr>
      </w:pPr>
    </w:p>
    <w:bookmarkStart w:id="269" w:name="page270"/>
    <w:bookmarkEnd w:id="269"/>
    <w:p>
      <w:pPr>
        <w:ind w:left="1740" w:hanging="900"/>
        <w:spacing w:after="0"/>
        <w:tabs>
          <w:tab w:leader="none" w:pos="1740" w:val="left"/>
        </w:tabs>
        <w:numPr>
          <w:ilvl w:val="0"/>
          <w:numId w:val="193"/>
        </w:numPr>
        <w:rPr>
          <w:rFonts w:ascii="Arial" w:cs="Arial" w:eastAsia="Arial" w:hAnsi="Arial"/>
          <w:sz w:val="20"/>
          <w:szCs w:val="20"/>
          <w:color w:val="auto"/>
        </w:rPr>
      </w:pPr>
      <w:r>
        <w:rPr>
          <w:rFonts w:ascii="Arial" w:cs="Arial" w:eastAsia="Arial" w:hAnsi="Arial"/>
          <w:sz w:val="20"/>
          <w:szCs w:val="20"/>
          <w:b w:val="1"/>
          <w:bCs w:val="1"/>
          <w:color w:val="auto"/>
        </w:rPr>
        <w:t>Miscellaneous.</w:t>
      </w:r>
    </w:p>
    <w:p>
      <w:pPr>
        <w:spacing w:after="0" w:line="221" w:lineRule="exact"/>
        <w:rPr>
          <w:rFonts w:ascii="Arial" w:cs="Arial" w:eastAsia="Arial" w:hAnsi="Arial"/>
          <w:sz w:val="20"/>
          <w:szCs w:val="20"/>
          <w:color w:val="auto"/>
        </w:rPr>
      </w:pPr>
    </w:p>
    <w:p>
      <w:pPr>
        <w:jc w:val="both"/>
        <w:ind w:firstLine="1671"/>
        <w:spacing w:after="0" w:line="250" w:lineRule="auto"/>
        <w:tabs>
          <w:tab w:leader="none" w:pos="2531" w:val="left"/>
        </w:tabs>
        <w:numPr>
          <w:ilvl w:val="1"/>
          <w:numId w:val="19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Amendments. </w:t>
      </w:r>
      <w:r>
        <w:rPr>
          <w:rFonts w:ascii="Arial" w:cs="Arial" w:eastAsia="Arial" w:hAnsi="Arial"/>
          <w:sz w:val="20"/>
          <w:szCs w:val="20"/>
          <w:color w:val="auto"/>
        </w:rPr>
        <w:t>Except as expressly provided herein, neither this Warrant nor any term hereof may be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amended, waived, discharged or terminated other than by a written instrument referencing this Warrant and signed by the Company and the Holder.</w:t>
      </w:r>
    </w:p>
    <w:p>
      <w:pPr>
        <w:spacing w:after="0" w:line="185" w:lineRule="exact"/>
        <w:rPr>
          <w:rFonts w:ascii="Arial" w:cs="Arial" w:eastAsia="Arial" w:hAnsi="Arial"/>
          <w:sz w:val="20"/>
          <w:szCs w:val="20"/>
          <w:color w:val="auto"/>
        </w:rPr>
      </w:pPr>
    </w:p>
    <w:p>
      <w:pPr>
        <w:ind w:firstLine="1671"/>
        <w:spacing w:after="0" w:line="260" w:lineRule="auto"/>
        <w:tabs>
          <w:tab w:leader="none" w:pos="2542" w:val="left"/>
        </w:tabs>
        <w:numPr>
          <w:ilvl w:val="1"/>
          <w:numId w:val="19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Waivers. </w:t>
      </w:r>
      <w:r>
        <w:rPr>
          <w:rFonts w:ascii="Arial" w:cs="Arial" w:eastAsia="Arial" w:hAnsi="Arial"/>
          <w:sz w:val="20"/>
          <w:szCs w:val="20"/>
          <w:color w:val="auto"/>
        </w:rPr>
        <w:t>No waiver of any single breach or default shall be deemed a waiver of any other breach or default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theretofore or thereafter occurring.</w:t>
      </w:r>
    </w:p>
    <w:p>
      <w:pPr>
        <w:spacing w:after="0" w:line="176" w:lineRule="exact"/>
        <w:rPr>
          <w:rFonts w:ascii="Arial" w:cs="Arial" w:eastAsia="Arial" w:hAnsi="Arial"/>
          <w:sz w:val="20"/>
          <w:szCs w:val="20"/>
          <w:color w:val="auto"/>
        </w:rPr>
      </w:pPr>
    </w:p>
    <w:p>
      <w:pPr>
        <w:jc w:val="both"/>
        <w:ind w:firstLine="1671"/>
        <w:spacing w:after="0" w:line="250" w:lineRule="auto"/>
        <w:tabs>
          <w:tab w:leader="none" w:pos="2531" w:val="left"/>
        </w:tabs>
        <w:numPr>
          <w:ilvl w:val="1"/>
          <w:numId w:val="19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Notices. </w:t>
      </w:r>
      <w:r>
        <w:rPr>
          <w:rFonts w:ascii="Arial" w:cs="Arial" w:eastAsia="Arial" w:hAnsi="Arial"/>
          <w:sz w:val="20"/>
          <w:szCs w:val="20"/>
          <w:color w:val="auto"/>
        </w:rPr>
        <w:t>All notices and other communications required or permitted hereunder shall be in writing and shall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 mailed by registered or certified mail, postage prepaid, sent by facsimile or electronic mail (if to the Holder) or otherwise delivered by hand, messenger or courier service addressed:</w:t>
      </w:r>
    </w:p>
    <w:p>
      <w:pPr>
        <w:spacing w:after="0" w:line="185" w:lineRule="exact"/>
        <w:rPr>
          <w:rFonts w:ascii="Arial" w:cs="Arial" w:eastAsia="Arial" w:hAnsi="Arial"/>
          <w:sz w:val="20"/>
          <w:szCs w:val="20"/>
          <w:color w:val="auto"/>
        </w:rPr>
      </w:pPr>
    </w:p>
    <w:p>
      <w:pPr>
        <w:jc w:val="both"/>
        <w:ind w:firstLine="2504"/>
        <w:spacing w:after="0" w:line="263" w:lineRule="auto"/>
        <w:tabs>
          <w:tab w:leader="none" w:pos="3330" w:val="left"/>
        </w:tabs>
        <w:numPr>
          <w:ilvl w:val="2"/>
          <w:numId w:val="193"/>
        </w:numPr>
        <w:rPr>
          <w:rFonts w:ascii="Arial" w:cs="Arial" w:eastAsia="Arial" w:hAnsi="Arial"/>
          <w:sz w:val="19"/>
          <w:szCs w:val="19"/>
          <w:color w:val="auto"/>
        </w:rPr>
      </w:pPr>
      <w:r>
        <w:rPr>
          <w:rFonts w:ascii="Arial" w:cs="Arial" w:eastAsia="Arial" w:hAnsi="Arial"/>
          <w:sz w:val="19"/>
          <w:szCs w:val="19"/>
          <w:color w:val="auto"/>
        </w:rPr>
        <w:t>if to the Holder, to the Holder at the Holder’s address, facsimile number or electronic mail address as shown in the Company’s records, as may be updated in accordance with the provisions hereof, or until any such Holder so furnishes an address, facsimile number or electronic mail address to the Company, then to and at the address, facsimile number or electronic mail address of the last holder of this Warrant for which the Company has contact information in its records; or</w:t>
      </w:r>
    </w:p>
    <w:p>
      <w:pPr>
        <w:spacing w:after="0" w:line="176" w:lineRule="exact"/>
        <w:rPr>
          <w:rFonts w:ascii="Arial" w:cs="Arial" w:eastAsia="Arial" w:hAnsi="Arial"/>
          <w:sz w:val="19"/>
          <w:szCs w:val="19"/>
          <w:color w:val="auto"/>
        </w:rPr>
      </w:pPr>
    </w:p>
    <w:p>
      <w:pPr>
        <w:jc w:val="both"/>
        <w:ind w:firstLine="2504"/>
        <w:spacing w:after="0" w:line="246" w:lineRule="auto"/>
        <w:tabs>
          <w:tab w:leader="none" w:pos="3385" w:val="left"/>
        </w:tabs>
        <w:numPr>
          <w:ilvl w:val="2"/>
          <w:numId w:val="193"/>
        </w:numPr>
        <w:rPr>
          <w:rFonts w:ascii="Arial" w:cs="Arial" w:eastAsia="Arial" w:hAnsi="Arial"/>
          <w:sz w:val="20"/>
          <w:szCs w:val="20"/>
          <w:color w:val="auto"/>
        </w:rPr>
      </w:pPr>
      <w:r>
        <w:rPr>
          <w:rFonts w:ascii="Arial" w:cs="Arial" w:eastAsia="Arial" w:hAnsi="Arial"/>
          <w:sz w:val="20"/>
          <w:szCs w:val="20"/>
          <w:color w:val="auto"/>
        </w:rPr>
        <w:t>if to the Company, to the attention of the President or Chief Financial Officer of the Company at the Company’s address as shown on the signature page hereto, or at such other current address as the Company shall have furnished to the Holder, with a copy (which shall not constitute notice) to Michael Nordtvedt, Wilson Sonsini Goodrich &amp; Rosati, P.C., 701 Fifth Avenue, Suite 5100, Seattle, Washington 98104.</w:t>
      </w:r>
    </w:p>
    <w:p>
      <w:pPr>
        <w:spacing w:after="0" w:line="191" w:lineRule="exact"/>
        <w:rPr>
          <w:sz w:val="20"/>
          <w:szCs w:val="20"/>
          <w:color w:val="auto"/>
        </w:rPr>
      </w:pPr>
    </w:p>
    <w:p>
      <w:pPr>
        <w:jc w:val="both"/>
        <w:ind w:firstLine="1663"/>
        <w:spacing w:after="0" w:line="242" w:lineRule="auto"/>
        <w:rPr>
          <w:sz w:val="20"/>
          <w:szCs w:val="20"/>
          <w:color w:val="auto"/>
        </w:rPr>
      </w:pPr>
      <w:r>
        <w:rPr>
          <w:rFonts w:ascii="Arial" w:cs="Arial" w:eastAsia="Arial" w:hAnsi="Arial"/>
          <w:sz w:val="20"/>
          <w:szCs w:val="20"/>
          <w:color w:val="auto"/>
        </w:rPr>
        <w:t>Each such notice or other communication shall for all purposes of this Warrant be treated as effective or having been given (i) if delivered by hand, messenger or courier service, when delivered (or if sent via a nationally-recognized overnight courier service, freight prepaid, specifying next-business-day delivery, one business day after deposit with the courier), or (ii) if sent via mail, at the earlier of its receipt or five days after the same has been deposited in a regularly-maintained receptacle for the deposit of the United States mail, addressed and mailed as aforesaid, or (iii) if sent via facsimile, upon confirmation of facsimile transfer or, if sent via electronic mail, upon confirmation of delivery when directed to the relevant electronic mail address, if sent during normal business hours of the recipient, or if not sent during normal business hours of the recipient, then on the recipient’s next business day. In the event of any conflict between the Company’s books and records and this Warrant or any notice delivered hereunder, the Company’s books and records will control absent fraud or error.</w:t>
      </w:r>
    </w:p>
    <w:p>
      <w:pPr>
        <w:spacing w:after="0" w:line="194" w:lineRule="exact"/>
        <w:rPr>
          <w:sz w:val="20"/>
          <w:szCs w:val="20"/>
          <w:color w:val="auto"/>
        </w:rPr>
      </w:pPr>
    </w:p>
    <w:p>
      <w:pPr>
        <w:jc w:val="both"/>
        <w:ind w:firstLine="1671"/>
        <w:spacing w:after="0" w:line="250" w:lineRule="auto"/>
        <w:tabs>
          <w:tab w:leader="none" w:pos="2542" w:val="left"/>
        </w:tabs>
        <w:numPr>
          <w:ilvl w:val="0"/>
          <w:numId w:val="19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Governing Law. </w:t>
      </w:r>
      <w:r>
        <w:rPr>
          <w:rFonts w:ascii="Arial" w:cs="Arial" w:eastAsia="Arial" w:hAnsi="Arial"/>
          <w:sz w:val="20"/>
          <w:szCs w:val="20"/>
          <w:color w:val="auto"/>
        </w:rPr>
        <w:t>This Warrant and all actions arising out of or in connection with this Warrant shall be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governed by and construed in accordance with the laws of the State of Delaware, without regard to the conflicts of law provisions of the State of Delaware, or of any other state.</w:t>
      </w:r>
    </w:p>
    <w:p>
      <w:pPr>
        <w:spacing w:after="0" w:line="185" w:lineRule="exact"/>
        <w:rPr>
          <w:rFonts w:ascii="Arial" w:cs="Arial" w:eastAsia="Arial" w:hAnsi="Arial"/>
          <w:sz w:val="20"/>
          <w:szCs w:val="20"/>
          <w:color w:val="auto"/>
        </w:rPr>
      </w:pPr>
    </w:p>
    <w:p>
      <w:pPr>
        <w:jc w:val="both"/>
        <w:ind w:firstLine="1671"/>
        <w:spacing w:after="0" w:line="246" w:lineRule="auto"/>
        <w:tabs>
          <w:tab w:leader="none" w:pos="2531" w:val="left"/>
        </w:tabs>
        <w:numPr>
          <w:ilvl w:val="0"/>
          <w:numId w:val="19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Jurisdiction and Venue. </w:t>
      </w:r>
      <w:r>
        <w:rPr>
          <w:rFonts w:ascii="Arial" w:cs="Arial" w:eastAsia="Arial" w:hAnsi="Arial"/>
          <w:sz w:val="20"/>
          <w:szCs w:val="20"/>
          <w:color w:val="auto"/>
        </w:rPr>
        <w:t>Each of the Holder and the Company irrevocably consents to the exclusive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jurisdiction and venue of any court within the United States District Court for the District of Delaware, in connection with any matter based upon or arising out of this Warrant or the matters contemplated herein, and agrees that process may be served upon them in any manner authorized by the laws of the State of Delaware for such persons.</w:t>
      </w:r>
    </w:p>
    <w:p>
      <w:pPr>
        <w:spacing w:after="0" w:line="191" w:lineRule="exact"/>
        <w:rPr>
          <w:rFonts w:ascii="Arial" w:cs="Arial" w:eastAsia="Arial" w:hAnsi="Arial"/>
          <w:sz w:val="20"/>
          <w:szCs w:val="20"/>
          <w:color w:val="auto"/>
        </w:rPr>
      </w:pPr>
    </w:p>
    <w:p>
      <w:pPr>
        <w:jc w:val="both"/>
        <w:ind w:firstLine="1671"/>
        <w:spacing w:after="0" w:line="250" w:lineRule="auto"/>
        <w:tabs>
          <w:tab w:leader="none" w:pos="2509" w:val="left"/>
        </w:tabs>
        <w:numPr>
          <w:ilvl w:val="0"/>
          <w:numId w:val="19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Titles and Subtitles. </w:t>
      </w:r>
      <w:r>
        <w:rPr>
          <w:rFonts w:ascii="Arial" w:cs="Arial" w:eastAsia="Arial" w:hAnsi="Arial"/>
          <w:sz w:val="20"/>
          <w:szCs w:val="20"/>
          <w:color w:val="auto"/>
        </w:rPr>
        <w:t>The titles and subtitles used in this Warrant are used for convenience only and are not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 considered in construing or interpreting this Warrant. All references in this Warrant to sections, paragraphs and exhibits shall, unless otherwise provided, refer to sections and paragraphs hereof and exhibits attached hereto.</w:t>
      </w:r>
    </w:p>
    <w:p>
      <w:pPr>
        <w:spacing w:after="0" w:line="199" w:lineRule="exact"/>
        <w:rPr>
          <w:rFonts w:ascii="Arial" w:cs="Arial" w:eastAsia="Arial" w:hAnsi="Arial"/>
          <w:sz w:val="20"/>
          <w:szCs w:val="20"/>
          <w:color w:val="auto"/>
        </w:rPr>
      </w:pPr>
    </w:p>
    <w:p>
      <w:pPr>
        <w:ind w:left="5520" w:hanging="107"/>
        <w:spacing w:after="0"/>
        <w:tabs>
          <w:tab w:leader="none" w:pos="5520" w:val="left"/>
        </w:tabs>
        <w:numPr>
          <w:ilvl w:val="1"/>
          <w:numId w:val="194"/>
        </w:numPr>
        <w:rPr>
          <w:rFonts w:ascii="Arial" w:cs="Arial" w:eastAsia="Arial" w:hAnsi="Arial"/>
          <w:sz w:val="20"/>
          <w:szCs w:val="20"/>
          <w:color w:val="auto"/>
        </w:rPr>
      </w:pPr>
      <w:r>
        <w:rPr>
          <w:rFonts w:ascii="Arial" w:cs="Arial" w:eastAsia="Arial" w:hAnsi="Arial"/>
          <w:sz w:val="20"/>
          <w:szCs w:val="20"/>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0" w:name="page271"/>
    <w:bookmarkEnd w:id="270"/>
    <w:p>
      <w:pPr>
        <w:jc w:val="both"/>
        <w:ind w:left="-20" w:firstLine="1671"/>
        <w:spacing w:after="0" w:line="244" w:lineRule="auto"/>
        <w:tabs>
          <w:tab w:leader="none" w:pos="2522" w:val="left"/>
        </w:tabs>
        <w:numPr>
          <w:ilvl w:val="0"/>
          <w:numId w:val="19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Severability. </w:t>
      </w:r>
      <w:r>
        <w:rPr>
          <w:rFonts w:ascii="Arial" w:cs="Arial" w:eastAsia="Arial" w:hAnsi="Arial"/>
          <w:sz w:val="20"/>
          <w:szCs w:val="20"/>
          <w:color w:val="auto"/>
        </w:rPr>
        <w:t>If any provision of this Warrant becomes or is declared by a court of competent jurisdiction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 illegal, unenforceable or void, portions of such provision, or such provision in its entirety, to the extent necessary, shall be severed from this Warrant, and such illegal, unenforceable or void provision shall be replaced with a valid and enforceable provision that will achieve, to the extent possible, the same economic, business and other purposes of the illegal, unenforceable or void provision. The balance of this Warrant shall be enforceable in accordance with its terms.</w:t>
      </w:r>
    </w:p>
    <w:p>
      <w:pPr>
        <w:spacing w:after="0" w:line="188" w:lineRule="exact"/>
        <w:rPr>
          <w:rFonts w:ascii="Arial" w:cs="Arial" w:eastAsia="Arial" w:hAnsi="Arial"/>
          <w:sz w:val="20"/>
          <w:szCs w:val="20"/>
          <w:color w:val="auto"/>
        </w:rPr>
      </w:pPr>
    </w:p>
    <w:p>
      <w:pPr>
        <w:jc w:val="both"/>
        <w:ind w:left="-20" w:firstLine="1671"/>
        <w:spacing w:after="0" w:line="253" w:lineRule="auto"/>
        <w:tabs>
          <w:tab w:leader="none" w:pos="2522" w:val="left"/>
        </w:tabs>
        <w:numPr>
          <w:ilvl w:val="0"/>
          <w:numId w:val="19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Waiver of Jury Trial. </w:t>
      </w:r>
      <w:r>
        <w:rPr>
          <w:rFonts w:ascii="Arial" w:cs="Arial" w:eastAsia="Arial" w:hAnsi="Arial"/>
          <w:sz w:val="20"/>
          <w:szCs w:val="20"/>
          <w:b w:val="1"/>
          <w:bCs w:val="1"/>
          <w:color w:val="auto"/>
        </w:rPr>
        <w:t>EACH OF THE HOLDER AND THE COMPANY WAIVES, TO THE FULLEST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EXTENT PERMITTED BY LAW, ANY AND ALL RIGHT TO TRIAL BY JURY IN ANY LEGAL PROCEEDING (WHETHER BASED ON CONTRACT, TORT OR OTHERWISE) ARISING OUT OF OR RELATED TO THIS WARRANT.</w:t>
      </w:r>
    </w:p>
    <w:p>
      <w:pPr>
        <w:spacing w:after="0" w:line="183" w:lineRule="exact"/>
        <w:rPr>
          <w:rFonts w:ascii="Arial" w:cs="Arial" w:eastAsia="Arial" w:hAnsi="Arial"/>
          <w:sz w:val="20"/>
          <w:szCs w:val="20"/>
          <w:color w:val="auto"/>
        </w:rPr>
      </w:pPr>
    </w:p>
    <w:p>
      <w:pPr>
        <w:jc w:val="both"/>
        <w:ind w:left="-20" w:firstLine="1671"/>
        <w:spacing w:after="0" w:line="250" w:lineRule="auto"/>
        <w:tabs>
          <w:tab w:leader="none" w:pos="2534" w:val="left"/>
        </w:tabs>
        <w:numPr>
          <w:ilvl w:val="0"/>
          <w:numId w:val="19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Saturdays, Sundays and Holidays. </w:t>
      </w:r>
      <w:r>
        <w:rPr>
          <w:rFonts w:ascii="Arial" w:cs="Arial" w:eastAsia="Arial" w:hAnsi="Arial"/>
          <w:sz w:val="20"/>
          <w:szCs w:val="20"/>
          <w:color w:val="auto"/>
        </w:rPr>
        <w:t>If the last or appointed day for the taking of any action or the expiration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any right required or granted herein shall be a Saturday, Sunday or U.S. federal holiday, then such action may be taken or such right may be exercised on the next succeeding day that is not a Saturday, Sunday or U.S. federal holiday.</w:t>
      </w:r>
    </w:p>
    <w:p>
      <w:pPr>
        <w:spacing w:after="0" w:line="185" w:lineRule="exact"/>
        <w:rPr>
          <w:rFonts w:ascii="Arial" w:cs="Arial" w:eastAsia="Arial" w:hAnsi="Arial"/>
          <w:sz w:val="20"/>
          <w:szCs w:val="20"/>
          <w:color w:val="auto"/>
        </w:rPr>
      </w:pPr>
    </w:p>
    <w:p>
      <w:pPr>
        <w:ind w:left="-20" w:right="20" w:firstLine="1671"/>
        <w:spacing w:after="0" w:line="260" w:lineRule="auto"/>
        <w:tabs>
          <w:tab w:leader="none" w:pos="2478" w:val="left"/>
        </w:tabs>
        <w:numPr>
          <w:ilvl w:val="0"/>
          <w:numId w:val="19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Rights and Obligations Survive Exercise of the Warrant. </w:t>
      </w:r>
      <w:r>
        <w:rPr>
          <w:rFonts w:ascii="Arial" w:cs="Arial" w:eastAsia="Arial" w:hAnsi="Arial"/>
          <w:sz w:val="20"/>
          <w:szCs w:val="20"/>
          <w:color w:val="auto"/>
        </w:rPr>
        <w:t>Except as otherwise provided herein, the rights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obligations of the Company and the Holder under this Warrant shall survive exercise of this Warrant.</w:t>
      </w:r>
    </w:p>
    <w:p>
      <w:pPr>
        <w:spacing w:after="0" w:line="176" w:lineRule="exact"/>
        <w:rPr>
          <w:rFonts w:ascii="Arial" w:cs="Arial" w:eastAsia="Arial" w:hAnsi="Arial"/>
          <w:sz w:val="20"/>
          <w:szCs w:val="20"/>
          <w:color w:val="auto"/>
        </w:rPr>
      </w:pPr>
    </w:p>
    <w:p>
      <w:pPr>
        <w:jc w:val="both"/>
        <w:ind w:left="-20" w:firstLine="1671"/>
        <w:spacing w:after="0" w:line="250" w:lineRule="auto"/>
        <w:tabs>
          <w:tab w:leader="none" w:pos="2522" w:val="left"/>
        </w:tabs>
        <w:numPr>
          <w:ilvl w:val="0"/>
          <w:numId w:val="19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Entire Agreement. </w:t>
      </w:r>
      <w:r>
        <w:rPr>
          <w:rFonts w:ascii="Arial" w:cs="Arial" w:eastAsia="Arial" w:hAnsi="Arial"/>
          <w:sz w:val="20"/>
          <w:szCs w:val="20"/>
          <w:color w:val="auto"/>
        </w:rPr>
        <w:t>Except as expressly set forth herein, this Warrant (including the exhibits attached hereto)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constitutes the entire agreement and understanding of the Company and the Holder with respect to the subject matter hereof and supersede all prior agreements and understandings relating to the subject matter hereof.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49465"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555" w:right="339" w:bottom="1440" w:gutter="0" w:footer="0" w:header="0"/>
        </w:sectPr>
      </w:pPr>
    </w:p>
    <w:bookmarkStart w:id="271" w:name="page272"/>
    <w:bookmarkEnd w:id="271"/>
    <w:p>
      <w:pPr>
        <w:ind w:left="840"/>
        <w:spacing w:after="0"/>
        <w:rPr>
          <w:sz w:val="20"/>
          <w:szCs w:val="20"/>
          <w:color w:val="auto"/>
        </w:rPr>
      </w:pPr>
      <w:r>
        <w:rPr>
          <w:rFonts w:ascii="Arial" w:cs="Arial" w:eastAsia="Arial" w:hAnsi="Arial"/>
          <w:sz w:val="20"/>
          <w:szCs w:val="20"/>
          <w:color w:val="auto"/>
        </w:rPr>
        <w:t>The Company and the Holder sign this Warrant as of the date stated on the first page.</w:t>
      </w:r>
    </w:p>
    <w:p>
      <w:pPr>
        <w:spacing w:after="0" w:line="223"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ATHIRA PHARMA, INC.</w:t>
      </w:r>
    </w:p>
    <w:p>
      <w:pPr>
        <w:spacing w:after="0" w:line="235" w:lineRule="exact"/>
        <w:rPr>
          <w:sz w:val="20"/>
          <w:szCs w:val="20"/>
          <w:color w:val="auto"/>
        </w:rPr>
      </w:pPr>
    </w:p>
    <w:tbl>
      <w:tblPr>
        <w:tblLayout w:type="fixed"/>
        <w:tblInd w:w="5620" w:type="dxa"/>
        <w:tblCellMar>
          <w:top w:w="0" w:type="dxa"/>
          <w:left w:w="0" w:type="dxa"/>
          <w:bottom w:w="0" w:type="dxa"/>
          <w:right w:w="0" w:type="dxa"/>
        </w:tblCellMar>
      </w:tblPr>
      <w:tr>
        <w:trPr>
          <w:trHeight w:val="255"/>
        </w:trPr>
        <w:tc>
          <w:tcPr>
            <w:tcW w:w="920" w:type="dxa"/>
            <w:vAlign w:val="bottom"/>
          </w:tcPr>
          <w:p>
            <w:pPr>
              <w:spacing w:after="0"/>
              <w:rPr>
                <w:sz w:val="20"/>
                <w:szCs w:val="20"/>
                <w:color w:val="auto"/>
              </w:rPr>
            </w:pPr>
            <w:r>
              <w:rPr>
                <w:rFonts w:ascii="Arial" w:cs="Arial" w:eastAsia="Arial" w:hAnsi="Arial"/>
                <w:sz w:val="20"/>
                <w:szCs w:val="20"/>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Leen Kawas</w:t>
            </w:r>
          </w:p>
        </w:tc>
      </w:tr>
      <w:tr>
        <w:trPr>
          <w:trHeight w:val="466"/>
        </w:trPr>
        <w:tc>
          <w:tcPr>
            <w:tcW w:w="920" w:type="dxa"/>
            <w:vAlign w:val="bottom"/>
          </w:tcPr>
          <w:p>
            <w:pPr>
              <w:spacing w:after="0"/>
              <w:rPr>
                <w:sz w:val="20"/>
                <w:szCs w:val="20"/>
                <w:color w:val="auto"/>
              </w:rPr>
            </w:pPr>
            <w:r>
              <w:rPr>
                <w:rFonts w:ascii="Arial" w:cs="Arial" w:eastAsia="Arial" w:hAnsi="Arial"/>
                <w:sz w:val="20"/>
                <w:szCs w:val="20"/>
                <w:color w:val="auto"/>
              </w:rPr>
              <w:t>Name:</w:t>
            </w:r>
          </w:p>
        </w:tc>
        <w:tc>
          <w:tcPr>
            <w:tcW w:w="47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Leen Kawas</w:t>
            </w:r>
          </w:p>
        </w:tc>
      </w:tr>
      <w:tr>
        <w:trPr>
          <w:trHeight w:val="464"/>
        </w:trPr>
        <w:tc>
          <w:tcPr>
            <w:tcW w:w="920" w:type="dxa"/>
            <w:vAlign w:val="bottom"/>
          </w:tcPr>
          <w:p>
            <w:pPr>
              <w:spacing w:after="0"/>
              <w:rPr>
                <w:sz w:val="20"/>
                <w:szCs w:val="20"/>
                <w:color w:val="auto"/>
              </w:rPr>
            </w:pPr>
            <w:r>
              <w:rPr>
                <w:rFonts w:ascii="Arial" w:cs="Arial" w:eastAsia="Arial" w:hAnsi="Arial"/>
                <w:sz w:val="20"/>
                <w:szCs w:val="20"/>
                <w:color w:val="auto"/>
              </w:rPr>
              <w:t>Title:</w:t>
            </w:r>
          </w:p>
        </w:tc>
        <w:tc>
          <w:tcPr>
            <w:tcW w:w="47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CEO &amp; President</w:t>
            </w:r>
          </w:p>
        </w:tc>
      </w:tr>
      <w:tr>
        <w:trPr>
          <w:trHeight w:val="463"/>
        </w:trPr>
        <w:tc>
          <w:tcPr>
            <w:tcW w:w="920" w:type="dxa"/>
            <w:vAlign w:val="bottom"/>
          </w:tcPr>
          <w:p>
            <w:pPr>
              <w:spacing w:after="0"/>
              <w:rPr>
                <w:sz w:val="20"/>
                <w:szCs w:val="20"/>
                <w:color w:val="auto"/>
              </w:rPr>
            </w:pPr>
            <w:r>
              <w:rPr>
                <w:rFonts w:ascii="Arial" w:cs="Arial" w:eastAsia="Arial" w:hAnsi="Arial"/>
                <w:sz w:val="20"/>
                <w:szCs w:val="20"/>
                <w:color w:val="auto"/>
              </w:rPr>
              <w:t>Address:</w:t>
            </w:r>
          </w:p>
        </w:tc>
        <w:tc>
          <w:tcPr>
            <w:tcW w:w="4700" w:type="dxa"/>
            <w:vAlign w:val="bottom"/>
          </w:tcPr>
          <w:p>
            <w:pPr>
              <w:spacing w:after="0"/>
              <w:rPr>
                <w:sz w:val="24"/>
                <w:szCs w:val="24"/>
                <w:color w:val="auto"/>
              </w:rPr>
            </w:pPr>
          </w:p>
        </w:tc>
      </w:tr>
    </w:tbl>
    <w:p>
      <w:pPr>
        <w:spacing w:after="0" w:line="209"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CoMotion Labs @ Fluke Hall</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4000 Mason Rd</w:t>
      </w:r>
    </w:p>
    <w:p>
      <w:pPr>
        <w:ind w:left="5620"/>
        <w:spacing w:after="0"/>
        <w:rPr>
          <w:sz w:val="20"/>
          <w:szCs w:val="20"/>
          <w:color w:val="auto"/>
        </w:rPr>
      </w:pPr>
      <w:r>
        <w:rPr>
          <w:rFonts w:ascii="Arial" w:cs="Arial" w:eastAsia="Arial" w:hAnsi="Arial"/>
          <w:sz w:val="20"/>
          <w:szCs w:val="20"/>
          <w:color w:val="auto"/>
        </w:rPr>
        <w:t>Suite 300, Box 352141</w:t>
      </w:r>
    </w:p>
    <w:p>
      <w:pPr>
        <w:ind w:left="5620"/>
        <w:spacing w:after="0"/>
        <w:rPr>
          <w:sz w:val="20"/>
          <w:szCs w:val="20"/>
          <w:color w:val="auto"/>
        </w:rPr>
      </w:pPr>
      <w:r>
        <w:rPr>
          <w:rFonts w:ascii="Arial" w:cs="Arial" w:eastAsia="Arial" w:hAnsi="Arial"/>
          <w:sz w:val="20"/>
          <w:szCs w:val="20"/>
          <w:color w:val="auto"/>
        </w:rPr>
        <w:t>Seattle, WA 98195-2141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AGREED AND ACKNOWLEDGED,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JMP SECURITIES LLC</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080" w:type="dxa"/>
            <w:vAlign w:val="bottom"/>
          </w:tcPr>
          <w:p>
            <w:pPr>
              <w:spacing w:after="0"/>
              <w:rPr>
                <w:sz w:val="20"/>
                <w:szCs w:val="20"/>
                <w:color w:val="auto"/>
              </w:rPr>
            </w:pPr>
            <w:r>
              <w:rPr>
                <w:rFonts w:ascii="Arial" w:cs="Arial" w:eastAsia="Arial" w:hAnsi="Arial"/>
                <w:sz w:val="20"/>
                <w:szCs w:val="20"/>
                <w:color w:val="auto"/>
              </w:rPr>
              <w:t>By:</w:t>
            </w:r>
          </w:p>
        </w:tc>
        <w:tc>
          <w:tcPr>
            <w:tcW w:w="59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Carter D. Mack</w:t>
            </w:r>
          </w:p>
        </w:tc>
        <w:tc>
          <w:tcPr>
            <w:tcW w:w="4200" w:type="dxa"/>
            <w:vAlign w:val="bottom"/>
          </w:tcPr>
          <w:p>
            <w:pPr>
              <w:spacing w:after="0"/>
              <w:rPr>
                <w:sz w:val="22"/>
                <w:szCs w:val="22"/>
                <w:color w:val="auto"/>
              </w:rPr>
            </w:pPr>
          </w:p>
        </w:tc>
      </w:tr>
      <w:tr>
        <w:trPr>
          <w:trHeight w:val="457"/>
        </w:trPr>
        <w:tc>
          <w:tcPr>
            <w:tcW w:w="1080" w:type="dxa"/>
            <w:vAlign w:val="bottom"/>
          </w:tcPr>
          <w:p>
            <w:pPr>
              <w:spacing w:after="0"/>
              <w:rPr>
                <w:sz w:val="20"/>
                <w:szCs w:val="20"/>
                <w:color w:val="auto"/>
              </w:rPr>
            </w:pPr>
            <w:r>
              <w:rPr>
                <w:rFonts w:ascii="Arial" w:cs="Arial" w:eastAsia="Arial" w:hAnsi="Arial"/>
                <w:sz w:val="20"/>
                <w:szCs w:val="20"/>
                <w:color w:val="auto"/>
              </w:rPr>
              <w:t>Name:</w:t>
            </w:r>
          </w:p>
        </w:tc>
        <w:tc>
          <w:tcPr>
            <w:tcW w:w="59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Carter D. Mack</w:t>
            </w:r>
          </w:p>
        </w:tc>
        <w:tc>
          <w:tcPr>
            <w:tcW w:w="4200" w:type="dxa"/>
            <w:vAlign w:val="bottom"/>
          </w:tcPr>
          <w:p>
            <w:pPr>
              <w:spacing w:after="0"/>
              <w:rPr>
                <w:sz w:val="24"/>
                <w:szCs w:val="24"/>
                <w:color w:val="auto"/>
              </w:rPr>
            </w:pPr>
          </w:p>
        </w:tc>
      </w:tr>
      <w:tr>
        <w:trPr>
          <w:trHeight w:val="453"/>
        </w:trPr>
        <w:tc>
          <w:tcPr>
            <w:tcW w:w="1080" w:type="dxa"/>
            <w:vAlign w:val="bottom"/>
          </w:tcPr>
          <w:p>
            <w:pPr>
              <w:spacing w:after="0"/>
              <w:rPr>
                <w:sz w:val="20"/>
                <w:szCs w:val="20"/>
                <w:color w:val="auto"/>
              </w:rPr>
            </w:pPr>
            <w:r>
              <w:rPr>
                <w:rFonts w:ascii="Arial" w:cs="Arial" w:eastAsia="Arial" w:hAnsi="Arial"/>
                <w:sz w:val="20"/>
                <w:szCs w:val="20"/>
                <w:color w:val="auto"/>
              </w:rPr>
              <w:t>Title:</w:t>
            </w:r>
          </w:p>
        </w:tc>
        <w:tc>
          <w:tcPr>
            <w:tcW w:w="59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Chairman of Investment Banking Management Committee</w:t>
            </w:r>
          </w:p>
        </w:tc>
        <w:tc>
          <w:tcPr>
            <w:tcW w:w="4200" w:type="dxa"/>
            <w:vAlign w:val="bottom"/>
          </w:tcPr>
          <w:p>
            <w:pPr>
              <w:spacing w:after="0"/>
              <w:rPr>
                <w:sz w:val="24"/>
                <w:szCs w:val="24"/>
                <w:color w:val="auto"/>
              </w:rPr>
            </w:pPr>
          </w:p>
        </w:tc>
      </w:tr>
      <w:tr>
        <w:trPr>
          <w:trHeight w:val="436"/>
        </w:trPr>
        <w:tc>
          <w:tcPr>
            <w:tcW w:w="1080" w:type="dxa"/>
            <w:vAlign w:val="bottom"/>
          </w:tcPr>
          <w:p>
            <w:pPr>
              <w:spacing w:after="0"/>
              <w:rPr>
                <w:sz w:val="20"/>
                <w:szCs w:val="20"/>
                <w:color w:val="auto"/>
              </w:rPr>
            </w:pPr>
            <w:r>
              <w:rPr>
                <w:rFonts w:ascii="Arial" w:cs="Arial" w:eastAsia="Arial" w:hAnsi="Arial"/>
                <w:sz w:val="20"/>
                <w:szCs w:val="20"/>
                <w:color w:val="auto"/>
              </w:rPr>
              <w:t>Address:</w:t>
            </w:r>
          </w:p>
        </w:tc>
        <w:tc>
          <w:tcPr>
            <w:tcW w:w="10180" w:type="dxa"/>
            <w:vAlign w:val="bottom"/>
            <w:gridSpan w:val="2"/>
          </w:tcPr>
          <w:p>
            <w:pPr>
              <w:spacing w:after="0"/>
              <w:rPr>
                <w:sz w:val="20"/>
                <w:szCs w:val="20"/>
                <w:color w:val="auto"/>
              </w:rPr>
            </w:pPr>
            <w:r>
              <w:rPr>
                <w:rFonts w:ascii="Arial" w:cs="Arial" w:eastAsia="Arial" w:hAnsi="Arial"/>
                <w:sz w:val="20"/>
                <w:szCs w:val="20"/>
                <w:color w:val="auto"/>
              </w:rPr>
              <w:t>600 Montgomery St., Suite 1100</w:t>
            </w:r>
          </w:p>
        </w:tc>
      </w:tr>
      <w:tr>
        <w:trPr>
          <w:trHeight w:val="250"/>
        </w:trPr>
        <w:tc>
          <w:tcPr>
            <w:tcW w:w="1080" w:type="dxa"/>
            <w:vAlign w:val="bottom"/>
          </w:tcPr>
          <w:p>
            <w:pPr>
              <w:spacing w:after="0"/>
              <w:rPr>
                <w:sz w:val="21"/>
                <w:szCs w:val="21"/>
                <w:color w:val="auto"/>
              </w:rPr>
            </w:pPr>
          </w:p>
        </w:tc>
        <w:tc>
          <w:tcPr>
            <w:tcW w:w="10180" w:type="dxa"/>
            <w:vAlign w:val="bottom"/>
            <w:gridSpan w:val="2"/>
          </w:tcPr>
          <w:p>
            <w:pPr>
              <w:spacing w:after="0"/>
              <w:rPr>
                <w:sz w:val="20"/>
                <w:szCs w:val="20"/>
                <w:color w:val="auto"/>
              </w:rPr>
            </w:pPr>
            <w:r>
              <w:rPr>
                <w:rFonts w:ascii="Arial" w:cs="Arial" w:eastAsia="Arial" w:hAnsi="Arial"/>
                <w:sz w:val="20"/>
                <w:szCs w:val="20"/>
                <w:color w:val="auto"/>
              </w:rPr>
              <w:t>San Francisco, CA 94111</w:t>
            </w:r>
          </w:p>
        </w:tc>
      </w:tr>
      <w:tr>
        <w:trPr>
          <w:trHeight w:val="854"/>
        </w:trPr>
        <w:tc>
          <w:tcPr>
            <w:tcW w:w="1080" w:type="dxa"/>
            <w:vAlign w:val="bottom"/>
          </w:tcPr>
          <w:p>
            <w:pPr>
              <w:spacing w:after="0"/>
              <w:rPr>
                <w:sz w:val="24"/>
                <w:szCs w:val="24"/>
                <w:color w:val="auto"/>
              </w:rPr>
            </w:pPr>
          </w:p>
        </w:tc>
        <w:tc>
          <w:tcPr>
            <w:tcW w:w="10180" w:type="dxa"/>
            <w:vAlign w:val="bottom"/>
            <w:gridSpan w:val="2"/>
          </w:tcPr>
          <w:p>
            <w:pPr>
              <w:ind w:left="12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Signature Page to Warrant to Purchase Shares of Series B Preferred Stock of Athira Pharma, Inc.</w:t>
            </w:r>
            <w:r>
              <w:rPr>
                <w:rFonts w:ascii="Arial" w:cs="Arial" w:eastAsia="Arial" w:hAnsi="Arial"/>
                <w:sz w:val="16"/>
                <w:szCs w:val="16"/>
                <w:b w:val="1"/>
                <w:bCs w:val="1"/>
                <w:color w:val="auto"/>
              </w:rPr>
              <w:t>)</w:t>
            </w:r>
          </w:p>
        </w:tc>
      </w:tr>
      <w:tr>
        <w:trPr>
          <w:trHeight w:val="270"/>
        </w:trPr>
        <w:tc>
          <w:tcPr>
            <w:tcW w:w="1080" w:type="dxa"/>
            <w:vAlign w:val="bottom"/>
            <w:tcBorders>
              <w:bottom w:val="single" w:sz="8" w:color="9A9A9A"/>
            </w:tcBorders>
          </w:tcPr>
          <w:p>
            <w:pPr>
              <w:spacing w:after="0"/>
              <w:rPr>
                <w:sz w:val="23"/>
                <w:szCs w:val="23"/>
                <w:color w:val="auto"/>
              </w:rPr>
            </w:pPr>
          </w:p>
        </w:tc>
        <w:tc>
          <w:tcPr>
            <w:tcW w:w="5980" w:type="dxa"/>
            <w:vAlign w:val="bottom"/>
            <w:tcBorders>
              <w:bottom w:val="single" w:sz="8" w:color="9A9A9A"/>
            </w:tcBorders>
          </w:tcPr>
          <w:p>
            <w:pPr>
              <w:spacing w:after="0"/>
              <w:rPr>
                <w:sz w:val="23"/>
                <w:szCs w:val="23"/>
                <w:color w:val="auto"/>
              </w:rPr>
            </w:pPr>
          </w:p>
        </w:tc>
        <w:tc>
          <w:tcPr>
            <w:tcW w:w="420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68" w:right="319" w:bottom="1440" w:gutter="0" w:footer="0" w:header="0"/>
        </w:sectPr>
      </w:pPr>
    </w:p>
    <w:bookmarkStart w:id="272" w:name="page273"/>
    <w:bookmarkEnd w:id="272"/>
    <w:p>
      <w:pPr>
        <w:jc w:val="center"/>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NOTICE OF EXERCISE</w:t>
      </w:r>
    </w:p>
    <w:p>
      <w:pPr>
        <w:spacing w:after="0" w:line="216"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TO:</w:t>
      </w:r>
      <w:r>
        <w:rPr>
          <w:sz w:val="20"/>
          <w:szCs w:val="20"/>
          <w:color w:val="auto"/>
        </w:rPr>
        <w:tab/>
      </w:r>
      <w:r>
        <w:rPr>
          <w:rFonts w:ascii="Arial" w:cs="Arial" w:eastAsia="Arial" w:hAnsi="Arial"/>
          <w:sz w:val="20"/>
          <w:szCs w:val="20"/>
          <w:b w:val="1"/>
          <w:bCs w:val="1"/>
          <w:color w:val="auto"/>
        </w:rPr>
        <w:t>ATHIRA PHARMA, INC. (the “</w:t>
      </w:r>
      <w:r>
        <w:rPr>
          <w:rFonts w:ascii="Arial" w:cs="Arial" w:eastAsia="Arial" w:hAnsi="Arial"/>
          <w:sz w:val="20"/>
          <w:szCs w:val="20"/>
          <w:b w:val="1"/>
          <w:bCs w:val="1"/>
          <w:i w:val="1"/>
          <w:iCs w:val="1"/>
          <w:color w:val="auto"/>
        </w:rPr>
        <w:t>Company</w:t>
      </w:r>
      <w:r>
        <w:rPr>
          <w:rFonts w:ascii="Arial" w:cs="Arial" w:eastAsia="Arial" w:hAnsi="Arial"/>
          <w:sz w:val="20"/>
          <w:szCs w:val="20"/>
          <w:b w:val="1"/>
          <w:bCs w:val="1"/>
          <w:color w:val="auto"/>
        </w:rPr>
        <w:t>”)</w:t>
      </w:r>
    </w:p>
    <w:p>
      <w:pPr>
        <w:spacing w:after="0" w:line="216" w:lineRule="exact"/>
        <w:rPr>
          <w:sz w:val="20"/>
          <w:szCs w:val="20"/>
          <w:color w:val="auto"/>
        </w:rPr>
      </w:pPr>
    </w:p>
    <w:p>
      <w:pPr>
        <w:spacing w:after="0"/>
        <w:tabs>
          <w:tab w:leader="none" w:pos="1500" w:val="left"/>
        </w:tabs>
        <w:rPr>
          <w:sz w:val="20"/>
          <w:szCs w:val="20"/>
          <w:color w:val="auto"/>
        </w:rPr>
      </w:pPr>
      <w:r>
        <w:rPr>
          <w:rFonts w:ascii="Arial" w:cs="Arial" w:eastAsia="Arial" w:hAnsi="Arial"/>
          <w:sz w:val="20"/>
          <w:szCs w:val="20"/>
          <w:b w:val="1"/>
          <w:bCs w:val="1"/>
          <w:color w:val="auto"/>
        </w:rPr>
        <w:t>Attention:</w:t>
      </w:r>
      <w:r>
        <w:rPr>
          <w:sz w:val="20"/>
          <w:szCs w:val="20"/>
          <w:color w:val="auto"/>
        </w:rPr>
        <w:tab/>
      </w:r>
      <w:r>
        <w:rPr>
          <w:rFonts w:ascii="Arial" w:cs="Arial" w:eastAsia="Arial" w:hAnsi="Arial"/>
          <w:sz w:val="20"/>
          <w:szCs w:val="20"/>
          <w:b w:val="1"/>
          <w:bCs w:val="1"/>
          <w:color w:val="auto"/>
        </w:rPr>
        <w:t>President</w:t>
      </w:r>
    </w:p>
    <w:p>
      <w:pPr>
        <w:spacing w:after="0" w:line="216" w:lineRule="exact"/>
        <w:rPr>
          <w:sz w:val="20"/>
          <w:szCs w:val="20"/>
          <w:color w:val="auto"/>
        </w:rPr>
      </w:pPr>
    </w:p>
    <w:p>
      <w:pPr>
        <w:ind w:left="1260" w:right="2080" w:hanging="1252"/>
        <w:spacing w:after="0" w:line="475" w:lineRule="auto"/>
        <w:tabs>
          <w:tab w:leader="none" w:pos="828" w:val="left"/>
        </w:tabs>
        <w:numPr>
          <w:ilvl w:val="0"/>
          <w:numId w:val="196"/>
        </w:numPr>
        <w:rPr>
          <w:rFonts w:ascii="Arial" w:cs="Arial" w:eastAsia="Arial" w:hAnsi="Arial"/>
          <w:sz w:val="20"/>
          <w:szCs w:val="20"/>
          <w:color w:val="auto"/>
        </w:rPr>
      </w:pPr>
      <w:r>
        <w:rPr>
          <w:rFonts w:ascii="Arial" w:cs="Arial" w:eastAsia="Arial" w:hAnsi="Arial"/>
          <w:sz w:val="20"/>
          <w:szCs w:val="20"/>
          <w:b w:val="1"/>
          <w:bCs w:val="1"/>
          <w:color w:val="auto"/>
        </w:rPr>
        <w:t xml:space="preserve">Exercise. </w:t>
      </w:r>
      <w:r>
        <w:rPr>
          <w:rFonts w:ascii="Arial" w:cs="Arial" w:eastAsia="Arial" w:hAnsi="Arial"/>
          <w:sz w:val="20"/>
          <w:szCs w:val="20"/>
          <w:color w:val="auto"/>
        </w:rPr>
        <w:t>The undersigned elects to purchase the following pursuant to the terms of the attached warrant:</w:t>
      </w:r>
      <w:r>
        <w:rPr>
          <w:rFonts w:ascii="Arial" w:cs="Arial" w:eastAsia="Arial" w:hAnsi="Arial"/>
          <w:sz w:val="20"/>
          <w:szCs w:val="20"/>
          <w:b w:val="1"/>
          <w:bCs w:val="1"/>
          <w:color w:val="auto"/>
        </w:rPr>
        <w:t xml:space="preserve"> </w:t>
      </w:r>
      <w:r>
        <w:rPr>
          <w:rFonts w:ascii="Arial" w:cs="Arial" w:eastAsia="Arial" w:hAnsi="Arial"/>
          <w:sz w:val="20"/>
          <w:szCs w:val="20"/>
          <w:color w:val="auto"/>
        </w:rPr>
        <w:t>Number of shares:</w:t>
      </w:r>
    </w:p>
    <w:p>
      <w:pPr>
        <w:ind w:left="1260"/>
        <w:spacing w:after="0"/>
        <w:rPr>
          <w:rFonts w:ascii="Arial" w:cs="Arial" w:eastAsia="Arial" w:hAnsi="Arial"/>
          <w:sz w:val="20"/>
          <w:szCs w:val="20"/>
          <w:color w:val="auto"/>
        </w:rPr>
      </w:pPr>
      <w:r>
        <w:rPr>
          <w:rFonts w:ascii="Arial" w:cs="Arial" w:eastAsia="Arial" w:hAnsi="Arial"/>
          <w:sz w:val="20"/>
          <w:szCs w:val="20"/>
          <w:color w:val="auto"/>
        </w:rPr>
        <w:t>Type of security:</w:t>
      </w:r>
    </w:p>
    <w:p>
      <w:pPr>
        <w:spacing w:after="0" w:line="223" w:lineRule="exact"/>
        <w:rPr>
          <w:rFonts w:ascii="Arial" w:cs="Arial" w:eastAsia="Arial" w:hAnsi="Arial"/>
          <w:sz w:val="20"/>
          <w:szCs w:val="20"/>
          <w:color w:val="auto"/>
        </w:rPr>
      </w:pPr>
    </w:p>
    <w:p>
      <w:pPr>
        <w:ind w:left="820" w:hanging="812"/>
        <w:spacing w:after="0"/>
        <w:tabs>
          <w:tab w:leader="none" w:pos="820" w:val="left"/>
        </w:tabs>
        <w:numPr>
          <w:ilvl w:val="0"/>
          <w:numId w:val="196"/>
        </w:numPr>
        <w:rPr>
          <w:rFonts w:ascii="Arial" w:cs="Arial" w:eastAsia="Arial" w:hAnsi="Arial"/>
          <w:sz w:val="20"/>
          <w:szCs w:val="20"/>
          <w:color w:val="auto"/>
        </w:rPr>
      </w:pPr>
      <w:r>
        <w:rPr>
          <w:rFonts w:ascii="Arial" w:cs="Arial" w:eastAsia="Arial" w:hAnsi="Arial"/>
          <w:sz w:val="20"/>
          <w:szCs w:val="20"/>
          <w:b w:val="1"/>
          <w:bCs w:val="1"/>
          <w:color w:val="auto"/>
        </w:rPr>
        <w:t xml:space="preserve">Method of Exercise. </w:t>
      </w:r>
      <w:r>
        <w:rPr>
          <w:rFonts w:ascii="Arial" w:cs="Arial" w:eastAsia="Arial" w:hAnsi="Arial"/>
          <w:sz w:val="20"/>
          <w:szCs w:val="20"/>
          <w:color w:val="auto"/>
        </w:rPr>
        <w:t>The undersigned elects to exercise the attached warrant pursuant to:</w:t>
      </w:r>
    </w:p>
    <w:p>
      <w:pPr>
        <w:spacing w:after="0" w:line="221" w:lineRule="exact"/>
        <w:rPr>
          <w:rFonts w:ascii="Arial" w:cs="Arial" w:eastAsia="Arial" w:hAnsi="Arial"/>
          <w:sz w:val="20"/>
          <w:szCs w:val="20"/>
          <w:color w:val="auto"/>
        </w:rPr>
      </w:pPr>
    </w:p>
    <w:p>
      <w:pPr>
        <w:ind w:left="2060" w:hanging="810"/>
        <w:spacing w:after="0" w:line="260" w:lineRule="auto"/>
        <w:tabs>
          <w:tab w:leader="none" w:pos="2060" w:val="left"/>
        </w:tabs>
        <w:numPr>
          <w:ilvl w:val="1"/>
          <w:numId w:val="196"/>
        </w:numPr>
        <w:rPr>
          <w:rFonts w:ascii="MS PGothic" w:cs="MS PGothic" w:eastAsia="MS PGothic" w:hAnsi="MS PGothic"/>
          <w:sz w:val="20"/>
          <w:szCs w:val="20"/>
          <w:color w:val="auto"/>
        </w:rPr>
      </w:pPr>
      <w:r>
        <w:rPr>
          <w:rFonts w:ascii="Arial" w:cs="Arial" w:eastAsia="Arial" w:hAnsi="Arial"/>
          <w:sz w:val="20"/>
          <w:szCs w:val="20"/>
          <w:color w:val="auto"/>
        </w:rPr>
        <w:t>A cash payment or cancellation of indebtedness, and tenders herewith payment of the purchase price for such shares in full, together with all applicable transfer taxes, if any.</w:t>
      </w:r>
    </w:p>
    <w:p>
      <w:pPr>
        <w:spacing w:after="0" w:line="176" w:lineRule="exact"/>
        <w:rPr>
          <w:rFonts w:ascii="MS PGothic" w:cs="MS PGothic" w:eastAsia="MS PGothic" w:hAnsi="MS PGothic"/>
          <w:sz w:val="20"/>
          <w:szCs w:val="20"/>
          <w:color w:val="auto"/>
        </w:rPr>
      </w:pPr>
    </w:p>
    <w:p>
      <w:pPr>
        <w:ind w:left="2060" w:hanging="810"/>
        <w:spacing w:after="0"/>
        <w:tabs>
          <w:tab w:leader="none" w:pos="2060" w:val="left"/>
        </w:tabs>
        <w:numPr>
          <w:ilvl w:val="1"/>
          <w:numId w:val="196"/>
        </w:numPr>
        <w:rPr>
          <w:rFonts w:ascii="MS PGothic" w:cs="MS PGothic" w:eastAsia="MS PGothic" w:hAnsi="MS PGothic"/>
          <w:sz w:val="20"/>
          <w:szCs w:val="20"/>
          <w:color w:val="auto"/>
        </w:rPr>
      </w:pPr>
      <w:r>
        <w:rPr>
          <w:rFonts w:ascii="Arial" w:cs="Arial" w:eastAsia="Arial" w:hAnsi="Arial"/>
          <w:sz w:val="20"/>
          <w:szCs w:val="20"/>
          <w:color w:val="auto"/>
        </w:rPr>
        <w:t>The net issue exercise provisions of Section 2(b) of the attached warrant.</w:t>
      </w:r>
    </w:p>
    <w:p>
      <w:pPr>
        <w:spacing w:after="0" w:line="223" w:lineRule="exact"/>
        <w:rPr>
          <w:rFonts w:ascii="MS PGothic" w:cs="MS PGothic" w:eastAsia="MS PGothic" w:hAnsi="MS PGothic"/>
          <w:sz w:val="20"/>
          <w:szCs w:val="20"/>
          <w:color w:val="auto"/>
        </w:rPr>
      </w:pPr>
    </w:p>
    <w:p>
      <w:pPr>
        <w:ind w:left="820" w:hanging="812"/>
        <w:spacing w:after="0"/>
        <w:tabs>
          <w:tab w:leader="none" w:pos="820" w:val="left"/>
        </w:tabs>
        <w:numPr>
          <w:ilvl w:val="0"/>
          <w:numId w:val="196"/>
        </w:numPr>
        <w:rPr>
          <w:rFonts w:ascii="Arial" w:cs="Arial" w:eastAsia="Arial" w:hAnsi="Arial"/>
          <w:sz w:val="20"/>
          <w:szCs w:val="20"/>
          <w:color w:val="auto"/>
        </w:rPr>
      </w:pPr>
      <w:r>
        <w:rPr>
          <w:rFonts w:ascii="Arial" w:cs="Arial" w:eastAsia="Arial" w:hAnsi="Arial"/>
          <w:sz w:val="20"/>
          <w:szCs w:val="20"/>
          <w:b w:val="1"/>
          <w:bCs w:val="1"/>
          <w:color w:val="auto"/>
        </w:rPr>
        <w:t xml:space="preserve">Conditional Exercise. </w:t>
      </w:r>
      <w:r>
        <w:rPr>
          <w:rFonts w:ascii="Arial" w:cs="Arial" w:eastAsia="Arial" w:hAnsi="Arial"/>
          <w:sz w:val="20"/>
          <w:szCs w:val="20"/>
          <w:color w:val="auto"/>
        </w:rPr>
        <w:t>Is this a conditional exercise pursuant to Section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-1279525</wp:posOffset>
            </wp:positionV>
            <wp:extent cx="513461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134610" cy="825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-1570990</wp:posOffset>
            </wp:positionV>
            <wp:extent cx="513461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134610" cy="8255"/>
                    </a:xfrm>
                    <a:prstGeom prst="rect">
                      <a:avLst/>
                    </a:prstGeom>
                    <a:noFill/>
                  </pic:spPr>
                </pic:pic>
              </a:graphicData>
            </a:graphic>
          </wp:anchor>
        </w:drawing>
        <w:drawing>
          <wp:anchor simplePos="0" relativeHeight="251657728" behindDoc="1" locked="0" layoutInCell="0" allowOverlap="1">
            <wp:simplePos x="0" y="0"/>
            <wp:positionH relativeFrom="column">
              <wp:posOffset>805180</wp:posOffset>
            </wp:positionH>
            <wp:positionV relativeFrom="paragraph">
              <wp:posOffset>-827405</wp:posOffset>
            </wp:positionV>
            <wp:extent cx="95250" cy="965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805180</wp:posOffset>
            </wp:positionH>
            <wp:positionV relativeFrom="paragraph">
              <wp:posOffset>-398780</wp:posOffset>
            </wp:positionV>
            <wp:extent cx="95250" cy="965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178" w:lineRule="exact"/>
        <w:rPr>
          <w:sz w:val="20"/>
          <w:szCs w:val="20"/>
          <w:color w:val="auto"/>
        </w:rPr>
      </w:pPr>
    </w:p>
    <w:p>
      <w:pPr>
        <w:ind w:left="1260"/>
        <w:spacing w:after="0" w:line="230" w:lineRule="exact"/>
        <w:tabs>
          <w:tab w:leader="none" w:pos="2040" w:val="left"/>
          <w:tab w:leader="none" w:pos="3020" w:val="left"/>
          <w:tab w:leader="none" w:pos="3700" w:val="left"/>
        </w:tabs>
        <w:rPr>
          <w:sz w:val="20"/>
          <w:szCs w:val="20"/>
          <w:color w:val="auto"/>
        </w:rPr>
      </w:pPr>
      <w:r>
        <w:rPr>
          <w:rFonts w:ascii="MS PGothic" w:cs="MS PGothic" w:eastAsia="MS PGothic" w:hAnsi="MS PGothic"/>
          <w:sz w:val="20"/>
          <w:szCs w:val="20"/>
          <w:color w:val="auto"/>
        </w:rPr>
        <w:t>☐</w:t>
      </w:r>
      <w:r>
        <w:rPr>
          <w:sz w:val="20"/>
          <w:szCs w:val="20"/>
          <w:color w:val="auto"/>
        </w:rPr>
        <w:tab/>
      </w:r>
      <w:r>
        <w:rPr>
          <w:rFonts w:ascii="Arial" w:cs="Arial" w:eastAsia="Arial" w:hAnsi="Arial"/>
          <w:sz w:val="20"/>
          <w:szCs w:val="20"/>
          <w:color w:val="auto"/>
        </w:rPr>
        <w:t>Yes</w:t>
      </w:r>
      <w:r>
        <w:rPr>
          <w:sz w:val="20"/>
          <w:szCs w:val="20"/>
          <w:color w:val="auto"/>
        </w:rPr>
        <w:tab/>
      </w:r>
      <w:r>
        <w:rPr>
          <w:rFonts w:ascii="MS PGothic" w:cs="MS PGothic" w:eastAsia="MS PGothic" w:hAnsi="MS PGothic"/>
          <w:sz w:val="20"/>
          <w:szCs w:val="20"/>
          <w:color w:val="auto"/>
        </w:rPr>
        <w:t>☐</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805180</wp:posOffset>
            </wp:positionH>
            <wp:positionV relativeFrom="paragraph">
              <wp:posOffset>-96520</wp:posOffset>
            </wp:positionV>
            <wp:extent cx="95250" cy="965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-96520</wp:posOffset>
            </wp:positionV>
            <wp:extent cx="95250" cy="965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If “Yes,” indicate the applicable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250190</wp:posOffset>
            </wp:positionV>
            <wp:extent cx="634365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820" w:hanging="812"/>
        <w:spacing w:after="0" w:line="267" w:lineRule="auto"/>
        <w:tabs>
          <w:tab w:leader="none" w:pos="820" w:val="left"/>
        </w:tabs>
        <w:numPr>
          <w:ilvl w:val="0"/>
          <w:numId w:val="197"/>
        </w:numPr>
        <w:rPr>
          <w:rFonts w:ascii="Arial" w:cs="Arial" w:eastAsia="Arial" w:hAnsi="Arial"/>
          <w:sz w:val="20"/>
          <w:szCs w:val="20"/>
          <w:color w:val="auto"/>
        </w:rPr>
      </w:pPr>
      <w:r>
        <w:rPr>
          <w:rFonts w:ascii="Arial" w:cs="Arial" w:eastAsia="Arial" w:hAnsi="Arial"/>
          <w:sz w:val="20"/>
          <w:szCs w:val="20"/>
          <w:b w:val="1"/>
          <w:bCs w:val="1"/>
          <w:color w:val="auto"/>
        </w:rPr>
        <w:t xml:space="preserve">Stock. </w:t>
      </w:r>
      <w:r>
        <w:rPr>
          <w:rFonts w:ascii="Arial" w:cs="Arial" w:eastAsia="Arial" w:hAnsi="Arial"/>
          <w:sz w:val="20"/>
          <w:szCs w:val="20"/>
          <w:color w:val="auto"/>
        </w:rPr>
        <w:t>Please make a book entry and, if the shares are certificated, issue a certificate or certificates representing the shares in the</w:t>
      </w:r>
      <w:r>
        <w:rPr>
          <w:rFonts w:ascii="Arial" w:cs="Arial" w:eastAsia="Arial" w:hAnsi="Arial"/>
          <w:sz w:val="20"/>
          <w:szCs w:val="20"/>
          <w:b w:val="1"/>
          <w:bCs w:val="1"/>
          <w:color w:val="auto"/>
        </w:rPr>
        <w:t xml:space="preserve"> </w:t>
      </w:r>
      <w:r>
        <w:rPr>
          <w:rFonts w:ascii="Arial" w:cs="Arial" w:eastAsia="Arial" w:hAnsi="Arial"/>
          <w:sz w:val="20"/>
          <w:szCs w:val="20"/>
          <w:color w:val="auto"/>
        </w:rPr>
        <w:t>name of:</w:t>
      </w:r>
    </w:p>
    <w:p>
      <w:pPr>
        <w:spacing w:after="0" w:line="169" w:lineRule="exact"/>
        <w:rPr>
          <w:rFonts w:ascii="Arial" w:cs="Arial" w:eastAsia="Arial" w:hAnsi="Arial"/>
          <w:sz w:val="20"/>
          <w:szCs w:val="20"/>
          <w:color w:val="auto"/>
        </w:rPr>
      </w:pPr>
    </w:p>
    <w:p>
      <w:pPr>
        <w:ind w:left="2080" w:hanging="830"/>
        <w:spacing w:after="0"/>
        <w:tabs>
          <w:tab w:leader="none" w:pos="2080" w:val="left"/>
        </w:tabs>
        <w:numPr>
          <w:ilvl w:val="1"/>
          <w:numId w:val="197"/>
        </w:numPr>
        <w:rPr>
          <w:rFonts w:ascii="MS PGothic" w:cs="MS PGothic" w:eastAsia="MS PGothic" w:hAnsi="MS PGothic"/>
          <w:sz w:val="20"/>
          <w:szCs w:val="20"/>
          <w:color w:val="auto"/>
        </w:rPr>
      </w:pPr>
      <w:r>
        <w:rPr>
          <w:rFonts w:ascii="Arial" w:cs="Arial" w:eastAsia="Arial" w:hAnsi="Arial"/>
          <w:sz w:val="20"/>
          <w:szCs w:val="20"/>
          <w:color w:val="auto"/>
        </w:rPr>
        <w:t>The undersigned</w:t>
      </w:r>
    </w:p>
    <w:p>
      <w:pPr>
        <w:spacing w:after="0" w:line="161" w:lineRule="exact"/>
        <w:rPr>
          <w:rFonts w:ascii="MS PGothic" w:cs="MS PGothic" w:eastAsia="MS PGothic" w:hAnsi="MS PGothic"/>
          <w:sz w:val="20"/>
          <w:szCs w:val="20"/>
          <w:color w:val="auto"/>
        </w:rPr>
      </w:pPr>
    </w:p>
    <w:p>
      <w:pPr>
        <w:ind w:left="2080" w:hanging="830"/>
        <w:spacing w:after="0"/>
        <w:tabs>
          <w:tab w:leader="none" w:pos="2080" w:val="left"/>
        </w:tabs>
        <w:numPr>
          <w:ilvl w:val="1"/>
          <w:numId w:val="197"/>
        </w:numPr>
        <w:rPr>
          <w:rFonts w:ascii="MS PGothic" w:cs="MS PGothic" w:eastAsia="MS PGothic" w:hAnsi="MS PGothic"/>
          <w:sz w:val="20"/>
          <w:szCs w:val="20"/>
          <w:color w:val="auto"/>
        </w:rPr>
      </w:pPr>
      <w:r>
        <w:rPr>
          <w:rFonts w:ascii="Arial" w:cs="Arial" w:eastAsia="Arial" w:hAnsi="Arial"/>
          <w:sz w:val="20"/>
          <w:szCs w:val="20"/>
          <w:color w:val="auto"/>
        </w:rPr>
        <w:t>Other—Name: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19050</wp:posOffset>
            </wp:positionV>
            <wp:extent cx="48691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869180" cy="8890"/>
                    </a:xfrm>
                    <a:prstGeom prst="rect">
                      <a:avLst/>
                    </a:prstGeom>
                    <a:noFill/>
                  </pic:spPr>
                </pic:pic>
              </a:graphicData>
            </a:graphic>
          </wp:anchor>
        </w:drawing>
        <w:drawing>
          <wp:anchor simplePos="0" relativeHeight="251657728" behindDoc="1" locked="0" layoutInCell="0" allowOverlap="1">
            <wp:simplePos x="0" y="0"/>
            <wp:positionH relativeFrom="column">
              <wp:posOffset>805180</wp:posOffset>
            </wp:positionH>
            <wp:positionV relativeFrom="paragraph">
              <wp:posOffset>-360045</wp:posOffset>
            </wp:positionV>
            <wp:extent cx="95250" cy="965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805180</wp:posOffset>
            </wp:positionH>
            <wp:positionV relativeFrom="paragraph">
              <wp:posOffset>-111125</wp:posOffset>
            </wp:positionV>
            <wp:extent cx="95250" cy="965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155"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259080</wp:posOffset>
            </wp:positionV>
            <wp:extent cx="48691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86918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10160</wp:posOffset>
            </wp:positionV>
            <wp:extent cx="48691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820" w:right="20" w:hanging="812"/>
        <w:spacing w:after="0" w:line="267" w:lineRule="auto"/>
        <w:tabs>
          <w:tab w:leader="none" w:pos="820" w:val="left"/>
        </w:tabs>
        <w:numPr>
          <w:ilvl w:val="0"/>
          <w:numId w:val="198"/>
        </w:numPr>
        <w:rPr>
          <w:rFonts w:ascii="Arial" w:cs="Arial" w:eastAsia="Arial" w:hAnsi="Arial"/>
          <w:sz w:val="20"/>
          <w:szCs w:val="20"/>
          <w:color w:val="auto"/>
        </w:rPr>
      </w:pPr>
      <w:r>
        <w:rPr>
          <w:rFonts w:ascii="Arial" w:cs="Arial" w:eastAsia="Arial" w:hAnsi="Arial"/>
          <w:sz w:val="20"/>
          <w:szCs w:val="20"/>
          <w:b w:val="1"/>
          <w:bCs w:val="1"/>
          <w:color w:val="auto"/>
        </w:rPr>
        <w:t xml:space="preserve">Unexercised Portion of the Warrant. </w:t>
      </w:r>
      <w:r>
        <w:rPr>
          <w:rFonts w:ascii="Arial" w:cs="Arial" w:eastAsia="Arial" w:hAnsi="Arial"/>
          <w:sz w:val="20"/>
          <w:szCs w:val="20"/>
          <w:color w:val="auto"/>
        </w:rPr>
        <w:t>Please issue a new warrant for the unexercised portion of the attached warrant in the name</w:t>
      </w:r>
      <w:r>
        <w:rPr>
          <w:rFonts w:ascii="Arial" w:cs="Arial" w:eastAsia="Arial" w:hAnsi="Arial"/>
          <w:sz w:val="20"/>
          <w:szCs w:val="20"/>
          <w:b w:val="1"/>
          <w:bCs w:val="1"/>
          <w:color w:val="auto"/>
        </w:rPr>
        <w:t xml:space="preserve"> </w:t>
      </w:r>
      <w:r>
        <w:rPr>
          <w:rFonts w:ascii="Arial" w:cs="Arial" w:eastAsia="Arial" w:hAnsi="Arial"/>
          <w:sz w:val="20"/>
          <w:szCs w:val="20"/>
          <w:color w:val="auto"/>
        </w:rPr>
        <w:t>of:</w:t>
      </w:r>
    </w:p>
    <w:p>
      <w:pPr>
        <w:spacing w:after="0" w:line="169" w:lineRule="exact"/>
        <w:rPr>
          <w:rFonts w:ascii="Arial" w:cs="Arial" w:eastAsia="Arial" w:hAnsi="Arial"/>
          <w:sz w:val="20"/>
          <w:szCs w:val="20"/>
          <w:color w:val="auto"/>
        </w:rPr>
      </w:pPr>
    </w:p>
    <w:p>
      <w:pPr>
        <w:ind w:left="2080" w:hanging="830"/>
        <w:spacing w:after="0"/>
        <w:tabs>
          <w:tab w:leader="none" w:pos="2080" w:val="left"/>
        </w:tabs>
        <w:numPr>
          <w:ilvl w:val="1"/>
          <w:numId w:val="198"/>
        </w:numPr>
        <w:rPr>
          <w:rFonts w:ascii="MS PGothic" w:cs="MS PGothic" w:eastAsia="MS PGothic" w:hAnsi="MS PGothic"/>
          <w:sz w:val="20"/>
          <w:szCs w:val="20"/>
          <w:color w:val="auto"/>
        </w:rPr>
      </w:pPr>
      <w:r>
        <w:rPr>
          <w:rFonts w:ascii="Arial" w:cs="Arial" w:eastAsia="Arial" w:hAnsi="Arial"/>
          <w:sz w:val="20"/>
          <w:szCs w:val="20"/>
          <w:color w:val="auto"/>
        </w:rPr>
        <w:t>The undersigned</w:t>
      </w:r>
    </w:p>
    <w:p>
      <w:pPr>
        <w:spacing w:after="0" w:line="161" w:lineRule="exact"/>
        <w:rPr>
          <w:rFonts w:ascii="MS PGothic" w:cs="MS PGothic" w:eastAsia="MS PGothic" w:hAnsi="MS PGothic"/>
          <w:sz w:val="20"/>
          <w:szCs w:val="20"/>
          <w:color w:val="auto"/>
        </w:rPr>
      </w:pPr>
    </w:p>
    <w:p>
      <w:pPr>
        <w:ind w:left="2080" w:hanging="830"/>
        <w:spacing w:after="0"/>
        <w:tabs>
          <w:tab w:leader="none" w:pos="2080" w:val="left"/>
        </w:tabs>
        <w:numPr>
          <w:ilvl w:val="1"/>
          <w:numId w:val="198"/>
        </w:numPr>
        <w:rPr>
          <w:rFonts w:ascii="MS PGothic" w:cs="MS PGothic" w:eastAsia="MS PGothic" w:hAnsi="MS PGothic"/>
          <w:sz w:val="20"/>
          <w:szCs w:val="20"/>
          <w:color w:val="auto"/>
        </w:rPr>
      </w:pPr>
      <w:r>
        <w:rPr>
          <w:rFonts w:ascii="Arial" w:cs="Arial" w:eastAsia="Arial" w:hAnsi="Arial"/>
          <w:sz w:val="20"/>
          <w:szCs w:val="20"/>
          <w:color w:val="auto"/>
        </w:rPr>
        <w:t>Other—Name: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19050</wp:posOffset>
            </wp:positionV>
            <wp:extent cx="48691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869180" cy="8255"/>
                    </a:xfrm>
                    <a:prstGeom prst="rect">
                      <a:avLst/>
                    </a:prstGeom>
                    <a:noFill/>
                  </pic:spPr>
                </pic:pic>
              </a:graphicData>
            </a:graphic>
          </wp:anchor>
        </w:drawing>
        <w:drawing>
          <wp:anchor simplePos="0" relativeHeight="251657728" behindDoc="1" locked="0" layoutInCell="0" allowOverlap="1">
            <wp:simplePos x="0" y="0"/>
            <wp:positionH relativeFrom="column">
              <wp:posOffset>805180</wp:posOffset>
            </wp:positionH>
            <wp:positionV relativeFrom="paragraph">
              <wp:posOffset>-360045</wp:posOffset>
            </wp:positionV>
            <wp:extent cx="95250" cy="965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805180</wp:posOffset>
            </wp:positionH>
            <wp:positionV relativeFrom="paragraph">
              <wp:posOffset>-111125</wp:posOffset>
            </wp:positionV>
            <wp:extent cx="95250" cy="965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155"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259080</wp:posOffset>
            </wp:positionV>
            <wp:extent cx="48691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86918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10160</wp:posOffset>
            </wp:positionV>
            <wp:extent cx="48691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2080" w:hanging="830"/>
        <w:spacing w:after="0"/>
        <w:tabs>
          <w:tab w:leader="none" w:pos="2080" w:val="left"/>
        </w:tabs>
        <w:numPr>
          <w:ilvl w:val="0"/>
          <w:numId w:val="199"/>
        </w:numPr>
        <w:rPr>
          <w:rFonts w:ascii="MS PGothic" w:cs="MS PGothic" w:eastAsia="MS PGothic" w:hAnsi="MS PGothic"/>
          <w:sz w:val="20"/>
          <w:szCs w:val="20"/>
          <w:color w:val="auto"/>
        </w:rPr>
      </w:pPr>
      <w:r>
        <w:rPr>
          <w:rFonts w:ascii="Arial" w:cs="Arial" w:eastAsia="Arial" w:hAnsi="Arial"/>
          <w:sz w:val="20"/>
          <w:szCs w:val="20"/>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805180</wp:posOffset>
            </wp:positionH>
            <wp:positionV relativeFrom="paragraph">
              <wp:posOffset>-111125</wp:posOffset>
            </wp:positionV>
            <wp:extent cx="95250" cy="965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73" w:name="page274"/>
    <w:bookmarkEnd w:id="273"/>
    <w:p>
      <w:pPr>
        <w:jc w:val="both"/>
        <w:ind w:left="820" w:hanging="812"/>
        <w:spacing w:after="0" w:line="262" w:lineRule="auto"/>
        <w:tabs>
          <w:tab w:leader="none" w:pos="820" w:val="left"/>
        </w:tabs>
        <w:numPr>
          <w:ilvl w:val="0"/>
          <w:numId w:val="200"/>
        </w:numPr>
        <w:rPr>
          <w:rFonts w:ascii="Arial" w:cs="Arial" w:eastAsia="Arial" w:hAnsi="Arial"/>
          <w:sz w:val="19"/>
          <w:szCs w:val="19"/>
          <w:color w:val="auto"/>
        </w:rPr>
      </w:pPr>
      <w:r>
        <w:rPr>
          <w:rFonts w:ascii="Arial" w:cs="Arial" w:eastAsia="Arial" w:hAnsi="Arial"/>
          <w:sz w:val="19"/>
          <w:szCs w:val="19"/>
          <w:b w:val="1"/>
          <w:bCs w:val="1"/>
          <w:color w:val="auto"/>
        </w:rPr>
        <w:t xml:space="preserve">Investment Intent. </w:t>
      </w:r>
      <w:r>
        <w:rPr>
          <w:rFonts w:ascii="Arial" w:cs="Arial" w:eastAsia="Arial" w:hAnsi="Arial"/>
          <w:sz w:val="19"/>
          <w:szCs w:val="19"/>
          <w:color w:val="auto"/>
        </w:rPr>
        <w:t>The undersigned represents and warrants that the aforesaid shares are being acquired for investment for its</w:t>
      </w:r>
      <w:r>
        <w:rPr>
          <w:rFonts w:ascii="Arial" w:cs="Arial" w:eastAsia="Arial" w:hAnsi="Arial"/>
          <w:sz w:val="19"/>
          <w:szCs w:val="19"/>
          <w:b w:val="1"/>
          <w:bCs w:val="1"/>
          <w:color w:val="auto"/>
        </w:rPr>
        <w:t xml:space="preserve"> </w:t>
      </w:r>
      <w:r>
        <w:rPr>
          <w:rFonts w:ascii="Arial" w:cs="Arial" w:eastAsia="Arial" w:hAnsi="Arial"/>
          <w:sz w:val="19"/>
          <w:szCs w:val="19"/>
          <w:color w:val="auto"/>
        </w:rPr>
        <w:t>own account, not as a nominee or agent, and not with a view to, or for resale in connection with, the distribution thereof, and that the undersigned has no present intention of selling, granting any participation in, or otherwise distributing the shares, nor does it have any contract, undertaking, agreement or arrangement for the same, and all representations and warranties of the undersigned set forth in Section 11 of the attached warrant are true and correct as of the date hereof.</w:t>
      </w:r>
    </w:p>
    <w:p>
      <w:pPr>
        <w:spacing w:after="0" w:line="170" w:lineRule="exact"/>
        <w:rPr>
          <w:rFonts w:ascii="Arial" w:cs="Arial" w:eastAsia="Arial" w:hAnsi="Arial"/>
          <w:sz w:val="19"/>
          <w:szCs w:val="19"/>
          <w:color w:val="auto"/>
        </w:rPr>
      </w:pPr>
    </w:p>
    <w:p>
      <w:pPr>
        <w:jc w:val="both"/>
        <w:ind w:left="820" w:hanging="812"/>
        <w:spacing w:after="0" w:line="253" w:lineRule="auto"/>
        <w:tabs>
          <w:tab w:leader="none" w:pos="820" w:val="left"/>
        </w:tabs>
        <w:numPr>
          <w:ilvl w:val="0"/>
          <w:numId w:val="200"/>
        </w:numPr>
        <w:rPr>
          <w:rFonts w:ascii="Arial" w:cs="Arial" w:eastAsia="Arial" w:hAnsi="Arial"/>
          <w:sz w:val="20"/>
          <w:szCs w:val="20"/>
          <w:color w:val="auto"/>
        </w:rPr>
      </w:pPr>
      <w:r>
        <w:rPr>
          <w:rFonts w:ascii="Arial" w:cs="Arial" w:eastAsia="Arial" w:hAnsi="Arial"/>
          <w:sz w:val="20"/>
          <w:szCs w:val="20"/>
          <w:b w:val="1"/>
          <w:bCs w:val="1"/>
          <w:color w:val="auto"/>
        </w:rPr>
        <w:t xml:space="preserve">Investment Representation Statement and Market Stand-Off Agreement. </w:t>
      </w:r>
      <w:r>
        <w:rPr>
          <w:rFonts w:ascii="Arial" w:cs="Arial" w:eastAsia="Arial" w:hAnsi="Arial"/>
          <w:sz w:val="20"/>
          <w:szCs w:val="20"/>
          <w:color w:val="auto"/>
        </w:rPr>
        <w:t>The undersigned has executed, and delivers</w:t>
      </w:r>
      <w:r>
        <w:rPr>
          <w:rFonts w:ascii="Arial" w:cs="Arial" w:eastAsia="Arial" w:hAnsi="Arial"/>
          <w:sz w:val="20"/>
          <w:szCs w:val="20"/>
          <w:b w:val="1"/>
          <w:bCs w:val="1"/>
          <w:color w:val="auto"/>
        </w:rPr>
        <w:t xml:space="preserve"> </w:t>
      </w:r>
      <w:r>
        <w:rPr>
          <w:rFonts w:ascii="Arial" w:cs="Arial" w:eastAsia="Arial" w:hAnsi="Arial"/>
          <w:sz w:val="20"/>
          <w:szCs w:val="20"/>
          <w:color w:val="auto"/>
        </w:rPr>
        <w:t>herewith, an Investment Representation Statement and Market Stand-Off Agreement in a form substantially similar to the form attached to the warrant as Exhibit A-1.</w:t>
      </w:r>
    </w:p>
    <w:p>
      <w:pPr>
        <w:spacing w:after="0" w:line="177" w:lineRule="exact"/>
        <w:rPr>
          <w:rFonts w:ascii="Arial" w:cs="Arial" w:eastAsia="Arial" w:hAnsi="Arial"/>
          <w:sz w:val="20"/>
          <w:szCs w:val="20"/>
          <w:color w:val="auto"/>
        </w:rPr>
      </w:pPr>
    </w:p>
    <w:p>
      <w:pPr>
        <w:jc w:val="both"/>
        <w:ind w:left="820" w:hanging="812"/>
        <w:spacing w:after="0" w:line="257" w:lineRule="auto"/>
        <w:tabs>
          <w:tab w:leader="none" w:pos="820" w:val="left"/>
        </w:tabs>
        <w:numPr>
          <w:ilvl w:val="0"/>
          <w:numId w:val="200"/>
        </w:numPr>
        <w:rPr>
          <w:rFonts w:ascii="Arial" w:cs="Arial" w:eastAsia="Arial" w:hAnsi="Arial"/>
          <w:sz w:val="19"/>
          <w:szCs w:val="19"/>
          <w:color w:val="auto"/>
        </w:rPr>
      </w:pPr>
      <w:r>
        <w:rPr>
          <w:rFonts w:ascii="Arial" w:cs="Arial" w:eastAsia="Arial" w:hAnsi="Arial"/>
          <w:sz w:val="19"/>
          <w:szCs w:val="19"/>
          <w:b w:val="1"/>
          <w:bCs w:val="1"/>
          <w:color w:val="auto"/>
        </w:rPr>
        <w:t xml:space="preserve">Consent to Receipt of Electronic Notice. </w:t>
      </w:r>
      <w:r>
        <w:rPr>
          <w:rFonts w:ascii="Arial" w:cs="Arial" w:eastAsia="Arial" w:hAnsi="Arial"/>
          <w:sz w:val="19"/>
          <w:szCs w:val="19"/>
          <w:color w:val="auto"/>
        </w:rPr>
        <w:t>Subject to the limitations set forth in Delaware General Corporation Law §232(e), the</w:t>
      </w:r>
      <w:r>
        <w:rPr>
          <w:rFonts w:ascii="Arial" w:cs="Arial" w:eastAsia="Arial" w:hAnsi="Arial"/>
          <w:sz w:val="19"/>
          <w:szCs w:val="19"/>
          <w:b w:val="1"/>
          <w:bCs w:val="1"/>
          <w:color w:val="auto"/>
        </w:rPr>
        <w:t xml:space="preserve"> </w:t>
      </w:r>
      <w:r>
        <w:rPr>
          <w:rFonts w:ascii="Arial" w:cs="Arial" w:eastAsia="Arial" w:hAnsi="Arial"/>
          <w:sz w:val="19"/>
          <w:szCs w:val="19"/>
          <w:color w:val="auto"/>
        </w:rPr>
        <w:t>undersigned consents to the delivery of any notice to stockholders given by the Company under the Delaware General Corporation Law or the Company’s certificate of incorporation or bylaws by (i) facsimile telecommunication to the facsimile number provided below (or to any other facsimile number for the undersigned in the Company’s records), (ii) electronic mail to the electronic mail address provided below (or to any other electronic mail address for the undersigned in the Company’s records), (iii) posting on an electronic network together with separate notice to the undersigned of such specific posting or (iv) any other form of electronic transmission (as defined in the Delaware General Corporation Law) directed to the undersigned. This consent may be revoked by the undersigned by written notice to the Company and may be deemed revoked in the circumstances specified in Delaware General Corporation Law §232.</w:t>
      </w:r>
    </w:p>
    <w:p>
      <w:pPr>
        <w:spacing w:after="0" w:line="200" w:lineRule="exact"/>
        <w:rPr>
          <w:sz w:val="20"/>
          <w:szCs w:val="20"/>
          <w:color w:val="auto"/>
        </w:rPr>
      </w:pPr>
    </w:p>
    <w:p>
      <w:pPr>
        <w:spacing w:after="0" w:line="214"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Print name of the warrant holder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-130175</wp:posOffset>
            </wp:positionV>
            <wp:extent cx="34886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0"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-130175</wp:posOffset>
            </wp:positionV>
            <wp:extent cx="34886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0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and title of signatory, if applicable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-130175</wp:posOffset>
            </wp:positionV>
            <wp:extent cx="34886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0"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-130175</wp:posOffset>
            </wp:positionV>
            <wp:extent cx="34886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0"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Fax number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-130175</wp:posOffset>
            </wp:positionV>
            <wp:extent cx="34886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00"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Email address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-130175</wp:posOffset>
            </wp:positionV>
            <wp:extent cx="34886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Signature page to the Notice of Exercise</w:t>
      </w:r>
      <w:r>
        <w:rPr>
          <w:rFonts w:ascii="Arial" w:cs="Arial" w:eastAsia="Arial" w:hAnsi="Arial"/>
          <w:sz w:val="16"/>
          <w:szCs w:val="16"/>
          <w:b w:val="1"/>
          <w:bCs w:val="1"/>
          <w:color w:val="auto"/>
        </w:rPr>
        <w: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4" w:name="page275"/>
    <w:bookmarkEnd w:id="274"/>
    <w:tbl>
      <w:tblPr>
        <w:tblLayout w:type="fixed"/>
        <w:tblInd w:w="0" w:type="dxa"/>
        <w:tblCellMar>
          <w:top w:w="0" w:type="dxa"/>
          <w:left w:w="0" w:type="dxa"/>
          <w:bottom w:w="0" w:type="dxa"/>
          <w:right w:w="0" w:type="dxa"/>
        </w:tblCellMar>
      </w:tblPr>
      <w:tr>
        <w:trPr>
          <w:trHeight w:val="256"/>
        </w:trPr>
        <w:tc>
          <w:tcPr>
            <w:tcW w:w="1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40" w:type="dxa"/>
            <w:vAlign w:val="bottom"/>
            <w:gridSpan w:val="2"/>
          </w:tcPr>
          <w:p>
            <w:pPr>
              <w:jc w:val="center"/>
              <w:ind w:right="1780"/>
              <w:spacing w:after="0"/>
              <w:rPr>
                <w:sz w:val="20"/>
                <w:szCs w:val="20"/>
                <w:color w:val="auto"/>
              </w:rPr>
            </w:pPr>
            <w:r>
              <w:rPr>
                <w:rFonts w:ascii="Arial" w:cs="Arial" w:eastAsia="Arial" w:hAnsi="Arial"/>
                <w:sz w:val="20"/>
                <w:szCs w:val="20"/>
                <w:b w:val="1"/>
                <w:bCs w:val="1"/>
                <w:color w:val="auto"/>
              </w:rPr>
              <w:t>EXHIBIT A-l</w:t>
            </w:r>
          </w:p>
        </w:tc>
      </w:tr>
      <w:tr>
        <w:trPr>
          <w:trHeight w:val="432"/>
        </w:trPr>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40" w:type="dxa"/>
            <w:vAlign w:val="bottom"/>
            <w:gridSpan w:val="2"/>
          </w:tcPr>
          <w:p>
            <w:pPr>
              <w:jc w:val="center"/>
              <w:ind w:right="1800"/>
              <w:spacing w:after="0"/>
              <w:rPr>
                <w:sz w:val="20"/>
                <w:szCs w:val="20"/>
                <w:color w:val="auto"/>
              </w:rPr>
            </w:pPr>
            <w:r>
              <w:rPr>
                <w:rFonts w:ascii="Arial" w:cs="Arial" w:eastAsia="Arial" w:hAnsi="Arial"/>
                <w:sz w:val="20"/>
                <w:szCs w:val="20"/>
                <w:b w:val="1"/>
                <w:bCs w:val="1"/>
                <w:color w:val="auto"/>
                <w:w w:val="99"/>
              </w:rPr>
              <w:t>INVESTMENT REPRESENTATION STATEMENT</w:t>
            </w:r>
          </w:p>
        </w:tc>
      </w:tr>
      <w:tr>
        <w:trPr>
          <w:trHeight w:val="230"/>
        </w:trPr>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40" w:type="dxa"/>
            <w:vAlign w:val="bottom"/>
            <w:gridSpan w:val="2"/>
          </w:tcPr>
          <w:p>
            <w:pPr>
              <w:jc w:val="center"/>
              <w:ind w:right="1800"/>
              <w:spacing w:after="0"/>
              <w:rPr>
                <w:sz w:val="20"/>
                <w:szCs w:val="20"/>
                <w:color w:val="auto"/>
              </w:rPr>
            </w:pPr>
            <w:r>
              <w:rPr>
                <w:rFonts w:ascii="Arial" w:cs="Arial" w:eastAsia="Arial" w:hAnsi="Arial"/>
                <w:sz w:val="20"/>
                <w:szCs w:val="20"/>
                <w:b w:val="1"/>
                <w:bCs w:val="1"/>
                <w:color w:val="auto"/>
              </w:rPr>
              <w:t>AND</w:t>
            </w:r>
          </w:p>
        </w:tc>
      </w:tr>
      <w:tr>
        <w:trPr>
          <w:trHeight w:val="256"/>
        </w:trPr>
        <w:tc>
          <w:tcPr>
            <w:tcW w:w="1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40" w:type="dxa"/>
            <w:vAlign w:val="bottom"/>
            <w:gridSpan w:val="2"/>
          </w:tcPr>
          <w:p>
            <w:pPr>
              <w:jc w:val="center"/>
              <w:ind w:right="1800"/>
              <w:spacing w:after="0"/>
              <w:rPr>
                <w:sz w:val="20"/>
                <w:szCs w:val="20"/>
                <w:color w:val="auto"/>
              </w:rPr>
            </w:pPr>
            <w:r>
              <w:rPr>
                <w:rFonts w:ascii="Arial" w:cs="Arial" w:eastAsia="Arial" w:hAnsi="Arial"/>
                <w:sz w:val="20"/>
                <w:szCs w:val="20"/>
                <w:b w:val="1"/>
                <w:bCs w:val="1"/>
                <w:color w:val="auto"/>
                <w:w w:val="99"/>
              </w:rPr>
              <w:t>MARKET STAND-OFF AGREEMENT</w:t>
            </w:r>
          </w:p>
        </w:tc>
      </w:tr>
      <w:tr>
        <w:trPr>
          <w:trHeight w:val="671"/>
        </w:trPr>
        <w:tc>
          <w:tcPr>
            <w:tcW w:w="1500" w:type="dxa"/>
            <w:vAlign w:val="bottom"/>
          </w:tcPr>
          <w:p>
            <w:pPr>
              <w:spacing w:after="0"/>
              <w:rPr>
                <w:sz w:val="20"/>
                <w:szCs w:val="20"/>
                <w:color w:val="auto"/>
              </w:rPr>
            </w:pPr>
            <w:r>
              <w:rPr>
                <w:rFonts w:ascii="Arial" w:cs="Arial" w:eastAsia="Arial" w:hAnsi="Arial"/>
                <w:sz w:val="20"/>
                <w:szCs w:val="20"/>
                <w:color w:val="auto"/>
              </w:rPr>
              <w:t>INVESTOR:</w:t>
            </w:r>
          </w:p>
        </w:tc>
        <w:tc>
          <w:tcPr>
            <w:tcW w:w="30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r>
      <w:tr>
        <w:trPr>
          <w:trHeight w:val="443"/>
        </w:trPr>
        <w:tc>
          <w:tcPr>
            <w:tcW w:w="1500" w:type="dxa"/>
            <w:vAlign w:val="bottom"/>
          </w:tcPr>
          <w:p>
            <w:pPr>
              <w:spacing w:after="0"/>
              <w:rPr>
                <w:sz w:val="20"/>
                <w:szCs w:val="20"/>
                <w:color w:val="auto"/>
              </w:rPr>
            </w:pPr>
            <w:r>
              <w:rPr>
                <w:rFonts w:ascii="Arial" w:cs="Arial" w:eastAsia="Arial" w:hAnsi="Arial"/>
                <w:sz w:val="20"/>
                <w:szCs w:val="20"/>
                <w:color w:val="auto"/>
              </w:rPr>
              <w:t>COMPANY:</w:t>
            </w:r>
          </w:p>
        </w:tc>
        <w:tc>
          <w:tcPr>
            <w:tcW w:w="9740" w:type="dxa"/>
            <w:vAlign w:val="bottom"/>
            <w:gridSpan w:val="3"/>
          </w:tcPr>
          <w:p>
            <w:pPr>
              <w:ind w:left="300"/>
              <w:spacing w:after="0"/>
              <w:rPr>
                <w:sz w:val="20"/>
                <w:szCs w:val="20"/>
                <w:color w:val="auto"/>
              </w:rPr>
            </w:pPr>
            <w:r>
              <w:rPr>
                <w:rFonts w:ascii="Arial" w:cs="Arial" w:eastAsia="Arial" w:hAnsi="Arial"/>
                <w:sz w:val="20"/>
                <w:szCs w:val="20"/>
                <w:color w:val="auto"/>
              </w:rPr>
              <w:t>ATHIRA PHARMA, INC.</w:t>
            </w:r>
          </w:p>
        </w:tc>
      </w:tr>
      <w:tr>
        <w:trPr>
          <w:trHeight w:val="425"/>
        </w:trPr>
        <w:tc>
          <w:tcPr>
            <w:tcW w:w="1500" w:type="dxa"/>
            <w:vAlign w:val="bottom"/>
          </w:tcPr>
          <w:p>
            <w:pPr>
              <w:spacing w:after="0"/>
              <w:rPr>
                <w:sz w:val="20"/>
                <w:szCs w:val="20"/>
                <w:color w:val="auto"/>
              </w:rPr>
            </w:pPr>
            <w:r>
              <w:rPr>
                <w:rFonts w:ascii="Arial" w:cs="Arial" w:eastAsia="Arial" w:hAnsi="Arial"/>
                <w:sz w:val="20"/>
                <w:szCs w:val="20"/>
                <w:color w:val="auto"/>
              </w:rPr>
              <w:t>SECURITIES:</w:t>
            </w:r>
          </w:p>
        </w:tc>
        <w:tc>
          <w:tcPr>
            <w:tcW w:w="9740" w:type="dxa"/>
            <w:vAlign w:val="bottom"/>
            <w:gridSpan w:val="3"/>
          </w:tcPr>
          <w:p>
            <w:pPr>
              <w:ind w:left="300"/>
              <w:spacing w:after="0"/>
              <w:rPr>
                <w:sz w:val="20"/>
                <w:szCs w:val="20"/>
                <w:color w:val="auto"/>
              </w:rPr>
            </w:pPr>
            <w:r>
              <w:rPr>
                <w:rFonts w:ascii="Arial" w:cs="Arial" w:eastAsia="Arial" w:hAnsi="Arial"/>
                <w:sz w:val="20"/>
                <w:szCs w:val="20"/>
                <w:color w:val="auto"/>
              </w:rPr>
              <w:t>THE WARRANT ISSUED ON MAY 29, 2020 (THE “</w:t>
            </w:r>
            <w:r>
              <w:rPr>
                <w:rFonts w:ascii="Arial" w:cs="Arial" w:eastAsia="Arial" w:hAnsi="Arial"/>
                <w:sz w:val="20"/>
                <w:szCs w:val="20"/>
                <w:b w:val="1"/>
                <w:bCs w:val="1"/>
                <w:i w:val="1"/>
                <w:iCs w:val="1"/>
                <w:color w:val="auto"/>
              </w:rPr>
              <w:t>WARRANT</w:t>
            </w:r>
            <w:r>
              <w:rPr>
                <w:rFonts w:ascii="Arial" w:cs="Arial" w:eastAsia="Arial" w:hAnsi="Arial"/>
                <w:sz w:val="20"/>
                <w:szCs w:val="20"/>
                <w:color w:val="auto"/>
              </w:rPr>
              <w:t>”) AND THE SECURITIES ISSUED OR</w:t>
            </w:r>
          </w:p>
        </w:tc>
      </w:tr>
      <w:tr>
        <w:trPr>
          <w:trHeight w:val="250"/>
        </w:trPr>
        <w:tc>
          <w:tcPr>
            <w:tcW w:w="1500" w:type="dxa"/>
            <w:vAlign w:val="bottom"/>
          </w:tcPr>
          <w:p>
            <w:pPr>
              <w:spacing w:after="0"/>
              <w:rPr>
                <w:sz w:val="21"/>
                <w:szCs w:val="21"/>
                <w:color w:val="auto"/>
              </w:rPr>
            </w:pPr>
          </w:p>
        </w:tc>
        <w:tc>
          <w:tcPr>
            <w:tcW w:w="9740" w:type="dxa"/>
            <w:vAlign w:val="bottom"/>
            <w:gridSpan w:val="3"/>
          </w:tcPr>
          <w:p>
            <w:pPr>
              <w:ind w:left="300"/>
              <w:spacing w:after="0"/>
              <w:rPr>
                <w:sz w:val="20"/>
                <w:szCs w:val="20"/>
                <w:color w:val="auto"/>
              </w:rPr>
            </w:pPr>
            <w:r>
              <w:rPr>
                <w:rFonts w:ascii="Arial" w:cs="Arial" w:eastAsia="Arial" w:hAnsi="Arial"/>
                <w:sz w:val="20"/>
                <w:szCs w:val="20"/>
                <w:color w:val="auto"/>
              </w:rPr>
              <w:t>ISSUABLE UPON EXERCISE THEREOF</w:t>
            </w:r>
          </w:p>
        </w:tc>
      </w:tr>
      <w:tr>
        <w:trPr>
          <w:trHeight w:val="442"/>
        </w:trPr>
        <w:tc>
          <w:tcPr>
            <w:tcW w:w="1500" w:type="dxa"/>
            <w:vAlign w:val="bottom"/>
          </w:tcPr>
          <w:p>
            <w:pPr>
              <w:spacing w:after="0"/>
              <w:rPr>
                <w:sz w:val="20"/>
                <w:szCs w:val="20"/>
                <w:color w:val="auto"/>
              </w:rPr>
            </w:pPr>
            <w:r>
              <w:rPr>
                <w:rFonts w:ascii="Arial" w:cs="Arial" w:eastAsia="Arial" w:hAnsi="Arial"/>
                <w:sz w:val="20"/>
                <w:szCs w:val="20"/>
                <w:color w:val="auto"/>
              </w:rPr>
              <w:t>DATE:</w:t>
            </w:r>
          </w:p>
        </w:tc>
        <w:tc>
          <w:tcPr>
            <w:tcW w:w="30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5560" w:type="dxa"/>
            <w:vAlign w:val="bottom"/>
          </w:tcPr>
          <w:p>
            <w:pPr>
              <w:spacing w:after="0"/>
              <w:rPr>
                <w:sz w:val="24"/>
                <w:szCs w:val="24"/>
                <w:color w:val="auto"/>
              </w:rPr>
            </w:pPr>
          </w:p>
        </w:tc>
      </w:tr>
    </w:tbl>
    <w:p>
      <w:pPr>
        <w:spacing w:after="0" w:line="199" w:lineRule="exact"/>
        <w:rPr>
          <w:sz w:val="20"/>
          <w:szCs w:val="20"/>
          <w:color w:val="auto"/>
        </w:rPr>
      </w:pPr>
    </w:p>
    <w:p>
      <w:pPr>
        <w:jc w:val="both"/>
        <w:ind w:firstLine="832"/>
        <w:spacing w:after="0" w:line="260" w:lineRule="auto"/>
        <w:rPr>
          <w:sz w:val="20"/>
          <w:szCs w:val="20"/>
          <w:color w:val="auto"/>
        </w:rPr>
      </w:pPr>
      <w:r>
        <w:rPr>
          <w:rFonts w:ascii="Arial" w:cs="Arial" w:eastAsia="Arial" w:hAnsi="Arial"/>
          <w:sz w:val="20"/>
          <w:szCs w:val="20"/>
          <w:color w:val="auto"/>
        </w:rPr>
        <w:t>In connection with the purchase or acquisition of the above-listed Securities, the undersigned Investor represents and warrants to, and agrees with, the Company as follows:</w:t>
      </w:r>
    </w:p>
    <w:p>
      <w:pPr>
        <w:spacing w:after="0" w:line="171" w:lineRule="exact"/>
        <w:rPr>
          <w:sz w:val="20"/>
          <w:szCs w:val="20"/>
          <w:color w:val="auto"/>
        </w:rPr>
      </w:pPr>
    </w:p>
    <w:p>
      <w:pPr>
        <w:jc w:val="both"/>
        <w:ind w:firstLine="840"/>
        <w:spacing w:after="0" w:line="248" w:lineRule="auto"/>
        <w:tabs>
          <w:tab w:leader="none" w:pos="1628" w:val="left"/>
        </w:tabs>
        <w:numPr>
          <w:ilvl w:val="0"/>
          <w:numId w:val="201"/>
        </w:numPr>
        <w:rPr>
          <w:rFonts w:ascii="Arial" w:cs="Arial" w:eastAsia="Arial" w:hAnsi="Arial"/>
          <w:sz w:val="20"/>
          <w:szCs w:val="20"/>
          <w:color w:val="auto"/>
        </w:rPr>
      </w:pPr>
      <w:r>
        <w:rPr>
          <w:rFonts w:ascii="Arial" w:cs="Arial" w:eastAsia="Arial" w:hAnsi="Arial"/>
          <w:sz w:val="20"/>
          <w:szCs w:val="20"/>
          <w:b w:val="1"/>
          <w:bCs w:val="1"/>
          <w:color w:val="auto"/>
        </w:rPr>
        <w:t xml:space="preserve">No Registration. </w:t>
      </w:r>
      <w:r>
        <w:rPr>
          <w:rFonts w:ascii="Arial" w:cs="Arial" w:eastAsia="Arial" w:hAnsi="Arial"/>
          <w:sz w:val="20"/>
          <w:szCs w:val="20"/>
          <w:color w:val="auto"/>
        </w:rPr>
        <w:t>The Investor understands that the Securities have not been, and will not be, registered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Securities Act of 1933, as amended (the “</w:t>
      </w:r>
      <w:r>
        <w:rPr>
          <w:rFonts w:ascii="Arial" w:cs="Arial" w:eastAsia="Arial" w:hAnsi="Arial"/>
          <w:sz w:val="20"/>
          <w:szCs w:val="20"/>
          <w:b w:val="1"/>
          <w:bCs w:val="1"/>
          <w:i w:val="1"/>
          <w:iCs w:val="1"/>
          <w:color w:val="auto"/>
        </w:rPr>
        <w:t>Securities Act</w:t>
      </w:r>
      <w:r>
        <w:rPr>
          <w:rFonts w:ascii="Arial" w:cs="Arial" w:eastAsia="Arial" w:hAnsi="Arial"/>
          <w:sz w:val="20"/>
          <w:szCs w:val="20"/>
          <w:color w:val="auto"/>
        </w:rPr>
        <w:t xml:space="preserve">”), by reason of a specific exemption from the registration provisions of the Securities Act, the availability of which depends upon, among other things, the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nature of the investment intent and the accuracy of the Investor’s representations as expressed herein or otherwise made pursuant hereto.</w:t>
      </w:r>
    </w:p>
    <w:p>
      <w:pPr>
        <w:spacing w:after="0" w:line="183" w:lineRule="exact"/>
        <w:rPr>
          <w:rFonts w:ascii="Arial" w:cs="Arial" w:eastAsia="Arial" w:hAnsi="Arial"/>
          <w:sz w:val="20"/>
          <w:szCs w:val="20"/>
          <w:color w:val="auto"/>
        </w:rPr>
      </w:pPr>
    </w:p>
    <w:p>
      <w:pPr>
        <w:jc w:val="both"/>
        <w:ind w:firstLine="840"/>
        <w:spacing w:after="0" w:line="248" w:lineRule="auto"/>
        <w:tabs>
          <w:tab w:leader="none" w:pos="1628" w:val="left"/>
        </w:tabs>
        <w:numPr>
          <w:ilvl w:val="0"/>
          <w:numId w:val="201"/>
        </w:numPr>
        <w:rPr>
          <w:rFonts w:ascii="Arial" w:cs="Arial" w:eastAsia="Arial" w:hAnsi="Arial"/>
          <w:sz w:val="20"/>
          <w:szCs w:val="20"/>
          <w:color w:val="auto"/>
        </w:rPr>
      </w:pPr>
      <w:r>
        <w:rPr>
          <w:rFonts w:ascii="Arial" w:cs="Arial" w:eastAsia="Arial" w:hAnsi="Arial"/>
          <w:sz w:val="20"/>
          <w:szCs w:val="20"/>
          <w:b w:val="1"/>
          <w:bCs w:val="1"/>
          <w:color w:val="auto"/>
        </w:rPr>
        <w:t xml:space="preserve">Investment Intent. </w:t>
      </w:r>
      <w:r>
        <w:rPr>
          <w:rFonts w:ascii="Arial" w:cs="Arial" w:eastAsia="Arial" w:hAnsi="Arial"/>
          <w:sz w:val="20"/>
          <w:szCs w:val="20"/>
          <w:color w:val="auto"/>
        </w:rPr>
        <w:t>The Investor is acquiring the Securities for investment for its own account, not as a nominee or</w:t>
      </w:r>
      <w:r>
        <w:rPr>
          <w:rFonts w:ascii="Arial" w:cs="Arial" w:eastAsia="Arial" w:hAnsi="Arial"/>
          <w:sz w:val="20"/>
          <w:szCs w:val="20"/>
          <w:b w:val="1"/>
          <w:bCs w:val="1"/>
          <w:color w:val="auto"/>
        </w:rPr>
        <w:t xml:space="preserve"> </w:t>
      </w:r>
      <w:r>
        <w:rPr>
          <w:rFonts w:ascii="Arial" w:cs="Arial" w:eastAsia="Arial" w:hAnsi="Arial"/>
          <w:sz w:val="20"/>
          <w:szCs w:val="20"/>
          <w:color w:val="auto"/>
        </w:rPr>
        <w:t>agent, and not with a view to, or for resale in connection with, any distribution thereof. The Investor has no present intention of selling, granting any participation in, or otherwise distributing the Securities, nor does it have any contract, undertaking, agreement or arrangement for the same.</w:t>
      </w:r>
    </w:p>
    <w:p>
      <w:pPr>
        <w:spacing w:after="0" w:line="183" w:lineRule="exact"/>
        <w:rPr>
          <w:rFonts w:ascii="Arial" w:cs="Arial" w:eastAsia="Arial" w:hAnsi="Arial"/>
          <w:sz w:val="20"/>
          <w:szCs w:val="20"/>
          <w:color w:val="auto"/>
        </w:rPr>
      </w:pPr>
    </w:p>
    <w:p>
      <w:pPr>
        <w:jc w:val="both"/>
        <w:ind w:firstLine="840"/>
        <w:spacing w:after="0" w:line="272" w:lineRule="auto"/>
        <w:tabs>
          <w:tab w:leader="none" w:pos="1628" w:val="left"/>
        </w:tabs>
        <w:numPr>
          <w:ilvl w:val="0"/>
          <w:numId w:val="201"/>
        </w:numPr>
        <w:rPr>
          <w:rFonts w:ascii="Arial" w:cs="Arial" w:eastAsia="Arial" w:hAnsi="Arial"/>
          <w:sz w:val="19"/>
          <w:szCs w:val="19"/>
          <w:color w:val="auto"/>
        </w:rPr>
      </w:pPr>
      <w:r>
        <w:rPr>
          <w:rFonts w:ascii="Arial" w:cs="Arial" w:eastAsia="Arial" w:hAnsi="Arial"/>
          <w:sz w:val="19"/>
          <w:szCs w:val="19"/>
          <w:b w:val="1"/>
          <w:bCs w:val="1"/>
          <w:color w:val="auto"/>
        </w:rPr>
        <w:t xml:space="preserve">Investment Experience. </w:t>
      </w:r>
      <w:r>
        <w:rPr>
          <w:rFonts w:ascii="Arial" w:cs="Arial" w:eastAsia="Arial" w:hAnsi="Arial"/>
          <w:sz w:val="19"/>
          <w:szCs w:val="19"/>
          <w:color w:val="auto"/>
        </w:rPr>
        <w:t>The Investor has substantial experience in evaluating and investing in private placement</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transactions of securities in companies similar to the Company, and has such knowledge and experience in financial or business matters so that it is capable of evaluating the merits and risks of its investment in the Company and protecting its own interests.</w:t>
      </w:r>
    </w:p>
    <w:p>
      <w:pPr>
        <w:spacing w:after="0" w:line="161" w:lineRule="exact"/>
        <w:rPr>
          <w:rFonts w:ascii="Arial" w:cs="Arial" w:eastAsia="Arial" w:hAnsi="Arial"/>
          <w:sz w:val="19"/>
          <w:szCs w:val="19"/>
          <w:color w:val="auto"/>
        </w:rPr>
      </w:pPr>
    </w:p>
    <w:p>
      <w:pPr>
        <w:jc w:val="both"/>
        <w:ind w:firstLine="840"/>
        <w:spacing w:after="0" w:line="294" w:lineRule="auto"/>
        <w:tabs>
          <w:tab w:leader="none" w:pos="1628" w:val="left"/>
        </w:tabs>
        <w:numPr>
          <w:ilvl w:val="0"/>
          <w:numId w:val="201"/>
        </w:numPr>
        <w:rPr>
          <w:rFonts w:ascii="Arial" w:cs="Arial" w:eastAsia="Arial" w:hAnsi="Arial"/>
          <w:sz w:val="18"/>
          <w:szCs w:val="18"/>
          <w:color w:val="auto"/>
        </w:rPr>
      </w:pPr>
      <w:r>
        <w:rPr>
          <w:rFonts w:ascii="Arial" w:cs="Arial" w:eastAsia="Arial" w:hAnsi="Arial"/>
          <w:sz w:val="18"/>
          <w:szCs w:val="18"/>
          <w:b w:val="1"/>
          <w:bCs w:val="1"/>
          <w:color w:val="auto"/>
        </w:rPr>
        <w:t xml:space="preserve">Speculative Nature of Investment. </w:t>
      </w:r>
      <w:r>
        <w:rPr>
          <w:rFonts w:ascii="Arial" w:cs="Arial" w:eastAsia="Arial" w:hAnsi="Arial"/>
          <w:sz w:val="18"/>
          <w:szCs w:val="18"/>
          <w:color w:val="auto"/>
        </w:rPr>
        <w:t>The Investor understands and acknowledges that its investment in the Company is</w:t>
      </w:r>
      <w:r>
        <w:rPr>
          <w:rFonts w:ascii="Arial" w:cs="Arial" w:eastAsia="Arial" w:hAnsi="Arial"/>
          <w:sz w:val="18"/>
          <w:szCs w:val="18"/>
          <w:b w:val="1"/>
          <w:bCs w:val="1"/>
          <w:color w:val="auto"/>
        </w:rPr>
        <w:t xml:space="preserve"> </w:t>
      </w:r>
      <w:r>
        <w:rPr>
          <w:rFonts w:ascii="Arial" w:cs="Arial" w:eastAsia="Arial" w:hAnsi="Arial"/>
          <w:sz w:val="18"/>
          <w:szCs w:val="18"/>
          <w:color w:val="auto"/>
        </w:rPr>
        <w:t>highly speculative and involves substantial risks. The Investor can bear the economic risk of its investment and is able, without impairing its financial condition, to hold the Securities for an indefinite period of time and to suffer a complete loss of its investment.</w:t>
      </w:r>
    </w:p>
    <w:p>
      <w:pPr>
        <w:spacing w:after="0" w:line="143" w:lineRule="exact"/>
        <w:rPr>
          <w:rFonts w:ascii="Arial" w:cs="Arial" w:eastAsia="Arial" w:hAnsi="Arial"/>
          <w:sz w:val="18"/>
          <w:szCs w:val="18"/>
          <w:color w:val="auto"/>
        </w:rPr>
      </w:pPr>
    </w:p>
    <w:p>
      <w:pPr>
        <w:jc w:val="both"/>
        <w:ind w:firstLine="840"/>
        <w:spacing w:after="0" w:line="275" w:lineRule="auto"/>
        <w:tabs>
          <w:tab w:leader="none" w:pos="1628" w:val="left"/>
        </w:tabs>
        <w:numPr>
          <w:ilvl w:val="0"/>
          <w:numId w:val="201"/>
        </w:numPr>
        <w:rPr>
          <w:rFonts w:ascii="Arial" w:cs="Arial" w:eastAsia="Arial" w:hAnsi="Arial"/>
          <w:sz w:val="18"/>
          <w:szCs w:val="18"/>
          <w:color w:val="auto"/>
        </w:rPr>
      </w:pPr>
      <w:r>
        <w:rPr>
          <w:rFonts w:ascii="Arial" w:cs="Arial" w:eastAsia="Arial" w:hAnsi="Arial"/>
          <w:sz w:val="18"/>
          <w:szCs w:val="18"/>
          <w:b w:val="1"/>
          <w:bCs w:val="1"/>
          <w:color w:val="auto"/>
        </w:rPr>
        <w:t xml:space="preserve">Access to Data. </w:t>
      </w:r>
      <w:r>
        <w:rPr>
          <w:rFonts w:ascii="Arial" w:cs="Arial" w:eastAsia="Arial" w:hAnsi="Arial"/>
          <w:sz w:val="18"/>
          <w:szCs w:val="18"/>
          <w:color w:val="auto"/>
        </w:rPr>
        <w:t>The Investor has had an opportunity to ask questions of officers of the Company, which questions were</w:t>
      </w:r>
      <w:r>
        <w:rPr>
          <w:rFonts w:ascii="Arial" w:cs="Arial" w:eastAsia="Arial" w:hAnsi="Arial"/>
          <w:sz w:val="18"/>
          <w:szCs w:val="18"/>
          <w:b w:val="1"/>
          <w:bCs w:val="1"/>
          <w:color w:val="auto"/>
        </w:rPr>
        <w:t xml:space="preserve"> </w:t>
      </w:r>
      <w:r>
        <w:rPr>
          <w:rFonts w:ascii="Arial" w:cs="Arial" w:eastAsia="Arial" w:hAnsi="Arial"/>
          <w:sz w:val="18"/>
          <w:szCs w:val="18"/>
          <w:color w:val="auto"/>
        </w:rPr>
        <w:t>answered to its satisfaction. The Investor believes that it has received all the information that it considers necessary or appropriate for deciding whether to acquire the Securities. The Investor understands that any such discussions, as well as any information issued by the Company, were intended to describe certain aspects of the Company’s business and prospects, but were not necessarily a thorough or exhaustive description. The Investor acknowledges that any business plans prepared by the Company have been, and continue to be, subject to change and that any projections included in such business plans or otherwise are necessarily speculative in nature, and it can be expected that some or all of the assumptions underlying the projections will not materialize or will vary significantly from actual results.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A-1-1</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49465"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75" w:name="page276"/>
    <w:bookmarkEnd w:id="275"/>
    <w:p>
      <w:pPr>
        <w:jc w:val="both"/>
        <w:ind w:firstLine="840"/>
        <w:spacing w:after="0" w:line="246" w:lineRule="auto"/>
        <w:tabs>
          <w:tab w:leader="none" w:pos="1628" w:val="left"/>
        </w:tabs>
        <w:numPr>
          <w:ilvl w:val="0"/>
          <w:numId w:val="202"/>
        </w:numPr>
        <w:rPr>
          <w:rFonts w:ascii="Arial" w:cs="Arial" w:eastAsia="Arial" w:hAnsi="Arial"/>
          <w:sz w:val="20"/>
          <w:szCs w:val="20"/>
          <w:color w:val="auto"/>
        </w:rPr>
      </w:pPr>
      <w:r>
        <w:rPr>
          <w:rFonts w:ascii="Arial" w:cs="Arial" w:eastAsia="Arial" w:hAnsi="Arial"/>
          <w:sz w:val="20"/>
          <w:szCs w:val="20"/>
          <w:b w:val="1"/>
          <w:bCs w:val="1"/>
          <w:color w:val="auto"/>
        </w:rPr>
        <w:t xml:space="preserve">Accredited Investor. </w:t>
      </w:r>
      <w:r>
        <w:rPr>
          <w:rFonts w:ascii="Arial" w:cs="Arial" w:eastAsia="Arial" w:hAnsi="Arial"/>
          <w:sz w:val="20"/>
          <w:szCs w:val="20"/>
          <w:color w:val="auto"/>
        </w:rPr>
        <w:t>The Investor is an “accredited investor” within the meaning of Regulation D, Rule 501(a),</w:t>
      </w:r>
      <w:r>
        <w:rPr>
          <w:rFonts w:ascii="Arial" w:cs="Arial" w:eastAsia="Arial" w:hAnsi="Arial"/>
          <w:sz w:val="20"/>
          <w:szCs w:val="20"/>
          <w:b w:val="1"/>
          <w:bCs w:val="1"/>
          <w:color w:val="auto"/>
        </w:rPr>
        <w:t xml:space="preserve"> </w:t>
      </w:r>
      <w:r>
        <w:rPr>
          <w:rFonts w:ascii="Arial" w:cs="Arial" w:eastAsia="Arial" w:hAnsi="Arial"/>
          <w:sz w:val="20"/>
          <w:szCs w:val="20"/>
          <w:color w:val="auto"/>
        </w:rPr>
        <w:t>promulgated by the Securities and Exchange Commission and agrees to submit to the Company such further assurances of such status as may be reasonably requested by the Company. The Investor has furnished or made available any and all information requested by the Company or otherwise necessary to satisfy any applicable verification requirements as to “accredited investor” status. Any such information is true, correct, timely and complete.</w:t>
      </w:r>
    </w:p>
    <w:p>
      <w:pPr>
        <w:spacing w:after="0" w:line="184" w:lineRule="exact"/>
        <w:rPr>
          <w:rFonts w:ascii="Arial" w:cs="Arial" w:eastAsia="Arial" w:hAnsi="Arial"/>
          <w:sz w:val="20"/>
          <w:szCs w:val="20"/>
          <w:color w:val="auto"/>
        </w:rPr>
      </w:pPr>
    </w:p>
    <w:p>
      <w:pPr>
        <w:ind w:firstLine="840"/>
        <w:spacing w:after="0" w:line="267" w:lineRule="auto"/>
        <w:tabs>
          <w:tab w:leader="none" w:pos="1628" w:val="left"/>
        </w:tabs>
        <w:numPr>
          <w:ilvl w:val="0"/>
          <w:numId w:val="202"/>
        </w:numPr>
        <w:rPr>
          <w:rFonts w:ascii="Arial" w:cs="Arial" w:eastAsia="Arial" w:hAnsi="Arial"/>
          <w:sz w:val="20"/>
          <w:szCs w:val="20"/>
          <w:color w:val="auto"/>
        </w:rPr>
      </w:pPr>
      <w:r>
        <w:rPr>
          <w:rFonts w:ascii="Arial" w:cs="Arial" w:eastAsia="Arial" w:hAnsi="Arial"/>
          <w:sz w:val="20"/>
          <w:szCs w:val="20"/>
          <w:b w:val="1"/>
          <w:bCs w:val="1"/>
          <w:color w:val="auto"/>
        </w:rPr>
        <w:t xml:space="preserve">Residency. </w:t>
      </w:r>
      <w:r>
        <w:rPr>
          <w:rFonts w:ascii="Arial" w:cs="Arial" w:eastAsia="Arial" w:hAnsi="Arial"/>
          <w:sz w:val="20"/>
          <w:szCs w:val="20"/>
          <w:color w:val="auto"/>
        </w:rPr>
        <w:t>The residency of the Investor (or, in the case of a partnership or corporation, such entity’s principal place of</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is correctly set forth on the signature page hereto.</w:t>
      </w:r>
    </w:p>
    <w:p>
      <w:pPr>
        <w:spacing w:after="0" w:line="163" w:lineRule="exact"/>
        <w:rPr>
          <w:rFonts w:ascii="Arial" w:cs="Arial" w:eastAsia="Arial" w:hAnsi="Arial"/>
          <w:sz w:val="20"/>
          <w:szCs w:val="20"/>
          <w:color w:val="auto"/>
        </w:rPr>
      </w:pPr>
    </w:p>
    <w:p>
      <w:pPr>
        <w:jc w:val="both"/>
        <w:ind w:firstLine="840"/>
        <w:spacing w:after="0" w:line="269" w:lineRule="auto"/>
        <w:tabs>
          <w:tab w:leader="none" w:pos="1628" w:val="left"/>
        </w:tabs>
        <w:numPr>
          <w:ilvl w:val="0"/>
          <w:numId w:val="202"/>
        </w:numPr>
        <w:rPr>
          <w:rFonts w:ascii="Arial" w:cs="Arial" w:eastAsia="Arial" w:hAnsi="Arial"/>
          <w:sz w:val="18"/>
          <w:szCs w:val="18"/>
          <w:color w:val="auto"/>
        </w:rPr>
      </w:pPr>
      <w:r>
        <w:rPr>
          <w:rFonts w:ascii="Arial" w:cs="Arial" w:eastAsia="Arial" w:hAnsi="Arial"/>
          <w:sz w:val="18"/>
          <w:szCs w:val="18"/>
          <w:b w:val="1"/>
          <w:bCs w:val="1"/>
          <w:color w:val="auto"/>
        </w:rPr>
        <w:t xml:space="preserve">Restrictions on Resales. </w:t>
      </w:r>
      <w:r>
        <w:rPr>
          <w:rFonts w:ascii="Arial" w:cs="Arial" w:eastAsia="Arial" w:hAnsi="Arial"/>
          <w:sz w:val="18"/>
          <w:szCs w:val="18"/>
          <w:color w:val="auto"/>
        </w:rPr>
        <w:t>The Investor acknowledges that the Securities must be held indefinitely unless subsequently</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under the Securities Act or an exemption from such registration is available. The Investor is aware of the provisions of Rule 144 promulgated under the Securities Act, which permit resale of shares purchased in a private placement subject to the satisfaction of certain conditions, which may include, among other things, the availability of certain current public information about the Company; the resale occurring not less than a specified period after a party has purchased and paid for the security to be sold; the number of shares being sold during any three-month period not exceeding specified limitations; the sale being effected through a “broker’s transaction,” a transaction directly with a “market maker” or a “riskless principal transaction” (as those terms are defined in the Securities Act or the Securities Exchange Act of 1934, as amended, and the rules and regulations promulgated thereunder); and the filing of a Form 144 notice, if applicable. The Investor acknowledges and understands that the Company may not be satisfying the current public information requirement of Rule 144 at the time the Investor wishes to sell the Securities and that, in such event, the Investor may be precluded from selling the Securities under Rule 144 even if the other applicable requirements of Rule 144 have been satisfied. The Investor understands and acknowledges that, in the event the applicable requirements of Rule 144 are not met, registration under the Securities Act or an exemption from registration will be required for any disposition of the Securities. The Investor understands that, although Rule 144 is not exclusive, the Securities and Exchange Commission has expressed its opinion that persons proposing to sell restricted securities received in a private offering other than in a registered offering or pursuant to Rule 144 will have a substantial burden of proof in establishing that an exemption from registration is available for those offers or sales and that those persons and the brokers who participate in the transactions do so at their own risk.</w:t>
      </w:r>
    </w:p>
    <w:p>
      <w:pPr>
        <w:spacing w:after="0" w:line="176" w:lineRule="exact"/>
        <w:rPr>
          <w:rFonts w:ascii="Arial" w:cs="Arial" w:eastAsia="Arial" w:hAnsi="Arial"/>
          <w:sz w:val="18"/>
          <w:szCs w:val="18"/>
          <w:color w:val="auto"/>
        </w:rPr>
      </w:pPr>
    </w:p>
    <w:p>
      <w:pPr>
        <w:ind w:right="20" w:firstLine="840"/>
        <w:spacing w:after="0" w:line="323" w:lineRule="auto"/>
        <w:tabs>
          <w:tab w:leader="none" w:pos="1628" w:val="left"/>
        </w:tabs>
        <w:numPr>
          <w:ilvl w:val="0"/>
          <w:numId w:val="202"/>
        </w:numPr>
        <w:rPr>
          <w:rFonts w:ascii="Arial" w:cs="Arial" w:eastAsia="Arial" w:hAnsi="Arial"/>
          <w:sz w:val="18"/>
          <w:szCs w:val="18"/>
          <w:color w:val="auto"/>
        </w:rPr>
      </w:pPr>
      <w:r>
        <w:rPr>
          <w:rFonts w:ascii="Arial" w:cs="Arial" w:eastAsia="Arial" w:hAnsi="Arial"/>
          <w:sz w:val="18"/>
          <w:szCs w:val="18"/>
          <w:b w:val="1"/>
          <w:bCs w:val="1"/>
          <w:color w:val="auto"/>
        </w:rPr>
        <w:t xml:space="preserve">No Public Market. </w:t>
      </w:r>
      <w:r>
        <w:rPr>
          <w:rFonts w:ascii="Arial" w:cs="Arial" w:eastAsia="Arial" w:hAnsi="Arial"/>
          <w:sz w:val="18"/>
          <w:szCs w:val="18"/>
          <w:color w:val="auto"/>
        </w:rPr>
        <w:t>The Holder understands and acknowledges that no public market now exists for any of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issued by the Company and that the Company has made no assurances that a public market will ever exist for the Company’s securities.</w:t>
      </w:r>
    </w:p>
    <w:p>
      <w:pPr>
        <w:spacing w:after="0" w:line="117" w:lineRule="exact"/>
        <w:rPr>
          <w:rFonts w:ascii="Arial" w:cs="Arial" w:eastAsia="Arial" w:hAnsi="Arial"/>
          <w:sz w:val="18"/>
          <w:szCs w:val="18"/>
          <w:color w:val="auto"/>
        </w:rPr>
      </w:pPr>
    </w:p>
    <w:p>
      <w:pPr>
        <w:jc w:val="both"/>
        <w:ind w:firstLine="840"/>
        <w:spacing w:after="0" w:line="253" w:lineRule="auto"/>
        <w:tabs>
          <w:tab w:leader="none" w:pos="1727" w:val="left"/>
        </w:tabs>
        <w:numPr>
          <w:ilvl w:val="0"/>
          <w:numId w:val="202"/>
        </w:numPr>
        <w:rPr>
          <w:rFonts w:ascii="Arial" w:cs="Arial" w:eastAsia="Arial" w:hAnsi="Arial"/>
          <w:sz w:val="20"/>
          <w:szCs w:val="20"/>
          <w:color w:val="auto"/>
        </w:rPr>
      </w:pPr>
      <w:r>
        <w:rPr>
          <w:rFonts w:ascii="Arial" w:cs="Arial" w:eastAsia="Arial" w:hAnsi="Arial"/>
          <w:sz w:val="20"/>
          <w:szCs w:val="20"/>
          <w:b w:val="1"/>
          <w:bCs w:val="1"/>
          <w:color w:val="auto"/>
        </w:rPr>
        <w:t xml:space="preserve">Brokers and Finders. </w:t>
      </w:r>
      <w:r>
        <w:rPr>
          <w:rFonts w:ascii="Arial" w:cs="Arial" w:eastAsia="Arial" w:hAnsi="Arial"/>
          <w:sz w:val="20"/>
          <w:szCs w:val="20"/>
          <w:color w:val="auto"/>
        </w:rPr>
        <w:t>The Investor has not engaged any brokers, finders or agents in connection with the Securities,</w:t>
      </w:r>
      <w:r>
        <w:rPr>
          <w:rFonts w:ascii="Arial" w:cs="Arial" w:eastAsia="Arial" w:hAnsi="Arial"/>
          <w:sz w:val="20"/>
          <w:szCs w:val="20"/>
          <w:b w:val="1"/>
          <w:bCs w:val="1"/>
          <w:color w:val="auto"/>
        </w:rPr>
        <w:t xml:space="preserve"> </w:t>
      </w:r>
      <w:r>
        <w:rPr>
          <w:rFonts w:ascii="Arial" w:cs="Arial" w:eastAsia="Arial" w:hAnsi="Arial"/>
          <w:sz w:val="20"/>
          <w:szCs w:val="20"/>
          <w:color w:val="auto"/>
        </w:rPr>
        <w:t>and the Company has not incurred nor will incur, directly or indirectly, as a result of any action taken by the Investor, any liability for brokerage or finders’ fees or agents’ commissions or any similar charges in connection with the Securities.</w:t>
      </w:r>
    </w:p>
    <w:p>
      <w:pPr>
        <w:spacing w:after="0" w:line="177" w:lineRule="exact"/>
        <w:rPr>
          <w:rFonts w:ascii="Arial" w:cs="Arial" w:eastAsia="Arial" w:hAnsi="Arial"/>
          <w:sz w:val="20"/>
          <w:szCs w:val="20"/>
          <w:color w:val="auto"/>
        </w:rPr>
      </w:pPr>
    </w:p>
    <w:p>
      <w:pPr>
        <w:jc w:val="both"/>
        <w:ind w:firstLine="840"/>
        <w:spacing w:after="0" w:line="346" w:lineRule="auto"/>
        <w:tabs>
          <w:tab w:leader="none" w:pos="1720" w:val="left"/>
        </w:tabs>
        <w:numPr>
          <w:ilvl w:val="0"/>
          <w:numId w:val="202"/>
        </w:numPr>
        <w:rPr>
          <w:rFonts w:ascii="Arial" w:cs="Arial" w:eastAsia="Arial" w:hAnsi="Arial"/>
          <w:sz w:val="16"/>
          <w:szCs w:val="16"/>
          <w:color w:val="auto"/>
        </w:rPr>
      </w:pPr>
      <w:r>
        <w:rPr>
          <w:rFonts w:ascii="Arial" w:cs="Arial" w:eastAsia="Arial" w:hAnsi="Arial"/>
          <w:sz w:val="16"/>
          <w:szCs w:val="16"/>
          <w:b w:val="1"/>
          <w:bCs w:val="1"/>
          <w:color w:val="auto"/>
        </w:rPr>
        <w:t xml:space="preserve">Legal Counsel. </w:t>
      </w:r>
      <w:r>
        <w:rPr>
          <w:rFonts w:ascii="Arial" w:cs="Arial" w:eastAsia="Arial" w:hAnsi="Arial"/>
          <w:sz w:val="16"/>
          <w:szCs w:val="16"/>
          <w:color w:val="auto"/>
        </w:rPr>
        <w:t>The Investor has had the opportunity to review the Warrant, the exhibits and schedules attached thereto</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transactions contemplated by the Warrant with its own legal counsel. The Investor is not relying on any statements or representations of the Company or its agents for legal advice with respect to this investment or the transactions contemplated by the Warrant.</w:t>
      </w:r>
    </w:p>
    <w:p>
      <w:pPr>
        <w:spacing w:after="0" w:line="108" w:lineRule="exact"/>
        <w:rPr>
          <w:rFonts w:ascii="Arial" w:cs="Arial" w:eastAsia="Arial" w:hAnsi="Arial"/>
          <w:sz w:val="16"/>
          <w:szCs w:val="16"/>
          <w:color w:val="auto"/>
        </w:rPr>
      </w:pPr>
    </w:p>
    <w:p>
      <w:pPr>
        <w:jc w:val="both"/>
        <w:ind w:firstLine="840"/>
        <w:spacing w:after="0" w:line="248" w:lineRule="auto"/>
        <w:tabs>
          <w:tab w:leader="none" w:pos="1727" w:val="left"/>
        </w:tabs>
        <w:numPr>
          <w:ilvl w:val="0"/>
          <w:numId w:val="202"/>
        </w:numPr>
        <w:rPr>
          <w:rFonts w:ascii="Arial" w:cs="Arial" w:eastAsia="Arial" w:hAnsi="Arial"/>
          <w:sz w:val="20"/>
          <w:szCs w:val="20"/>
          <w:color w:val="auto"/>
        </w:rPr>
      </w:pPr>
      <w:r>
        <w:rPr>
          <w:rFonts w:ascii="Arial" w:cs="Arial" w:eastAsia="Arial" w:hAnsi="Arial"/>
          <w:sz w:val="20"/>
          <w:szCs w:val="20"/>
          <w:b w:val="1"/>
          <w:bCs w:val="1"/>
          <w:color w:val="auto"/>
        </w:rPr>
        <w:t xml:space="preserve">Tax Advisors. </w:t>
      </w:r>
      <w:r>
        <w:rPr>
          <w:rFonts w:ascii="Arial" w:cs="Arial" w:eastAsia="Arial" w:hAnsi="Arial"/>
          <w:sz w:val="20"/>
          <w:szCs w:val="20"/>
          <w:color w:val="auto"/>
        </w:rPr>
        <w:t>The Investor has reviewed with its own tax advisors the U.S. federal, state and local and non-U.S. tax</w:t>
      </w:r>
      <w:r>
        <w:rPr>
          <w:rFonts w:ascii="Arial" w:cs="Arial" w:eastAsia="Arial" w:hAnsi="Arial"/>
          <w:sz w:val="20"/>
          <w:szCs w:val="20"/>
          <w:b w:val="1"/>
          <w:bCs w:val="1"/>
          <w:color w:val="auto"/>
        </w:rPr>
        <w:t xml:space="preserve"> </w:t>
      </w:r>
      <w:r>
        <w:rPr>
          <w:rFonts w:ascii="Arial" w:cs="Arial" w:eastAsia="Arial" w:hAnsi="Arial"/>
          <w:sz w:val="20"/>
          <w:szCs w:val="20"/>
          <w:color w:val="auto"/>
        </w:rPr>
        <w:t>consequences of this investment and the transactions contemplated by the Warrant. With respect to such matters, the Investor relies solely on such advisors and not on any statements or representations of the Company or any of its agents, written or oral. The Investor understands that it (and not the Company)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color w:val="auto"/>
        </w:rPr>
        <w:t>shall be responsible for its own tax liability that may arise as a result of this investment or the transactions contemplated by the Warrant.</w:t>
      </w:r>
    </w:p>
    <w:p>
      <w:pPr>
        <w:spacing w:after="0" w:line="233" w:lineRule="exact"/>
        <w:rPr>
          <w:sz w:val="20"/>
          <w:szCs w:val="20"/>
          <w:color w:val="auto"/>
        </w:rPr>
      </w:pPr>
    </w:p>
    <w:p>
      <w:pPr>
        <w:ind w:firstLine="840"/>
        <w:spacing w:after="0" w:line="267" w:lineRule="auto"/>
        <w:tabs>
          <w:tab w:leader="none" w:pos="1727" w:val="left"/>
        </w:tabs>
        <w:numPr>
          <w:ilvl w:val="0"/>
          <w:numId w:val="203"/>
        </w:numPr>
        <w:rPr>
          <w:rFonts w:ascii="Arial" w:cs="Arial" w:eastAsia="Arial" w:hAnsi="Arial"/>
          <w:sz w:val="20"/>
          <w:szCs w:val="20"/>
          <w:color w:val="auto"/>
        </w:rPr>
      </w:pPr>
      <w:r>
        <w:rPr>
          <w:rFonts w:ascii="Arial" w:cs="Arial" w:eastAsia="Arial" w:hAnsi="Arial"/>
          <w:sz w:val="20"/>
          <w:szCs w:val="20"/>
          <w:b w:val="1"/>
          <w:bCs w:val="1"/>
          <w:color w:val="auto"/>
        </w:rPr>
        <w:t xml:space="preserve">Market Stand-off. </w:t>
      </w:r>
      <w:r>
        <w:rPr>
          <w:rFonts w:ascii="Arial" w:cs="Arial" w:eastAsia="Arial" w:hAnsi="Arial"/>
          <w:sz w:val="20"/>
          <w:szCs w:val="20"/>
          <w:color w:val="auto"/>
        </w:rPr>
        <w:t>The Investor agrees that the Shares are subject to the market stand-off provision of Section 2.11 of</w:t>
      </w:r>
      <w:r>
        <w:rPr>
          <w:rFonts w:ascii="Arial" w:cs="Arial" w:eastAsia="Arial" w:hAnsi="Arial"/>
          <w:sz w:val="20"/>
          <w:szCs w:val="20"/>
          <w:b w:val="1"/>
          <w:bCs w:val="1"/>
          <w:color w:val="auto"/>
        </w:rPr>
        <w:t xml:space="preserve"> </w:t>
      </w:r>
      <w:r>
        <w:rPr>
          <w:rFonts w:ascii="Arial" w:cs="Arial" w:eastAsia="Arial" w:hAnsi="Arial"/>
          <w:sz w:val="20"/>
          <w:szCs w:val="20"/>
          <w:color w:val="auto"/>
        </w:rPr>
        <w:t>the Rights Agreement.</w:t>
      </w:r>
    </w:p>
    <w:p>
      <w:pPr>
        <w:spacing w:after="0" w:line="163" w:lineRule="exact"/>
        <w:rPr>
          <w:rFonts w:ascii="Arial" w:cs="Arial" w:eastAsia="Arial" w:hAnsi="Arial"/>
          <w:sz w:val="20"/>
          <w:szCs w:val="20"/>
          <w:color w:val="auto"/>
        </w:rPr>
      </w:pPr>
    </w:p>
    <w:p>
      <w:pPr>
        <w:jc w:val="both"/>
        <w:ind w:firstLine="840"/>
        <w:spacing w:after="0" w:line="245" w:lineRule="auto"/>
        <w:tabs>
          <w:tab w:leader="none" w:pos="1727" w:val="left"/>
        </w:tabs>
        <w:numPr>
          <w:ilvl w:val="0"/>
          <w:numId w:val="203"/>
        </w:numPr>
        <w:rPr>
          <w:rFonts w:ascii="Arial" w:cs="Arial" w:eastAsia="Arial" w:hAnsi="Arial"/>
          <w:sz w:val="20"/>
          <w:szCs w:val="20"/>
          <w:color w:val="auto"/>
        </w:rPr>
      </w:pPr>
      <w:r>
        <w:rPr>
          <w:rFonts w:ascii="Arial" w:cs="Arial" w:eastAsia="Arial" w:hAnsi="Arial"/>
          <w:sz w:val="20"/>
          <w:szCs w:val="20"/>
          <w:b w:val="1"/>
          <w:bCs w:val="1"/>
          <w:color w:val="auto"/>
        </w:rPr>
        <w:t xml:space="preserve">No “Bad Actor” Disqualification. </w:t>
      </w:r>
      <w:r>
        <w:rPr>
          <w:rFonts w:ascii="Arial" w:cs="Arial" w:eastAsia="Arial" w:hAnsi="Arial"/>
          <w:sz w:val="20"/>
          <w:szCs w:val="20"/>
          <w:color w:val="auto"/>
        </w:rPr>
        <w:t>Neither (i) the Investor, (ii) any of its directors, executive officers, other officers</w:t>
      </w:r>
      <w:r>
        <w:rPr>
          <w:rFonts w:ascii="Arial" w:cs="Arial" w:eastAsia="Arial" w:hAnsi="Arial"/>
          <w:sz w:val="20"/>
          <w:szCs w:val="20"/>
          <w:b w:val="1"/>
          <w:bCs w:val="1"/>
          <w:color w:val="auto"/>
        </w:rPr>
        <w:t xml:space="preserve"> </w:t>
      </w:r>
      <w:r>
        <w:rPr>
          <w:rFonts w:ascii="Arial" w:cs="Arial" w:eastAsia="Arial" w:hAnsi="Arial"/>
          <w:sz w:val="20"/>
          <w:szCs w:val="20"/>
          <w:color w:val="auto"/>
        </w:rPr>
        <w:t>that may serve as a director or officer of any company in which it invests, general partners or managing members, nor (iii) any beneficial owner of any of the Company’s voting equity securities (in accordance with Rule 506(d) of the Securities Act) held by the Investor is subject to any of the “bad actor” disqualifications described in Rule 506(d)(1)(i) through (viii) under the Securities Act, except as set forth in Rule 506(d)(2)(ii) or (iii) or (d)(3) under the Securities Act and disclosed, reasonably in advance of the purchase or acquisition of the Securities, in writing in reasonable detail to the Company.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77" w:name="page278"/>
    <w:bookmarkEnd w:id="277"/>
    <w:p>
      <w:pPr>
        <w:spacing w:after="0"/>
        <w:rPr>
          <w:sz w:val="20"/>
          <w:szCs w:val="20"/>
          <w:color w:val="auto"/>
        </w:rPr>
      </w:pPr>
      <w:r>
        <w:rPr>
          <w:rFonts w:ascii="Arial" w:cs="Arial" w:eastAsia="Arial" w:hAnsi="Arial"/>
          <w:sz w:val="16"/>
          <w:szCs w:val="16"/>
          <w:color w:val="auto"/>
        </w:rPr>
        <w:t>The Investor is signing this Investment Representation Statement and Market Stand-Off Agreement on the date first written above.</w:t>
      </w:r>
    </w:p>
    <w:p>
      <w:pPr>
        <w:spacing w:after="0" w:line="256" w:lineRule="exact"/>
        <w:rPr>
          <w:sz w:val="20"/>
          <w:szCs w:val="20"/>
          <w:color w:val="auto"/>
        </w:rPr>
      </w:pPr>
    </w:p>
    <w:p>
      <w:pPr>
        <w:ind w:left="5740"/>
        <w:spacing w:after="0"/>
        <w:rPr>
          <w:sz w:val="20"/>
          <w:szCs w:val="20"/>
          <w:color w:val="auto"/>
        </w:rPr>
      </w:pPr>
      <w:r>
        <w:rPr>
          <w:rFonts w:ascii="Arial" w:cs="Arial" w:eastAsia="Arial" w:hAnsi="Arial"/>
          <w:sz w:val="20"/>
          <w:szCs w:val="20"/>
          <w:b w:val="1"/>
          <w:bCs w:val="1"/>
          <w:color w:val="auto"/>
        </w:rPr>
        <w:t>INVESTOR</w:t>
      </w:r>
    </w:p>
    <w:p>
      <w:pPr>
        <w:spacing w:after="0" w:line="200" w:lineRule="exact"/>
        <w:rPr>
          <w:sz w:val="20"/>
          <w:szCs w:val="20"/>
          <w:color w:val="auto"/>
        </w:rPr>
      </w:pPr>
    </w:p>
    <w:p>
      <w:pPr>
        <w:spacing w:after="0" w:line="267"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Print name of the investor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-130175</wp:posOffset>
            </wp:positionV>
            <wp:extent cx="34886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0"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-130175</wp:posOffset>
            </wp:positionV>
            <wp:extent cx="34886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and title of signatory, if applicable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-130175</wp:posOffset>
            </wp:positionV>
            <wp:extent cx="34886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0"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Street address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-130175</wp:posOffset>
            </wp:positionV>
            <wp:extent cx="348869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00"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City, state and ZIP</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-130175</wp:posOffset>
            </wp:positionV>
            <wp:extent cx="34886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320" w:top="555" w:right="1219" w:bottom="1440" w:gutter="0" w:footer="0" w:header="0"/>
        </w:sectPr>
      </w:pPr>
    </w:p>
    <w:bookmarkStart w:id="278" w:name="page279"/>
    <w:bookmarkEnd w:id="278"/>
    <w:tbl>
      <w:tblPr>
        <w:tblLayout w:type="fixed"/>
        <w:tblInd w:w="0" w:type="dxa"/>
        <w:tblCellMar>
          <w:top w:w="0" w:type="dxa"/>
          <w:left w:w="0" w:type="dxa"/>
          <w:bottom w:w="0" w:type="dxa"/>
          <w:right w:w="0" w:type="dxa"/>
        </w:tblCellMar>
      </w:tblPr>
      <w:tr>
        <w:trPr>
          <w:trHeight w:val="256"/>
        </w:trPr>
        <w:tc>
          <w:tcPr>
            <w:tcW w:w="1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40" w:type="dxa"/>
            <w:vAlign w:val="bottom"/>
            <w:gridSpan w:val="2"/>
          </w:tcPr>
          <w:p>
            <w:pPr>
              <w:jc w:val="center"/>
              <w:ind w:right="1780"/>
              <w:spacing w:after="0"/>
              <w:rPr>
                <w:sz w:val="20"/>
                <w:szCs w:val="20"/>
                <w:color w:val="auto"/>
              </w:rPr>
            </w:pPr>
            <w:r>
              <w:rPr>
                <w:rFonts w:ascii="Arial" w:cs="Arial" w:eastAsia="Arial" w:hAnsi="Arial"/>
                <w:sz w:val="20"/>
                <w:szCs w:val="20"/>
                <w:b w:val="1"/>
                <w:bCs w:val="1"/>
                <w:color w:val="auto"/>
              </w:rPr>
              <w:t>EXHIBIT B</w:t>
            </w:r>
          </w:p>
        </w:tc>
      </w:tr>
      <w:tr>
        <w:trPr>
          <w:trHeight w:val="446"/>
        </w:trPr>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40" w:type="dxa"/>
            <w:vAlign w:val="bottom"/>
            <w:gridSpan w:val="2"/>
          </w:tcPr>
          <w:p>
            <w:pPr>
              <w:jc w:val="center"/>
              <w:ind w:right="1780"/>
              <w:spacing w:after="0"/>
              <w:rPr>
                <w:sz w:val="20"/>
                <w:szCs w:val="20"/>
                <w:color w:val="auto"/>
              </w:rPr>
            </w:pPr>
            <w:r>
              <w:rPr>
                <w:rFonts w:ascii="Arial" w:cs="Arial" w:eastAsia="Arial" w:hAnsi="Arial"/>
                <w:sz w:val="20"/>
                <w:szCs w:val="20"/>
                <w:b w:val="1"/>
                <w:bCs w:val="1"/>
                <w:color w:val="auto"/>
              </w:rPr>
              <w:t>ASSIGNMENT FORM</w:t>
            </w:r>
          </w:p>
        </w:tc>
      </w:tr>
      <w:tr>
        <w:trPr>
          <w:trHeight w:val="657"/>
        </w:trPr>
        <w:tc>
          <w:tcPr>
            <w:tcW w:w="1420" w:type="dxa"/>
            <w:vAlign w:val="bottom"/>
          </w:tcPr>
          <w:p>
            <w:pPr>
              <w:spacing w:after="0"/>
              <w:rPr>
                <w:sz w:val="20"/>
                <w:szCs w:val="20"/>
                <w:color w:val="auto"/>
              </w:rPr>
            </w:pPr>
            <w:r>
              <w:rPr>
                <w:rFonts w:ascii="Arial" w:cs="Arial" w:eastAsia="Arial" w:hAnsi="Arial"/>
                <w:sz w:val="20"/>
                <w:szCs w:val="20"/>
                <w:color w:val="auto"/>
              </w:rPr>
              <w:t>ASSIGNOR:</w:t>
            </w:r>
          </w:p>
        </w:tc>
        <w:tc>
          <w:tcPr>
            <w:tcW w:w="38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r>
      <w:tr>
        <w:trPr>
          <w:trHeight w:val="443"/>
        </w:trPr>
        <w:tc>
          <w:tcPr>
            <w:tcW w:w="1420" w:type="dxa"/>
            <w:vAlign w:val="bottom"/>
          </w:tcPr>
          <w:p>
            <w:pPr>
              <w:spacing w:after="0"/>
              <w:rPr>
                <w:sz w:val="20"/>
                <w:szCs w:val="20"/>
                <w:color w:val="auto"/>
              </w:rPr>
            </w:pPr>
            <w:r>
              <w:rPr>
                <w:rFonts w:ascii="Arial" w:cs="Arial" w:eastAsia="Arial" w:hAnsi="Arial"/>
                <w:sz w:val="20"/>
                <w:szCs w:val="20"/>
                <w:color w:val="auto"/>
              </w:rPr>
              <w:t>COMPANY:</w:t>
            </w:r>
          </w:p>
        </w:tc>
        <w:tc>
          <w:tcPr>
            <w:tcW w:w="9820" w:type="dxa"/>
            <w:vAlign w:val="bottom"/>
            <w:gridSpan w:val="3"/>
          </w:tcPr>
          <w:p>
            <w:pPr>
              <w:ind w:left="380"/>
              <w:spacing w:after="0"/>
              <w:rPr>
                <w:sz w:val="20"/>
                <w:szCs w:val="20"/>
                <w:color w:val="auto"/>
              </w:rPr>
            </w:pPr>
            <w:r>
              <w:rPr>
                <w:rFonts w:ascii="Arial" w:cs="Arial" w:eastAsia="Arial" w:hAnsi="Arial"/>
                <w:sz w:val="20"/>
                <w:szCs w:val="20"/>
                <w:color w:val="auto"/>
              </w:rPr>
              <w:t>ATHIRA PHARMA, INC.</w:t>
            </w:r>
          </w:p>
        </w:tc>
      </w:tr>
      <w:tr>
        <w:trPr>
          <w:trHeight w:val="425"/>
        </w:trPr>
        <w:tc>
          <w:tcPr>
            <w:tcW w:w="1420" w:type="dxa"/>
            <w:vAlign w:val="bottom"/>
          </w:tcPr>
          <w:p>
            <w:pPr>
              <w:spacing w:after="0"/>
              <w:rPr>
                <w:sz w:val="20"/>
                <w:szCs w:val="20"/>
                <w:color w:val="auto"/>
              </w:rPr>
            </w:pPr>
            <w:r>
              <w:rPr>
                <w:rFonts w:ascii="Arial" w:cs="Arial" w:eastAsia="Arial" w:hAnsi="Arial"/>
                <w:sz w:val="20"/>
                <w:szCs w:val="20"/>
                <w:color w:val="auto"/>
              </w:rPr>
              <w:t>WARRANT:</w:t>
            </w:r>
          </w:p>
        </w:tc>
        <w:tc>
          <w:tcPr>
            <w:tcW w:w="9820" w:type="dxa"/>
            <w:vAlign w:val="bottom"/>
            <w:gridSpan w:val="3"/>
          </w:tcPr>
          <w:p>
            <w:pPr>
              <w:ind w:left="380"/>
              <w:spacing w:after="0"/>
              <w:rPr>
                <w:sz w:val="20"/>
                <w:szCs w:val="20"/>
                <w:color w:val="auto"/>
              </w:rPr>
            </w:pPr>
            <w:r>
              <w:rPr>
                <w:rFonts w:ascii="Arial" w:cs="Arial" w:eastAsia="Arial" w:hAnsi="Arial"/>
                <w:sz w:val="20"/>
                <w:szCs w:val="20"/>
                <w:color w:val="auto"/>
                <w:w w:val="97"/>
              </w:rPr>
              <w:t>THE WARRANT TO PURCHASE SHARES OF SERIES B PREFERRED STOCK ISSUED ON MAY 29, 2020</w:t>
            </w:r>
          </w:p>
        </w:tc>
      </w:tr>
      <w:tr>
        <w:trPr>
          <w:trHeight w:val="250"/>
        </w:trPr>
        <w:tc>
          <w:tcPr>
            <w:tcW w:w="1420" w:type="dxa"/>
            <w:vAlign w:val="bottom"/>
          </w:tcPr>
          <w:p>
            <w:pPr>
              <w:spacing w:after="0"/>
              <w:rPr>
                <w:sz w:val="21"/>
                <w:szCs w:val="21"/>
                <w:color w:val="auto"/>
              </w:rPr>
            </w:pPr>
          </w:p>
        </w:tc>
        <w:tc>
          <w:tcPr>
            <w:tcW w:w="9820" w:type="dxa"/>
            <w:vAlign w:val="bottom"/>
            <w:gridSpan w:val="3"/>
          </w:tcPr>
          <w:p>
            <w:pPr>
              <w:ind w:left="380"/>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i w:val="1"/>
                <w:iCs w:val="1"/>
                <w:color w:val="auto"/>
              </w:rPr>
              <w:t>WARRANT</w:t>
            </w:r>
            <w:r>
              <w:rPr>
                <w:rFonts w:ascii="Arial" w:cs="Arial" w:eastAsia="Arial" w:hAnsi="Arial"/>
                <w:sz w:val="20"/>
                <w:szCs w:val="20"/>
                <w:color w:val="auto"/>
              </w:rPr>
              <w:t>”)</w:t>
            </w:r>
          </w:p>
        </w:tc>
      </w:tr>
      <w:tr>
        <w:trPr>
          <w:trHeight w:val="442"/>
        </w:trPr>
        <w:tc>
          <w:tcPr>
            <w:tcW w:w="1420" w:type="dxa"/>
            <w:vAlign w:val="bottom"/>
          </w:tcPr>
          <w:p>
            <w:pPr>
              <w:spacing w:after="0"/>
              <w:rPr>
                <w:sz w:val="20"/>
                <w:szCs w:val="20"/>
                <w:color w:val="auto"/>
              </w:rPr>
            </w:pPr>
            <w:r>
              <w:rPr>
                <w:rFonts w:ascii="Arial" w:cs="Arial" w:eastAsia="Arial" w:hAnsi="Arial"/>
                <w:sz w:val="20"/>
                <w:szCs w:val="20"/>
                <w:color w:val="auto"/>
              </w:rPr>
              <w:t>DATE:</w:t>
            </w:r>
          </w:p>
        </w:tc>
        <w:tc>
          <w:tcPr>
            <w:tcW w:w="38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5560" w:type="dxa"/>
            <w:vAlign w:val="bottom"/>
          </w:tcPr>
          <w:p>
            <w:pPr>
              <w:spacing w:after="0"/>
              <w:rPr>
                <w:sz w:val="24"/>
                <w:szCs w:val="24"/>
                <w:color w:val="auto"/>
              </w:rPr>
            </w:pPr>
          </w:p>
        </w:tc>
      </w:tr>
    </w:tbl>
    <w:p>
      <w:pPr>
        <w:spacing w:after="0" w:line="193" w:lineRule="exact"/>
        <w:rPr>
          <w:sz w:val="20"/>
          <w:szCs w:val="20"/>
          <w:color w:val="auto"/>
        </w:rPr>
      </w:pPr>
    </w:p>
    <w:p>
      <w:pPr>
        <w:ind w:left="840" w:hanging="832"/>
        <w:spacing w:after="0" w:line="293" w:lineRule="auto"/>
        <w:tabs>
          <w:tab w:leader="none" w:pos="840" w:val="left"/>
        </w:tabs>
        <w:numPr>
          <w:ilvl w:val="0"/>
          <w:numId w:val="204"/>
        </w:numPr>
        <w:rPr>
          <w:rFonts w:ascii="Arial" w:cs="Arial" w:eastAsia="Arial" w:hAnsi="Arial"/>
          <w:sz w:val="19"/>
          <w:szCs w:val="19"/>
          <w:color w:val="auto"/>
        </w:rPr>
      </w:pPr>
      <w:r>
        <w:rPr>
          <w:rFonts w:ascii="Arial" w:cs="Arial" w:eastAsia="Arial" w:hAnsi="Arial"/>
          <w:sz w:val="19"/>
          <w:szCs w:val="19"/>
          <w:b w:val="1"/>
          <w:bCs w:val="1"/>
          <w:color w:val="auto"/>
        </w:rPr>
        <w:t xml:space="preserve">Assignment. </w:t>
      </w:r>
      <w:r>
        <w:rPr>
          <w:rFonts w:ascii="Arial" w:cs="Arial" w:eastAsia="Arial" w:hAnsi="Arial"/>
          <w:sz w:val="19"/>
          <w:szCs w:val="19"/>
          <w:color w:val="auto"/>
        </w:rPr>
        <w:t>The undersigned registered holder of the Warrant (“</w:t>
      </w:r>
      <w:r>
        <w:rPr>
          <w:rFonts w:ascii="Arial" w:cs="Arial" w:eastAsia="Arial" w:hAnsi="Arial"/>
          <w:sz w:val="19"/>
          <w:szCs w:val="19"/>
          <w:b w:val="1"/>
          <w:bCs w:val="1"/>
          <w:i w:val="1"/>
          <w:iCs w:val="1"/>
          <w:color w:val="auto"/>
        </w:rPr>
        <w:t>Assignor</w:t>
      </w:r>
      <w:r>
        <w:rPr>
          <w:rFonts w:ascii="Arial" w:cs="Arial" w:eastAsia="Arial" w:hAnsi="Arial"/>
          <w:sz w:val="19"/>
          <w:szCs w:val="19"/>
          <w:color w:val="auto"/>
        </w:rPr>
        <w:t>”) assigns and transfers to the assignee named below</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i w:val="1"/>
          <w:iCs w:val="1"/>
          <w:color w:val="auto"/>
        </w:rPr>
        <w:t>Assignee</w:t>
      </w:r>
      <w:r>
        <w:rPr>
          <w:rFonts w:ascii="Arial" w:cs="Arial" w:eastAsia="Arial" w:hAnsi="Arial"/>
          <w:sz w:val="19"/>
          <w:szCs w:val="19"/>
          <w:color w:val="auto"/>
        </w:rPr>
        <w:t>”) all of the rights of Assignor under the Warrant, with respect to the number of shares set forth below:</w:t>
      </w:r>
    </w:p>
    <w:p>
      <w:pPr>
        <w:spacing w:after="0" w:line="377"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10160</wp:posOffset>
            </wp:positionV>
            <wp:extent cx="4834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209"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Address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301625</wp:posOffset>
            </wp:positionV>
            <wp:extent cx="48348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83489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10160</wp:posOffset>
            </wp:positionV>
            <wp:extent cx="4834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Number of Shares Assigned: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10160</wp:posOffset>
            </wp:positionV>
            <wp:extent cx="439737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2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and does irrevocably constitute and appoint ______________________ as attorney to make such transfer on the books of Athira</w:t>
      </w:r>
    </w:p>
    <w:p>
      <w:pPr>
        <w:spacing w:after="0" w:line="3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Pharma, Inc., maintained for the purpose, with full power of substitution in the premises.</w:t>
      </w:r>
    </w:p>
    <w:p>
      <w:pPr>
        <w:spacing w:after="0" w:line="194" w:lineRule="exact"/>
        <w:rPr>
          <w:sz w:val="20"/>
          <w:szCs w:val="20"/>
          <w:color w:val="auto"/>
        </w:rPr>
      </w:pPr>
    </w:p>
    <w:p>
      <w:pPr>
        <w:jc w:val="both"/>
        <w:ind w:left="840" w:hanging="832"/>
        <w:spacing w:after="0" w:line="294" w:lineRule="auto"/>
        <w:tabs>
          <w:tab w:leader="none" w:pos="840" w:val="left"/>
        </w:tabs>
        <w:numPr>
          <w:ilvl w:val="0"/>
          <w:numId w:val="205"/>
        </w:numPr>
        <w:rPr>
          <w:rFonts w:ascii="Arial" w:cs="Arial" w:eastAsia="Arial" w:hAnsi="Arial"/>
          <w:sz w:val="18"/>
          <w:szCs w:val="18"/>
          <w:color w:val="auto"/>
        </w:rPr>
      </w:pPr>
      <w:r>
        <w:rPr>
          <w:rFonts w:ascii="Arial" w:cs="Arial" w:eastAsia="Arial" w:hAnsi="Arial"/>
          <w:sz w:val="18"/>
          <w:szCs w:val="18"/>
          <w:b w:val="1"/>
          <w:bCs w:val="1"/>
          <w:color w:val="auto"/>
        </w:rPr>
        <w:t xml:space="preserve">Obligations of Assignee. </w:t>
      </w:r>
      <w:r>
        <w:rPr>
          <w:rFonts w:ascii="Arial" w:cs="Arial" w:eastAsia="Arial" w:hAnsi="Arial"/>
          <w:sz w:val="18"/>
          <w:szCs w:val="18"/>
          <w:color w:val="auto"/>
        </w:rPr>
        <w:t>Assignee agrees to take and hold the Warrant and any shares of stock to be issued upon exercise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thereunder (and any shares issuable upon conversion thereof)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subject to, and to be bound by, the terms and conditions set forth in the Warrant to the same extent as if Assignee were the original holder thereof.</w:t>
      </w:r>
    </w:p>
    <w:p>
      <w:pPr>
        <w:spacing w:after="0" w:line="143" w:lineRule="exact"/>
        <w:rPr>
          <w:rFonts w:ascii="Arial" w:cs="Arial" w:eastAsia="Arial" w:hAnsi="Arial"/>
          <w:sz w:val="18"/>
          <w:szCs w:val="18"/>
          <w:color w:val="auto"/>
        </w:rPr>
      </w:pPr>
    </w:p>
    <w:p>
      <w:pPr>
        <w:jc w:val="both"/>
        <w:ind w:left="840" w:hanging="832"/>
        <w:spacing w:after="0" w:line="262" w:lineRule="auto"/>
        <w:tabs>
          <w:tab w:leader="none" w:pos="840" w:val="left"/>
        </w:tabs>
        <w:numPr>
          <w:ilvl w:val="0"/>
          <w:numId w:val="205"/>
        </w:numPr>
        <w:rPr>
          <w:rFonts w:ascii="Arial" w:cs="Arial" w:eastAsia="Arial" w:hAnsi="Arial"/>
          <w:sz w:val="19"/>
          <w:szCs w:val="19"/>
          <w:color w:val="auto"/>
        </w:rPr>
      </w:pPr>
      <w:r>
        <w:rPr>
          <w:rFonts w:ascii="Arial" w:cs="Arial" w:eastAsia="Arial" w:hAnsi="Arial"/>
          <w:sz w:val="19"/>
          <w:szCs w:val="19"/>
          <w:b w:val="1"/>
          <w:bCs w:val="1"/>
          <w:color w:val="auto"/>
        </w:rPr>
        <w:t xml:space="preserve">Investment Intent. </w:t>
      </w:r>
      <w:r>
        <w:rPr>
          <w:rFonts w:ascii="Arial" w:cs="Arial" w:eastAsia="Arial" w:hAnsi="Arial"/>
          <w:sz w:val="19"/>
          <w:szCs w:val="19"/>
          <w:color w:val="auto"/>
        </w:rPr>
        <w:t>Assignee represents and warrants that the Securities are being acquired for investment for its own account, not</w:t>
      </w:r>
      <w:r>
        <w:rPr>
          <w:rFonts w:ascii="Arial" w:cs="Arial" w:eastAsia="Arial" w:hAnsi="Arial"/>
          <w:sz w:val="19"/>
          <w:szCs w:val="19"/>
          <w:b w:val="1"/>
          <w:bCs w:val="1"/>
          <w:color w:val="auto"/>
        </w:rPr>
        <w:t xml:space="preserve"> </w:t>
      </w:r>
      <w:r>
        <w:rPr>
          <w:rFonts w:ascii="Arial" w:cs="Arial" w:eastAsia="Arial" w:hAnsi="Arial"/>
          <w:sz w:val="19"/>
          <w:szCs w:val="19"/>
          <w:color w:val="auto"/>
        </w:rPr>
        <w:t>as a nominee or agent, and not with a view to, or for resale in connection with, the distribution thereof, and that Assignee has no present intention of selling, granting any participation in, or otherwise distributing the shares, nor does it have any contract, undertaking, agreement or arrangement for the same, and all representations and warranties set forth in Section 11 of the Warrant are true and correct as to Assignee as of the date hereof.</w:t>
      </w:r>
    </w:p>
    <w:p>
      <w:pPr>
        <w:spacing w:after="0" w:line="170" w:lineRule="exact"/>
        <w:rPr>
          <w:rFonts w:ascii="Arial" w:cs="Arial" w:eastAsia="Arial" w:hAnsi="Arial"/>
          <w:sz w:val="19"/>
          <w:szCs w:val="19"/>
          <w:color w:val="auto"/>
        </w:rPr>
      </w:pPr>
    </w:p>
    <w:p>
      <w:pPr>
        <w:jc w:val="both"/>
        <w:ind w:left="840" w:hanging="832"/>
        <w:spacing w:after="0" w:line="253" w:lineRule="auto"/>
        <w:tabs>
          <w:tab w:leader="none" w:pos="840" w:val="left"/>
        </w:tabs>
        <w:numPr>
          <w:ilvl w:val="0"/>
          <w:numId w:val="205"/>
        </w:numPr>
        <w:rPr>
          <w:rFonts w:ascii="Arial" w:cs="Arial" w:eastAsia="Arial" w:hAnsi="Arial"/>
          <w:sz w:val="20"/>
          <w:szCs w:val="20"/>
          <w:color w:val="auto"/>
        </w:rPr>
      </w:pPr>
      <w:r>
        <w:rPr>
          <w:rFonts w:ascii="Arial" w:cs="Arial" w:eastAsia="Arial" w:hAnsi="Arial"/>
          <w:sz w:val="20"/>
          <w:szCs w:val="20"/>
          <w:b w:val="1"/>
          <w:bCs w:val="1"/>
          <w:color w:val="auto"/>
        </w:rPr>
        <w:t xml:space="preserve">Investment Representation Statement and Market Stand-Off Agreement. </w:t>
      </w:r>
      <w:r>
        <w:rPr>
          <w:rFonts w:ascii="Arial" w:cs="Arial" w:eastAsia="Arial" w:hAnsi="Arial"/>
          <w:sz w:val="20"/>
          <w:szCs w:val="20"/>
          <w:color w:val="auto"/>
        </w:rPr>
        <w:t>Assignee has executed, and delivers herewith, an</w:t>
      </w:r>
      <w:r>
        <w:rPr>
          <w:rFonts w:ascii="Arial" w:cs="Arial" w:eastAsia="Arial" w:hAnsi="Arial"/>
          <w:sz w:val="20"/>
          <w:szCs w:val="20"/>
          <w:b w:val="1"/>
          <w:bCs w:val="1"/>
          <w:color w:val="auto"/>
        </w:rPr>
        <w:t xml:space="preserve"> </w:t>
      </w:r>
      <w:r>
        <w:rPr>
          <w:rFonts w:ascii="Arial" w:cs="Arial" w:eastAsia="Arial" w:hAnsi="Arial"/>
          <w:sz w:val="20"/>
          <w:szCs w:val="20"/>
          <w:color w:val="auto"/>
        </w:rPr>
        <w:t>Investment Representation Statement and Market Stand-Off Agreement in a form substantially similar to the form attached to the Warrant as Exhibit A-1.</w:t>
      </w:r>
    </w:p>
    <w:p>
      <w:pPr>
        <w:spacing w:after="0" w:line="177" w:lineRule="exact"/>
        <w:rPr>
          <w:rFonts w:ascii="Arial" w:cs="Arial" w:eastAsia="Arial" w:hAnsi="Arial"/>
          <w:sz w:val="20"/>
          <w:szCs w:val="20"/>
          <w:color w:val="auto"/>
        </w:rPr>
      </w:pPr>
    </w:p>
    <w:p>
      <w:pPr>
        <w:ind w:left="840" w:hanging="832"/>
        <w:spacing w:after="0" w:line="249" w:lineRule="auto"/>
        <w:tabs>
          <w:tab w:leader="none" w:pos="840" w:val="left"/>
        </w:tabs>
        <w:numPr>
          <w:ilvl w:val="0"/>
          <w:numId w:val="205"/>
        </w:numPr>
        <w:rPr>
          <w:rFonts w:ascii="Arial" w:cs="Arial" w:eastAsia="Arial" w:hAnsi="Arial"/>
          <w:sz w:val="20"/>
          <w:szCs w:val="20"/>
          <w:color w:val="auto"/>
        </w:rPr>
      </w:pPr>
      <w:r>
        <w:rPr>
          <w:rFonts w:ascii="Arial" w:cs="Arial" w:eastAsia="Arial" w:hAnsi="Arial"/>
          <w:sz w:val="20"/>
          <w:szCs w:val="20"/>
          <w:b w:val="1"/>
          <w:bCs w:val="1"/>
          <w:color w:val="auto"/>
        </w:rPr>
        <w:t xml:space="preserve">No “Bad Actor” Disqualification. </w:t>
      </w:r>
      <w:r>
        <w:rPr>
          <w:rFonts w:ascii="Arial" w:cs="Arial" w:eastAsia="Arial" w:hAnsi="Arial"/>
          <w:sz w:val="20"/>
          <w:szCs w:val="20"/>
          <w:color w:val="auto"/>
        </w:rPr>
        <w:t>Neither (i) Assignee, (ii) any of its directors, executive officers, other officers that may serve as</w:t>
      </w:r>
      <w:r>
        <w:rPr>
          <w:rFonts w:ascii="Arial" w:cs="Arial" w:eastAsia="Arial" w:hAnsi="Arial"/>
          <w:sz w:val="20"/>
          <w:szCs w:val="20"/>
          <w:b w:val="1"/>
          <w:bCs w:val="1"/>
          <w:color w:val="auto"/>
        </w:rPr>
        <w:t xml:space="preserve"> </w:t>
      </w:r>
      <w:r>
        <w:rPr>
          <w:rFonts w:ascii="Arial" w:cs="Arial" w:eastAsia="Arial" w:hAnsi="Arial"/>
          <w:sz w:val="20"/>
          <w:szCs w:val="20"/>
          <w:color w:val="auto"/>
        </w:rPr>
        <w:t>a director or officer of any company in which it invests, general partners</w:t>
      </w:r>
    </w:p>
    <w:p>
      <w:pPr>
        <w:spacing w:after="0" w:line="1" w:lineRule="exact"/>
        <w:rPr>
          <w:rFonts w:ascii="Arial" w:cs="Arial" w:eastAsia="Arial" w:hAnsi="Arial"/>
          <w:sz w:val="20"/>
          <w:szCs w:val="20"/>
          <w:color w:val="auto"/>
        </w:rPr>
      </w:pPr>
    </w:p>
    <w:p>
      <w:pPr>
        <w:ind w:left="5580" w:hanging="126"/>
        <w:spacing w:after="0" w:line="237" w:lineRule="auto"/>
        <w:tabs>
          <w:tab w:leader="none" w:pos="5580" w:val="left"/>
        </w:tabs>
        <w:numPr>
          <w:ilvl w:val="1"/>
          <w:numId w:val="205"/>
        </w:numPr>
        <w:rPr>
          <w:rFonts w:ascii="Arial" w:cs="Arial" w:eastAsia="Arial" w:hAnsi="Arial"/>
          <w:sz w:val="22"/>
          <w:szCs w:val="22"/>
          <w:color w:val="auto"/>
        </w:rPr>
      </w:pPr>
      <w:r>
        <w:rPr>
          <w:rFonts w:ascii="Arial" w:cs="Arial" w:eastAsia="Arial" w:hAnsi="Arial"/>
          <w:sz w:val="20"/>
          <w:szCs w:val="20"/>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49465"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79" w:name="page280"/>
    <w:bookmarkEnd w:id="279"/>
    <w:p>
      <w:pPr>
        <w:jc w:val="both"/>
        <w:ind w:left="840"/>
        <w:spacing w:after="0" w:line="263" w:lineRule="auto"/>
        <w:rPr>
          <w:sz w:val="20"/>
          <w:szCs w:val="20"/>
          <w:color w:val="auto"/>
        </w:rPr>
      </w:pPr>
      <w:r>
        <w:rPr>
          <w:rFonts w:ascii="Arial" w:cs="Arial" w:eastAsia="Arial" w:hAnsi="Arial"/>
          <w:sz w:val="19"/>
          <w:szCs w:val="19"/>
          <w:color w:val="auto"/>
        </w:rPr>
        <w:t>or managing members, nor (iii) any beneficial owner of any of the Company’s securities held or to be held by Assignee is subject to any of the “bad actor” disqualifications described in Rule 506(d)(1)(i) through (viii) under the Securities Act of 1933, as amended (the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except as set forth in Rule 506(d)(2)(ii) or (iii) or (d)(3) under the Securities Act and disclosed, reasonably in advance of the transfer of the Securities, in writing in reasonable detail to the Company.</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Assignor and Assignee are signing this Assignment Form on the date first set forth above.</w:t>
      </w:r>
    </w:p>
    <w:p>
      <w:pPr>
        <w:sectPr>
          <w:pgSz w:w="11900" w:h="16838" w:orient="portrait"/>
          <w:cols w:equalWidth="0" w:num="1">
            <w:col w:w="11240"/>
          </w:cols>
          <w:pgMar w:left="320" w:top="568" w:right="3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312864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660"/>
        <w:spacing w:after="0"/>
        <w:rPr>
          <w:sz w:val="20"/>
          <w:szCs w:val="20"/>
          <w:color w:val="auto"/>
        </w:rPr>
      </w:pPr>
      <w:r>
        <w:rPr>
          <w:rFonts w:ascii="Arial" w:cs="Arial" w:eastAsia="Arial" w:hAnsi="Arial"/>
          <w:sz w:val="16"/>
          <w:szCs w:val="16"/>
          <w:i w:val="1"/>
          <w:iCs w:val="1"/>
          <w:color w:val="auto"/>
        </w:rPr>
        <w:t>(Print name of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312864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720"/>
        <w:spacing w:after="0"/>
        <w:rPr>
          <w:sz w:val="20"/>
          <w:szCs w:val="20"/>
          <w:color w:val="auto"/>
        </w:rPr>
      </w:pPr>
      <w:r>
        <w:rPr>
          <w:rFonts w:ascii="Arial" w:cs="Arial" w:eastAsia="Arial" w:hAnsi="Arial"/>
          <w:sz w:val="16"/>
          <w:szCs w:val="16"/>
          <w:i w:val="1"/>
          <w:iCs w:val="1"/>
          <w:color w:val="auto"/>
        </w:rPr>
        <w:t>(Signature of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312864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right"/>
        <w:ind w:right="1180"/>
        <w:spacing w:after="0"/>
        <w:rPr>
          <w:sz w:val="20"/>
          <w:szCs w:val="20"/>
          <w:color w:val="auto"/>
        </w:rPr>
      </w:pPr>
      <w:r>
        <w:rPr>
          <w:rFonts w:ascii="Arial" w:cs="Arial" w:eastAsia="Arial" w:hAnsi="Arial"/>
          <w:sz w:val="16"/>
          <w:szCs w:val="16"/>
          <w:i w:val="1"/>
          <w:iCs w:val="1"/>
          <w:color w:val="auto"/>
        </w:rPr>
        <w:t>(Print name of signatory,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312864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260"/>
        <w:spacing w:after="0"/>
        <w:rPr>
          <w:sz w:val="20"/>
          <w:szCs w:val="20"/>
          <w:color w:val="auto"/>
        </w:rPr>
      </w:pPr>
      <w:r>
        <w:rPr>
          <w:rFonts w:ascii="Arial" w:cs="Arial" w:eastAsia="Arial" w:hAnsi="Arial"/>
          <w:sz w:val="15"/>
          <w:szCs w:val="15"/>
          <w:i w:val="1"/>
          <w:iCs w:val="1"/>
          <w:color w:val="auto"/>
        </w:rPr>
        <w:t>(Print title of signatory, if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288290</wp:posOffset>
            </wp:positionV>
            <wp:extent cx="355727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000"/>
        <w:spacing w:after="0"/>
        <w:rPr>
          <w:sz w:val="20"/>
          <w:szCs w:val="20"/>
          <w:color w:val="auto"/>
        </w:rPr>
      </w:pPr>
      <w:r>
        <w:rPr>
          <w:rFonts w:ascii="Arial" w:cs="Arial" w:eastAsia="Arial" w:hAnsi="Arial"/>
          <w:sz w:val="16"/>
          <w:szCs w:val="16"/>
          <w:i w:val="1"/>
          <w:iCs w:val="1"/>
          <w:color w:val="auto"/>
        </w:rPr>
        <w:t>(Print name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292100</wp:posOffset>
            </wp:positionV>
            <wp:extent cx="35572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040"/>
        <w:spacing w:after="0"/>
        <w:rPr>
          <w:sz w:val="20"/>
          <w:szCs w:val="20"/>
          <w:color w:val="auto"/>
        </w:rPr>
      </w:pPr>
      <w:r>
        <w:rPr>
          <w:rFonts w:ascii="Arial" w:cs="Arial" w:eastAsia="Arial" w:hAnsi="Arial"/>
          <w:sz w:val="16"/>
          <w:szCs w:val="16"/>
          <w:i w:val="1"/>
          <w:iCs w:val="1"/>
          <w:color w:val="auto"/>
        </w:rPr>
        <w:t>(Signature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292100</wp:posOffset>
            </wp:positionV>
            <wp:extent cx="355727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right"/>
        <w:ind w:right="1540"/>
        <w:spacing w:after="0"/>
        <w:rPr>
          <w:sz w:val="20"/>
          <w:szCs w:val="20"/>
          <w:color w:val="auto"/>
        </w:rPr>
      </w:pPr>
      <w:r>
        <w:rPr>
          <w:rFonts w:ascii="Arial" w:cs="Arial" w:eastAsia="Arial" w:hAnsi="Arial"/>
          <w:sz w:val="16"/>
          <w:szCs w:val="16"/>
          <w:i w:val="1"/>
          <w:iCs w:val="1"/>
          <w:color w:val="auto"/>
        </w:rPr>
        <w:t>(Print name of signatory,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292100</wp:posOffset>
            </wp:positionV>
            <wp:extent cx="355727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580"/>
        <w:spacing w:after="0"/>
        <w:rPr>
          <w:sz w:val="20"/>
          <w:szCs w:val="20"/>
          <w:color w:val="auto"/>
        </w:rPr>
      </w:pPr>
      <w:r>
        <w:rPr>
          <w:rFonts w:ascii="Arial" w:cs="Arial" w:eastAsia="Arial" w:hAnsi="Arial"/>
          <w:sz w:val="15"/>
          <w:szCs w:val="15"/>
          <w:i w:val="1"/>
          <w:iCs w:val="1"/>
          <w:color w:val="auto"/>
        </w:rPr>
        <w:t>(Print title of signatory, if applicable)</w:t>
      </w:r>
    </w:p>
    <w:p>
      <w:pPr>
        <w:spacing w:after="0" w:line="200" w:lineRule="exact"/>
        <w:rPr>
          <w:sz w:val="20"/>
          <w:szCs w:val="20"/>
          <w:color w:val="auto"/>
        </w:rPr>
      </w:pPr>
    </w:p>
    <w:p>
      <w:pPr>
        <w:sectPr>
          <w:pgSz w:w="11900" w:h="16838" w:orient="portrait"/>
          <w:cols w:equalWidth="0" w:num="2">
            <w:col w:w="4920" w:space="720"/>
            <w:col w:w="5600"/>
          </w:cols>
          <w:pgMar w:left="320" w:top="568" w:right="339" w:bottom="1440" w:gutter="0" w:footer="0" w:header="0"/>
          <w:type w:val="continuous"/>
        </w:sectPr>
      </w:pPr>
    </w:p>
    <w:p>
      <w:pPr>
        <w:spacing w:after="0" w:line="262" w:lineRule="exact"/>
        <w:rPr>
          <w:sz w:val="20"/>
          <w:szCs w:val="20"/>
          <w:color w:val="auto"/>
        </w:rPr>
      </w:pPr>
    </w:p>
    <w:p>
      <w:pPr>
        <w:spacing w:after="0"/>
        <w:tabs>
          <w:tab w:leader="none" w:pos="5620" w:val="left"/>
        </w:tabs>
        <w:rPr>
          <w:sz w:val="20"/>
          <w:szCs w:val="20"/>
          <w:color w:val="auto"/>
        </w:rPr>
      </w:pPr>
      <w:r>
        <w:rPr>
          <w:rFonts w:ascii="Arial" w:cs="Arial" w:eastAsia="Arial" w:hAnsi="Arial"/>
          <w:sz w:val="14"/>
          <w:szCs w:val="14"/>
          <w:color w:val="auto"/>
        </w:rPr>
        <w:t>Address:</w:t>
      </w:r>
      <w:r>
        <w:rPr>
          <w:sz w:val="20"/>
          <w:szCs w:val="20"/>
          <w:color w:val="auto"/>
        </w:rPr>
        <w:tab/>
      </w:r>
      <w:r>
        <w:rPr>
          <w:rFonts w:ascii="Arial" w:cs="Arial" w:eastAsia="Arial" w:hAnsi="Arial"/>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658495</wp:posOffset>
            </wp:positionV>
            <wp:extent cx="713232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13232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- 2 -</w:t>
      </w:r>
    </w:p>
    <w:p>
      <w:pPr>
        <w:sectPr>
          <w:pgSz w:w="11900" w:h="16838" w:orient="portrait"/>
          <w:cols w:equalWidth="0" w:num="1">
            <w:col w:w="11240"/>
          </w:cols>
          <w:pgMar w:left="320" w:top="568" w:right="339" w:bottom="1440" w:gutter="0" w:footer="0" w:header="0"/>
          <w:type w:val="continuous"/>
        </w:sectPr>
      </w:pPr>
    </w:p>
    <w:bookmarkStart w:id="280" w:name="page281"/>
    <w:bookmarkEnd w:id="280"/>
    <w:p>
      <w:pPr>
        <w:ind w:left="10240"/>
        <w:spacing w:after="0"/>
        <w:rPr>
          <w:sz w:val="20"/>
          <w:szCs w:val="20"/>
          <w:color w:val="auto"/>
        </w:rPr>
      </w:pPr>
      <w:r>
        <w:rPr>
          <w:rFonts w:ascii="Arial" w:cs="Arial" w:eastAsia="Arial" w:hAnsi="Arial"/>
          <w:sz w:val="19"/>
          <w:szCs w:val="19"/>
          <w:b w:val="1"/>
          <w:bCs w:val="1"/>
          <w:color w:val="auto"/>
        </w:rPr>
        <w:t>Exhibit 4.4</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OFFER AND SALE OF THIS WARRANT AND THE UNDERLYING SECURITIES HAVE NOT BEEN REGISTERED UNDER THE SECURITIES ACT OF 1933,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OR UNDER THE SECURITIES LAWS OF ANY STATE. THESE SECURITIES MAY NOT BE OFFERED, SOLD OR OTHERWISE TRANSFERRED, PLEDGED OR HYPOTHECATED EXCEPT AS PERMITTED UNDER THE ACT AND APPLICABLE STATE SECURITIES LAWS IN ACCORDANCE WITH APPLICABLE REGISTRATION REQUIREMENTS OR AN EXEMPTION THEREFROM. THE ISSUER OF THESE SECURITIES MAY REQUIRE AN OPINION OF COUNSEL REASONABLY SATISFACTORY TO THE ISSUER THAT SUCH OFFER, SALE, TRANSFER, PLEDGE OR HYPOTHECATION OTHERWISE COMPLIES WITH THE ACT AND ANY APPLICABLE STATE SECURITIES LAWS. THIS WARRANT MUST BE SURRENDERED TO THE COMPANY OR ITS TRANSFER AGENT AS A CONDITION PRECEDENT TO THE SALE, TRANSFER, PLEDGE OR HYPOTHECATION OF ANY INTEREST IN ANY OF THE SECURITIES REPRESENTED HEREBY.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WARRANT TO PURCHASE SHARES OF 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jc w:val="center"/>
        <w:spacing w:after="0"/>
        <w:rPr>
          <w:sz w:val="20"/>
          <w:szCs w:val="20"/>
          <w:color w:val="auto"/>
        </w:rPr>
      </w:pPr>
      <w:r>
        <w:rPr>
          <w:rFonts w:ascii="Arial" w:cs="Arial" w:eastAsia="Arial" w:hAnsi="Arial"/>
          <w:sz w:val="20"/>
          <w:szCs w:val="20"/>
          <w:b w:val="1"/>
          <w:bCs w:val="1"/>
          <w:color w:val="auto"/>
        </w:rPr>
        <w:t>ATHIRA PHARMA, INC.</w:t>
      </w:r>
    </w:p>
    <w:p>
      <w:pPr>
        <w:spacing w:after="0" w:line="194" w:lineRule="exact"/>
        <w:rPr>
          <w:sz w:val="20"/>
          <w:szCs w:val="20"/>
          <w:color w:val="auto"/>
        </w:rPr>
      </w:pPr>
    </w:p>
    <w:tbl>
      <w:tblPr>
        <w:tblLayout w:type="fixed"/>
        <w:tblInd w:w="4560" w:type="dxa"/>
        <w:tblCellMar>
          <w:top w:w="0" w:type="dxa"/>
          <w:left w:w="0" w:type="dxa"/>
          <w:bottom w:w="0" w:type="dxa"/>
          <w:right w:w="0" w:type="dxa"/>
        </w:tblCellMar>
      </w:tblPr>
      <w:tr>
        <w:trPr>
          <w:trHeight w:val="251"/>
        </w:trPr>
        <w:tc>
          <w:tcPr>
            <w:tcW w:w="1320" w:type="dxa"/>
            <w:vAlign w:val="bottom"/>
          </w:tcPr>
          <w:p>
            <w:pPr>
              <w:spacing w:after="0"/>
              <w:rPr>
                <w:sz w:val="20"/>
                <w:szCs w:val="20"/>
                <w:color w:val="auto"/>
              </w:rPr>
            </w:pPr>
            <w:r>
              <w:rPr>
                <w:rFonts w:ascii="Arial" w:cs="Arial" w:eastAsia="Arial" w:hAnsi="Arial"/>
                <w:sz w:val="20"/>
                <w:szCs w:val="20"/>
                <w:b w:val="1"/>
                <w:bCs w:val="1"/>
                <w:color w:val="auto"/>
              </w:rPr>
              <w:t>Dated as of [</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 2020</w:t>
            </w:r>
          </w:p>
        </w:tc>
      </w:tr>
    </w:tbl>
    <w:p>
      <w:pPr>
        <w:jc w:val="center"/>
        <w:spacing w:after="0"/>
        <w:rPr>
          <w:sz w:val="20"/>
          <w:szCs w:val="20"/>
          <w:color w:val="auto"/>
        </w:rPr>
      </w:pPr>
      <w:r>
        <w:rPr>
          <w:rFonts w:ascii="Arial" w:cs="Arial" w:eastAsia="Arial" w:hAnsi="Arial"/>
          <w:sz w:val="20"/>
          <w:szCs w:val="20"/>
          <w:b w:val="1"/>
          <w:bCs w:val="1"/>
          <w:color w:val="auto"/>
        </w:rPr>
        <w:t>Void after the date specified in Section 8</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Warrant to Purchase</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r>
        <w:rPr>
          <w:rFonts w:ascii="Arial" w:cs="Arial" w:eastAsia="Arial" w:hAnsi="Arial"/>
          <w:sz w:val="20"/>
          <w:szCs w:val="20"/>
          <w:b w:val="1"/>
          <w:bCs w:val="1"/>
          <w:color w:val="auto"/>
        </w:rPr>
        <w:t>] Shares of</w:t>
      </w:r>
    </w:p>
    <w:p>
      <w:pPr>
        <w:jc w:val="both"/>
        <w:ind w:left="9280" w:hanging="9275"/>
        <w:spacing w:after="0" w:line="382" w:lineRule="auto"/>
        <w:tabs>
          <w:tab w:leader="none" w:pos="9260" w:val="left"/>
        </w:tabs>
        <w:rPr>
          <w:sz w:val="20"/>
          <w:szCs w:val="20"/>
          <w:color w:val="auto"/>
        </w:rPr>
      </w:pPr>
      <w:r>
        <w:rPr>
          <w:rFonts w:ascii="Arial" w:cs="Arial" w:eastAsia="Arial" w:hAnsi="Arial"/>
          <w:sz w:val="20"/>
          <w:szCs w:val="20"/>
          <w:b w:val="1"/>
          <w:bCs w:val="1"/>
          <w:color w:val="auto"/>
        </w:rPr>
        <w:t>No. PBW-[</w:t>
      </w:r>
      <w:r>
        <w:rPr>
          <w:rFonts w:ascii="Arial" w:cs="Arial" w:eastAsia="Arial" w:hAnsi="Arial"/>
          <w:sz w:val="20"/>
          <w:szCs w:val="20"/>
          <w:color w:val="auto"/>
        </w:rPr>
        <w:t>•</w:t>
      </w:r>
      <w:r>
        <w:rPr>
          <w:rFonts w:ascii="Arial" w:cs="Arial" w:eastAsia="Arial" w:hAnsi="Arial"/>
          <w:sz w:val="20"/>
          <w:szCs w:val="20"/>
          <w:b w:val="1"/>
          <w:bCs w:val="1"/>
          <w:color w:val="auto"/>
        </w:rPr>
        <w:t>]</w:t>
      </w:r>
      <w:r>
        <w:rPr>
          <w:sz w:val="20"/>
          <w:szCs w:val="20"/>
          <w:color w:val="auto"/>
        </w:rPr>
        <w:tab/>
      </w:r>
      <w:r>
        <w:rPr>
          <w:rFonts w:ascii="Arial" w:cs="Arial" w:eastAsia="Arial" w:hAnsi="Arial"/>
          <w:sz w:val="16"/>
          <w:szCs w:val="16"/>
          <w:b w:val="1"/>
          <w:bCs w:val="1"/>
          <w:color w:val="auto"/>
        </w:rPr>
        <w:t>Common Stock (subject to adjustment)</w:t>
      </w:r>
    </w:p>
    <w:p>
      <w:pPr>
        <w:spacing w:after="0" w:line="87" w:lineRule="exact"/>
        <w:rPr>
          <w:sz w:val="20"/>
          <w:szCs w:val="20"/>
          <w:color w:val="auto"/>
        </w:rPr>
      </w:pPr>
    </w:p>
    <w:p>
      <w:pPr>
        <w:jc w:val="both"/>
        <w:ind w:firstLine="832"/>
        <w:spacing w:after="0" w:line="270" w:lineRule="auto"/>
        <w:rPr>
          <w:sz w:val="20"/>
          <w:szCs w:val="20"/>
          <w:color w:val="auto"/>
        </w:rPr>
      </w:pPr>
      <w:r>
        <w:rPr>
          <w:rFonts w:ascii="Arial" w:cs="Arial" w:eastAsia="Arial" w:hAnsi="Arial"/>
          <w:sz w:val="18"/>
          <w:szCs w:val="18"/>
          <w:color w:val="auto"/>
        </w:rPr>
        <w:t>THIS CERTIFIES THAT, for value received, [•], or its registered assigns (the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is entitled, subject to the provisions and upon the terms and conditions set forth herein, to purchase from Athira Pharma,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shares of the Company’s Common Stock, $0.0001 par value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in the amounts, at such times and at the price per share set forth in Section 1. The term “</w:t>
      </w:r>
      <w:r>
        <w:rPr>
          <w:rFonts w:ascii="Arial" w:cs="Arial" w:eastAsia="Arial" w:hAnsi="Arial"/>
          <w:sz w:val="18"/>
          <w:szCs w:val="18"/>
          <w:b w:val="1"/>
          <w:bCs w:val="1"/>
          <w:i w:val="1"/>
          <w:iCs w:val="1"/>
          <w:color w:val="auto"/>
        </w:rPr>
        <w:t>Warrant</w:t>
      </w:r>
      <w:r>
        <w:rPr>
          <w:rFonts w:ascii="Arial" w:cs="Arial" w:eastAsia="Arial" w:hAnsi="Arial"/>
          <w:sz w:val="18"/>
          <w:szCs w:val="18"/>
          <w:color w:val="auto"/>
        </w:rPr>
        <w:t>” as used herein shall include this Warrant and any warrants delivered in substitution or exchange therefor as provided herein. This Warrant is issued in connection with the transactions described in the Series B Preferred Stock, Series B-1 Preferred Stock and Warrant Purchase Agreement, dated as of May 29, 2020, by and among the Company and the purchasers described therein (the “</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”).The holder of this Warrant is subject to certain restrictions set forth in the Purchase Agreement, the Investor Rights Agreement, dated as of May 29, 2020, by and among the Company and the other parties named therein (the “</w:t>
      </w:r>
      <w:r>
        <w:rPr>
          <w:rFonts w:ascii="Arial" w:cs="Arial" w:eastAsia="Arial" w:hAnsi="Arial"/>
          <w:sz w:val="18"/>
          <w:szCs w:val="18"/>
          <w:b w:val="1"/>
          <w:bCs w:val="1"/>
          <w:i w:val="1"/>
          <w:iCs w:val="1"/>
          <w:color w:val="auto"/>
        </w:rPr>
        <w:t>Rights Agreement</w:t>
      </w:r>
      <w:r>
        <w:rPr>
          <w:rFonts w:ascii="Arial" w:cs="Arial" w:eastAsia="Arial" w:hAnsi="Arial"/>
          <w:sz w:val="18"/>
          <w:szCs w:val="18"/>
          <w:color w:val="auto"/>
        </w:rPr>
        <w:t>”), the Voting Agreement, dated as of May 29, 2020 by and among the Company and the other parties named therein (the “</w:t>
      </w:r>
      <w:r>
        <w:rPr>
          <w:rFonts w:ascii="Arial" w:cs="Arial" w:eastAsia="Arial" w:hAnsi="Arial"/>
          <w:sz w:val="18"/>
          <w:szCs w:val="18"/>
          <w:b w:val="1"/>
          <w:bCs w:val="1"/>
          <w:i w:val="1"/>
          <w:iCs w:val="1"/>
          <w:color w:val="auto"/>
        </w:rPr>
        <w:t>Voting Agreement</w:t>
      </w:r>
      <w:r>
        <w:rPr>
          <w:rFonts w:ascii="Arial" w:cs="Arial" w:eastAsia="Arial" w:hAnsi="Arial"/>
          <w:sz w:val="18"/>
          <w:szCs w:val="18"/>
          <w:color w:val="auto"/>
        </w:rPr>
        <w:t>”) and the Right of First Refusal and Co-Sale Agreement, dated as of May 29, 2020, by and among the Company and the other parties named therein (the “</w:t>
      </w:r>
      <w:r>
        <w:rPr>
          <w:rFonts w:ascii="Arial" w:cs="Arial" w:eastAsia="Arial" w:hAnsi="Arial"/>
          <w:sz w:val="18"/>
          <w:szCs w:val="18"/>
          <w:b w:val="1"/>
          <w:bCs w:val="1"/>
          <w:i w:val="1"/>
          <w:iCs w:val="1"/>
          <w:color w:val="auto"/>
        </w:rPr>
        <w:t>ROFR Co-Sale Agreement</w:t>
      </w:r>
      <w:r>
        <w:rPr>
          <w:rFonts w:ascii="Arial" w:cs="Arial" w:eastAsia="Arial" w:hAnsi="Arial"/>
          <w:sz w:val="18"/>
          <w:szCs w:val="18"/>
          <w:color w:val="auto"/>
        </w:rPr>
        <w:t>,” and together with the Purchase Agreement, the Rights Agreement and the Voting Agreement, the “</w:t>
      </w:r>
      <w:r>
        <w:rPr>
          <w:rFonts w:ascii="Arial" w:cs="Arial" w:eastAsia="Arial" w:hAnsi="Arial"/>
          <w:sz w:val="18"/>
          <w:szCs w:val="18"/>
          <w:b w:val="1"/>
          <w:bCs w:val="1"/>
          <w:i w:val="1"/>
          <w:iCs w:val="1"/>
          <w:color w:val="auto"/>
        </w:rPr>
        <w:t>Series B Transaction Documents</w:t>
      </w:r>
      <w:r>
        <w:rPr>
          <w:rFonts w:ascii="Arial" w:cs="Arial" w:eastAsia="Arial" w:hAnsi="Arial"/>
          <w:sz w:val="18"/>
          <w:szCs w:val="18"/>
          <w:color w:val="auto"/>
        </w:rPr>
        <w:t>”).</w:t>
      </w:r>
    </w:p>
    <w:p>
      <w:pPr>
        <w:spacing w:after="0" w:line="176" w:lineRule="exact"/>
        <w:rPr>
          <w:sz w:val="20"/>
          <w:szCs w:val="20"/>
          <w:color w:val="auto"/>
        </w:rPr>
      </w:pPr>
    </w:p>
    <w:p>
      <w:pPr>
        <w:jc w:val="both"/>
        <w:ind w:firstLine="832"/>
        <w:spacing w:after="0" w:line="260" w:lineRule="auto"/>
        <w:rPr>
          <w:sz w:val="20"/>
          <w:szCs w:val="20"/>
          <w:color w:val="auto"/>
        </w:rPr>
      </w:pPr>
      <w:r>
        <w:rPr>
          <w:rFonts w:ascii="Arial" w:cs="Arial" w:eastAsia="Arial" w:hAnsi="Arial"/>
          <w:sz w:val="20"/>
          <w:szCs w:val="20"/>
          <w:color w:val="auto"/>
        </w:rPr>
        <w:t>The following is a statement of the rights of the Holder and the conditions to which this Warrant is subject, and to which Holder, by acceptance of this Warrant, agrees:</w:t>
      </w:r>
    </w:p>
    <w:p>
      <w:pPr>
        <w:spacing w:after="0" w:line="171" w:lineRule="exact"/>
        <w:rPr>
          <w:sz w:val="20"/>
          <w:szCs w:val="20"/>
          <w:color w:val="auto"/>
        </w:rPr>
      </w:pPr>
    </w:p>
    <w:p>
      <w:pPr>
        <w:ind w:left="1640" w:hanging="800"/>
        <w:spacing w:after="0"/>
        <w:tabs>
          <w:tab w:leader="none" w:pos="1640" w:val="left"/>
        </w:tabs>
        <w:numPr>
          <w:ilvl w:val="0"/>
          <w:numId w:val="206"/>
        </w:numPr>
        <w:rPr>
          <w:rFonts w:ascii="Arial" w:cs="Arial" w:eastAsia="Arial" w:hAnsi="Arial"/>
          <w:sz w:val="20"/>
          <w:szCs w:val="20"/>
          <w:b w:val="1"/>
          <w:bCs w:val="1"/>
          <w:color w:val="auto"/>
        </w:rPr>
      </w:pPr>
      <w:r>
        <w:rPr>
          <w:rFonts w:ascii="Arial" w:cs="Arial" w:eastAsia="Arial" w:hAnsi="Arial"/>
          <w:sz w:val="20"/>
          <w:szCs w:val="20"/>
          <w:b w:val="1"/>
          <w:bCs w:val="1"/>
          <w:color w:val="auto"/>
        </w:rPr>
        <w:t>Number and Price of Shares; Exercise Period.</w:t>
      </w:r>
    </w:p>
    <w:p>
      <w:pPr>
        <w:spacing w:after="0" w:line="221" w:lineRule="exact"/>
        <w:rPr>
          <w:rFonts w:ascii="Arial" w:cs="Arial" w:eastAsia="Arial" w:hAnsi="Arial"/>
          <w:sz w:val="20"/>
          <w:szCs w:val="20"/>
          <w:b w:val="1"/>
          <w:bCs w:val="1"/>
          <w:color w:val="auto"/>
        </w:rPr>
      </w:pPr>
    </w:p>
    <w:p>
      <w:pPr>
        <w:ind w:firstLine="1671"/>
        <w:spacing w:after="0" w:line="260" w:lineRule="auto"/>
        <w:tabs>
          <w:tab w:leader="none" w:pos="2531" w:val="left"/>
        </w:tabs>
        <w:numPr>
          <w:ilvl w:val="1"/>
          <w:numId w:val="20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Number of Shares. </w:t>
      </w:r>
      <w:r>
        <w:rPr>
          <w:rFonts w:ascii="Arial" w:cs="Arial" w:eastAsia="Arial" w:hAnsi="Arial"/>
          <w:sz w:val="20"/>
          <w:szCs w:val="20"/>
          <w:color w:val="auto"/>
        </w:rPr>
        <w:t>Subject to any previous exercise of the Warrant, the Holder shall have the right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purchase up to [•] Shares, as may be adjusted pursuant hereto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49465"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81" w:name="page282"/>
    <w:bookmarkEnd w:id="281"/>
    <w:p>
      <w:pPr>
        <w:ind w:left="2560" w:hanging="889"/>
        <w:spacing w:after="0"/>
        <w:tabs>
          <w:tab w:leader="none" w:pos="2560" w:val="left"/>
        </w:tabs>
        <w:numPr>
          <w:ilvl w:val="2"/>
          <w:numId w:val="2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Exercise Price. </w:t>
      </w:r>
      <w:r>
        <w:rPr>
          <w:rFonts w:ascii="Arial" w:cs="Arial" w:eastAsia="Arial" w:hAnsi="Arial"/>
          <w:sz w:val="18"/>
          <w:szCs w:val="18"/>
          <w:color w:val="auto"/>
        </w:rPr>
        <w:t>The exercise price per Share shall be equal to $0.01, subject to adjustment pursuant hereto</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w:t>
      </w:r>
      <w:r>
        <w:rPr>
          <w:rFonts w:ascii="Arial" w:cs="Arial" w:eastAsia="Arial" w:hAnsi="Arial"/>
          <w:sz w:val="20"/>
          <w:szCs w:val="20"/>
          <w:b w:val="1"/>
          <w:bCs w:val="1"/>
          <w:i w:val="1"/>
          <w:iCs w:val="1"/>
          <w:color w:val="auto"/>
        </w:rPr>
        <w:t>Exercise Price</w:t>
      </w:r>
      <w:r>
        <w:rPr>
          <w:rFonts w:ascii="Arial" w:cs="Arial" w:eastAsia="Arial" w:hAnsi="Arial"/>
          <w:sz w:val="20"/>
          <w:szCs w:val="20"/>
          <w:color w:val="auto"/>
        </w:rPr>
        <w:t>”).</w:t>
      </w:r>
    </w:p>
    <w:p>
      <w:pPr>
        <w:spacing w:after="0" w:line="199" w:lineRule="exact"/>
        <w:rPr>
          <w:rFonts w:ascii="Arial" w:cs="Arial" w:eastAsia="Arial" w:hAnsi="Arial"/>
          <w:sz w:val="18"/>
          <w:szCs w:val="18"/>
          <w:color w:val="auto"/>
        </w:rPr>
      </w:pPr>
    </w:p>
    <w:p>
      <w:pPr>
        <w:ind w:firstLine="1671"/>
        <w:spacing w:after="0" w:line="260" w:lineRule="auto"/>
        <w:tabs>
          <w:tab w:leader="none" w:pos="2531" w:val="left"/>
        </w:tabs>
        <w:numPr>
          <w:ilvl w:val="2"/>
          <w:numId w:val="20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Exercise Period. </w:t>
      </w:r>
      <w:r>
        <w:rPr>
          <w:rFonts w:ascii="Arial" w:cs="Arial" w:eastAsia="Arial" w:hAnsi="Arial"/>
          <w:sz w:val="20"/>
          <w:szCs w:val="20"/>
          <w:color w:val="auto"/>
        </w:rPr>
        <w:t>This Warrant shall be exercisable, in whole or in part, prior to (or in connection with)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expiration of this Warrant as set forth in Section 8.</w:t>
      </w:r>
    </w:p>
    <w:p>
      <w:pPr>
        <w:spacing w:after="0" w:line="170" w:lineRule="exact"/>
        <w:rPr>
          <w:rFonts w:ascii="Arial" w:cs="Arial" w:eastAsia="Arial" w:hAnsi="Arial"/>
          <w:sz w:val="20"/>
          <w:szCs w:val="20"/>
          <w:color w:val="auto"/>
        </w:rPr>
      </w:pPr>
    </w:p>
    <w:p>
      <w:pPr>
        <w:ind w:left="1640" w:hanging="800"/>
        <w:spacing w:after="0"/>
        <w:tabs>
          <w:tab w:leader="none" w:pos="1640" w:val="left"/>
        </w:tabs>
        <w:numPr>
          <w:ilvl w:val="1"/>
          <w:numId w:val="208"/>
        </w:numPr>
        <w:rPr>
          <w:rFonts w:ascii="Arial" w:cs="Arial" w:eastAsia="Arial" w:hAnsi="Arial"/>
          <w:sz w:val="20"/>
          <w:szCs w:val="20"/>
          <w:b w:val="1"/>
          <w:bCs w:val="1"/>
          <w:color w:val="auto"/>
        </w:rPr>
      </w:pPr>
      <w:r>
        <w:rPr>
          <w:rFonts w:ascii="Arial" w:cs="Arial" w:eastAsia="Arial" w:hAnsi="Arial"/>
          <w:sz w:val="20"/>
          <w:szCs w:val="20"/>
          <w:b w:val="1"/>
          <w:bCs w:val="1"/>
          <w:color w:val="auto"/>
        </w:rPr>
        <w:t>Exercise of the Warrant.</w:t>
      </w:r>
    </w:p>
    <w:p>
      <w:pPr>
        <w:spacing w:after="0" w:line="221" w:lineRule="exact"/>
        <w:rPr>
          <w:rFonts w:ascii="Arial" w:cs="Arial" w:eastAsia="Arial" w:hAnsi="Arial"/>
          <w:sz w:val="20"/>
          <w:szCs w:val="20"/>
          <w:b w:val="1"/>
          <w:bCs w:val="1"/>
          <w:color w:val="auto"/>
        </w:rPr>
      </w:pPr>
    </w:p>
    <w:p>
      <w:pPr>
        <w:jc w:val="both"/>
        <w:ind w:firstLine="1671"/>
        <w:spacing w:after="0" w:line="291" w:lineRule="auto"/>
        <w:tabs>
          <w:tab w:leader="none" w:pos="2531" w:val="left"/>
        </w:tabs>
        <w:numPr>
          <w:ilvl w:val="2"/>
          <w:numId w:val="2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Exercise. </w:t>
      </w:r>
      <w:r>
        <w:rPr>
          <w:rFonts w:ascii="Arial" w:cs="Arial" w:eastAsia="Arial" w:hAnsi="Arial"/>
          <w:sz w:val="18"/>
          <w:szCs w:val="18"/>
          <w:color w:val="auto"/>
        </w:rPr>
        <w:t>The purchase rights represented by this Warrant may be exercised at the election of the Holder,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whole or in part, but not for less [•] Shares at a time (or such lesser number of Shares which may then constitute the maximum number purchasable pursuant to Section 1) (such number being subject to adjustment as provided in Section 6), in accordance with Section 1, by:</w:t>
      </w:r>
    </w:p>
    <w:p>
      <w:pPr>
        <w:spacing w:after="0" w:line="151" w:lineRule="exact"/>
        <w:rPr>
          <w:rFonts w:ascii="Arial" w:cs="Arial" w:eastAsia="Arial" w:hAnsi="Arial"/>
          <w:sz w:val="18"/>
          <w:szCs w:val="18"/>
          <w:color w:val="auto"/>
        </w:rPr>
      </w:pPr>
    </w:p>
    <w:p>
      <w:pPr>
        <w:jc w:val="both"/>
        <w:ind w:firstLine="2920"/>
        <w:spacing w:after="0" w:line="250" w:lineRule="auto"/>
        <w:tabs>
          <w:tab w:leader="none" w:pos="3747" w:val="left"/>
        </w:tabs>
        <w:numPr>
          <w:ilvl w:val="3"/>
          <w:numId w:val="208"/>
        </w:numPr>
        <w:rPr>
          <w:rFonts w:ascii="Arial" w:cs="Arial" w:eastAsia="Arial" w:hAnsi="Arial"/>
          <w:sz w:val="20"/>
          <w:szCs w:val="20"/>
          <w:color w:val="auto"/>
        </w:rPr>
      </w:pPr>
      <w:r>
        <w:rPr>
          <w:rFonts w:ascii="Arial" w:cs="Arial" w:eastAsia="Arial" w:hAnsi="Arial"/>
          <w:sz w:val="20"/>
          <w:szCs w:val="20"/>
          <w:color w:val="auto"/>
        </w:rPr>
        <w:t>the tender to the Company at its principal office (or such other office or agency as the Company may designate) of a notice of exercise in the form of Exhibit A (the “</w:t>
      </w:r>
      <w:r>
        <w:rPr>
          <w:rFonts w:ascii="Arial" w:cs="Arial" w:eastAsia="Arial" w:hAnsi="Arial"/>
          <w:sz w:val="20"/>
          <w:szCs w:val="20"/>
          <w:b w:val="1"/>
          <w:bCs w:val="1"/>
          <w:i w:val="1"/>
          <w:iCs w:val="1"/>
          <w:color w:val="auto"/>
        </w:rPr>
        <w:t>Notice of Exercise</w:t>
      </w:r>
      <w:r>
        <w:rPr>
          <w:rFonts w:ascii="Arial" w:cs="Arial" w:eastAsia="Arial" w:hAnsi="Arial"/>
          <w:sz w:val="20"/>
          <w:szCs w:val="20"/>
          <w:color w:val="auto"/>
        </w:rPr>
        <w:t>”), duly completed and executed by or on behalf of the Holder, together with the surrender of this Warrant; and</w:t>
      </w:r>
    </w:p>
    <w:p>
      <w:pPr>
        <w:spacing w:after="0" w:line="185" w:lineRule="exact"/>
        <w:rPr>
          <w:rFonts w:ascii="Arial" w:cs="Arial" w:eastAsia="Arial" w:hAnsi="Arial"/>
          <w:sz w:val="20"/>
          <w:szCs w:val="20"/>
          <w:color w:val="auto"/>
        </w:rPr>
      </w:pPr>
    </w:p>
    <w:p>
      <w:pPr>
        <w:ind w:left="3820" w:hanging="900"/>
        <w:spacing w:after="0"/>
        <w:tabs>
          <w:tab w:leader="none" w:pos="3820" w:val="left"/>
        </w:tabs>
        <w:numPr>
          <w:ilvl w:val="3"/>
          <w:numId w:val="208"/>
        </w:numPr>
        <w:rPr>
          <w:rFonts w:ascii="Arial" w:cs="Arial" w:eastAsia="Arial" w:hAnsi="Arial"/>
          <w:sz w:val="19"/>
          <w:szCs w:val="19"/>
          <w:color w:val="auto"/>
        </w:rPr>
      </w:pPr>
      <w:r>
        <w:rPr>
          <w:rFonts w:ascii="Arial" w:cs="Arial" w:eastAsia="Arial" w:hAnsi="Arial"/>
          <w:sz w:val="19"/>
          <w:szCs w:val="19"/>
          <w:color w:val="auto"/>
        </w:rPr>
        <w:t>the payment to the Company of an amount equal to (x) the Exercise Price multiplied by</w:t>
      </w:r>
    </w:p>
    <w:p>
      <w:pPr>
        <w:spacing w:after="0" w:line="27" w:lineRule="exact"/>
        <w:rPr>
          <w:rFonts w:ascii="Arial" w:cs="Arial" w:eastAsia="Arial" w:hAnsi="Arial"/>
          <w:sz w:val="19"/>
          <w:szCs w:val="19"/>
          <w:color w:val="auto"/>
        </w:rPr>
      </w:pPr>
    </w:p>
    <w:p>
      <w:pPr>
        <w:jc w:val="both"/>
        <w:ind w:firstLine="8"/>
        <w:spacing w:after="0" w:line="241" w:lineRule="auto"/>
        <w:tabs>
          <w:tab w:leader="none" w:pos="28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the number of Shares being purchased, by (a) wire transfer or certified, cashier’s or other check acceptable to the Company and payable to the order of the Company; (b) surrender and cancellation of promissory notes or other instruments representing indebtedness of the Company to the Holder; or (c) a combination of (a) and (b).</w:t>
      </w:r>
    </w:p>
    <w:p>
      <w:pPr>
        <w:spacing w:after="0" w:line="195" w:lineRule="exact"/>
        <w:rPr>
          <w:rFonts w:ascii="Arial" w:cs="Arial" w:eastAsia="Arial" w:hAnsi="Arial"/>
          <w:sz w:val="20"/>
          <w:szCs w:val="20"/>
          <w:color w:val="auto"/>
        </w:rPr>
      </w:pPr>
    </w:p>
    <w:p>
      <w:pPr>
        <w:jc w:val="both"/>
        <w:ind w:firstLine="1671"/>
        <w:spacing w:after="0" w:line="243" w:lineRule="auto"/>
        <w:tabs>
          <w:tab w:leader="none" w:pos="2542" w:val="left"/>
        </w:tabs>
        <w:numPr>
          <w:ilvl w:val="2"/>
          <w:numId w:val="20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Net Issue Exercise. </w:t>
      </w:r>
      <w:r>
        <w:rPr>
          <w:rFonts w:ascii="Arial" w:cs="Arial" w:eastAsia="Arial" w:hAnsi="Arial"/>
          <w:sz w:val="20"/>
          <w:szCs w:val="20"/>
          <w:color w:val="auto"/>
        </w:rPr>
        <w:t>In lieu of exercising this Warrant pursuant to Section 2(a)(ii), if the fair market value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one Share is greater than the Exercise Price (at the date of calculation as set forth below), the Holder may elect to receive a number of Shares equal to the value of this Warrant (or of any portion of this Warrant being canceled) by surrender of this Warrant at the principal office of the Company (or such other office or agency as the Company may designate) together with a properly completed and executed Notice of Exercise reflecting such election, in which event the Company shall issue to the Holder that number of Shares computed using the following formula:</w:t>
      </w:r>
    </w:p>
    <w:p>
      <w:pPr>
        <w:spacing w:after="0" w:line="196" w:lineRule="exact"/>
        <w:rPr>
          <w:sz w:val="20"/>
          <w:szCs w:val="20"/>
          <w:color w:val="auto"/>
        </w:rPr>
      </w:pPr>
    </w:p>
    <w:tbl>
      <w:tblPr>
        <w:tblLayout w:type="fixed"/>
        <w:tblInd w:w="3960" w:type="dxa"/>
        <w:tblCellMar>
          <w:top w:w="0" w:type="dxa"/>
          <w:left w:w="0" w:type="dxa"/>
          <w:bottom w:w="0" w:type="dxa"/>
          <w:right w:w="0" w:type="dxa"/>
        </w:tblCellMar>
      </w:tblPr>
      <w:tr>
        <w:trPr>
          <w:trHeight w:val="246"/>
        </w:trPr>
        <w:tc>
          <w:tcPr>
            <w:tcW w:w="540" w:type="dxa"/>
            <w:vAlign w:val="bottom"/>
            <w:vMerge w:val="restart"/>
          </w:tcPr>
          <w:p>
            <w:pPr>
              <w:spacing w:after="0"/>
              <w:rPr>
                <w:sz w:val="20"/>
                <w:szCs w:val="20"/>
                <w:color w:val="auto"/>
              </w:rPr>
            </w:pPr>
            <w:r>
              <w:rPr>
                <w:rFonts w:ascii="Arial" w:cs="Arial" w:eastAsia="Arial" w:hAnsi="Arial"/>
                <w:sz w:val="20"/>
                <w:szCs w:val="20"/>
                <w:color w:val="auto"/>
              </w:rPr>
              <w:t>X</w:t>
            </w:r>
          </w:p>
        </w:tc>
        <w:tc>
          <w:tcPr>
            <w:tcW w:w="820" w:type="dxa"/>
            <w:vAlign w:val="bottom"/>
            <w:vMerge w:val="restart"/>
          </w:tcPr>
          <w:p>
            <w:pPr>
              <w:jc w:val="right"/>
              <w:ind w:right="201"/>
              <w:spacing w:after="0"/>
              <w:rPr>
                <w:sz w:val="20"/>
                <w:szCs w:val="20"/>
                <w:color w:val="auto"/>
              </w:rPr>
            </w:pPr>
            <w:r>
              <w:rPr>
                <w:rFonts w:ascii="Arial" w:cs="Arial" w:eastAsia="Arial" w:hAnsi="Arial"/>
                <w:sz w:val="20"/>
                <w:szCs w:val="20"/>
                <w:color w:val="auto"/>
              </w:rPr>
              <w:t>=</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Y(A–B)</w:t>
            </w:r>
          </w:p>
        </w:tc>
        <w:tc>
          <w:tcPr>
            <w:tcW w:w="0" w:type="dxa"/>
            <w:vAlign w:val="bottom"/>
          </w:tcPr>
          <w:p>
            <w:pPr>
              <w:spacing w:after="0"/>
              <w:rPr>
                <w:sz w:val="1"/>
                <w:szCs w:val="1"/>
                <w:color w:val="auto"/>
              </w:rPr>
            </w:pPr>
          </w:p>
        </w:tc>
      </w:tr>
      <w:tr>
        <w:trPr>
          <w:trHeight w:val="92"/>
        </w:trPr>
        <w:tc>
          <w:tcPr>
            <w:tcW w:w="5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880" w:type="dxa"/>
            <w:vAlign w:val="bottom"/>
            <w:vMerge w:val="restart"/>
          </w:tcPr>
          <w:p>
            <w:pPr>
              <w:jc w:val="center"/>
              <w:spacing w:after="0"/>
              <w:rPr>
                <w:sz w:val="20"/>
                <w:szCs w:val="20"/>
                <w:color w:val="auto"/>
              </w:rPr>
            </w:pPr>
            <w:r>
              <w:rPr>
                <w:rFonts w:ascii="Arial" w:cs="Arial" w:eastAsia="Arial" w:hAnsi="Arial"/>
                <w:sz w:val="20"/>
                <w:szCs w:val="20"/>
                <w:color w:val="auto"/>
              </w:rPr>
              <w:t>A</w:t>
            </w: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Where:</w:t>
      </w:r>
    </w:p>
    <w:p>
      <w:pPr>
        <w:spacing w:after="0" w:line="324" w:lineRule="exact"/>
        <w:rPr>
          <w:sz w:val="20"/>
          <w:szCs w:val="20"/>
          <w:color w:val="auto"/>
        </w:rPr>
      </w:pPr>
    </w:p>
    <w:p>
      <w:pPr>
        <w:ind w:left="1960" w:hanging="612"/>
        <w:spacing w:after="0"/>
        <w:tabs>
          <w:tab w:leader="none" w:pos="1960" w:val="left"/>
        </w:tabs>
        <w:numPr>
          <w:ilvl w:val="0"/>
          <w:numId w:val="210"/>
        </w:numPr>
        <w:rPr>
          <w:rFonts w:ascii="Arial" w:cs="Arial" w:eastAsia="Arial" w:hAnsi="Arial"/>
          <w:sz w:val="20"/>
          <w:szCs w:val="20"/>
          <w:color w:val="auto"/>
        </w:rPr>
      </w:pPr>
      <w:r>
        <w:rPr>
          <w:rFonts w:ascii="Arial" w:cs="Arial" w:eastAsia="Arial" w:hAnsi="Arial"/>
          <w:sz w:val="20"/>
          <w:szCs w:val="20"/>
          <w:color w:val="auto"/>
        </w:rPr>
        <w:t>=  The number of Shares to be issued to the Holder</w:t>
      </w:r>
    </w:p>
    <w:p>
      <w:pPr>
        <w:spacing w:after="0" w:line="216" w:lineRule="exact"/>
        <w:rPr>
          <w:sz w:val="20"/>
          <w:szCs w:val="20"/>
          <w:color w:val="auto"/>
        </w:rPr>
      </w:pPr>
    </w:p>
    <w:p>
      <w:pPr>
        <w:ind w:left="2260" w:right="20" w:hanging="912"/>
        <w:spacing w:after="0" w:line="260" w:lineRule="auto"/>
        <w:tabs>
          <w:tab w:leader="none" w:pos="1955" w:val="left"/>
        </w:tabs>
        <w:numPr>
          <w:ilvl w:val="0"/>
          <w:numId w:val="211"/>
        </w:numPr>
        <w:rPr>
          <w:rFonts w:ascii="Arial" w:cs="Arial" w:eastAsia="Arial" w:hAnsi="Arial"/>
          <w:sz w:val="20"/>
          <w:szCs w:val="20"/>
          <w:color w:val="auto"/>
        </w:rPr>
      </w:pPr>
      <w:r>
        <w:rPr>
          <w:rFonts w:ascii="Arial" w:cs="Arial" w:eastAsia="Arial" w:hAnsi="Arial"/>
          <w:sz w:val="20"/>
          <w:szCs w:val="20"/>
          <w:color w:val="auto"/>
        </w:rPr>
        <w:t>= The number of Shares purchasable under this Warrant or, if only a portion of the Warrant is being exercised, the portion of the Warrant being canceled (at the date of such calculation)</w:t>
      </w:r>
    </w:p>
    <w:p>
      <w:pPr>
        <w:spacing w:after="0" w:line="177" w:lineRule="exact"/>
        <w:rPr>
          <w:sz w:val="20"/>
          <w:szCs w:val="20"/>
          <w:color w:val="auto"/>
        </w:rPr>
      </w:pPr>
    </w:p>
    <w:p>
      <w:pPr>
        <w:ind w:left="1960" w:hanging="612"/>
        <w:spacing w:after="0"/>
        <w:tabs>
          <w:tab w:leader="none" w:pos="1960" w:val="left"/>
        </w:tabs>
        <w:numPr>
          <w:ilvl w:val="0"/>
          <w:numId w:val="212"/>
        </w:numPr>
        <w:rPr>
          <w:rFonts w:ascii="Arial" w:cs="Arial" w:eastAsia="Arial" w:hAnsi="Arial"/>
          <w:sz w:val="20"/>
          <w:szCs w:val="20"/>
          <w:color w:val="auto"/>
        </w:rPr>
      </w:pPr>
      <w:r>
        <w:rPr>
          <w:rFonts w:ascii="Arial" w:cs="Arial" w:eastAsia="Arial" w:hAnsi="Arial"/>
          <w:sz w:val="20"/>
          <w:szCs w:val="20"/>
          <w:color w:val="auto"/>
        </w:rPr>
        <w:t>=  The fair market value of one Share (at the date of such calculation)</w:t>
      </w:r>
    </w:p>
    <w:p>
      <w:pPr>
        <w:spacing w:after="0" w:line="216" w:lineRule="exact"/>
        <w:rPr>
          <w:sz w:val="20"/>
          <w:szCs w:val="20"/>
          <w:color w:val="auto"/>
        </w:rPr>
      </w:pPr>
    </w:p>
    <w:p>
      <w:pPr>
        <w:ind w:left="1960" w:hanging="607"/>
        <w:spacing w:after="0"/>
        <w:tabs>
          <w:tab w:leader="none" w:pos="196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  The Exercise Price (as adjusted to the date of such calculation)</w:t>
      </w:r>
    </w:p>
    <w:p>
      <w:pPr>
        <w:spacing w:after="0" w:line="200" w:lineRule="exact"/>
        <w:rPr>
          <w:rFonts w:ascii="Arial" w:cs="Arial" w:eastAsia="Arial" w:hAnsi="Arial"/>
          <w:sz w:val="20"/>
          <w:szCs w:val="20"/>
          <w:color w:val="auto"/>
        </w:rPr>
      </w:pPr>
    </w:p>
    <w:p>
      <w:pPr>
        <w:spacing w:after="0" w:line="339" w:lineRule="exact"/>
        <w:rPr>
          <w:rFonts w:ascii="Arial" w:cs="Arial" w:eastAsia="Arial" w:hAnsi="Arial"/>
          <w:sz w:val="20"/>
          <w:szCs w:val="20"/>
          <w:color w:val="auto"/>
        </w:rPr>
      </w:pPr>
    </w:p>
    <w:p>
      <w:pPr>
        <w:ind w:left="5580" w:hanging="121"/>
        <w:spacing w:after="0"/>
        <w:tabs>
          <w:tab w:leader="none" w:pos="5580" w:val="left"/>
        </w:tabs>
        <w:numPr>
          <w:ilvl w:val="1"/>
          <w:numId w:val="213"/>
        </w:numPr>
        <w:rPr>
          <w:rFonts w:ascii="Arial" w:cs="Arial" w:eastAsia="Arial" w:hAnsi="Arial"/>
          <w:sz w:val="20"/>
          <w:szCs w:val="20"/>
          <w:color w:val="auto"/>
        </w:rPr>
      </w:pPr>
      <w:r>
        <w:rPr>
          <w:rFonts w:ascii="Arial" w:cs="Arial" w:eastAsia="Arial" w:hAnsi="Arial"/>
          <w:sz w:val="20"/>
          <w:szCs w:val="20"/>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82" w:name="page283"/>
    <w:bookmarkEnd w:id="282"/>
    <w:p>
      <w:pPr>
        <w:jc w:val="both"/>
        <w:ind w:firstLine="832"/>
        <w:spacing w:after="0" w:line="328" w:lineRule="auto"/>
        <w:rPr>
          <w:sz w:val="20"/>
          <w:szCs w:val="20"/>
          <w:color w:val="auto"/>
        </w:rPr>
      </w:pPr>
      <w:r>
        <w:rPr>
          <w:rFonts w:ascii="Arial" w:cs="Arial" w:eastAsia="Arial" w:hAnsi="Arial"/>
          <w:sz w:val="16"/>
          <w:szCs w:val="16"/>
          <w:color w:val="auto"/>
        </w:rPr>
        <w:t xml:space="preserve">For purposes of the calculation above, the fair market value of one Share shall be determined by the Board of Directors of the Company, acting in good faith;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Warrant is exercised in connection with the Company’s initial public offering of common stock, the fair market value per Share shall be the product of (x) the per share offering price to the public of the Company’s initial public offering and (y) the number of shares of common stock into which each Share is convertible at the time of such exercise, as applicable.</w:t>
      </w:r>
    </w:p>
    <w:p>
      <w:pPr>
        <w:spacing w:after="0" w:line="128" w:lineRule="exact"/>
        <w:rPr>
          <w:sz w:val="20"/>
          <w:szCs w:val="20"/>
          <w:color w:val="auto"/>
        </w:rPr>
      </w:pPr>
    </w:p>
    <w:p>
      <w:pPr>
        <w:jc w:val="both"/>
        <w:ind w:firstLine="1671"/>
        <w:spacing w:after="0" w:line="273" w:lineRule="auto"/>
        <w:tabs>
          <w:tab w:leader="none" w:pos="2531" w:val="left"/>
        </w:tabs>
        <w:numPr>
          <w:ilvl w:val="0"/>
          <w:numId w:val="2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 Certificates. </w:t>
      </w:r>
      <w:r>
        <w:rPr>
          <w:rFonts w:ascii="Arial" w:cs="Arial" w:eastAsia="Arial" w:hAnsi="Arial"/>
          <w:sz w:val="18"/>
          <w:szCs w:val="18"/>
          <w:color w:val="auto"/>
        </w:rPr>
        <w:t>The rights under this Warrant shall be deemed to have been exercised and the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issuable upon such exercise shall be deemed to have been issued immediately prior to the close of business on the date this Warrant is exercised in accordance with its terms, and the person entitled to receive the Shares issuable upon such exercise shall be treated for all purposes as the holder of record of such Shares as of the close of business on such date. As promptly as reasonably practicable on or after such date, and in any event within thirty (30) days thereafter, the Company shall issue and deliver to the person or persons entitled to receive the same a certificate or certificates (or an electronic Share ownership certificate through Carta ownership and equity management platform) for that number of shares issuable upon such exercise. In the event that the rights under this Warrant are exercised in part and have not expired, the Company shall execute and deliver a new Warrant reflecting the number of Shares that remain subject to this Warrant.</w:t>
      </w:r>
    </w:p>
    <w:p>
      <w:pPr>
        <w:spacing w:after="0" w:line="168" w:lineRule="exact"/>
        <w:rPr>
          <w:rFonts w:ascii="Arial" w:cs="Arial" w:eastAsia="Arial" w:hAnsi="Arial"/>
          <w:sz w:val="18"/>
          <w:szCs w:val="18"/>
          <w:color w:val="auto"/>
        </w:rPr>
      </w:pPr>
    </w:p>
    <w:p>
      <w:pPr>
        <w:jc w:val="both"/>
        <w:ind w:firstLine="1671"/>
        <w:spacing w:after="0" w:line="269" w:lineRule="auto"/>
        <w:tabs>
          <w:tab w:leader="none" w:pos="2542" w:val="left"/>
        </w:tabs>
        <w:numPr>
          <w:ilvl w:val="0"/>
          <w:numId w:val="21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 Fractional Shares or Scrip. </w:t>
      </w:r>
      <w:r>
        <w:rPr>
          <w:rFonts w:ascii="Arial" w:cs="Arial" w:eastAsia="Arial" w:hAnsi="Arial"/>
          <w:sz w:val="19"/>
          <w:szCs w:val="19"/>
          <w:color w:val="auto"/>
        </w:rPr>
        <w:t>No fractional Shares or scrip representing fractional Shares shall be issued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upon the exercise of the rights under this Warrant. In lieu of such fractional Share to which the Holder would otherwise be entitled, the Company shall make a cash payment equal to the then fair market value of a Share multiplied by such fraction.</w:t>
      </w:r>
    </w:p>
    <w:p>
      <w:pPr>
        <w:spacing w:after="0" w:line="169" w:lineRule="exact"/>
        <w:rPr>
          <w:rFonts w:ascii="Arial" w:cs="Arial" w:eastAsia="Arial" w:hAnsi="Arial"/>
          <w:sz w:val="19"/>
          <w:szCs w:val="19"/>
          <w:color w:val="auto"/>
        </w:rPr>
      </w:pPr>
    </w:p>
    <w:p>
      <w:pPr>
        <w:jc w:val="both"/>
        <w:ind w:firstLine="1671"/>
        <w:spacing w:after="0" w:line="250" w:lineRule="auto"/>
        <w:tabs>
          <w:tab w:leader="none" w:pos="2531" w:val="left"/>
        </w:tabs>
        <w:numPr>
          <w:ilvl w:val="0"/>
          <w:numId w:val="21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Conditional Exercise. </w:t>
      </w:r>
      <w:r>
        <w:rPr>
          <w:rFonts w:ascii="Arial" w:cs="Arial" w:eastAsia="Arial" w:hAnsi="Arial"/>
          <w:sz w:val="20"/>
          <w:szCs w:val="20"/>
          <w:color w:val="auto"/>
        </w:rPr>
        <w:t>The Holder may exercise this Warrant conditioned upon (and effective immediately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prior to) consummation of any transaction that would cause the expiration of this Warrant pursuant to Section 8 by so indicating in the Notice of Exercise.</w:t>
      </w:r>
    </w:p>
    <w:p>
      <w:pPr>
        <w:spacing w:after="0" w:line="185" w:lineRule="exact"/>
        <w:rPr>
          <w:rFonts w:ascii="Arial" w:cs="Arial" w:eastAsia="Arial" w:hAnsi="Arial"/>
          <w:sz w:val="20"/>
          <w:szCs w:val="20"/>
          <w:color w:val="auto"/>
        </w:rPr>
      </w:pPr>
    </w:p>
    <w:p>
      <w:pPr>
        <w:jc w:val="both"/>
        <w:ind w:firstLine="1671"/>
        <w:spacing w:after="0" w:line="276" w:lineRule="auto"/>
        <w:tabs>
          <w:tab w:leader="none" w:pos="2509" w:val="left"/>
        </w:tabs>
        <w:numPr>
          <w:ilvl w:val="0"/>
          <w:numId w:val="2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Automatic Exercise. </w:t>
      </w:r>
      <w:r>
        <w:rPr>
          <w:rFonts w:ascii="Arial" w:cs="Arial" w:eastAsia="Arial" w:hAnsi="Arial"/>
          <w:sz w:val="18"/>
          <w:szCs w:val="18"/>
          <w:color w:val="auto"/>
        </w:rPr>
        <w:t>If the Holder of this Warrant has not elected to exercise this Warrant prior to expiration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this Warrant pursuant to Section 8, then this Warrant shall automatically (without any act on the part of the Holder) be exercised pursuant to Section 2(b) effective immediately prior to the expiration of the Warrant to the extent such net issue exercise would result in the issuance of Shares, unless Holder shall earlier provide written notice to the Company that the Holder desires that this Warrant expire unexercised. If this Warrant is automatically exercised, the Company shall notify the Holder of the automatic exercise as soon as reasonably practicable, and the Holder shall surrender the Warrant to the Company in accordance with the terms hereof.</w:t>
      </w:r>
    </w:p>
    <w:p>
      <w:pPr>
        <w:spacing w:after="0" w:line="164" w:lineRule="exact"/>
        <w:rPr>
          <w:rFonts w:ascii="Arial" w:cs="Arial" w:eastAsia="Arial" w:hAnsi="Arial"/>
          <w:sz w:val="18"/>
          <w:szCs w:val="18"/>
          <w:color w:val="auto"/>
        </w:rPr>
      </w:pPr>
    </w:p>
    <w:p>
      <w:pPr>
        <w:jc w:val="both"/>
        <w:ind w:firstLine="1671"/>
        <w:spacing w:after="0" w:line="256" w:lineRule="auto"/>
        <w:tabs>
          <w:tab w:leader="none" w:pos="2542" w:val="left"/>
        </w:tabs>
        <w:numPr>
          <w:ilvl w:val="0"/>
          <w:numId w:val="21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Reservation of Stock. </w:t>
      </w:r>
      <w:r>
        <w:rPr>
          <w:rFonts w:ascii="Arial" w:cs="Arial" w:eastAsia="Arial" w:hAnsi="Arial"/>
          <w:sz w:val="19"/>
          <w:szCs w:val="19"/>
          <w:color w:val="auto"/>
        </w:rPr>
        <w:t>The Company agrees during the term the rights under this Warrant are exercisable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take all reasonable action to reserve and keep available from its authorized and unissued shares of common stock for the purpose of effecting the exercise of this Warrant such number of shares as shall from time to time be sufficient to effect the exercise of the rights under this Warrant; and if at any time the number of authorized but unissued shares of common stock shall not be sufficient for purposes of the exercise of this Warrant in accordance with its terms, without limitation of such other remedies as may be available to the Holder, the Company will use its best efforts to take such corporate action as may, in the opinion of counsel, be necessary to increase its authorized and unissued shares of its common stock to a number of shares as shall be sufficient for such purposes. The Company represents and warrants that all Shares that may be issued upon the exercise of this Warrant will, when issued in accordance with the terms hereof, be validly issued, fully paid and nonassessable.</w:t>
      </w:r>
    </w:p>
    <w:p>
      <w:pPr>
        <w:spacing w:after="0" w:line="184" w:lineRule="exact"/>
        <w:rPr>
          <w:rFonts w:ascii="Arial" w:cs="Arial" w:eastAsia="Arial" w:hAnsi="Arial"/>
          <w:sz w:val="19"/>
          <w:szCs w:val="19"/>
          <w:color w:val="auto"/>
        </w:rPr>
      </w:pPr>
    </w:p>
    <w:p>
      <w:pPr>
        <w:ind w:left="5580" w:hanging="121"/>
        <w:spacing w:after="0"/>
        <w:tabs>
          <w:tab w:leader="none" w:pos="5580" w:val="left"/>
        </w:tabs>
        <w:numPr>
          <w:ilvl w:val="1"/>
          <w:numId w:val="214"/>
        </w:numPr>
        <w:rPr>
          <w:rFonts w:ascii="Arial" w:cs="Arial" w:eastAsia="Arial" w:hAnsi="Arial"/>
          <w:sz w:val="20"/>
          <w:szCs w:val="20"/>
          <w:color w:val="auto"/>
        </w:rPr>
      </w:pPr>
      <w:r>
        <w:rPr>
          <w:rFonts w:ascii="Arial" w:cs="Arial" w:eastAsia="Arial" w:hAnsi="Arial"/>
          <w:sz w:val="20"/>
          <w:szCs w:val="20"/>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83" w:name="page284"/>
    <w:bookmarkEnd w:id="283"/>
    <w:p>
      <w:pPr>
        <w:jc w:val="both"/>
        <w:ind w:left="-840" w:firstLine="840"/>
        <w:spacing w:after="0" w:line="285" w:lineRule="auto"/>
        <w:tabs>
          <w:tab w:leader="none" w:pos="788" w:val="left"/>
        </w:tabs>
        <w:numPr>
          <w:ilvl w:val="0"/>
          <w:numId w:val="215"/>
        </w:numPr>
        <w:rPr>
          <w:rFonts w:ascii="Arial" w:cs="Arial" w:eastAsia="Arial" w:hAnsi="Arial"/>
          <w:sz w:val="18"/>
          <w:szCs w:val="18"/>
          <w:color w:val="auto"/>
        </w:rPr>
      </w:pPr>
      <w:r>
        <w:rPr>
          <w:rFonts w:ascii="Arial" w:cs="Arial" w:eastAsia="Arial" w:hAnsi="Arial"/>
          <w:sz w:val="18"/>
          <w:szCs w:val="18"/>
          <w:b w:val="1"/>
          <w:bCs w:val="1"/>
          <w:color w:val="auto"/>
        </w:rPr>
        <w:t xml:space="preserve">Replacement of the Warrant. </w:t>
      </w:r>
      <w:r>
        <w:rPr>
          <w:rFonts w:ascii="Arial" w:cs="Arial" w:eastAsia="Arial" w:hAnsi="Arial"/>
          <w:sz w:val="18"/>
          <w:szCs w:val="18"/>
          <w:color w:val="auto"/>
        </w:rPr>
        <w:t>Subject to the receipt of evidence reasonably satisfactory to the Company of the loss,</w:t>
      </w:r>
      <w:r>
        <w:rPr>
          <w:rFonts w:ascii="Arial" w:cs="Arial" w:eastAsia="Arial" w:hAnsi="Arial"/>
          <w:sz w:val="18"/>
          <w:szCs w:val="18"/>
          <w:b w:val="1"/>
          <w:bCs w:val="1"/>
          <w:color w:val="auto"/>
        </w:rPr>
        <w:t xml:space="preserve"> </w:t>
      </w:r>
      <w:r>
        <w:rPr>
          <w:rFonts w:ascii="Arial" w:cs="Arial" w:eastAsia="Arial" w:hAnsi="Arial"/>
          <w:sz w:val="18"/>
          <w:szCs w:val="18"/>
          <w:color w:val="auto"/>
        </w:rPr>
        <w:t>theft, destruction or mutilation of this Warrant and, in the case of loss, theft or destruction, on delivery of an indemnity agreement reasonably satisfactory in form and substance to the Company or, in the case of mutilation, on surrender and cancellation of this Warrant, the Company at the expense of the Holder shall execute and deliver, in lieu of this Warrant, a new warrant of like tenor and amount.</w:t>
      </w:r>
    </w:p>
    <w:p>
      <w:pPr>
        <w:spacing w:after="0" w:line="150" w:lineRule="exact"/>
        <w:rPr>
          <w:rFonts w:ascii="Arial" w:cs="Arial" w:eastAsia="Arial" w:hAnsi="Arial"/>
          <w:sz w:val="18"/>
          <w:szCs w:val="18"/>
          <w:color w:val="auto"/>
        </w:rPr>
      </w:pPr>
    </w:p>
    <w:p>
      <w:pPr>
        <w:ind w:left="800" w:hanging="800"/>
        <w:spacing w:after="0"/>
        <w:tabs>
          <w:tab w:leader="none" w:pos="800" w:val="left"/>
        </w:tabs>
        <w:numPr>
          <w:ilvl w:val="0"/>
          <w:numId w:val="215"/>
        </w:numPr>
        <w:rPr>
          <w:rFonts w:ascii="Arial" w:cs="Arial" w:eastAsia="Arial" w:hAnsi="Arial"/>
          <w:sz w:val="20"/>
          <w:szCs w:val="20"/>
          <w:b w:val="1"/>
          <w:bCs w:val="1"/>
          <w:color w:val="auto"/>
        </w:rPr>
      </w:pPr>
      <w:r>
        <w:rPr>
          <w:rFonts w:ascii="Arial" w:cs="Arial" w:eastAsia="Arial" w:hAnsi="Arial"/>
          <w:sz w:val="20"/>
          <w:szCs w:val="20"/>
          <w:b w:val="1"/>
          <w:bCs w:val="1"/>
          <w:color w:val="auto"/>
        </w:rPr>
        <w:t>Transfer of the Warrant.</w:t>
      </w:r>
    </w:p>
    <w:p>
      <w:pPr>
        <w:spacing w:after="0" w:line="221" w:lineRule="exact"/>
        <w:rPr>
          <w:rFonts w:ascii="Arial" w:cs="Arial" w:eastAsia="Arial" w:hAnsi="Arial"/>
          <w:sz w:val="20"/>
          <w:szCs w:val="20"/>
          <w:b w:val="1"/>
          <w:bCs w:val="1"/>
          <w:color w:val="auto"/>
        </w:rPr>
      </w:pPr>
    </w:p>
    <w:p>
      <w:pPr>
        <w:jc w:val="both"/>
        <w:ind w:left="-840" w:firstLine="1671"/>
        <w:spacing w:after="0" w:line="244" w:lineRule="auto"/>
        <w:tabs>
          <w:tab w:leader="none" w:pos="1691" w:val="left"/>
        </w:tabs>
        <w:numPr>
          <w:ilvl w:val="1"/>
          <w:numId w:val="21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Warrant Register. </w:t>
      </w:r>
      <w:r>
        <w:rPr>
          <w:rFonts w:ascii="Arial" w:cs="Arial" w:eastAsia="Arial" w:hAnsi="Arial"/>
          <w:sz w:val="20"/>
          <w:szCs w:val="20"/>
          <w:color w:val="auto"/>
        </w:rPr>
        <w:t>The Company shall maintain a register (the “</w:t>
      </w:r>
      <w:r>
        <w:rPr>
          <w:rFonts w:ascii="Arial" w:cs="Arial" w:eastAsia="Arial" w:hAnsi="Arial"/>
          <w:sz w:val="20"/>
          <w:szCs w:val="20"/>
          <w:b w:val="1"/>
          <w:bCs w:val="1"/>
          <w:i w:val="1"/>
          <w:iCs w:val="1"/>
          <w:color w:val="auto"/>
        </w:rPr>
        <w:t>Warrant Register</w:t>
      </w:r>
      <w:r>
        <w:rPr>
          <w:rFonts w:ascii="Arial" w:cs="Arial" w:eastAsia="Arial" w:hAnsi="Arial"/>
          <w:sz w:val="20"/>
          <w:szCs w:val="20"/>
          <w:color w:val="auto"/>
        </w:rPr>
        <w:t>”) containing the name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address of the Holder or Holders. Until this Warrant is transferred on the Warrant Register in accordance herewith, the Company may treat the Holder as shown on the Warrant Register as the absolute owner of this Warrant for all purposes, notwithstanding any notice to the contrary. Any Holder of this Warrant (or of any portion of this Warrant) may change its address as shown on the Warrant Register by written notice to the Company requesting a change.</w:t>
      </w:r>
    </w:p>
    <w:p>
      <w:pPr>
        <w:spacing w:after="0" w:line="194" w:lineRule="exact"/>
        <w:rPr>
          <w:rFonts w:ascii="Arial" w:cs="Arial" w:eastAsia="Arial" w:hAnsi="Arial"/>
          <w:sz w:val="20"/>
          <w:szCs w:val="20"/>
          <w:color w:val="auto"/>
        </w:rPr>
      </w:pPr>
    </w:p>
    <w:p>
      <w:pPr>
        <w:jc w:val="both"/>
        <w:ind w:left="-840" w:firstLine="1671"/>
        <w:spacing w:after="0" w:line="250" w:lineRule="auto"/>
        <w:tabs>
          <w:tab w:leader="none" w:pos="1702" w:val="left"/>
        </w:tabs>
        <w:numPr>
          <w:ilvl w:val="1"/>
          <w:numId w:val="21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Warrant Agent. </w:t>
      </w:r>
      <w:r>
        <w:rPr>
          <w:rFonts w:ascii="Arial" w:cs="Arial" w:eastAsia="Arial" w:hAnsi="Arial"/>
          <w:sz w:val="20"/>
          <w:szCs w:val="20"/>
          <w:color w:val="auto"/>
        </w:rPr>
        <w:t>The Company may appoint an agent for the purpose of maintaining the Warrant Register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referred to in Section 4(a), issuing the Shares or other securities then issuable upon the exercise of the rights under this Warrant, exchanging this Warrant, replacing this Warrant or conducting related activities.</w:t>
      </w:r>
    </w:p>
    <w:p>
      <w:pPr>
        <w:spacing w:after="0" w:line="185" w:lineRule="exact"/>
        <w:rPr>
          <w:rFonts w:ascii="Arial" w:cs="Arial" w:eastAsia="Arial" w:hAnsi="Arial"/>
          <w:sz w:val="20"/>
          <w:szCs w:val="20"/>
          <w:color w:val="auto"/>
        </w:rPr>
      </w:pPr>
    </w:p>
    <w:p>
      <w:pPr>
        <w:jc w:val="both"/>
        <w:ind w:left="-840" w:firstLine="1671"/>
        <w:spacing w:after="0" w:line="244" w:lineRule="auto"/>
        <w:tabs>
          <w:tab w:leader="none" w:pos="1691" w:val="left"/>
        </w:tabs>
        <w:numPr>
          <w:ilvl w:val="1"/>
          <w:numId w:val="21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Transferability of the Warrant. </w:t>
      </w:r>
      <w:r>
        <w:rPr>
          <w:rFonts w:ascii="Arial" w:cs="Arial" w:eastAsia="Arial" w:hAnsi="Arial"/>
          <w:sz w:val="20"/>
          <w:szCs w:val="20"/>
          <w:color w:val="auto"/>
        </w:rPr>
        <w:t>Subject to the provisions of this Warrant with respect to compliance with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Securities Act of 1933, as amended (the “</w:t>
      </w:r>
      <w:r>
        <w:rPr>
          <w:rFonts w:ascii="Arial" w:cs="Arial" w:eastAsia="Arial" w:hAnsi="Arial"/>
          <w:sz w:val="20"/>
          <w:szCs w:val="20"/>
          <w:b w:val="1"/>
          <w:bCs w:val="1"/>
          <w:i w:val="1"/>
          <w:iCs w:val="1"/>
          <w:color w:val="auto"/>
        </w:rPr>
        <w:t>Securities Act</w:t>
      </w:r>
      <w:r>
        <w:rPr>
          <w:rFonts w:ascii="Arial" w:cs="Arial" w:eastAsia="Arial" w:hAnsi="Arial"/>
          <w:sz w:val="20"/>
          <w:szCs w:val="20"/>
          <w:color w:val="auto"/>
        </w:rPr>
        <w:t>”) and limitations on assignments and transfers, including without limitation compliance with the restrictions on transfer set forth in Section 5, title to this Warrant may be transferred by endorsement (by the transferor and the transferee executing the assignment form attached as Exhibit B (the “</w:t>
      </w:r>
      <w:r>
        <w:rPr>
          <w:rFonts w:ascii="Arial" w:cs="Arial" w:eastAsia="Arial" w:hAnsi="Arial"/>
          <w:sz w:val="20"/>
          <w:szCs w:val="20"/>
          <w:b w:val="1"/>
          <w:bCs w:val="1"/>
          <w:i w:val="1"/>
          <w:iCs w:val="1"/>
          <w:color w:val="auto"/>
        </w:rPr>
        <w:t>Assignment Form</w:t>
      </w:r>
      <w:r>
        <w:rPr>
          <w:rFonts w:ascii="Arial" w:cs="Arial" w:eastAsia="Arial" w:hAnsi="Arial"/>
          <w:sz w:val="20"/>
          <w:szCs w:val="20"/>
          <w:color w:val="auto"/>
        </w:rPr>
        <w:t>”)) and delivery in the same manner as a negotiable instrument transferable by endorsement and delivery.</w:t>
      </w:r>
    </w:p>
    <w:p>
      <w:pPr>
        <w:spacing w:after="0" w:line="194" w:lineRule="exact"/>
        <w:rPr>
          <w:rFonts w:ascii="Arial" w:cs="Arial" w:eastAsia="Arial" w:hAnsi="Arial"/>
          <w:sz w:val="20"/>
          <w:szCs w:val="20"/>
          <w:color w:val="auto"/>
        </w:rPr>
      </w:pPr>
    </w:p>
    <w:p>
      <w:pPr>
        <w:jc w:val="both"/>
        <w:ind w:left="-840" w:firstLine="1671"/>
        <w:spacing w:after="0" w:line="274" w:lineRule="auto"/>
        <w:tabs>
          <w:tab w:leader="none" w:pos="1702" w:val="left"/>
        </w:tabs>
        <w:numPr>
          <w:ilvl w:val="1"/>
          <w:numId w:val="2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Exchange of the Warrant upon a Transfer. </w:t>
      </w:r>
      <w:r>
        <w:rPr>
          <w:rFonts w:ascii="Arial" w:cs="Arial" w:eastAsia="Arial" w:hAnsi="Arial"/>
          <w:sz w:val="18"/>
          <w:szCs w:val="18"/>
          <w:color w:val="auto"/>
        </w:rPr>
        <w:t>On surrender of this Warrant (and a properly endorsed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Assignment Form) for exchange, subject to the provisions of this Warrant with respect to compliance with the Securities Act and limitations on assignments and transfers, the Company shall issue to or on the order of the Holder a new warrant or warrants of like tenor, in the name of the Holder or as the Holder (on payment by the Holder of any applicable transfer taxes) may direct, for the number of shares issuable upon exercise hereof, and the Company shall register any such transfer upon the Warrant Register. This Warrant (and the securities issuable upon exercise of the rights under this Warrant) must be surrendered to the Company or its warrant or transfer agent, as applicable, as a condition precedent to the sale, pledge, hypothecation or other transfer of any interest in any of the securities represented hereby.</w:t>
      </w:r>
    </w:p>
    <w:p>
      <w:pPr>
        <w:spacing w:after="0" w:line="168" w:lineRule="exact"/>
        <w:rPr>
          <w:rFonts w:ascii="Arial" w:cs="Arial" w:eastAsia="Arial" w:hAnsi="Arial"/>
          <w:sz w:val="18"/>
          <w:szCs w:val="18"/>
          <w:color w:val="auto"/>
        </w:rPr>
      </w:pPr>
    </w:p>
    <w:p>
      <w:pPr>
        <w:jc w:val="both"/>
        <w:ind w:left="-840" w:firstLine="1671"/>
        <w:spacing w:after="0" w:line="250" w:lineRule="auto"/>
        <w:tabs>
          <w:tab w:leader="none" w:pos="1691" w:val="left"/>
        </w:tabs>
        <w:numPr>
          <w:ilvl w:val="1"/>
          <w:numId w:val="21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Minimum Transfer. </w:t>
      </w:r>
      <w:r>
        <w:rPr>
          <w:rFonts w:ascii="Arial" w:cs="Arial" w:eastAsia="Arial" w:hAnsi="Arial"/>
          <w:sz w:val="20"/>
          <w:szCs w:val="20"/>
          <w:color w:val="auto"/>
        </w:rPr>
        <w:t>This Warrant may not be transferred in part unless such transfer is to a transferee who,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pursuant to such transfer, receives the right to purchase at least [•] Shares hereunder (as adjusted from time to time in accordance with Section 6).</w:t>
      </w:r>
    </w:p>
    <w:p>
      <w:pPr>
        <w:spacing w:after="0" w:line="185" w:lineRule="exact"/>
        <w:rPr>
          <w:rFonts w:ascii="Arial" w:cs="Arial" w:eastAsia="Arial" w:hAnsi="Arial"/>
          <w:sz w:val="20"/>
          <w:szCs w:val="20"/>
          <w:color w:val="auto"/>
        </w:rPr>
      </w:pPr>
    </w:p>
    <w:p>
      <w:pPr>
        <w:jc w:val="both"/>
        <w:ind w:left="-840" w:firstLine="1671"/>
        <w:spacing w:after="0" w:line="244" w:lineRule="auto"/>
        <w:tabs>
          <w:tab w:leader="none" w:pos="1669" w:val="left"/>
        </w:tabs>
        <w:numPr>
          <w:ilvl w:val="1"/>
          <w:numId w:val="21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Taxes. </w:t>
      </w:r>
      <w:r>
        <w:rPr>
          <w:rFonts w:ascii="Arial" w:cs="Arial" w:eastAsia="Arial" w:hAnsi="Arial"/>
          <w:sz w:val="20"/>
          <w:szCs w:val="20"/>
          <w:color w:val="auto"/>
        </w:rPr>
        <w:t>In no event shall the Company be required to pay any tax which may be payable in respect of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transfer involved in the issue and delivery of any certificate, or a book entry, in a name other than that of the Holder, and the Company shall not be required to issue or deliver any such certificate, or make such book entry, unless and until the person or persons requesting the issue or entry thereof shall have paid to the Company the amount of such tax or shall have established to the satisfaction of the Company that such tax has been paid or is not payable.</w:t>
      </w:r>
    </w:p>
    <w:p>
      <w:pPr>
        <w:spacing w:after="0" w:line="194" w:lineRule="exact"/>
        <w:rPr>
          <w:rFonts w:ascii="Arial" w:cs="Arial" w:eastAsia="Arial" w:hAnsi="Arial"/>
          <w:sz w:val="20"/>
          <w:szCs w:val="20"/>
          <w:color w:val="auto"/>
        </w:rPr>
      </w:pPr>
    </w:p>
    <w:p>
      <w:pPr>
        <w:ind w:left="4740" w:hanging="121"/>
        <w:spacing w:after="0"/>
        <w:tabs>
          <w:tab w:leader="none" w:pos="4740" w:val="left"/>
        </w:tabs>
        <w:numPr>
          <w:ilvl w:val="2"/>
          <w:numId w:val="215"/>
        </w:numPr>
        <w:rPr>
          <w:rFonts w:ascii="Arial" w:cs="Arial" w:eastAsia="Arial" w:hAnsi="Arial"/>
          <w:sz w:val="20"/>
          <w:szCs w:val="20"/>
          <w:color w:val="auto"/>
        </w:rPr>
      </w:pPr>
      <w:r>
        <w:rPr>
          <w:rFonts w:ascii="Arial" w:cs="Arial" w:eastAsia="Arial" w:hAnsi="Arial"/>
          <w:sz w:val="20"/>
          <w:szCs w:val="20"/>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78740</wp:posOffset>
            </wp:positionV>
            <wp:extent cx="7149465"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00"/>
          </w:cols>
          <w:pgMar w:left="1160" w:top="549" w:right="339" w:bottom="1440" w:gutter="0" w:footer="0" w:header="0"/>
        </w:sectPr>
      </w:pPr>
    </w:p>
    <w:bookmarkStart w:id="284" w:name="page285"/>
    <w:bookmarkEnd w:id="284"/>
    <w:p>
      <w:pPr>
        <w:ind w:firstLine="840"/>
        <w:spacing w:after="0" w:line="267" w:lineRule="auto"/>
        <w:tabs>
          <w:tab w:leader="none" w:pos="1628" w:val="left"/>
        </w:tabs>
        <w:numPr>
          <w:ilvl w:val="0"/>
          <w:numId w:val="216"/>
        </w:numPr>
        <w:rPr>
          <w:rFonts w:ascii="Arial" w:cs="Arial" w:eastAsia="Arial" w:hAnsi="Arial"/>
          <w:sz w:val="20"/>
          <w:szCs w:val="20"/>
          <w:color w:val="auto"/>
        </w:rPr>
      </w:pPr>
      <w:r>
        <w:rPr>
          <w:rFonts w:ascii="Arial" w:cs="Arial" w:eastAsia="Arial" w:hAnsi="Arial"/>
          <w:sz w:val="20"/>
          <w:szCs w:val="20"/>
          <w:b w:val="1"/>
          <w:bCs w:val="1"/>
          <w:color w:val="auto"/>
        </w:rPr>
        <w:t xml:space="preserve">Restrictions on Transfer of the Warrant and Shares; Compliance with Securities Laws. </w:t>
      </w:r>
      <w:r>
        <w:rPr>
          <w:rFonts w:ascii="Arial" w:cs="Arial" w:eastAsia="Arial" w:hAnsi="Arial"/>
          <w:sz w:val="20"/>
          <w:szCs w:val="20"/>
          <w:color w:val="auto"/>
        </w:rPr>
        <w:t>By acceptance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Warrant, the Holder agrees to comply with the following:</w:t>
      </w:r>
    </w:p>
    <w:p>
      <w:pPr>
        <w:spacing w:after="0" w:line="169" w:lineRule="exact"/>
        <w:rPr>
          <w:rFonts w:ascii="Arial" w:cs="Arial" w:eastAsia="Arial" w:hAnsi="Arial"/>
          <w:sz w:val="20"/>
          <w:szCs w:val="20"/>
          <w:color w:val="auto"/>
        </w:rPr>
      </w:pPr>
    </w:p>
    <w:p>
      <w:pPr>
        <w:jc w:val="both"/>
        <w:ind w:firstLine="1671"/>
        <w:spacing w:after="0" w:line="313" w:lineRule="auto"/>
        <w:tabs>
          <w:tab w:leader="none" w:pos="2531" w:val="left"/>
        </w:tabs>
        <w:numPr>
          <w:ilvl w:val="1"/>
          <w:numId w:val="2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Restrictions on Transfers. </w:t>
      </w:r>
      <w:r>
        <w:rPr>
          <w:rFonts w:ascii="Arial" w:cs="Arial" w:eastAsia="Arial" w:hAnsi="Arial"/>
          <w:sz w:val="16"/>
          <w:szCs w:val="16"/>
          <w:color w:val="auto"/>
        </w:rPr>
        <w:t>Subject to Section 5(b), this Warrant may not be transferred or assigned in whole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in part without the Company’s prior written consent (which shall not be unreasonably withheld), and any attempt by Holder to transfer or assign any rights, duties or obligations that arise under this Warrant without such permission shall be void. Any transfer of this Warrant or the Shares (the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must be in compliance with all applicable federal and state securities laws. The Holder agrees not to make any sale, assignment, transfer, pledge or other disposition of all or any portion of the Securities, or any beneficial interest therein, unless and until the transferee thereof has agreed in writing for the benefit of the Company to take and hold such Securities subject to, and to be bound by, the terms and conditions set forth in this Warrant to the same extent as if the transferee were the original Holder hereunder, and</w:t>
      </w:r>
    </w:p>
    <w:p>
      <w:pPr>
        <w:spacing w:after="0" w:line="142" w:lineRule="exact"/>
        <w:rPr>
          <w:rFonts w:ascii="Arial" w:cs="Arial" w:eastAsia="Arial" w:hAnsi="Arial"/>
          <w:sz w:val="16"/>
          <w:szCs w:val="16"/>
          <w:color w:val="auto"/>
        </w:rPr>
      </w:pPr>
    </w:p>
    <w:p>
      <w:pPr>
        <w:ind w:right="20" w:firstLine="2920"/>
        <w:spacing w:after="0" w:line="260" w:lineRule="auto"/>
        <w:tabs>
          <w:tab w:leader="none" w:pos="3747" w:val="left"/>
        </w:tabs>
        <w:numPr>
          <w:ilvl w:val="2"/>
          <w:numId w:val="216"/>
        </w:numPr>
        <w:rPr>
          <w:rFonts w:ascii="Arial" w:cs="Arial" w:eastAsia="Arial" w:hAnsi="Arial"/>
          <w:sz w:val="20"/>
          <w:szCs w:val="20"/>
          <w:color w:val="auto"/>
        </w:rPr>
      </w:pPr>
      <w:r>
        <w:rPr>
          <w:rFonts w:ascii="Arial" w:cs="Arial" w:eastAsia="Arial" w:hAnsi="Arial"/>
          <w:sz w:val="20"/>
          <w:szCs w:val="20"/>
          <w:color w:val="auto"/>
        </w:rPr>
        <w:t>there is then in effect a registration statement under the Securities Act covering such proposed disposition and such disposition is made in accordance with such registration statement, or</w:t>
      </w:r>
    </w:p>
    <w:p>
      <w:pPr>
        <w:spacing w:after="0" w:line="176" w:lineRule="exact"/>
        <w:rPr>
          <w:rFonts w:ascii="Arial" w:cs="Arial" w:eastAsia="Arial" w:hAnsi="Arial"/>
          <w:sz w:val="20"/>
          <w:szCs w:val="20"/>
          <w:color w:val="auto"/>
        </w:rPr>
      </w:pPr>
    </w:p>
    <w:p>
      <w:pPr>
        <w:jc w:val="both"/>
        <w:ind w:firstLine="2920"/>
        <w:spacing w:after="0" w:line="271" w:lineRule="auto"/>
        <w:tabs>
          <w:tab w:leader="none" w:pos="3802" w:val="left"/>
        </w:tabs>
        <w:numPr>
          <w:ilvl w:val="2"/>
          <w:numId w:val="216"/>
        </w:numPr>
        <w:rPr>
          <w:rFonts w:ascii="Arial" w:cs="Arial" w:eastAsia="Arial" w:hAnsi="Arial"/>
          <w:sz w:val="18"/>
          <w:szCs w:val="18"/>
          <w:color w:val="auto"/>
        </w:rPr>
      </w:pPr>
      <w:r>
        <w:rPr>
          <w:rFonts w:ascii="Arial" w:cs="Arial" w:eastAsia="Arial" w:hAnsi="Arial"/>
          <w:sz w:val="18"/>
          <w:szCs w:val="18"/>
          <w:color w:val="auto"/>
        </w:rPr>
        <w:t>(A) such Holder shall have given prior written notice to the Company of such Holder’s intention to make such disposition and shall have furnished the Company with a detailed description of the manner and circumstances of the proposed disposition, (B) the transferee shall have confirmed to the satisfaction of the Company in writing, substantially in the form of Exhibit A-1, that the Securities are being acquired (i) solely for the transferee’s own account and not as a nominee for any other party, (ii) for investment and (iii) not with a view toward distribution or resale, and shall have confirmed such other matters related thereto as may be reasonably requested by the Company, and (C) if requested by the Company, such Holder shall have furnished the Company, at the Holder’s expense, with (i) an opinion of counsel, reasonably satisfactory to the Company, to the effect that evidence reasonably satisfactory to the Company that such disposition will not require registration of such Securities under the Securities Act or (ii) a “no action” letter from the Securities and Exchange Commission to the effect that the transfer of such Securities without registration will not result in a recommendation by the staff of the Securities and Exchange Commission that action be taken with respect thereto, whereupon such Holder shall be entitled to transfer such Securities in accordance with the terms of the notice delivered by the Holder to the Company.</w:t>
      </w:r>
    </w:p>
    <w:p>
      <w:pPr>
        <w:spacing w:after="0" w:line="169" w:lineRule="exact"/>
        <w:rPr>
          <w:rFonts w:ascii="Arial" w:cs="Arial" w:eastAsia="Arial" w:hAnsi="Arial"/>
          <w:sz w:val="18"/>
          <w:szCs w:val="18"/>
          <w:color w:val="auto"/>
        </w:rPr>
      </w:pPr>
    </w:p>
    <w:p>
      <w:pPr>
        <w:ind w:left="2560" w:hanging="889"/>
        <w:spacing w:after="0"/>
        <w:tabs>
          <w:tab w:leader="none" w:pos="2560" w:val="left"/>
        </w:tabs>
        <w:numPr>
          <w:ilvl w:val="1"/>
          <w:numId w:val="2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Permitted Transfers. </w:t>
      </w:r>
      <w:r>
        <w:rPr>
          <w:rFonts w:ascii="Arial" w:cs="Arial" w:eastAsia="Arial" w:hAnsi="Arial"/>
          <w:sz w:val="18"/>
          <w:szCs w:val="18"/>
          <w:color w:val="auto"/>
        </w:rPr>
        <w:t>Notwithstanding Section 5(a) the following transfers or transactions shall not require</w:t>
      </w:r>
    </w:p>
    <w:p>
      <w:pPr>
        <w:spacing w:after="0" w:line="38" w:lineRule="exact"/>
        <w:rPr>
          <w:rFonts w:ascii="Arial" w:cs="Arial" w:eastAsia="Arial" w:hAnsi="Arial"/>
          <w:sz w:val="18"/>
          <w:szCs w:val="18"/>
          <w:color w:val="auto"/>
        </w:rPr>
      </w:pPr>
    </w:p>
    <w:p>
      <w:pPr>
        <w:jc w:val="both"/>
        <w:spacing w:after="0" w:line="270" w:lineRule="auto"/>
        <w:rPr>
          <w:rFonts w:ascii="Arial" w:cs="Arial" w:eastAsia="Arial" w:hAnsi="Arial"/>
          <w:sz w:val="18"/>
          <w:szCs w:val="18"/>
          <w:color w:val="auto"/>
        </w:rPr>
      </w:pPr>
      <w:r>
        <w:rPr>
          <w:rFonts w:ascii="Arial" w:cs="Arial" w:eastAsia="Arial" w:hAnsi="Arial"/>
          <w:sz w:val="18"/>
          <w:szCs w:val="18"/>
          <w:color w:val="auto"/>
        </w:rPr>
        <w:t xml:space="preserve">the consent of the Company: (i) a transfer not involving a change in beneficial ownership, (ii) transactions involving the distribution without consideration of Securities by any Holder to (x) a parent, subsidiary or other affiliate of a Holder that is an entity, (y) any of the Holder’s partners, members or other equity owners, or retired partners or members, or to the estate of any of its partners, members or other equity owners or retired partners or members, or (z) a venture capital or other investment fund that is controlled by or under common control with one or more general partners, managing members or investment adviser of, or shares the same management company or investment adviser with, the Holder, or (iii) a transfer to a third-party approved by a majority of the Board of Directors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in each case, that the Holder shall give written notice to the Company of the Holder’s intention to effect such disposition and shall have furnished the Company with a detailed description of the manner and circumstances of the proposed disposition.</w:t>
      </w:r>
    </w:p>
    <w:p>
      <w:pPr>
        <w:spacing w:after="0" w:line="173" w:lineRule="exact"/>
        <w:rPr>
          <w:rFonts w:ascii="Arial" w:cs="Arial" w:eastAsia="Arial" w:hAnsi="Arial"/>
          <w:sz w:val="18"/>
          <w:szCs w:val="18"/>
          <w:color w:val="auto"/>
        </w:rPr>
      </w:pPr>
    </w:p>
    <w:p>
      <w:pPr>
        <w:jc w:val="both"/>
        <w:ind w:firstLine="1671"/>
        <w:spacing w:after="0" w:line="250" w:lineRule="auto"/>
        <w:tabs>
          <w:tab w:leader="none" w:pos="2531" w:val="left"/>
        </w:tabs>
        <w:numPr>
          <w:ilvl w:val="1"/>
          <w:numId w:val="21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Investment Representation Statement. </w:t>
      </w:r>
      <w:r>
        <w:rPr>
          <w:rFonts w:ascii="Arial" w:cs="Arial" w:eastAsia="Arial" w:hAnsi="Arial"/>
          <w:sz w:val="20"/>
          <w:szCs w:val="20"/>
          <w:color w:val="auto"/>
        </w:rPr>
        <w:t>Unless the rights under this Warrant are exercised pursuant to 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effective registration statement under the Securities Act that includes the Shares with respect to which the Warrant was exercised, it shall be a condition to any exercise of the rights under</w:t>
      </w:r>
    </w:p>
    <w:p>
      <w:pPr>
        <w:spacing w:after="0" w:line="185" w:lineRule="exact"/>
        <w:rPr>
          <w:rFonts w:ascii="Arial" w:cs="Arial" w:eastAsia="Arial" w:hAnsi="Arial"/>
          <w:sz w:val="20"/>
          <w:szCs w:val="20"/>
          <w:color w:val="auto"/>
        </w:rPr>
      </w:pPr>
    </w:p>
    <w:p>
      <w:pPr>
        <w:ind w:left="5580" w:hanging="121"/>
        <w:spacing w:after="0"/>
        <w:tabs>
          <w:tab w:leader="none" w:pos="5580" w:val="left"/>
        </w:tabs>
        <w:numPr>
          <w:ilvl w:val="3"/>
          <w:numId w:val="216"/>
        </w:numPr>
        <w:rPr>
          <w:rFonts w:ascii="Arial" w:cs="Arial" w:eastAsia="Arial" w:hAnsi="Arial"/>
          <w:sz w:val="20"/>
          <w:szCs w:val="20"/>
          <w:color w:val="auto"/>
        </w:rPr>
      </w:pPr>
      <w:r>
        <w:rPr>
          <w:rFonts w:ascii="Arial" w:cs="Arial" w:eastAsia="Arial" w:hAnsi="Arial"/>
          <w:sz w:val="20"/>
          <w:szCs w:val="20"/>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85" w:name="page286"/>
    <w:bookmarkEnd w:id="285"/>
    <w:p>
      <w:pPr>
        <w:jc w:val="both"/>
        <w:spacing w:after="0" w:line="246" w:lineRule="auto"/>
        <w:rPr>
          <w:sz w:val="20"/>
          <w:szCs w:val="20"/>
          <w:color w:val="auto"/>
        </w:rPr>
      </w:pPr>
      <w:r>
        <w:rPr>
          <w:rFonts w:ascii="Arial" w:cs="Arial" w:eastAsia="Arial" w:hAnsi="Arial"/>
          <w:sz w:val="20"/>
          <w:szCs w:val="20"/>
          <w:color w:val="auto"/>
        </w:rPr>
        <w:t>this Warrant that the Holder shall have confirmed to the satisfaction of the Company in writing, substantially in the form of Exhibit A-1, that the Shares so purchased are being acquired solely for the Holder’s own account and not as a nominee for any other party, for investment and not with a view toward distribution or resale and that the Holder shall have confirmed such other matters related thereto as may be reasonably requested by the Company.</w:t>
      </w:r>
    </w:p>
    <w:p>
      <w:pPr>
        <w:spacing w:after="0" w:line="191" w:lineRule="exact"/>
        <w:rPr>
          <w:sz w:val="20"/>
          <w:szCs w:val="20"/>
          <w:color w:val="auto"/>
        </w:rPr>
      </w:pPr>
    </w:p>
    <w:p>
      <w:pPr>
        <w:jc w:val="both"/>
        <w:ind w:firstLine="1671"/>
        <w:spacing w:after="0" w:line="250" w:lineRule="auto"/>
        <w:tabs>
          <w:tab w:leader="none" w:pos="2542" w:val="left"/>
        </w:tabs>
        <w:numPr>
          <w:ilvl w:val="0"/>
          <w:numId w:val="21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Securities Law Legend. </w:t>
      </w:r>
      <w:r>
        <w:rPr>
          <w:rFonts w:ascii="Arial" w:cs="Arial" w:eastAsia="Arial" w:hAnsi="Arial"/>
          <w:sz w:val="20"/>
          <w:szCs w:val="20"/>
          <w:color w:val="auto"/>
        </w:rPr>
        <w:t>Each certificate, instrument or book entry representing the Securities shall (unless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otherwise permitted by the provisions of this Warrant) be notated with a legend substantially similar to the following (in addition to any legend required by state securities laws):</w:t>
      </w:r>
    </w:p>
    <w:p>
      <w:pPr>
        <w:spacing w:after="0" w:line="186" w:lineRule="exact"/>
        <w:rPr>
          <w:sz w:val="20"/>
          <w:szCs w:val="20"/>
          <w:color w:val="auto"/>
        </w:rPr>
      </w:pPr>
    </w:p>
    <w:p>
      <w:pPr>
        <w:jc w:val="both"/>
        <w:ind w:left="840"/>
        <w:spacing w:after="0" w:line="255" w:lineRule="auto"/>
        <w:rPr>
          <w:sz w:val="20"/>
          <w:szCs w:val="20"/>
          <w:color w:val="auto"/>
        </w:rPr>
      </w:pPr>
      <w:r>
        <w:rPr>
          <w:rFonts w:ascii="Arial" w:cs="Arial" w:eastAsia="Arial" w:hAnsi="Arial"/>
          <w:sz w:val="19"/>
          <w:szCs w:val="19"/>
          <w:color w:val="auto"/>
        </w:rPr>
        <w:t>THE OFFER AND SALE OF THE SECURITIES REPRESENTED HEREBY HAVE NOT BEEN REGISTERED UNDER THE SECURITIES ACT OF 1933, AS AMENDED (THE “ACT”), OR UNDER THE SECURITIES LAWS OF CERTAIN STATES. THESE SECURITIES MAY NOT BE OFFERED, SOLD OR OTHERWISE TRANSFERRED, PLEDGED OR HYPOTHECATED EXCEPT AS PERMITTED UNDER THE ACT AND APPLICABLE STATE SECURITIES LAWS IN ACCORDANCE WITH APPLICABLE REGISTRATION REQUIREMENTS OR AN EXEMPTION THEREFROM. THE ISSUER OF THESE SECURITIES MAY REQUIRE AN OPINION OF COUNSEL REASONABLY SATISFACTORY TO THE ISSUER THAT SUCH OFFER, SALE OR TRANSFER, PLEDGE OR HYPOTHECATION OTHERWISE COMPLIES WITH THE ACT AND ANY APPLICABLE STATE SECURITIES LAWS. THIS CERTIFICATE MUST BE SURRENDERED TO THE COMPANY OR ITS TRANSFER AGENT AS A CONDITION PRECEDENT TO THE SALE, TRANSFER, PLEDGE OR HYPOTHECATION OF ANY INTEREST IN ANY OF THE SECURITIES REPRESENTED HEREBY.</w:t>
      </w:r>
    </w:p>
    <w:p>
      <w:pPr>
        <w:spacing w:after="0" w:line="190" w:lineRule="exact"/>
        <w:rPr>
          <w:sz w:val="20"/>
          <w:szCs w:val="20"/>
          <w:color w:val="auto"/>
        </w:rPr>
      </w:pPr>
    </w:p>
    <w:p>
      <w:pPr>
        <w:ind w:firstLine="1671"/>
        <w:spacing w:after="0" w:line="260" w:lineRule="auto"/>
        <w:tabs>
          <w:tab w:leader="none" w:pos="2531" w:val="left"/>
        </w:tabs>
        <w:numPr>
          <w:ilvl w:val="0"/>
          <w:numId w:val="21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Market Stand-off Legend. </w:t>
      </w:r>
      <w:r>
        <w:rPr>
          <w:rFonts w:ascii="Arial" w:cs="Arial" w:eastAsia="Arial" w:hAnsi="Arial"/>
          <w:sz w:val="20"/>
          <w:szCs w:val="20"/>
          <w:color w:val="auto"/>
        </w:rPr>
        <w:t>Each certificate, instrument or book entry representing the Shares shall also be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notated with a legend in substantially the following form:</w:t>
      </w:r>
    </w:p>
    <w:p>
      <w:pPr>
        <w:spacing w:after="0" w:line="177" w:lineRule="exact"/>
        <w:rPr>
          <w:sz w:val="20"/>
          <w:szCs w:val="20"/>
          <w:color w:val="auto"/>
        </w:rPr>
      </w:pPr>
    </w:p>
    <w:p>
      <w:pPr>
        <w:jc w:val="both"/>
        <w:ind w:left="840"/>
        <w:spacing w:after="0" w:line="246" w:lineRule="auto"/>
        <w:rPr>
          <w:sz w:val="20"/>
          <w:szCs w:val="20"/>
          <w:color w:val="auto"/>
        </w:rPr>
      </w:pPr>
      <w:r>
        <w:rPr>
          <w:rFonts w:ascii="Arial" w:cs="Arial" w:eastAsia="Arial" w:hAnsi="Arial"/>
          <w:sz w:val="20"/>
          <w:szCs w:val="20"/>
          <w:color w:val="auto"/>
        </w:rPr>
        <w:t>THE SECURITIES REPRESENTED HEREBY ARE SUBJECT TO RESTRICTIONS ON TRANSFERABILITY AND RESALE, INCLUDING A LOCK-UP PERIOD IN THE EVENT OF A PUBLIC OFFERING, AS SET FORTH IN THE WARRANT PURSUANT TO WHICH THESE SHARES WERE ISSUED, A COPY OF WHICH MAY BE OBTAINED AT THE PRINCIPAL OFFICE OF THE COMPANY.</w:t>
      </w:r>
    </w:p>
    <w:p>
      <w:pPr>
        <w:spacing w:after="0" w:line="191" w:lineRule="exact"/>
        <w:rPr>
          <w:sz w:val="20"/>
          <w:szCs w:val="20"/>
          <w:color w:val="auto"/>
        </w:rPr>
      </w:pPr>
    </w:p>
    <w:p>
      <w:pPr>
        <w:ind w:firstLine="1671"/>
        <w:spacing w:after="0" w:line="316" w:lineRule="auto"/>
        <w:tabs>
          <w:tab w:leader="none" w:pos="2509" w:val="left"/>
        </w:tabs>
        <w:numPr>
          <w:ilvl w:val="0"/>
          <w:numId w:val="2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Instructions Regarding Transfer Restrictions. </w:t>
      </w:r>
      <w:r>
        <w:rPr>
          <w:rFonts w:ascii="Arial" w:cs="Arial" w:eastAsia="Arial" w:hAnsi="Arial"/>
          <w:sz w:val="18"/>
          <w:szCs w:val="18"/>
          <w:color w:val="auto"/>
        </w:rPr>
        <w:t>The Holder consents to the Company making a notation on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records and giving instructions to any transfer agent in order to implement the restrictions on transfer established in this Section 5.</w:t>
      </w:r>
    </w:p>
    <w:p>
      <w:pPr>
        <w:spacing w:after="0" w:line="129" w:lineRule="exact"/>
        <w:rPr>
          <w:rFonts w:ascii="Arial" w:cs="Arial" w:eastAsia="Arial" w:hAnsi="Arial"/>
          <w:sz w:val="18"/>
          <w:szCs w:val="18"/>
          <w:color w:val="auto"/>
        </w:rPr>
      </w:pPr>
    </w:p>
    <w:p>
      <w:pPr>
        <w:jc w:val="both"/>
        <w:ind w:firstLine="1671"/>
        <w:spacing w:after="0" w:line="243" w:lineRule="auto"/>
        <w:tabs>
          <w:tab w:leader="none" w:pos="2542" w:val="left"/>
        </w:tabs>
        <w:numPr>
          <w:ilvl w:val="0"/>
          <w:numId w:val="21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Removal of Legend. </w:t>
      </w:r>
      <w:r>
        <w:rPr>
          <w:rFonts w:ascii="Arial" w:cs="Arial" w:eastAsia="Arial" w:hAnsi="Arial"/>
          <w:sz w:val="20"/>
          <w:szCs w:val="20"/>
          <w:color w:val="auto"/>
        </w:rPr>
        <w:t>The legend referring to federal and state securities laws identified in Section 5(d)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notated on any certificate evidencing the Shares and the stock transfer instructions and record notations with respect to such securities shall be removed, and the Company shall issue a certificate without such legend to the holder of such securities (to the extent the securities are certificated), if (i) such securities are registered under the Securities Act, or (ii) such holder provides the Company with an opinion of counsel reasonably acceptable to the Company to the effect that a sale or transfer of such securities may be made without registration, qualification or legend.</w:t>
      </w:r>
    </w:p>
    <w:p>
      <w:pPr>
        <w:spacing w:after="0" w:line="189" w:lineRule="exact"/>
        <w:rPr>
          <w:rFonts w:ascii="Arial" w:cs="Arial" w:eastAsia="Arial" w:hAnsi="Arial"/>
          <w:sz w:val="20"/>
          <w:szCs w:val="20"/>
          <w:color w:val="auto"/>
        </w:rPr>
      </w:pPr>
    </w:p>
    <w:p>
      <w:pPr>
        <w:jc w:val="both"/>
        <w:ind w:firstLine="1671"/>
        <w:spacing w:after="0" w:line="248" w:lineRule="auto"/>
        <w:tabs>
          <w:tab w:leader="none" w:pos="2542" w:val="left"/>
        </w:tabs>
        <w:numPr>
          <w:ilvl w:val="0"/>
          <w:numId w:val="219"/>
        </w:numPr>
        <w:rPr>
          <w:rFonts w:ascii="Arial" w:cs="Arial" w:eastAsia="Arial" w:hAnsi="Arial"/>
          <w:sz w:val="20"/>
          <w:szCs w:val="20"/>
          <w:color w:val="auto"/>
        </w:rPr>
      </w:pPr>
      <w:r>
        <w:rPr>
          <w:rFonts w:ascii="Arial" w:cs="Arial" w:eastAsia="Arial" w:hAnsi="Arial"/>
          <w:sz w:val="20"/>
          <w:szCs w:val="20"/>
          <w:b w:val="1"/>
          <w:bCs w:val="1"/>
          <w:i w:val="1"/>
          <w:iCs w:val="1"/>
          <w:color w:val="auto"/>
        </w:rPr>
        <w:t>No Transfers to Bad Actors; Notice of Bad Actor Status</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Holder agrees not to sell, assign, transfer,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pledge or otherwise dispose of any securities of the Company, or any beneficial interest therein, to any person (other than the Company) unless and until the proposed transferee confirms to the reasonable satisfaction of the Company that neither the proposed transferee nor any of its directors, executive</w:t>
      </w:r>
    </w:p>
    <w:p>
      <w:pPr>
        <w:spacing w:after="0" w:line="189" w:lineRule="exact"/>
        <w:rPr>
          <w:rFonts w:ascii="Arial" w:cs="Arial" w:eastAsia="Arial" w:hAnsi="Arial"/>
          <w:sz w:val="20"/>
          <w:szCs w:val="20"/>
          <w:color w:val="auto"/>
        </w:rPr>
      </w:pPr>
    </w:p>
    <w:p>
      <w:pPr>
        <w:ind w:left="5580" w:hanging="121"/>
        <w:spacing w:after="0"/>
        <w:tabs>
          <w:tab w:leader="none" w:pos="5580" w:val="left"/>
        </w:tabs>
        <w:numPr>
          <w:ilvl w:val="1"/>
          <w:numId w:val="219"/>
        </w:numPr>
        <w:rPr>
          <w:rFonts w:ascii="Arial" w:cs="Arial" w:eastAsia="Arial" w:hAnsi="Arial"/>
          <w:sz w:val="20"/>
          <w:szCs w:val="20"/>
          <w:color w:val="auto"/>
        </w:rPr>
      </w:pPr>
      <w:r>
        <w:rPr>
          <w:rFonts w:ascii="Arial" w:cs="Arial" w:eastAsia="Arial" w:hAnsi="Arial"/>
          <w:sz w:val="20"/>
          <w:szCs w:val="20"/>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86" w:name="page287"/>
    <w:bookmarkEnd w:id="286"/>
    <w:p>
      <w:pPr>
        <w:jc w:val="both"/>
        <w:spacing w:after="0" w:line="269" w:lineRule="auto"/>
        <w:rPr>
          <w:sz w:val="20"/>
          <w:szCs w:val="20"/>
          <w:color w:val="auto"/>
        </w:rPr>
      </w:pPr>
      <w:r>
        <w:rPr>
          <w:rFonts w:ascii="Arial" w:cs="Arial" w:eastAsia="Arial" w:hAnsi="Arial"/>
          <w:sz w:val="18"/>
          <w:szCs w:val="18"/>
          <w:color w:val="auto"/>
        </w:rPr>
        <w:t>officers, other officers that may serve as a director or officer of any company in which it invests, general partners or managing members nor any person that would be deemed a beneficial owner of those securities (in accordance with Rule 506(d) of the Securities Act) is subject to any of the “bad actor” disqualifications described in Rule 506(d)(1)(i) through (viii) under the Securities Act, except as set forth in Rule 506(d)(2)(ii) or (iii) or (d)(3) under the Securities Act and disclosed, reasonably in advance of the transfer, in writing in reasonable detail to the Company. The Holder will promptly notify the Company in writing if the Holder or, to the Holder’s knowledge, any person specified in Rule 506(d)(1) under the Securities Act becomes subject to any of the “bad actor” disqualifications described in Rule 506(d)(1)</w:t>
      </w:r>
    </w:p>
    <w:p>
      <w:pPr>
        <w:spacing w:after="0" w:line="1" w:lineRule="exact"/>
        <w:rPr>
          <w:sz w:val="20"/>
          <w:szCs w:val="20"/>
          <w:color w:val="auto"/>
        </w:rPr>
      </w:pPr>
    </w:p>
    <w:p>
      <w:pPr>
        <w:ind w:left="240" w:hanging="232"/>
        <w:spacing w:after="0"/>
        <w:tabs>
          <w:tab w:leader="none" w:pos="24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through (viii) under the Securities Act.</w:t>
      </w:r>
    </w:p>
    <w:p>
      <w:pPr>
        <w:spacing w:after="0" w:line="193" w:lineRule="exact"/>
        <w:rPr>
          <w:rFonts w:ascii="Arial" w:cs="Arial" w:eastAsia="Arial" w:hAnsi="Arial"/>
          <w:sz w:val="20"/>
          <w:szCs w:val="20"/>
          <w:color w:val="auto"/>
        </w:rPr>
      </w:pPr>
    </w:p>
    <w:p>
      <w:pPr>
        <w:ind w:firstLine="840"/>
        <w:spacing w:after="0" w:line="267" w:lineRule="auto"/>
        <w:tabs>
          <w:tab w:leader="none" w:pos="1628" w:val="left"/>
        </w:tabs>
        <w:numPr>
          <w:ilvl w:val="1"/>
          <w:numId w:val="220"/>
        </w:numPr>
        <w:rPr>
          <w:rFonts w:ascii="Arial" w:cs="Arial" w:eastAsia="Arial" w:hAnsi="Arial"/>
          <w:sz w:val="20"/>
          <w:szCs w:val="20"/>
          <w:color w:val="auto"/>
        </w:rPr>
      </w:pPr>
      <w:r>
        <w:rPr>
          <w:rFonts w:ascii="Arial" w:cs="Arial" w:eastAsia="Arial" w:hAnsi="Arial"/>
          <w:sz w:val="20"/>
          <w:szCs w:val="20"/>
          <w:b w:val="1"/>
          <w:bCs w:val="1"/>
          <w:color w:val="auto"/>
        </w:rPr>
        <w:t xml:space="preserve">Adjustments. </w:t>
      </w:r>
      <w:r>
        <w:rPr>
          <w:rFonts w:ascii="Arial" w:cs="Arial" w:eastAsia="Arial" w:hAnsi="Arial"/>
          <w:sz w:val="20"/>
          <w:szCs w:val="20"/>
          <w:color w:val="auto"/>
        </w:rPr>
        <w:t>Subject to the expiration of this Warrant pursuant to Section 8, the number and kind of shares purchasable</w:t>
      </w:r>
      <w:r>
        <w:rPr>
          <w:rFonts w:ascii="Arial" w:cs="Arial" w:eastAsia="Arial" w:hAnsi="Arial"/>
          <w:sz w:val="20"/>
          <w:szCs w:val="20"/>
          <w:b w:val="1"/>
          <w:bCs w:val="1"/>
          <w:color w:val="auto"/>
        </w:rPr>
        <w:t xml:space="preserve"> </w:t>
      </w:r>
      <w:r>
        <w:rPr>
          <w:rFonts w:ascii="Arial" w:cs="Arial" w:eastAsia="Arial" w:hAnsi="Arial"/>
          <w:sz w:val="20"/>
          <w:szCs w:val="20"/>
          <w:color w:val="auto"/>
        </w:rPr>
        <w:t>hereunder and the Exercise Price therefor are subject to adjustment from time to time, as follows:</w:t>
      </w:r>
    </w:p>
    <w:p>
      <w:pPr>
        <w:spacing w:after="0" w:line="169" w:lineRule="exact"/>
        <w:rPr>
          <w:rFonts w:ascii="Arial" w:cs="Arial" w:eastAsia="Arial" w:hAnsi="Arial"/>
          <w:sz w:val="20"/>
          <w:szCs w:val="20"/>
          <w:color w:val="auto"/>
        </w:rPr>
      </w:pPr>
    </w:p>
    <w:p>
      <w:pPr>
        <w:jc w:val="both"/>
        <w:ind w:firstLine="1671"/>
        <w:spacing w:after="0" w:line="255" w:lineRule="auto"/>
        <w:tabs>
          <w:tab w:leader="none" w:pos="2531" w:val="left"/>
        </w:tabs>
        <w:numPr>
          <w:ilvl w:val="2"/>
          <w:numId w:val="22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Merger or Reorganization. </w:t>
      </w:r>
      <w:r>
        <w:rPr>
          <w:rFonts w:ascii="Arial" w:cs="Arial" w:eastAsia="Arial" w:hAnsi="Arial"/>
          <w:sz w:val="19"/>
          <w:szCs w:val="19"/>
          <w:color w:val="auto"/>
        </w:rPr>
        <w:t>If at any time there shall be any reorganization, recapitalization, merger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consolidation (a “</w:t>
      </w:r>
      <w:r>
        <w:rPr>
          <w:rFonts w:ascii="Arial" w:cs="Arial" w:eastAsia="Arial" w:hAnsi="Arial"/>
          <w:sz w:val="19"/>
          <w:szCs w:val="19"/>
          <w:b w:val="1"/>
          <w:bCs w:val="1"/>
          <w:i w:val="1"/>
          <w:iCs w:val="1"/>
          <w:color w:val="auto"/>
        </w:rPr>
        <w:t>Reorganization</w:t>
      </w:r>
      <w:r>
        <w:rPr>
          <w:rFonts w:ascii="Arial" w:cs="Arial" w:eastAsia="Arial" w:hAnsi="Arial"/>
          <w:sz w:val="19"/>
          <w:szCs w:val="19"/>
          <w:color w:val="auto"/>
        </w:rPr>
        <w:t>”) involving the Company (other than as otherwise provided for herein or as would cause the expiration of this Warrant under Section 8) in which shares of the Company’s stock are converted into or exchanged for securities, cash or other property, then, as a part of such Reorganization, lawful provision shall be made so that the Holder shall thereafter be entitled to receive upon exercise of this Warrant, the kind and amount of securities, cash or other property of the successor corporation resulting from such Reorganization, equivalent in value to that which a holder of the Shares deliverable upon exercise of this Warrant would have been entitled in such Reorganization if the right to purchase the Shares hereunder had been exercised immediately prior to such Reorganization. In any such case, appropriate adjustment (as determined in good faith by the Board of Directors of the successor corporation) shall be made in the application of the provisions of this Warrant with respect to the rights and interests of the Holder after such Reorganization to the end that the provisions of this Warrant shall be applicable after the event, as near as reasonably may be, in relation to any shares or other securities deliverable after that event upon the exercise of this Warrant.</w:t>
      </w:r>
    </w:p>
    <w:p>
      <w:pPr>
        <w:spacing w:after="0" w:line="186" w:lineRule="exact"/>
        <w:rPr>
          <w:rFonts w:ascii="Arial" w:cs="Arial" w:eastAsia="Arial" w:hAnsi="Arial"/>
          <w:sz w:val="19"/>
          <w:szCs w:val="19"/>
          <w:color w:val="auto"/>
        </w:rPr>
      </w:pPr>
    </w:p>
    <w:p>
      <w:pPr>
        <w:jc w:val="both"/>
        <w:ind w:firstLine="1671"/>
        <w:spacing w:after="0" w:line="243" w:lineRule="auto"/>
        <w:tabs>
          <w:tab w:leader="none" w:pos="2542" w:val="left"/>
        </w:tabs>
        <w:numPr>
          <w:ilvl w:val="2"/>
          <w:numId w:val="22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Reclassification of Shares. </w:t>
      </w:r>
      <w:r>
        <w:rPr>
          <w:rFonts w:ascii="Arial" w:cs="Arial" w:eastAsia="Arial" w:hAnsi="Arial"/>
          <w:sz w:val="20"/>
          <w:szCs w:val="20"/>
          <w:color w:val="auto"/>
        </w:rPr>
        <w:t>If the securities issuable upon exercise of this Warrant are changed into the same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 a different number of securities of any other class or classes by reclassification, capital reorganization or otherwise (other than as otherwise provided for herein) (a “</w:t>
      </w:r>
      <w:r>
        <w:rPr>
          <w:rFonts w:ascii="Arial" w:cs="Arial" w:eastAsia="Arial" w:hAnsi="Arial"/>
          <w:sz w:val="20"/>
          <w:szCs w:val="20"/>
          <w:b w:val="1"/>
          <w:bCs w:val="1"/>
          <w:i w:val="1"/>
          <w:iCs w:val="1"/>
          <w:color w:val="auto"/>
        </w:rPr>
        <w:t>Reclassification</w:t>
      </w:r>
      <w:r>
        <w:rPr>
          <w:rFonts w:ascii="Arial" w:cs="Arial" w:eastAsia="Arial" w:hAnsi="Arial"/>
          <w:sz w:val="20"/>
          <w:szCs w:val="20"/>
          <w:color w:val="auto"/>
        </w:rPr>
        <w:t>”), then, in any such event, in lieu of the number of Shares which the Holder would otherwise have been entitled to receive, the Holder shall have the right thereafter to exercise this Warrant for a number of shares of such other class or classes of stock that a holder of the number of securities deliverable upon exercise of this Warrant immediately before that change would have been entitled to receive in such Reclassification, all subject to further adjustment as provided herein with respect to such other shares.</w:t>
      </w:r>
    </w:p>
    <w:p>
      <w:pPr>
        <w:spacing w:after="0" w:line="192" w:lineRule="exact"/>
        <w:rPr>
          <w:rFonts w:ascii="Arial" w:cs="Arial" w:eastAsia="Arial" w:hAnsi="Arial"/>
          <w:sz w:val="20"/>
          <w:szCs w:val="20"/>
          <w:color w:val="auto"/>
        </w:rPr>
      </w:pPr>
    </w:p>
    <w:p>
      <w:pPr>
        <w:jc w:val="both"/>
        <w:ind w:firstLine="1671"/>
        <w:spacing w:after="0" w:line="274" w:lineRule="auto"/>
        <w:tabs>
          <w:tab w:leader="none" w:pos="2531" w:val="left"/>
        </w:tabs>
        <w:numPr>
          <w:ilvl w:val="2"/>
          <w:numId w:val="2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Subdivisions and Combinations. </w:t>
      </w:r>
      <w:r>
        <w:rPr>
          <w:rFonts w:ascii="Arial" w:cs="Arial" w:eastAsia="Arial" w:hAnsi="Arial"/>
          <w:sz w:val="18"/>
          <w:szCs w:val="18"/>
          <w:color w:val="auto"/>
        </w:rPr>
        <w:t>In the event that the outstanding shares of common stock are subdivided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stock split, by payment of a stock dividend or otherwise) into a greater number of shares of such securities, the number of Shares issuable upon exercise of the rights under this Warrant immediately prior to such subdivision shall, concurrently with the effectiveness of such subdivision, be proportionately increased, and the Exercise Price shall be proportionately decreased, and in the event that the outstanding shares of common stock are combined (by reclassification or otherwise) into a lesser number of shares of such securities, the number of Shares issuable upon exercise of the rights under this Warrant immediately prior to such combination shall, concurrently with the effectiveness of such combination, be proportionately decreased, and the Exercise Price shall be proportionately increased.</w:t>
      </w:r>
    </w:p>
    <w:p>
      <w:pPr>
        <w:spacing w:after="0" w:line="168" w:lineRule="exact"/>
        <w:rPr>
          <w:rFonts w:ascii="Arial" w:cs="Arial" w:eastAsia="Arial" w:hAnsi="Arial"/>
          <w:sz w:val="18"/>
          <w:szCs w:val="18"/>
          <w:color w:val="auto"/>
        </w:rPr>
      </w:pPr>
    </w:p>
    <w:p>
      <w:pPr>
        <w:ind w:left="5580" w:hanging="121"/>
        <w:spacing w:after="0"/>
        <w:tabs>
          <w:tab w:leader="none" w:pos="5580" w:val="left"/>
        </w:tabs>
        <w:numPr>
          <w:ilvl w:val="3"/>
          <w:numId w:val="220"/>
        </w:numPr>
        <w:rPr>
          <w:rFonts w:ascii="Arial" w:cs="Arial" w:eastAsia="Arial" w:hAnsi="Arial"/>
          <w:sz w:val="20"/>
          <w:szCs w:val="20"/>
          <w:color w:val="auto"/>
        </w:rPr>
      </w:pPr>
      <w:r>
        <w:rPr>
          <w:rFonts w:ascii="Arial" w:cs="Arial" w:eastAsia="Arial" w:hAnsi="Arial"/>
          <w:sz w:val="20"/>
          <w:szCs w:val="20"/>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87" w:name="page288"/>
    <w:bookmarkEnd w:id="287"/>
    <w:p>
      <w:pPr>
        <w:jc w:val="both"/>
        <w:ind w:firstLine="1671"/>
        <w:spacing w:after="0" w:line="259" w:lineRule="auto"/>
        <w:tabs>
          <w:tab w:leader="none" w:pos="2542" w:val="left"/>
        </w:tabs>
        <w:numPr>
          <w:ilvl w:val="1"/>
          <w:numId w:val="22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Notice of Adjustments. </w:t>
      </w:r>
      <w:r>
        <w:rPr>
          <w:rFonts w:ascii="Arial" w:cs="Arial" w:eastAsia="Arial" w:hAnsi="Arial"/>
          <w:sz w:val="19"/>
          <w:szCs w:val="19"/>
          <w:color w:val="auto"/>
        </w:rPr>
        <w:t>Upon any adjustment in accordance with this Section 6, the Company shall give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notice thereof to the Holder, which notice shall state the event giving rise to the adjustment, the Exercise Price as adjusted and the number of securities or other property purchasable upon the exercise of the rights under this Warrant, setting forth in reasonable detail the method of calculation of each. The Company shall, upon the written request of any Holder, furnish or cause to be furnished to such Holder a certificate setting forth (i) such adjustments, (ii) the Exercise Price at the time in effect and (iii) the number of securities and the amount, if any, of other property that at the time would be received upon exercise of this Warrant.</w:t>
      </w:r>
    </w:p>
    <w:p>
      <w:pPr>
        <w:spacing w:after="0" w:line="172" w:lineRule="exact"/>
        <w:rPr>
          <w:rFonts w:ascii="Arial" w:cs="Arial" w:eastAsia="Arial" w:hAnsi="Arial"/>
          <w:sz w:val="19"/>
          <w:szCs w:val="19"/>
          <w:color w:val="auto"/>
        </w:rPr>
      </w:pPr>
    </w:p>
    <w:p>
      <w:pPr>
        <w:ind w:firstLine="840"/>
        <w:spacing w:after="0" w:line="267" w:lineRule="auto"/>
        <w:tabs>
          <w:tab w:leader="none" w:pos="1628" w:val="left"/>
        </w:tabs>
        <w:numPr>
          <w:ilvl w:val="0"/>
          <w:numId w:val="222"/>
        </w:numPr>
        <w:rPr>
          <w:rFonts w:ascii="Arial" w:cs="Arial" w:eastAsia="Arial" w:hAnsi="Arial"/>
          <w:sz w:val="20"/>
          <w:szCs w:val="20"/>
          <w:color w:val="auto"/>
        </w:rPr>
      </w:pPr>
      <w:r>
        <w:rPr>
          <w:rFonts w:ascii="Arial" w:cs="Arial" w:eastAsia="Arial" w:hAnsi="Arial"/>
          <w:sz w:val="20"/>
          <w:szCs w:val="20"/>
          <w:b w:val="1"/>
          <w:bCs w:val="1"/>
          <w:color w:val="auto"/>
        </w:rPr>
        <w:t xml:space="preserve">Notification of Certain Events. </w:t>
      </w:r>
      <w:r>
        <w:rPr>
          <w:rFonts w:ascii="Arial" w:cs="Arial" w:eastAsia="Arial" w:hAnsi="Arial"/>
          <w:sz w:val="20"/>
          <w:szCs w:val="20"/>
          <w:color w:val="auto"/>
        </w:rPr>
        <w:t>Prior to the expiration of this Warrant pursuant to Section 8, in the event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shall authorize:</w:t>
      </w:r>
    </w:p>
    <w:p>
      <w:pPr>
        <w:spacing w:after="0" w:line="169" w:lineRule="exact"/>
        <w:rPr>
          <w:sz w:val="20"/>
          <w:szCs w:val="20"/>
          <w:color w:val="auto"/>
        </w:rPr>
      </w:pPr>
    </w:p>
    <w:p>
      <w:pPr>
        <w:ind w:left="1680"/>
        <w:spacing w:after="0"/>
        <w:tabs>
          <w:tab w:leader="none" w:pos="252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the issuance of any dividend or other distribution on the capital stock of the Company (other than</w:t>
      </w:r>
    </w:p>
    <w:p>
      <w:pPr>
        <w:spacing w:after="0" w:line="16" w:lineRule="exact"/>
        <w:rPr>
          <w:sz w:val="20"/>
          <w:szCs w:val="20"/>
          <w:color w:val="auto"/>
        </w:rPr>
      </w:pPr>
    </w:p>
    <w:p>
      <w:pPr>
        <w:jc w:val="both"/>
        <w:ind w:firstLine="8"/>
        <w:spacing w:after="0" w:line="266" w:lineRule="auto"/>
        <w:tabs>
          <w:tab w:leader="none" w:pos="24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dividends or distributions otherwise provided for in Section 6, (ii) repurchases of common stock issued to or held by employees, officers, directors or consultants of the Company or its subsidiaries upon termination of their employment or services pursuant to agreements providing for the right of said repurchase; (iii) repurchases of common stock issued to or held by employees, officers, directors or consultants of the Company or its subsidiaries pursuant to rights of first refusal or first offer contained in agreements providing for such rights; or</w:t>
      </w:r>
    </w:p>
    <w:p>
      <w:pPr>
        <w:ind w:firstLine="8"/>
        <w:spacing w:after="0" w:line="244" w:lineRule="auto"/>
        <w:tabs>
          <w:tab w:leader="none" w:pos="366" w:val="left"/>
        </w:tabs>
        <w:numPr>
          <w:ilvl w:val="0"/>
          <w:numId w:val="224"/>
        </w:numPr>
        <w:rPr>
          <w:rFonts w:ascii="Arial" w:cs="Arial" w:eastAsia="Arial" w:hAnsi="Arial"/>
          <w:sz w:val="20"/>
          <w:szCs w:val="20"/>
          <w:color w:val="auto"/>
        </w:rPr>
      </w:pPr>
      <w:r>
        <w:rPr>
          <w:rFonts w:ascii="Arial" w:cs="Arial" w:eastAsia="Arial" w:hAnsi="Arial"/>
          <w:sz w:val="20"/>
          <w:szCs w:val="20"/>
          <w:color w:val="auto"/>
        </w:rPr>
        <w:t>repurchases of capital stock of the Company in connection with the settlement of disputes with any stockholder), whether in cash, property, stock or other securities;</w:t>
      </w:r>
    </w:p>
    <w:p>
      <w:pPr>
        <w:spacing w:after="0" w:line="191" w:lineRule="exact"/>
        <w:rPr>
          <w:rFonts w:ascii="Arial" w:cs="Arial" w:eastAsia="Arial" w:hAnsi="Arial"/>
          <w:sz w:val="20"/>
          <w:szCs w:val="20"/>
          <w:color w:val="auto"/>
        </w:rPr>
      </w:pPr>
    </w:p>
    <w:p>
      <w:pPr>
        <w:ind w:left="2560" w:hanging="889"/>
        <w:spacing w:after="0"/>
        <w:tabs>
          <w:tab w:leader="none" w:pos="2560" w:val="left"/>
        </w:tabs>
        <w:numPr>
          <w:ilvl w:val="1"/>
          <w:numId w:val="224"/>
        </w:numPr>
        <w:rPr>
          <w:rFonts w:ascii="Arial" w:cs="Arial" w:eastAsia="Arial" w:hAnsi="Arial"/>
          <w:sz w:val="20"/>
          <w:szCs w:val="20"/>
          <w:color w:val="auto"/>
        </w:rPr>
      </w:pPr>
      <w:r>
        <w:rPr>
          <w:rFonts w:ascii="Arial" w:cs="Arial" w:eastAsia="Arial" w:hAnsi="Arial"/>
          <w:sz w:val="20"/>
          <w:szCs w:val="20"/>
          <w:color w:val="auto"/>
        </w:rPr>
        <w:t>the voluntary liquidation, dissolution or winding up of the Company; or</w:t>
      </w:r>
    </w:p>
    <w:p>
      <w:pPr>
        <w:spacing w:after="0" w:line="215" w:lineRule="exact"/>
        <w:rPr>
          <w:rFonts w:ascii="Arial" w:cs="Arial" w:eastAsia="Arial" w:hAnsi="Arial"/>
          <w:sz w:val="20"/>
          <w:szCs w:val="20"/>
          <w:color w:val="auto"/>
        </w:rPr>
      </w:pPr>
    </w:p>
    <w:p>
      <w:pPr>
        <w:ind w:left="2540" w:hanging="869"/>
        <w:spacing w:after="0"/>
        <w:tabs>
          <w:tab w:leader="none" w:pos="2540" w:val="left"/>
        </w:tabs>
        <w:numPr>
          <w:ilvl w:val="1"/>
          <w:numId w:val="224"/>
        </w:numPr>
        <w:rPr>
          <w:rFonts w:ascii="Arial" w:cs="Arial" w:eastAsia="Arial" w:hAnsi="Arial"/>
          <w:sz w:val="20"/>
          <w:szCs w:val="20"/>
          <w:color w:val="auto"/>
        </w:rPr>
      </w:pPr>
      <w:r>
        <w:rPr>
          <w:rFonts w:ascii="Arial" w:cs="Arial" w:eastAsia="Arial" w:hAnsi="Arial"/>
          <w:sz w:val="20"/>
          <w:szCs w:val="20"/>
          <w:color w:val="auto"/>
        </w:rPr>
        <w:t>any transaction resulting in the expiration of this Warrant pursuant to Section 8(b) or 8(c);</w:t>
      </w:r>
    </w:p>
    <w:p>
      <w:pPr>
        <w:spacing w:after="0" w:line="216" w:lineRule="exact"/>
        <w:rPr>
          <w:sz w:val="20"/>
          <w:szCs w:val="20"/>
          <w:color w:val="auto"/>
        </w:rPr>
      </w:pPr>
    </w:p>
    <w:p>
      <w:pPr>
        <w:jc w:val="both"/>
        <w:ind w:firstLine="832"/>
        <w:spacing w:after="0" w:line="246" w:lineRule="auto"/>
        <w:rPr>
          <w:sz w:val="20"/>
          <w:szCs w:val="20"/>
          <w:color w:val="auto"/>
        </w:rPr>
      </w:pPr>
      <w:r>
        <w:rPr>
          <w:rFonts w:ascii="Arial" w:cs="Arial" w:eastAsia="Arial" w:hAnsi="Arial"/>
          <w:sz w:val="20"/>
          <w:szCs w:val="20"/>
          <w:color w:val="auto"/>
        </w:rPr>
        <w:t>the Company shall send to the Holder of this Warrant at least ten (10) days prior written notice of the date on which a record shall be taken for any such dividend or distribution specified in clause (a) or the expected effective date of any such other event specified in clause (b) or (c), as applicable. The notice provisions set forth in this section may be shortened or waived prospectively or retrospectively by the consent of the Holder of this Warrant.</w:t>
      </w:r>
    </w:p>
    <w:p>
      <w:pPr>
        <w:spacing w:after="0" w:line="185" w:lineRule="exact"/>
        <w:rPr>
          <w:sz w:val="20"/>
          <w:szCs w:val="20"/>
          <w:color w:val="auto"/>
        </w:rPr>
      </w:pPr>
    </w:p>
    <w:p>
      <w:pPr>
        <w:ind w:left="1640" w:hanging="800"/>
        <w:spacing w:after="0"/>
        <w:tabs>
          <w:tab w:leader="none" w:pos="1640" w:val="left"/>
        </w:tabs>
        <w:numPr>
          <w:ilvl w:val="0"/>
          <w:numId w:val="225"/>
        </w:numPr>
        <w:rPr>
          <w:rFonts w:ascii="Arial" w:cs="Arial" w:eastAsia="Arial" w:hAnsi="Arial"/>
          <w:sz w:val="20"/>
          <w:szCs w:val="20"/>
          <w:color w:val="auto"/>
        </w:rPr>
      </w:pPr>
      <w:r>
        <w:rPr>
          <w:rFonts w:ascii="Arial" w:cs="Arial" w:eastAsia="Arial" w:hAnsi="Arial"/>
          <w:sz w:val="20"/>
          <w:szCs w:val="20"/>
          <w:b w:val="1"/>
          <w:bCs w:val="1"/>
          <w:color w:val="auto"/>
        </w:rPr>
        <w:t xml:space="preserve">Expiration of the Warrant. </w:t>
      </w:r>
      <w:r>
        <w:rPr>
          <w:rFonts w:ascii="Arial" w:cs="Arial" w:eastAsia="Arial" w:hAnsi="Arial"/>
          <w:sz w:val="20"/>
          <w:szCs w:val="20"/>
          <w:color w:val="auto"/>
        </w:rPr>
        <w:t>This Warrant shall expire and shall no longer be exercisable as of the earlier of:</w:t>
      </w:r>
    </w:p>
    <w:p>
      <w:pPr>
        <w:spacing w:after="0" w:line="221" w:lineRule="exact"/>
        <w:rPr>
          <w:rFonts w:ascii="Arial" w:cs="Arial" w:eastAsia="Arial" w:hAnsi="Arial"/>
          <w:sz w:val="20"/>
          <w:szCs w:val="20"/>
          <w:color w:val="auto"/>
        </w:rPr>
      </w:pPr>
    </w:p>
    <w:p>
      <w:pPr>
        <w:ind w:left="2540" w:hanging="869"/>
        <w:spacing w:after="0"/>
        <w:tabs>
          <w:tab w:leader="none" w:pos="2540" w:val="left"/>
        </w:tabs>
        <w:numPr>
          <w:ilvl w:val="1"/>
          <w:numId w:val="225"/>
        </w:numPr>
        <w:rPr>
          <w:rFonts w:ascii="Arial" w:cs="Arial" w:eastAsia="Arial" w:hAnsi="Arial"/>
          <w:sz w:val="20"/>
          <w:szCs w:val="20"/>
          <w:color w:val="auto"/>
        </w:rPr>
      </w:pPr>
      <w:r>
        <w:rPr>
          <w:rFonts w:ascii="Arial" w:cs="Arial" w:eastAsia="Arial" w:hAnsi="Arial"/>
          <w:sz w:val="20"/>
          <w:szCs w:val="20"/>
          <w:color w:val="auto"/>
        </w:rPr>
        <w:t>5:00 p.m., Pacific time, on May 29, 2030;</w:t>
      </w:r>
    </w:p>
    <w:p>
      <w:pPr>
        <w:spacing w:after="0" w:line="215" w:lineRule="exact"/>
        <w:rPr>
          <w:rFonts w:ascii="Arial" w:cs="Arial" w:eastAsia="Arial" w:hAnsi="Arial"/>
          <w:sz w:val="20"/>
          <w:szCs w:val="20"/>
          <w:color w:val="auto"/>
        </w:rPr>
      </w:pPr>
    </w:p>
    <w:p>
      <w:pPr>
        <w:jc w:val="both"/>
        <w:ind w:firstLine="1671"/>
        <w:spacing w:after="0" w:line="255" w:lineRule="auto"/>
        <w:tabs>
          <w:tab w:leader="none" w:pos="2542" w:val="left"/>
        </w:tabs>
        <w:numPr>
          <w:ilvl w:val="1"/>
          <w:numId w:val="225"/>
        </w:numPr>
        <w:rPr>
          <w:rFonts w:ascii="Arial" w:cs="Arial" w:eastAsia="Arial" w:hAnsi="Arial"/>
          <w:sz w:val="19"/>
          <w:szCs w:val="19"/>
          <w:color w:val="auto"/>
        </w:rPr>
      </w:pPr>
      <w:r>
        <w:rPr>
          <w:rFonts w:ascii="Arial" w:cs="Arial" w:eastAsia="Arial" w:hAnsi="Arial"/>
          <w:sz w:val="19"/>
          <w:szCs w:val="19"/>
          <w:color w:val="auto"/>
        </w:rPr>
        <w:t>(i) the acquisition of the Company by another entity by means of any transaction or series of related transactions to which the Company is a party (including, without limitation, any stock acquisition, reorganization, merger or consolidation, but excluding any sale of stock primarily for capital raising purposes and any transaction effected primarily for purposes of changing the Company’s jurisdiction of incorporation) other than a transaction or series of related transactions in which the holders of the voting securities of the Company outstanding immediately prior to such transaction or series of related transactions retain, immediately after such transaction or series of transactions, as a result of shares in the Company held by such holders prior to such transaction or series of transactions, at least a majority of the total voting power represented by the outstanding voting securities of the Company or such other surviving or resulting entity (or if the Company or such other surviving or resulting entity is a wholly-owned subsidiary immediately following such acquisition, its parent), or (ii) a sale, lease or other disposition of all or substantially all of the assets of the Company and its subsidiaries taken as a whole by means of any transaction or series of related</w:t>
      </w:r>
    </w:p>
    <w:p>
      <w:pPr>
        <w:spacing w:after="0" w:line="189" w:lineRule="exact"/>
        <w:rPr>
          <w:rFonts w:ascii="Arial" w:cs="Arial" w:eastAsia="Arial" w:hAnsi="Arial"/>
          <w:sz w:val="19"/>
          <w:szCs w:val="19"/>
          <w:color w:val="auto"/>
        </w:rPr>
      </w:pPr>
    </w:p>
    <w:p>
      <w:pPr>
        <w:ind w:left="5580" w:hanging="121"/>
        <w:spacing w:after="0"/>
        <w:tabs>
          <w:tab w:leader="none" w:pos="5580" w:val="left"/>
        </w:tabs>
        <w:numPr>
          <w:ilvl w:val="2"/>
          <w:numId w:val="225"/>
        </w:numPr>
        <w:rPr>
          <w:rFonts w:ascii="Arial" w:cs="Arial" w:eastAsia="Arial" w:hAnsi="Arial"/>
          <w:sz w:val="20"/>
          <w:szCs w:val="20"/>
          <w:color w:val="auto"/>
        </w:rPr>
      </w:pPr>
      <w:r>
        <w:rPr>
          <w:rFonts w:ascii="Arial" w:cs="Arial" w:eastAsia="Arial" w:hAnsi="Arial"/>
          <w:sz w:val="20"/>
          <w:szCs w:val="20"/>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88" w:name="page289"/>
    <w:bookmarkEnd w:id="288"/>
    <w:p>
      <w:pPr>
        <w:spacing w:after="0"/>
        <w:rPr>
          <w:sz w:val="20"/>
          <w:szCs w:val="20"/>
          <w:color w:val="auto"/>
        </w:rPr>
      </w:pPr>
      <w:r>
        <w:rPr>
          <w:rFonts w:ascii="Arial" w:cs="Arial" w:eastAsia="Arial" w:hAnsi="Arial"/>
          <w:sz w:val="20"/>
          <w:szCs w:val="20"/>
          <w:color w:val="auto"/>
        </w:rPr>
        <w:t>transactions, except where such sale, lease or other disposition is to a wholly-owned subsidiary of the Company; or</w:t>
      </w:r>
    </w:p>
    <w:p>
      <w:pPr>
        <w:spacing w:after="0" w:line="216" w:lineRule="exact"/>
        <w:rPr>
          <w:sz w:val="20"/>
          <w:szCs w:val="20"/>
          <w:color w:val="auto"/>
        </w:rPr>
      </w:pPr>
    </w:p>
    <w:p>
      <w:pPr>
        <w:ind w:right="20" w:firstLine="1671"/>
        <w:spacing w:after="0" w:line="287" w:lineRule="auto"/>
        <w:tabs>
          <w:tab w:leader="none" w:pos="2531" w:val="left"/>
        </w:tabs>
        <w:numPr>
          <w:ilvl w:val="1"/>
          <w:numId w:val="226"/>
        </w:numPr>
        <w:rPr>
          <w:rFonts w:ascii="Arial" w:cs="Arial" w:eastAsia="Arial" w:hAnsi="Arial"/>
          <w:sz w:val="19"/>
          <w:szCs w:val="19"/>
          <w:color w:val="auto"/>
        </w:rPr>
      </w:pPr>
      <w:r>
        <w:rPr>
          <w:rFonts w:ascii="Arial" w:cs="Arial" w:eastAsia="Arial" w:hAnsi="Arial"/>
          <w:sz w:val="19"/>
          <w:szCs w:val="19"/>
          <w:color w:val="auto"/>
        </w:rPr>
        <w:t>Immediately prior to the closing of a firm commitment underwritten initial public offering pursuant to an effective registration statement filed under the Securities Act covering the offering and sale of the Company’s common stock.</w:t>
      </w:r>
    </w:p>
    <w:p>
      <w:pPr>
        <w:spacing w:after="0" w:line="146" w:lineRule="exact"/>
        <w:rPr>
          <w:rFonts w:ascii="Arial" w:cs="Arial" w:eastAsia="Arial" w:hAnsi="Arial"/>
          <w:sz w:val="19"/>
          <w:szCs w:val="19"/>
          <w:color w:val="auto"/>
        </w:rPr>
      </w:pPr>
    </w:p>
    <w:p>
      <w:pPr>
        <w:jc w:val="both"/>
        <w:ind w:firstLine="840"/>
        <w:spacing w:after="0" w:line="258" w:lineRule="auto"/>
        <w:tabs>
          <w:tab w:leader="none" w:pos="1628" w:val="left"/>
        </w:tabs>
        <w:numPr>
          <w:ilvl w:val="0"/>
          <w:numId w:val="227"/>
        </w:numPr>
        <w:rPr>
          <w:rFonts w:ascii="Arial" w:cs="Arial" w:eastAsia="Arial" w:hAnsi="Arial"/>
          <w:sz w:val="19"/>
          <w:szCs w:val="19"/>
          <w:color w:val="auto"/>
        </w:rPr>
      </w:pPr>
      <w:r>
        <w:rPr>
          <w:rFonts w:ascii="Arial" w:cs="Arial" w:eastAsia="Arial" w:hAnsi="Arial"/>
          <w:sz w:val="19"/>
          <w:szCs w:val="19"/>
          <w:b w:val="1"/>
          <w:bCs w:val="1"/>
          <w:color w:val="auto"/>
        </w:rPr>
        <w:t xml:space="preserve">No Rights as a Stockholder. </w:t>
      </w:r>
      <w:r>
        <w:rPr>
          <w:rFonts w:ascii="Arial" w:cs="Arial" w:eastAsia="Arial" w:hAnsi="Arial"/>
          <w:sz w:val="19"/>
          <w:szCs w:val="19"/>
          <w:color w:val="auto"/>
        </w:rPr>
        <w:t>Nothing contained herein shall entitle the Holder to any rights as a stockholder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to be deemed the holder of any securities that may at any time be issuable on the exercise of the rights hereunder for any purpose nor shall anything contained herein be construed to confer upon the Holder, as such, any right to vote for the election of directors or upon any matter submitted to stockholders at any meeting thereof, or to give or withhold consent to any corporate action (whether upon any recapitalization, issuance of stock, reclassification of stock, change of par value or change of stock to no par value, consolidation, merger, conveyance or otherwise) or to receive notice of meetings, or to receive dividends or subscription rights or any other rights of a stockholder of the Company until the rights under the Warrant shall have been exercised and the Shares purchasable upon exercise of the rights hereunder shall have become deliverable as provided herein.</w:t>
      </w:r>
    </w:p>
    <w:p>
      <w:pPr>
        <w:spacing w:after="0" w:line="173" w:lineRule="exact"/>
        <w:rPr>
          <w:rFonts w:ascii="Arial" w:cs="Arial" w:eastAsia="Arial" w:hAnsi="Arial"/>
          <w:sz w:val="19"/>
          <w:szCs w:val="19"/>
          <w:color w:val="auto"/>
        </w:rPr>
      </w:pPr>
    </w:p>
    <w:p>
      <w:pPr>
        <w:ind w:right="20" w:firstLine="840"/>
        <w:spacing w:after="0" w:line="267" w:lineRule="auto"/>
        <w:tabs>
          <w:tab w:leader="none" w:pos="1727" w:val="left"/>
        </w:tabs>
        <w:numPr>
          <w:ilvl w:val="0"/>
          <w:numId w:val="227"/>
        </w:numPr>
        <w:rPr>
          <w:rFonts w:ascii="Arial" w:cs="Arial" w:eastAsia="Arial" w:hAnsi="Arial"/>
          <w:sz w:val="20"/>
          <w:szCs w:val="20"/>
          <w:color w:val="auto"/>
        </w:rPr>
      </w:pPr>
      <w:r>
        <w:rPr>
          <w:rFonts w:ascii="Arial" w:cs="Arial" w:eastAsia="Arial" w:hAnsi="Arial"/>
          <w:sz w:val="20"/>
          <w:szCs w:val="20"/>
          <w:b w:val="1"/>
          <w:bCs w:val="1"/>
          <w:color w:val="auto"/>
        </w:rPr>
        <w:t xml:space="preserve">Market Stand-off. </w:t>
      </w:r>
      <w:r>
        <w:rPr>
          <w:rFonts w:ascii="Arial" w:cs="Arial" w:eastAsia="Arial" w:hAnsi="Arial"/>
          <w:sz w:val="20"/>
          <w:szCs w:val="20"/>
          <w:color w:val="auto"/>
        </w:rPr>
        <w:t>The Holder agrees that the Warrant and the Shares issued thereunder are subject to the market</w:t>
      </w:r>
      <w:r>
        <w:rPr>
          <w:rFonts w:ascii="Arial" w:cs="Arial" w:eastAsia="Arial" w:hAnsi="Arial"/>
          <w:sz w:val="20"/>
          <w:szCs w:val="20"/>
          <w:b w:val="1"/>
          <w:bCs w:val="1"/>
          <w:color w:val="auto"/>
        </w:rPr>
        <w:t xml:space="preserve"> </w:t>
      </w:r>
      <w:r>
        <w:rPr>
          <w:rFonts w:ascii="Arial" w:cs="Arial" w:eastAsia="Arial" w:hAnsi="Arial"/>
          <w:sz w:val="20"/>
          <w:szCs w:val="20"/>
          <w:color w:val="auto"/>
        </w:rPr>
        <w:t>stand-off provision of Section 2.11 of the Rights Agreement.</w:t>
      </w:r>
    </w:p>
    <w:p>
      <w:pPr>
        <w:spacing w:after="0" w:line="163" w:lineRule="exact"/>
        <w:rPr>
          <w:rFonts w:ascii="Arial" w:cs="Arial" w:eastAsia="Arial" w:hAnsi="Arial"/>
          <w:sz w:val="20"/>
          <w:szCs w:val="20"/>
          <w:color w:val="auto"/>
        </w:rPr>
      </w:pPr>
    </w:p>
    <w:p>
      <w:pPr>
        <w:ind w:firstLine="840"/>
        <w:spacing w:after="0" w:line="267" w:lineRule="auto"/>
        <w:tabs>
          <w:tab w:leader="none" w:pos="1720" w:val="left"/>
        </w:tabs>
        <w:numPr>
          <w:ilvl w:val="0"/>
          <w:numId w:val="227"/>
        </w:numPr>
        <w:rPr>
          <w:rFonts w:ascii="Arial" w:cs="Arial" w:eastAsia="Arial" w:hAnsi="Arial"/>
          <w:sz w:val="20"/>
          <w:szCs w:val="20"/>
          <w:color w:val="auto"/>
        </w:rPr>
      </w:pPr>
      <w:r>
        <w:rPr>
          <w:rFonts w:ascii="Arial" w:cs="Arial" w:eastAsia="Arial" w:hAnsi="Arial"/>
          <w:sz w:val="20"/>
          <w:szCs w:val="20"/>
          <w:b w:val="1"/>
          <w:bCs w:val="1"/>
          <w:color w:val="auto"/>
        </w:rPr>
        <w:t xml:space="preserve">Representations and Warranties of the Holder. </w:t>
      </w:r>
      <w:r>
        <w:rPr>
          <w:rFonts w:ascii="Arial" w:cs="Arial" w:eastAsia="Arial" w:hAnsi="Arial"/>
          <w:sz w:val="20"/>
          <w:szCs w:val="20"/>
          <w:color w:val="auto"/>
        </w:rPr>
        <w:t>By acceptance of this Warrant, the Holder represents and warrants to</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as follows:</w:t>
      </w:r>
    </w:p>
    <w:p>
      <w:pPr>
        <w:spacing w:after="0" w:line="169" w:lineRule="exact"/>
        <w:rPr>
          <w:rFonts w:ascii="Arial" w:cs="Arial" w:eastAsia="Arial" w:hAnsi="Arial"/>
          <w:sz w:val="20"/>
          <w:szCs w:val="20"/>
          <w:color w:val="auto"/>
        </w:rPr>
      </w:pPr>
    </w:p>
    <w:p>
      <w:pPr>
        <w:jc w:val="both"/>
        <w:ind w:firstLine="1671"/>
        <w:spacing w:after="0" w:line="246" w:lineRule="auto"/>
        <w:tabs>
          <w:tab w:leader="none" w:pos="2531" w:val="left"/>
        </w:tabs>
        <w:numPr>
          <w:ilvl w:val="1"/>
          <w:numId w:val="22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No Registration. </w:t>
      </w:r>
      <w:r>
        <w:rPr>
          <w:rFonts w:ascii="Arial" w:cs="Arial" w:eastAsia="Arial" w:hAnsi="Arial"/>
          <w:sz w:val="20"/>
          <w:szCs w:val="20"/>
          <w:color w:val="auto"/>
        </w:rPr>
        <w:t>The Holder understands that the Securities have not been, and will not be, registered under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the Securities Act by reason of a specific exemption from the registration provisions of the Securities Act, the availability of which depends upon, among other things, the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nature of the investment intent and the accuracy of the Holder’s representations as expressed herein or otherwise made pursuant hereto.</w:t>
      </w:r>
    </w:p>
    <w:p>
      <w:pPr>
        <w:spacing w:after="0" w:line="191" w:lineRule="exact"/>
        <w:rPr>
          <w:rFonts w:ascii="Arial" w:cs="Arial" w:eastAsia="Arial" w:hAnsi="Arial"/>
          <w:sz w:val="20"/>
          <w:szCs w:val="20"/>
          <w:color w:val="auto"/>
        </w:rPr>
      </w:pPr>
    </w:p>
    <w:p>
      <w:pPr>
        <w:jc w:val="both"/>
        <w:ind w:firstLine="1671"/>
        <w:spacing w:after="0" w:line="246" w:lineRule="auto"/>
        <w:tabs>
          <w:tab w:leader="none" w:pos="2542" w:val="left"/>
        </w:tabs>
        <w:numPr>
          <w:ilvl w:val="1"/>
          <w:numId w:val="22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Investment Intent. </w:t>
      </w:r>
      <w:r>
        <w:rPr>
          <w:rFonts w:ascii="Arial" w:cs="Arial" w:eastAsia="Arial" w:hAnsi="Arial"/>
          <w:sz w:val="20"/>
          <w:szCs w:val="20"/>
          <w:color w:val="auto"/>
        </w:rPr>
        <w:t>The Holder is acquiring the Securities for investment for its own account, not as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nominee or agent, and not with a view to, or for resale in connection with, any distribution thereof. The Holder has no present intention of selling, granting any participation in, or otherwise distributing the Securities, nor does it have any contract, undertaking, agreement or arrangement for the same.</w:t>
      </w:r>
    </w:p>
    <w:p>
      <w:pPr>
        <w:spacing w:after="0" w:line="191" w:lineRule="exact"/>
        <w:rPr>
          <w:rFonts w:ascii="Arial" w:cs="Arial" w:eastAsia="Arial" w:hAnsi="Arial"/>
          <w:sz w:val="20"/>
          <w:szCs w:val="20"/>
          <w:color w:val="auto"/>
        </w:rPr>
      </w:pPr>
    </w:p>
    <w:p>
      <w:pPr>
        <w:jc w:val="both"/>
        <w:ind w:firstLine="1671"/>
        <w:spacing w:after="0" w:line="291" w:lineRule="auto"/>
        <w:tabs>
          <w:tab w:leader="none" w:pos="2531" w:val="left"/>
        </w:tabs>
        <w:numPr>
          <w:ilvl w:val="1"/>
          <w:numId w:val="2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Investment Experience. </w:t>
      </w:r>
      <w:r>
        <w:rPr>
          <w:rFonts w:ascii="Arial" w:cs="Arial" w:eastAsia="Arial" w:hAnsi="Arial"/>
          <w:sz w:val="18"/>
          <w:szCs w:val="18"/>
          <w:color w:val="auto"/>
        </w:rPr>
        <w:t>The Holder has substantial experience in evaluating and investing in private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placement transactions of securities in companies similar to the Company, and has such knowledge and experience in financial or business matters so that it is capable of evaluating the merits and risks of its investment in the Company and protecting its own interests.</w:t>
      </w:r>
    </w:p>
    <w:p>
      <w:pPr>
        <w:spacing w:after="0" w:line="151" w:lineRule="exact"/>
        <w:rPr>
          <w:rFonts w:ascii="Arial" w:cs="Arial" w:eastAsia="Arial" w:hAnsi="Arial"/>
          <w:sz w:val="18"/>
          <w:szCs w:val="18"/>
          <w:color w:val="auto"/>
        </w:rPr>
      </w:pPr>
    </w:p>
    <w:p>
      <w:pPr>
        <w:jc w:val="both"/>
        <w:ind w:right="20" w:firstLine="1671"/>
        <w:spacing w:after="0" w:line="291" w:lineRule="auto"/>
        <w:tabs>
          <w:tab w:leader="none" w:pos="2542" w:val="left"/>
        </w:tabs>
        <w:numPr>
          <w:ilvl w:val="1"/>
          <w:numId w:val="2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Speculative Nature of Investment. </w:t>
      </w:r>
      <w:r>
        <w:rPr>
          <w:rFonts w:ascii="Arial" w:cs="Arial" w:eastAsia="Arial" w:hAnsi="Arial"/>
          <w:sz w:val="18"/>
          <w:szCs w:val="18"/>
          <w:color w:val="auto"/>
        </w:rPr>
        <w:t>The Holder understands and acknowledges that its investment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is highly speculative and involves substantial risks. The Holder can bear the economic risk of its investment and is able, without impairing its financial condition, to hold the Securities for an indefinite period of time and to suffer a complete loss of its investment.</w:t>
      </w:r>
    </w:p>
    <w:p>
      <w:pPr>
        <w:spacing w:after="0" w:line="151" w:lineRule="exact"/>
        <w:rPr>
          <w:rFonts w:ascii="Arial" w:cs="Arial" w:eastAsia="Arial" w:hAnsi="Arial"/>
          <w:sz w:val="18"/>
          <w:szCs w:val="18"/>
          <w:color w:val="auto"/>
        </w:rPr>
      </w:pPr>
    </w:p>
    <w:p>
      <w:pPr>
        <w:jc w:val="both"/>
        <w:ind w:firstLine="1671"/>
        <w:spacing w:after="0" w:line="246" w:lineRule="auto"/>
        <w:tabs>
          <w:tab w:leader="none" w:pos="2531" w:val="left"/>
        </w:tabs>
        <w:numPr>
          <w:ilvl w:val="1"/>
          <w:numId w:val="22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Access to Data. </w:t>
      </w:r>
      <w:r>
        <w:rPr>
          <w:rFonts w:ascii="Arial" w:cs="Arial" w:eastAsia="Arial" w:hAnsi="Arial"/>
          <w:sz w:val="20"/>
          <w:szCs w:val="20"/>
          <w:color w:val="auto"/>
        </w:rPr>
        <w:t>The Holder has had an opportunity to ask questions of officers of the Company, which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questions were answered to its satisfaction. The Holder believes that it has received all the information that it considers necessary or appropriate for deciding whether to acquire the Securities. The Holder understands that any such discussions, as well as any information issued by the Company, were</w:t>
      </w:r>
    </w:p>
    <w:p>
      <w:pPr>
        <w:spacing w:after="0" w:line="191" w:lineRule="exact"/>
        <w:rPr>
          <w:rFonts w:ascii="Arial" w:cs="Arial" w:eastAsia="Arial" w:hAnsi="Arial"/>
          <w:sz w:val="20"/>
          <w:szCs w:val="20"/>
          <w:color w:val="auto"/>
        </w:rPr>
      </w:pPr>
    </w:p>
    <w:p>
      <w:pPr>
        <w:ind w:left="5580" w:hanging="121"/>
        <w:spacing w:after="0"/>
        <w:tabs>
          <w:tab w:leader="none" w:pos="5580" w:val="left"/>
        </w:tabs>
        <w:numPr>
          <w:ilvl w:val="2"/>
          <w:numId w:val="227"/>
        </w:numPr>
        <w:rPr>
          <w:rFonts w:ascii="Arial" w:cs="Arial" w:eastAsia="Arial" w:hAnsi="Arial"/>
          <w:sz w:val="20"/>
          <w:szCs w:val="20"/>
          <w:color w:val="auto"/>
        </w:rPr>
      </w:pPr>
      <w:r>
        <w:rPr>
          <w:rFonts w:ascii="Arial" w:cs="Arial" w:eastAsia="Arial" w:hAnsi="Arial"/>
          <w:sz w:val="20"/>
          <w:szCs w:val="20"/>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89" w:name="page290"/>
    <w:bookmarkEnd w:id="289"/>
    <w:p>
      <w:pPr>
        <w:jc w:val="both"/>
        <w:spacing w:after="0" w:line="263" w:lineRule="auto"/>
        <w:rPr>
          <w:sz w:val="20"/>
          <w:szCs w:val="20"/>
          <w:color w:val="auto"/>
        </w:rPr>
      </w:pPr>
      <w:r>
        <w:rPr>
          <w:rFonts w:ascii="Arial" w:cs="Arial" w:eastAsia="Arial" w:hAnsi="Arial"/>
          <w:sz w:val="19"/>
          <w:szCs w:val="19"/>
          <w:color w:val="auto"/>
        </w:rPr>
        <w:t>intended to describe certain aspects of the Company’s business and prospects, but were not necessarily a thorough or exhaustive description. The Holder acknowledges that any business plans prepared by the Company have been, and continue to be, subject to change and that any projections included in such business plans or otherwise are necessarily speculative in nature, and it can be expected that some or all of the assumptions underlying the projections will not materialize or will vary significantly from actual results.</w:t>
      </w:r>
    </w:p>
    <w:p>
      <w:pPr>
        <w:spacing w:after="0" w:line="176" w:lineRule="exact"/>
        <w:rPr>
          <w:sz w:val="20"/>
          <w:szCs w:val="20"/>
          <w:color w:val="auto"/>
        </w:rPr>
      </w:pPr>
    </w:p>
    <w:p>
      <w:pPr>
        <w:jc w:val="both"/>
        <w:ind w:firstLine="1671"/>
        <w:spacing w:after="0" w:line="244" w:lineRule="auto"/>
        <w:tabs>
          <w:tab w:leader="none" w:pos="2509" w:val="left"/>
        </w:tabs>
        <w:numPr>
          <w:ilvl w:val="0"/>
          <w:numId w:val="22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Accredited Investor. </w:t>
      </w:r>
      <w:r>
        <w:rPr>
          <w:rFonts w:ascii="Arial" w:cs="Arial" w:eastAsia="Arial" w:hAnsi="Arial"/>
          <w:sz w:val="20"/>
          <w:szCs w:val="20"/>
          <w:color w:val="auto"/>
        </w:rPr>
        <w:t>The Holder is an “accredited investor” within the meaning of Regulation D, Rule 501(a),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promulgated by the Securities and Exchange Commission and agrees to submit to the Company such further assurances of such status as may be reasonably requested by the Company. The Holder has furnished or made available any and all information requested by the Company or otherwise necessary to satisfy any applicable verification requirements as to “accredited investor” status. Any such information is true, correct, timely and complete</w:t>
      </w:r>
    </w:p>
    <w:p>
      <w:pPr>
        <w:spacing w:after="0" w:line="194" w:lineRule="exact"/>
        <w:rPr>
          <w:rFonts w:ascii="Arial" w:cs="Arial" w:eastAsia="Arial" w:hAnsi="Arial"/>
          <w:sz w:val="20"/>
          <w:szCs w:val="20"/>
          <w:color w:val="auto"/>
        </w:rPr>
      </w:pPr>
    </w:p>
    <w:p>
      <w:pPr>
        <w:ind w:firstLine="1671"/>
        <w:spacing w:after="0" w:line="260" w:lineRule="auto"/>
        <w:tabs>
          <w:tab w:leader="none" w:pos="2542" w:val="left"/>
        </w:tabs>
        <w:numPr>
          <w:ilvl w:val="0"/>
          <w:numId w:val="22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Residency. </w:t>
      </w:r>
      <w:r>
        <w:rPr>
          <w:rFonts w:ascii="Arial" w:cs="Arial" w:eastAsia="Arial" w:hAnsi="Arial"/>
          <w:sz w:val="20"/>
          <w:szCs w:val="20"/>
          <w:color w:val="auto"/>
        </w:rPr>
        <w:t>The residency of the Holder (or, in the case of a partnership or corporation, such entity’s principal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place of business) is correctly set forth on the signature page hereto.</w:t>
      </w:r>
    </w:p>
    <w:p>
      <w:pPr>
        <w:spacing w:after="0" w:line="176" w:lineRule="exact"/>
        <w:rPr>
          <w:rFonts w:ascii="Arial" w:cs="Arial" w:eastAsia="Arial" w:hAnsi="Arial"/>
          <w:sz w:val="20"/>
          <w:szCs w:val="20"/>
          <w:color w:val="auto"/>
        </w:rPr>
      </w:pPr>
    </w:p>
    <w:p>
      <w:pPr>
        <w:jc w:val="both"/>
        <w:ind w:firstLine="1671"/>
        <w:spacing w:after="0" w:line="269" w:lineRule="auto"/>
        <w:tabs>
          <w:tab w:leader="none" w:pos="2542" w:val="left"/>
        </w:tabs>
        <w:numPr>
          <w:ilvl w:val="0"/>
          <w:numId w:val="2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on Resales. </w:t>
      </w:r>
      <w:r>
        <w:rPr>
          <w:rFonts w:ascii="Arial" w:cs="Arial" w:eastAsia="Arial" w:hAnsi="Arial"/>
          <w:sz w:val="18"/>
          <w:szCs w:val="18"/>
          <w:color w:val="auto"/>
        </w:rPr>
        <w:t>The Holder acknowledges that the Securities must be held indefinitely unless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subsequently registered under the Securities Act or an exemption from such registration is available. The Holder is aware of the provisions of Rule 144 promulgated under the Securities Act, which permit resale of shares purchased in a private placement subject to the satisfaction of certain conditions, which may include, among other things, the availability of certain current public information about the Company; the resale occurring not less than a specified period after a party has purchased and paid for the security to be sold; the number of shares being sold during any three-month period not exceeding specified limitations; the sale being effected through a “broker’s transaction,” a transaction directly with a “market maker” or a “riskless principal transaction” (as those terms are defined in the Securities Act or the Securities Exchange Act of 1934, as amended, and the rules and regulations promulgated thereunder); and the filing of a Form 144 notice, if applicable. The Holder acknowledges and understands that the Company may not be satisfying the current public information requirement of Rule 144 at the time the Holder wishes to sell the Securities and that, in such event, the Holder may be precluded from selling the Securities under Rule 144 even if the other applicable requirements of Rule 144 have been satisfied. The Holder acknowledges that, in the event the applicable requirements of Rule 144 are not met, registration under the Securities Act or an exemption from registration will be required for any disposition of the Securities. The Holder understands that, although Rule 144 is not exclusive, the Securities and Exchange Commission has expressed its opinion that persons proposing to sell restricted securities received in a private offering other than in a registered offering or pursuant to Rule 144 will have a substantial burden of proof in establishing that an exemption from registration is available for such offers or sales and that such persons and the brokers who participate in the transactions do so at their own risk.</w:t>
      </w:r>
    </w:p>
    <w:p>
      <w:pPr>
        <w:spacing w:after="0" w:line="176" w:lineRule="exact"/>
        <w:rPr>
          <w:rFonts w:ascii="Arial" w:cs="Arial" w:eastAsia="Arial" w:hAnsi="Arial"/>
          <w:sz w:val="18"/>
          <w:szCs w:val="18"/>
          <w:color w:val="auto"/>
        </w:rPr>
      </w:pPr>
    </w:p>
    <w:p>
      <w:pPr>
        <w:jc w:val="both"/>
        <w:ind w:firstLine="1671"/>
        <w:spacing w:after="0" w:line="250" w:lineRule="auto"/>
        <w:tabs>
          <w:tab w:leader="none" w:pos="2498" w:val="left"/>
        </w:tabs>
        <w:numPr>
          <w:ilvl w:val="0"/>
          <w:numId w:val="22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No Public Market. </w:t>
      </w:r>
      <w:r>
        <w:rPr>
          <w:rFonts w:ascii="Arial" w:cs="Arial" w:eastAsia="Arial" w:hAnsi="Arial"/>
          <w:sz w:val="20"/>
          <w:szCs w:val="20"/>
          <w:color w:val="auto"/>
        </w:rPr>
        <w:t>The Holder understands and acknowledges that no public market now exists for any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securities issued by the Company and that the Company has made no assurances that a public market will ever exist for the Company’s securities.</w:t>
      </w:r>
    </w:p>
    <w:p>
      <w:pPr>
        <w:spacing w:after="0" w:line="185" w:lineRule="exact"/>
        <w:rPr>
          <w:rFonts w:ascii="Arial" w:cs="Arial" w:eastAsia="Arial" w:hAnsi="Arial"/>
          <w:sz w:val="20"/>
          <w:szCs w:val="20"/>
          <w:color w:val="auto"/>
        </w:rPr>
      </w:pPr>
    </w:p>
    <w:p>
      <w:pPr>
        <w:jc w:val="both"/>
        <w:ind w:firstLine="1671"/>
        <w:spacing w:after="0" w:line="269" w:lineRule="auto"/>
        <w:tabs>
          <w:tab w:leader="none" w:pos="2498" w:val="left"/>
        </w:tabs>
        <w:numPr>
          <w:ilvl w:val="0"/>
          <w:numId w:val="22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Brokers and Finders. </w:t>
      </w:r>
      <w:r>
        <w:rPr>
          <w:rFonts w:ascii="Arial" w:cs="Arial" w:eastAsia="Arial" w:hAnsi="Arial"/>
          <w:sz w:val="19"/>
          <w:szCs w:val="19"/>
          <w:color w:val="auto"/>
        </w:rPr>
        <w:t>The Holder has not engaged any brokers, finders or agents in connection with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Securities, and the Company has not incurred nor will incur, directly or indirectly, as a result of any action taken by the Holder, any liability for brokerage or finders’ fees or agents’ commissions or any similar charges in connection with the Securities.</w:t>
      </w:r>
    </w:p>
    <w:p>
      <w:pPr>
        <w:spacing w:after="0" w:line="169" w:lineRule="exact"/>
        <w:rPr>
          <w:rFonts w:ascii="Arial" w:cs="Arial" w:eastAsia="Arial" w:hAnsi="Arial"/>
          <w:sz w:val="19"/>
          <w:szCs w:val="19"/>
          <w:color w:val="auto"/>
        </w:rPr>
      </w:pPr>
    </w:p>
    <w:p>
      <w:pPr>
        <w:ind w:firstLine="1671"/>
        <w:spacing w:after="0" w:line="260" w:lineRule="auto"/>
        <w:tabs>
          <w:tab w:leader="none" w:pos="2542" w:val="left"/>
        </w:tabs>
        <w:numPr>
          <w:ilvl w:val="0"/>
          <w:numId w:val="22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Legal Counsel. </w:t>
      </w:r>
      <w:r>
        <w:rPr>
          <w:rFonts w:ascii="Arial" w:cs="Arial" w:eastAsia="Arial" w:hAnsi="Arial"/>
          <w:sz w:val="20"/>
          <w:szCs w:val="20"/>
          <w:color w:val="auto"/>
        </w:rPr>
        <w:t>The Holder has had the opportunity to review this Warrant, the exhibits and schedules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attached hereto and the transactions contemplated by this Warrant with its own legal</w:t>
      </w:r>
    </w:p>
    <w:p>
      <w:pPr>
        <w:spacing w:after="0" w:line="176" w:lineRule="exact"/>
        <w:rPr>
          <w:rFonts w:ascii="Arial" w:cs="Arial" w:eastAsia="Arial" w:hAnsi="Arial"/>
          <w:sz w:val="20"/>
          <w:szCs w:val="20"/>
          <w:color w:val="auto"/>
        </w:rPr>
      </w:pPr>
    </w:p>
    <w:p>
      <w:pPr>
        <w:ind w:left="5520" w:hanging="110"/>
        <w:spacing w:after="0"/>
        <w:tabs>
          <w:tab w:leader="none" w:pos="5520" w:val="left"/>
        </w:tabs>
        <w:numPr>
          <w:ilvl w:val="1"/>
          <w:numId w:val="228"/>
        </w:numPr>
        <w:rPr>
          <w:rFonts w:ascii="Arial" w:cs="Arial" w:eastAsia="Arial" w:hAnsi="Arial"/>
          <w:sz w:val="20"/>
          <w:szCs w:val="20"/>
          <w:color w:val="auto"/>
        </w:rPr>
      </w:pPr>
      <w:r>
        <w:rPr>
          <w:rFonts w:ascii="Arial" w:cs="Arial" w:eastAsia="Arial" w:hAnsi="Arial"/>
          <w:sz w:val="20"/>
          <w:szCs w:val="20"/>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90" w:name="page291"/>
    <w:bookmarkEnd w:id="290"/>
    <w:p>
      <w:pPr>
        <w:spacing w:after="0" w:line="260" w:lineRule="auto"/>
        <w:rPr>
          <w:sz w:val="20"/>
          <w:szCs w:val="20"/>
          <w:color w:val="auto"/>
        </w:rPr>
      </w:pPr>
      <w:r>
        <w:rPr>
          <w:rFonts w:ascii="Arial" w:cs="Arial" w:eastAsia="Arial" w:hAnsi="Arial"/>
          <w:sz w:val="20"/>
          <w:szCs w:val="20"/>
          <w:color w:val="auto"/>
        </w:rPr>
        <w:t>counsel. The Holder is not relying on any statements or representations of the Company or its agents for legal advice with respect to this investment or the transactions contemplated by this Warrant.</w:t>
      </w:r>
    </w:p>
    <w:p>
      <w:pPr>
        <w:spacing w:after="0" w:line="177" w:lineRule="exact"/>
        <w:rPr>
          <w:sz w:val="20"/>
          <w:szCs w:val="20"/>
          <w:color w:val="auto"/>
        </w:rPr>
      </w:pPr>
    </w:p>
    <w:p>
      <w:pPr>
        <w:jc w:val="both"/>
        <w:ind w:firstLine="1671"/>
        <w:spacing w:after="0" w:line="244" w:lineRule="auto"/>
        <w:tabs>
          <w:tab w:leader="none" w:pos="2498" w:val="left"/>
        </w:tabs>
        <w:numPr>
          <w:ilvl w:val="1"/>
          <w:numId w:val="22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Tax Advisors. </w:t>
      </w:r>
      <w:r>
        <w:rPr>
          <w:rFonts w:ascii="Arial" w:cs="Arial" w:eastAsia="Arial" w:hAnsi="Arial"/>
          <w:sz w:val="20"/>
          <w:szCs w:val="20"/>
          <w:color w:val="auto"/>
        </w:rPr>
        <w:t>The Holder has reviewed with its own tax advisors the U.S. federal, state and local and non-U.S. tax consequences of this investment and the transactions contemplated by this Warrant. With respect to such matters, the Holder relies solely on any such advisors and not on any statements or representations of the Company or any of its agents, written or oral. The Holder understands that it (and not the Company) shall be responsible for its own tax liability that may arise as a result of this investment and the transactions contemplated by this Warrant.</w:t>
      </w:r>
    </w:p>
    <w:p>
      <w:pPr>
        <w:spacing w:after="0" w:line="194" w:lineRule="exact"/>
        <w:rPr>
          <w:rFonts w:ascii="Arial" w:cs="Arial" w:eastAsia="Arial" w:hAnsi="Arial"/>
          <w:sz w:val="20"/>
          <w:szCs w:val="20"/>
          <w:color w:val="auto"/>
        </w:rPr>
      </w:pPr>
    </w:p>
    <w:p>
      <w:pPr>
        <w:jc w:val="both"/>
        <w:ind w:firstLine="1671"/>
        <w:spacing w:after="0" w:line="243" w:lineRule="auto"/>
        <w:tabs>
          <w:tab w:leader="none" w:pos="2597" w:val="left"/>
        </w:tabs>
        <w:numPr>
          <w:ilvl w:val="1"/>
          <w:numId w:val="22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No “Bad Actor” Disqualification. </w:t>
      </w:r>
      <w:r>
        <w:rPr>
          <w:rFonts w:ascii="Arial" w:cs="Arial" w:eastAsia="Arial" w:hAnsi="Arial"/>
          <w:sz w:val="20"/>
          <w:szCs w:val="20"/>
          <w:color w:val="auto"/>
        </w:rPr>
        <w:t>Neither (i) the Holder, (ii) any of its directors, executive officers, other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officers that may serve as a director or officer of any company in which it invests, general partners or managing members, nor (iii) any beneficial owner of any of the Company’s voting equity securities (in accordance with Rule 506(d) of the Securities Act) held by the Holder is subject to any of the “bad actor” disqualifications described in Rule 506(d)(1)(i) through (viii) under the Securities Act, except as set forth in Rule 506(d)(2)(ii) or (iii) or (d)(3) under the Securities Act and disclosed, reasonably in advance of the acceptance of this Warrant, in writing in reasonable detail to the Company.</w:t>
      </w:r>
    </w:p>
    <w:p>
      <w:pPr>
        <w:spacing w:after="0" w:line="189" w:lineRule="exact"/>
        <w:rPr>
          <w:rFonts w:ascii="Arial" w:cs="Arial" w:eastAsia="Arial" w:hAnsi="Arial"/>
          <w:sz w:val="20"/>
          <w:szCs w:val="20"/>
          <w:color w:val="auto"/>
        </w:rPr>
      </w:pPr>
    </w:p>
    <w:p>
      <w:pPr>
        <w:ind w:left="1740" w:hanging="900"/>
        <w:spacing w:after="0"/>
        <w:tabs>
          <w:tab w:leader="none" w:pos="1740" w:val="left"/>
        </w:tabs>
        <w:numPr>
          <w:ilvl w:val="0"/>
          <w:numId w:val="230"/>
        </w:numPr>
        <w:rPr>
          <w:rFonts w:ascii="Arial" w:cs="Arial" w:eastAsia="Arial" w:hAnsi="Arial"/>
          <w:sz w:val="20"/>
          <w:szCs w:val="20"/>
          <w:color w:val="auto"/>
        </w:rPr>
      </w:pPr>
      <w:r>
        <w:rPr>
          <w:rFonts w:ascii="Arial" w:cs="Arial" w:eastAsia="Arial" w:hAnsi="Arial"/>
          <w:sz w:val="20"/>
          <w:szCs w:val="20"/>
          <w:b w:val="1"/>
          <w:bCs w:val="1"/>
          <w:color w:val="auto"/>
        </w:rPr>
        <w:t>Miscellaneous.</w:t>
      </w:r>
    </w:p>
    <w:p>
      <w:pPr>
        <w:spacing w:after="0" w:line="221" w:lineRule="exact"/>
        <w:rPr>
          <w:rFonts w:ascii="Arial" w:cs="Arial" w:eastAsia="Arial" w:hAnsi="Arial"/>
          <w:sz w:val="20"/>
          <w:szCs w:val="20"/>
          <w:color w:val="auto"/>
        </w:rPr>
      </w:pPr>
    </w:p>
    <w:p>
      <w:pPr>
        <w:jc w:val="both"/>
        <w:ind w:firstLine="1671"/>
        <w:spacing w:after="0" w:line="246" w:lineRule="auto"/>
        <w:tabs>
          <w:tab w:leader="none" w:pos="2531" w:val="left"/>
        </w:tabs>
        <w:numPr>
          <w:ilvl w:val="1"/>
          <w:numId w:val="23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Amendments. </w:t>
      </w:r>
      <w:r>
        <w:rPr>
          <w:rFonts w:ascii="Arial" w:cs="Arial" w:eastAsia="Arial" w:hAnsi="Arial"/>
          <w:sz w:val="20"/>
          <w:szCs w:val="20"/>
          <w:color w:val="auto"/>
        </w:rPr>
        <w:t>Except as expressly provided herein, neither this Warrant nor any term hereof may be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amended, waived, discharged or terminated other than by a written instrument referencing this Warrant and signed by the Company and (i) the Holder or (ii) the holders of at least a majority of the then-outstanding shares of Series B Preferred Stock of the Company, par value $0.0001 per share.</w:t>
      </w:r>
    </w:p>
    <w:p>
      <w:pPr>
        <w:spacing w:after="0" w:line="191" w:lineRule="exact"/>
        <w:rPr>
          <w:rFonts w:ascii="Arial" w:cs="Arial" w:eastAsia="Arial" w:hAnsi="Arial"/>
          <w:sz w:val="20"/>
          <w:szCs w:val="20"/>
          <w:color w:val="auto"/>
        </w:rPr>
      </w:pPr>
    </w:p>
    <w:p>
      <w:pPr>
        <w:ind w:firstLine="1671"/>
        <w:spacing w:after="0" w:line="260" w:lineRule="auto"/>
        <w:tabs>
          <w:tab w:leader="none" w:pos="2542" w:val="left"/>
        </w:tabs>
        <w:numPr>
          <w:ilvl w:val="1"/>
          <w:numId w:val="23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Waivers. </w:t>
      </w:r>
      <w:r>
        <w:rPr>
          <w:rFonts w:ascii="Arial" w:cs="Arial" w:eastAsia="Arial" w:hAnsi="Arial"/>
          <w:sz w:val="20"/>
          <w:szCs w:val="20"/>
          <w:color w:val="auto"/>
        </w:rPr>
        <w:t>No waiver of any single breach or default shall be deemed a waiver of any other breach or default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theretofore or thereafter occurring.</w:t>
      </w:r>
    </w:p>
    <w:p>
      <w:pPr>
        <w:spacing w:after="0" w:line="176" w:lineRule="exact"/>
        <w:rPr>
          <w:rFonts w:ascii="Arial" w:cs="Arial" w:eastAsia="Arial" w:hAnsi="Arial"/>
          <w:sz w:val="20"/>
          <w:szCs w:val="20"/>
          <w:color w:val="auto"/>
        </w:rPr>
      </w:pPr>
    </w:p>
    <w:p>
      <w:pPr>
        <w:jc w:val="both"/>
        <w:ind w:firstLine="1671"/>
        <w:spacing w:after="0" w:line="250" w:lineRule="auto"/>
        <w:tabs>
          <w:tab w:leader="none" w:pos="2531" w:val="left"/>
        </w:tabs>
        <w:numPr>
          <w:ilvl w:val="1"/>
          <w:numId w:val="23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Notices. </w:t>
      </w:r>
      <w:r>
        <w:rPr>
          <w:rFonts w:ascii="Arial" w:cs="Arial" w:eastAsia="Arial" w:hAnsi="Arial"/>
          <w:sz w:val="20"/>
          <w:szCs w:val="20"/>
          <w:color w:val="auto"/>
        </w:rPr>
        <w:t>All notices and other communications required or permitted hereunder shall be in writing and shall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 mailed by registered or certified mail, postage prepaid, sent by facsimile or electronic mail (if to the Holder) or otherwise delivered by hand, messenger or courier service addressed:</w:t>
      </w:r>
    </w:p>
    <w:p>
      <w:pPr>
        <w:spacing w:after="0" w:line="185" w:lineRule="exact"/>
        <w:rPr>
          <w:rFonts w:ascii="Arial" w:cs="Arial" w:eastAsia="Arial" w:hAnsi="Arial"/>
          <w:sz w:val="20"/>
          <w:szCs w:val="20"/>
          <w:color w:val="auto"/>
        </w:rPr>
      </w:pPr>
    </w:p>
    <w:p>
      <w:pPr>
        <w:jc w:val="both"/>
        <w:ind w:firstLine="2920"/>
        <w:spacing w:after="0" w:line="263" w:lineRule="auto"/>
        <w:tabs>
          <w:tab w:leader="none" w:pos="3747" w:val="left"/>
        </w:tabs>
        <w:numPr>
          <w:ilvl w:val="2"/>
          <w:numId w:val="230"/>
        </w:numPr>
        <w:rPr>
          <w:rFonts w:ascii="Arial" w:cs="Arial" w:eastAsia="Arial" w:hAnsi="Arial"/>
          <w:sz w:val="19"/>
          <w:szCs w:val="19"/>
          <w:color w:val="auto"/>
        </w:rPr>
      </w:pPr>
      <w:r>
        <w:rPr>
          <w:rFonts w:ascii="Arial" w:cs="Arial" w:eastAsia="Arial" w:hAnsi="Arial"/>
          <w:sz w:val="19"/>
          <w:szCs w:val="19"/>
          <w:color w:val="auto"/>
        </w:rPr>
        <w:t>if to the Holder, to the Holder at the Holder’s address, facsimile number or electronic mail address as shown in the Company’s records, as may be updated in accordance with the provisions hereof, or until any such Holder so furnishes an address, facsimile number or electronic mail address] to the Company, then to and at the address, facsimile number or electronic mail address of the last holder of this Warrant for which the Company has contact information in its records; or</w:t>
      </w:r>
    </w:p>
    <w:p>
      <w:pPr>
        <w:spacing w:after="0" w:line="176" w:lineRule="exact"/>
        <w:rPr>
          <w:rFonts w:ascii="Arial" w:cs="Arial" w:eastAsia="Arial" w:hAnsi="Arial"/>
          <w:sz w:val="19"/>
          <w:szCs w:val="19"/>
          <w:color w:val="auto"/>
        </w:rPr>
      </w:pPr>
    </w:p>
    <w:p>
      <w:pPr>
        <w:jc w:val="both"/>
        <w:ind w:firstLine="2920"/>
        <w:spacing w:after="0" w:line="246" w:lineRule="auto"/>
        <w:tabs>
          <w:tab w:leader="none" w:pos="3802" w:val="left"/>
        </w:tabs>
        <w:numPr>
          <w:ilvl w:val="2"/>
          <w:numId w:val="230"/>
        </w:numPr>
        <w:rPr>
          <w:rFonts w:ascii="Arial" w:cs="Arial" w:eastAsia="Arial" w:hAnsi="Arial"/>
          <w:sz w:val="20"/>
          <w:szCs w:val="20"/>
          <w:color w:val="auto"/>
        </w:rPr>
      </w:pPr>
      <w:r>
        <w:rPr>
          <w:rFonts w:ascii="Arial" w:cs="Arial" w:eastAsia="Arial" w:hAnsi="Arial"/>
          <w:sz w:val="20"/>
          <w:szCs w:val="20"/>
          <w:color w:val="auto"/>
        </w:rPr>
        <w:t>if to the Company, to the attention of the President or Chief Financial Officer of the Company at the Company’s address as shown on the signature page hereto, or at such other current address as the Company shall have furnished to the Holder, with a copy (which shall not constitute notice) to Michael Nordtvedt, Wilson Sonsini Goodrich &amp; Rosati, P.C., 701 Fifth Avenue, Suite 5100, Seattle, Washington 98104.</w:t>
      </w:r>
    </w:p>
    <w:p>
      <w:pPr>
        <w:spacing w:after="0" w:line="191" w:lineRule="exact"/>
        <w:rPr>
          <w:sz w:val="20"/>
          <w:szCs w:val="20"/>
          <w:color w:val="auto"/>
        </w:rPr>
      </w:pPr>
    </w:p>
    <w:p>
      <w:pPr>
        <w:jc w:val="both"/>
        <w:ind w:firstLine="1663"/>
        <w:spacing w:after="0" w:line="246" w:lineRule="auto"/>
        <w:rPr>
          <w:sz w:val="20"/>
          <w:szCs w:val="20"/>
          <w:color w:val="auto"/>
        </w:rPr>
      </w:pPr>
      <w:r>
        <w:rPr>
          <w:rFonts w:ascii="Arial" w:cs="Arial" w:eastAsia="Arial" w:hAnsi="Arial"/>
          <w:sz w:val="20"/>
          <w:szCs w:val="20"/>
          <w:color w:val="auto"/>
        </w:rPr>
        <w:t>Each such notice or other communication shall for all purposes of this Warrant be treated as effective or having been given (i) if delivered by hand, messenger or courier service, when delivered (or if sent via a nationally-recognized overnight courier service, freight prepaid, specifying next-business-day delivery, one business day after deposit with the courier), or (ii) if sent via mail, at the earlier of its receipt or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91" w:name="page292"/>
    <w:bookmarkEnd w:id="291"/>
    <w:p>
      <w:pPr>
        <w:jc w:val="both"/>
        <w:spacing w:after="0" w:line="278" w:lineRule="auto"/>
        <w:rPr>
          <w:sz w:val="20"/>
          <w:szCs w:val="20"/>
          <w:color w:val="auto"/>
        </w:rPr>
      </w:pPr>
      <w:r>
        <w:rPr>
          <w:rFonts w:ascii="Arial" w:cs="Arial" w:eastAsia="Arial" w:hAnsi="Arial"/>
          <w:sz w:val="18"/>
          <w:szCs w:val="18"/>
          <w:color w:val="auto"/>
        </w:rPr>
        <w:t>five days after the same has been deposited in a regularly-maintained receptacle for the deposit of the United States mail, addressed and mailed as aforesaid, or (iii) if sent via facsimile, upon confirmation of facsimile transfer or, if sent via electronic mail, upon confirmation of delivery when directed to the relevant electronic mail address, if sent during normal business hours of the recipient, or if not sent during normal business hours of the recipient, then on the recipient’s next business day. In the event of any conflict between the Company’s books and records and this Warrant or any notice delivered hereunder, the Company’s books and records will control absent fraud or error.</w:t>
      </w:r>
    </w:p>
    <w:p>
      <w:pPr>
        <w:spacing w:after="0" w:line="165" w:lineRule="exact"/>
        <w:rPr>
          <w:sz w:val="20"/>
          <w:szCs w:val="20"/>
          <w:color w:val="auto"/>
        </w:rPr>
      </w:pPr>
    </w:p>
    <w:p>
      <w:pPr>
        <w:jc w:val="both"/>
        <w:ind w:firstLine="1671"/>
        <w:spacing w:after="0" w:line="250" w:lineRule="auto"/>
        <w:tabs>
          <w:tab w:leader="none" w:pos="2542" w:val="left"/>
        </w:tabs>
        <w:numPr>
          <w:ilvl w:val="0"/>
          <w:numId w:val="23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Governing Law. </w:t>
      </w:r>
      <w:r>
        <w:rPr>
          <w:rFonts w:ascii="Arial" w:cs="Arial" w:eastAsia="Arial" w:hAnsi="Arial"/>
          <w:sz w:val="20"/>
          <w:szCs w:val="20"/>
          <w:color w:val="auto"/>
        </w:rPr>
        <w:t>This Warrant and all actions arising out of or in connection with this Warrant shall be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governed by and construed in accordance with the laws of the State of Delaware, without regard to the conflicts of law provisions of the State of Delaware, or of any other state.</w:t>
      </w:r>
    </w:p>
    <w:p>
      <w:pPr>
        <w:spacing w:after="0" w:line="185" w:lineRule="exact"/>
        <w:rPr>
          <w:rFonts w:ascii="Arial" w:cs="Arial" w:eastAsia="Arial" w:hAnsi="Arial"/>
          <w:sz w:val="20"/>
          <w:szCs w:val="20"/>
          <w:color w:val="auto"/>
        </w:rPr>
      </w:pPr>
    </w:p>
    <w:p>
      <w:pPr>
        <w:jc w:val="both"/>
        <w:ind w:firstLine="1671"/>
        <w:spacing w:after="0" w:line="246" w:lineRule="auto"/>
        <w:tabs>
          <w:tab w:leader="none" w:pos="2531" w:val="left"/>
        </w:tabs>
        <w:numPr>
          <w:ilvl w:val="0"/>
          <w:numId w:val="23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Jurisdiction and Venue. </w:t>
      </w:r>
      <w:r>
        <w:rPr>
          <w:rFonts w:ascii="Arial" w:cs="Arial" w:eastAsia="Arial" w:hAnsi="Arial"/>
          <w:sz w:val="20"/>
          <w:szCs w:val="20"/>
          <w:color w:val="auto"/>
        </w:rPr>
        <w:t>Each of the Holder and the Company irrevocably consents to the exclusive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jurisdiction and venue of any court within the United States District Court for the District of Delaware, in connection with any matter based upon or arising out of this Warrant or the matters contemplated herein, and agrees that process may be served upon them in any manner authorized by the laws of the State of Delaware for such persons.</w:t>
      </w:r>
    </w:p>
    <w:p>
      <w:pPr>
        <w:spacing w:after="0" w:line="191" w:lineRule="exact"/>
        <w:rPr>
          <w:rFonts w:ascii="Arial" w:cs="Arial" w:eastAsia="Arial" w:hAnsi="Arial"/>
          <w:sz w:val="20"/>
          <w:szCs w:val="20"/>
          <w:color w:val="auto"/>
        </w:rPr>
      </w:pPr>
    </w:p>
    <w:p>
      <w:pPr>
        <w:jc w:val="both"/>
        <w:ind w:firstLine="1671"/>
        <w:spacing w:after="0" w:line="250" w:lineRule="auto"/>
        <w:tabs>
          <w:tab w:leader="none" w:pos="2509" w:val="left"/>
        </w:tabs>
        <w:numPr>
          <w:ilvl w:val="0"/>
          <w:numId w:val="23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Titles and Subtitles. </w:t>
      </w:r>
      <w:r>
        <w:rPr>
          <w:rFonts w:ascii="Arial" w:cs="Arial" w:eastAsia="Arial" w:hAnsi="Arial"/>
          <w:sz w:val="20"/>
          <w:szCs w:val="20"/>
          <w:color w:val="auto"/>
        </w:rPr>
        <w:t>The titles and subtitles used in this Warrant are used for convenience only and are not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 considered in construing or interpreting this Warrant. All references in this Warrant to sections, paragraphs and exhibits shall, unless otherwise provided, refer to sections and paragraphs hereof and exhibits attached hereto.</w:t>
      </w:r>
    </w:p>
    <w:p>
      <w:pPr>
        <w:spacing w:after="0" w:line="185" w:lineRule="exact"/>
        <w:rPr>
          <w:rFonts w:ascii="Arial" w:cs="Arial" w:eastAsia="Arial" w:hAnsi="Arial"/>
          <w:sz w:val="20"/>
          <w:szCs w:val="20"/>
          <w:color w:val="auto"/>
        </w:rPr>
      </w:pPr>
    </w:p>
    <w:p>
      <w:pPr>
        <w:jc w:val="both"/>
        <w:ind w:firstLine="1671"/>
        <w:spacing w:after="0" w:line="244" w:lineRule="auto"/>
        <w:tabs>
          <w:tab w:leader="none" w:pos="2542" w:val="left"/>
        </w:tabs>
        <w:numPr>
          <w:ilvl w:val="0"/>
          <w:numId w:val="23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Severability. </w:t>
      </w:r>
      <w:r>
        <w:rPr>
          <w:rFonts w:ascii="Arial" w:cs="Arial" w:eastAsia="Arial" w:hAnsi="Arial"/>
          <w:sz w:val="20"/>
          <w:szCs w:val="20"/>
          <w:color w:val="auto"/>
        </w:rPr>
        <w:t>If any provision of this Warrant becomes or is declared by a court of competent jurisdiction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 illegal, unenforceable or void, portions of such provision, or such provision in its entirety, to the extent necessary, shall be severed from this Warrant, and such illegal, unenforceable or void provision shall be replaced with a valid and enforceable provision that will achieve, to the extent possible, the same economic, business and other purposes of the illegal, unenforceable or void provision. The balance of this Warrant shall be enforceable in accordance with its terms.</w:t>
      </w:r>
    </w:p>
    <w:p>
      <w:pPr>
        <w:spacing w:after="0" w:line="188" w:lineRule="exact"/>
        <w:rPr>
          <w:rFonts w:ascii="Arial" w:cs="Arial" w:eastAsia="Arial" w:hAnsi="Arial"/>
          <w:sz w:val="20"/>
          <w:szCs w:val="20"/>
          <w:color w:val="auto"/>
        </w:rPr>
      </w:pPr>
    </w:p>
    <w:p>
      <w:pPr>
        <w:jc w:val="both"/>
        <w:ind w:firstLine="1671"/>
        <w:spacing w:after="0" w:line="253" w:lineRule="auto"/>
        <w:tabs>
          <w:tab w:leader="none" w:pos="2542" w:val="left"/>
        </w:tabs>
        <w:numPr>
          <w:ilvl w:val="0"/>
          <w:numId w:val="23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Waiver of Jury Trial. </w:t>
      </w:r>
      <w:r>
        <w:rPr>
          <w:rFonts w:ascii="Arial" w:cs="Arial" w:eastAsia="Arial" w:hAnsi="Arial"/>
          <w:sz w:val="20"/>
          <w:szCs w:val="20"/>
          <w:b w:val="1"/>
          <w:bCs w:val="1"/>
          <w:color w:val="auto"/>
        </w:rPr>
        <w:t>EACH OF THE HOLDER AND THE COMPANY WAIVES, TO THE FULLEST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EXTENT PERMITTED BY LAW, ANY AND ALL RIGHT TO TRIAL BY JURY IN ANY LEGAL PROCEEDING (WHETHER BASED ON CONTRACT, TORT OR OTHERWISE) ARISING OUT OF OR RELATED TO THIS WARRANT.</w:t>
      </w:r>
    </w:p>
    <w:p>
      <w:pPr>
        <w:spacing w:after="0" w:line="183" w:lineRule="exact"/>
        <w:rPr>
          <w:rFonts w:ascii="Arial" w:cs="Arial" w:eastAsia="Arial" w:hAnsi="Arial"/>
          <w:sz w:val="20"/>
          <w:szCs w:val="20"/>
          <w:color w:val="auto"/>
        </w:rPr>
      </w:pPr>
    </w:p>
    <w:p>
      <w:pPr>
        <w:jc w:val="both"/>
        <w:ind w:firstLine="1671"/>
        <w:spacing w:after="0" w:line="250" w:lineRule="auto"/>
        <w:tabs>
          <w:tab w:leader="none" w:pos="2554" w:val="left"/>
        </w:tabs>
        <w:numPr>
          <w:ilvl w:val="0"/>
          <w:numId w:val="23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Saturdays, Sundays and Holidays. </w:t>
      </w:r>
      <w:r>
        <w:rPr>
          <w:rFonts w:ascii="Arial" w:cs="Arial" w:eastAsia="Arial" w:hAnsi="Arial"/>
          <w:sz w:val="20"/>
          <w:szCs w:val="20"/>
          <w:color w:val="auto"/>
        </w:rPr>
        <w:t>If the last or appointed day for the taking of any action or the expiration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any right required or granted herein shall be a Saturday, Sunday or U.S. federal holiday, then such action may be taken or such right may be exercised on the next succeeding day that is not a Saturday, Sunday or U.S. federal holiday.</w:t>
      </w:r>
    </w:p>
    <w:p>
      <w:pPr>
        <w:spacing w:after="0" w:line="185" w:lineRule="exact"/>
        <w:rPr>
          <w:rFonts w:ascii="Arial" w:cs="Arial" w:eastAsia="Arial" w:hAnsi="Arial"/>
          <w:sz w:val="20"/>
          <w:szCs w:val="20"/>
          <w:color w:val="auto"/>
        </w:rPr>
      </w:pPr>
    </w:p>
    <w:p>
      <w:pPr>
        <w:ind w:right="20" w:firstLine="1671"/>
        <w:spacing w:after="0" w:line="260" w:lineRule="auto"/>
        <w:tabs>
          <w:tab w:leader="none" w:pos="2498" w:val="left"/>
        </w:tabs>
        <w:numPr>
          <w:ilvl w:val="0"/>
          <w:numId w:val="23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Rights and Obligations Survive Exercise of the Warrant. </w:t>
      </w:r>
      <w:r>
        <w:rPr>
          <w:rFonts w:ascii="Arial" w:cs="Arial" w:eastAsia="Arial" w:hAnsi="Arial"/>
          <w:sz w:val="20"/>
          <w:szCs w:val="20"/>
          <w:color w:val="auto"/>
        </w:rPr>
        <w:t>Except as otherwise provided herein, the rights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obligations of the Company and the Holder under this Warrant shall survive exercise of this Warrant.</w:t>
      </w:r>
    </w:p>
    <w:p>
      <w:pPr>
        <w:spacing w:after="0" w:line="176" w:lineRule="exact"/>
        <w:rPr>
          <w:rFonts w:ascii="Arial" w:cs="Arial" w:eastAsia="Arial" w:hAnsi="Arial"/>
          <w:sz w:val="20"/>
          <w:szCs w:val="20"/>
          <w:color w:val="auto"/>
        </w:rPr>
      </w:pPr>
    </w:p>
    <w:p>
      <w:pPr>
        <w:ind w:left="5520" w:hanging="110"/>
        <w:spacing w:after="0"/>
        <w:tabs>
          <w:tab w:leader="none" w:pos="5520" w:val="left"/>
        </w:tabs>
        <w:numPr>
          <w:ilvl w:val="1"/>
          <w:numId w:val="231"/>
        </w:numPr>
        <w:rPr>
          <w:rFonts w:ascii="Arial" w:cs="Arial" w:eastAsia="Arial" w:hAnsi="Arial"/>
          <w:sz w:val="20"/>
          <w:szCs w:val="20"/>
          <w:color w:val="auto"/>
        </w:rPr>
      </w:pPr>
      <w:r>
        <w:rPr>
          <w:rFonts w:ascii="Arial" w:cs="Arial" w:eastAsia="Arial" w:hAnsi="Arial"/>
          <w:sz w:val="20"/>
          <w:szCs w:val="20"/>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92" w:name="page293"/>
    <w:bookmarkEnd w:id="292"/>
    <w:p>
      <w:pPr>
        <w:jc w:val="both"/>
        <w:ind w:left="-20" w:firstLine="1671"/>
        <w:spacing w:after="0" w:line="250" w:lineRule="auto"/>
        <w:tabs>
          <w:tab w:leader="none" w:pos="2522" w:val="left"/>
        </w:tabs>
        <w:numPr>
          <w:ilvl w:val="0"/>
          <w:numId w:val="23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Entire Agreement. </w:t>
      </w:r>
      <w:r>
        <w:rPr>
          <w:rFonts w:ascii="Arial" w:cs="Arial" w:eastAsia="Arial" w:hAnsi="Arial"/>
          <w:sz w:val="20"/>
          <w:szCs w:val="20"/>
          <w:color w:val="auto"/>
        </w:rPr>
        <w:t>Except as expressly set forth herein, this Warrant (including the exhibits attached hereto)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constitutes the entire agreement and understanding of the Company and the Holder with respect to the subject matter hereof and supersede all prior agreements and understandings relating to the subject matter hereof.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49465"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555" w:right="339" w:bottom="1440" w:gutter="0" w:footer="0" w:header="0"/>
        </w:sectPr>
      </w:pPr>
    </w:p>
    <w:bookmarkStart w:id="293" w:name="page294"/>
    <w:bookmarkEnd w:id="293"/>
    <w:p>
      <w:pPr>
        <w:spacing w:after="0"/>
        <w:rPr>
          <w:sz w:val="20"/>
          <w:szCs w:val="20"/>
          <w:color w:val="auto"/>
        </w:rPr>
      </w:pPr>
      <w:r>
        <w:rPr>
          <w:rFonts w:ascii="Arial" w:cs="Arial" w:eastAsia="Arial" w:hAnsi="Arial"/>
          <w:sz w:val="20"/>
          <w:szCs w:val="20"/>
          <w:color w:val="auto"/>
        </w:rPr>
        <w:t>The Company and the Holder sign this Warrant as of the date stated on the first page.</w:t>
      </w:r>
    </w:p>
    <w:p>
      <w:pPr>
        <w:spacing w:after="0" w:line="223"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ATHIRA PHARMA, INC.</w:t>
      </w:r>
    </w:p>
    <w:p>
      <w:pPr>
        <w:spacing w:after="0" w:line="235"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-14605</wp:posOffset>
            </wp:positionV>
            <wp:extent cx="28257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209"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3404235</wp:posOffset>
            </wp:positionH>
            <wp:positionV relativeFrom="paragraph">
              <wp:posOffset>-14605</wp:posOffset>
            </wp:positionV>
            <wp:extent cx="28257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-14605</wp:posOffset>
            </wp:positionV>
            <wp:extent cx="28257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209"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Address:</w:t>
      </w:r>
    </w:p>
    <w:p>
      <w:pPr>
        <w:spacing w:after="0" w:line="229"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Athira Pharma, Inc.</w:t>
      </w:r>
    </w:p>
    <w:p>
      <w:pPr>
        <w:spacing w:after="0" w:line="15"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4000 Mason Rd</w:t>
      </w:r>
    </w:p>
    <w:p>
      <w:pPr>
        <w:ind w:left="4780"/>
        <w:spacing w:after="0"/>
        <w:rPr>
          <w:sz w:val="20"/>
          <w:szCs w:val="20"/>
          <w:color w:val="auto"/>
        </w:rPr>
      </w:pPr>
      <w:r>
        <w:rPr>
          <w:rFonts w:ascii="Arial" w:cs="Arial" w:eastAsia="Arial" w:hAnsi="Arial"/>
          <w:sz w:val="20"/>
          <w:szCs w:val="20"/>
          <w:color w:val="auto"/>
        </w:rPr>
        <w:t>Suite 300, Box 352141</w:t>
      </w:r>
    </w:p>
    <w:p>
      <w:pPr>
        <w:ind w:left="4780"/>
        <w:spacing w:after="0"/>
        <w:rPr>
          <w:sz w:val="20"/>
          <w:szCs w:val="20"/>
          <w:color w:val="auto"/>
        </w:rPr>
      </w:pPr>
      <w:r>
        <w:rPr>
          <w:rFonts w:ascii="Arial" w:cs="Arial" w:eastAsia="Arial" w:hAnsi="Arial"/>
          <w:sz w:val="20"/>
          <w:szCs w:val="20"/>
          <w:color w:val="auto"/>
        </w:rPr>
        <w:t>Seattle, WA 98195-2141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ind w:right="149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Signature Page to Warrant to Purchase Shares of Common Stock of Athira Pharma, Inc.</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88900</wp:posOffset>
            </wp:positionV>
            <wp:extent cx="7149465"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99"/>
          </w:cols>
          <w:pgMar w:left="1160" w:top="352" w:right="1440" w:bottom="1440" w:gutter="0" w:footer="0" w:header="0"/>
        </w:sectPr>
      </w:pPr>
    </w:p>
    <w:bookmarkStart w:id="294" w:name="page295"/>
    <w:bookmarkEnd w:id="294"/>
    <w:p>
      <w:pPr>
        <w:spacing w:after="0"/>
        <w:rPr>
          <w:sz w:val="20"/>
          <w:szCs w:val="20"/>
          <w:color w:val="auto"/>
        </w:rPr>
      </w:pPr>
      <w:r>
        <w:rPr>
          <w:rFonts w:ascii="Arial" w:cs="Arial" w:eastAsia="Arial" w:hAnsi="Arial"/>
          <w:sz w:val="20"/>
          <w:szCs w:val="20"/>
          <w:color w:val="auto"/>
        </w:rPr>
        <w:t>The Company and the Holder sign this Warrant as of the date stated on the first page.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AGREED AND ACKNOWLEDGED,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28257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-14605</wp:posOffset>
            </wp:positionV>
            <wp:extent cx="28257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-14605</wp:posOffset>
            </wp:positionV>
            <wp:extent cx="28257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-14605</wp:posOffset>
            </wp:positionV>
            <wp:extent cx="28257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-14605</wp:posOffset>
            </wp:positionV>
            <wp:extent cx="28257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149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Signature Page to Warrant to Purchase Shares of Common Stock of Athira Pharma, Inc.</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55" w:right="1440" w:bottom="1440" w:gutter="0" w:footer="0" w:header="0"/>
        </w:sectPr>
      </w:pPr>
    </w:p>
    <w:bookmarkStart w:id="295" w:name="page296"/>
    <w:bookmarkEnd w:id="295"/>
    <w:p>
      <w:pPr>
        <w:jc w:val="center"/>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NOTICE OF EXERCISE</w:t>
      </w:r>
    </w:p>
    <w:p>
      <w:pPr>
        <w:spacing w:after="0" w:line="216"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TO:</w:t>
      </w:r>
      <w:r>
        <w:rPr>
          <w:sz w:val="20"/>
          <w:szCs w:val="20"/>
          <w:color w:val="auto"/>
        </w:rPr>
        <w:tab/>
      </w:r>
      <w:r>
        <w:rPr>
          <w:rFonts w:ascii="Arial" w:cs="Arial" w:eastAsia="Arial" w:hAnsi="Arial"/>
          <w:sz w:val="20"/>
          <w:szCs w:val="20"/>
          <w:b w:val="1"/>
          <w:bCs w:val="1"/>
          <w:color w:val="auto"/>
        </w:rPr>
        <w:t>ATHIRA PHARMA, INC. (the “</w:t>
      </w:r>
      <w:r>
        <w:rPr>
          <w:rFonts w:ascii="Arial" w:cs="Arial" w:eastAsia="Arial" w:hAnsi="Arial"/>
          <w:sz w:val="20"/>
          <w:szCs w:val="20"/>
          <w:b w:val="1"/>
          <w:bCs w:val="1"/>
          <w:i w:val="1"/>
          <w:iCs w:val="1"/>
          <w:color w:val="auto"/>
        </w:rPr>
        <w:t>Company</w:t>
      </w:r>
      <w:r>
        <w:rPr>
          <w:rFonts w:ascii="Arial" w:cs="Arial" w:eastAsia="Arial" w:hAnsi="Arial"/>
          <w:sz w:val="20"/>
          <w:szCs w:val="20"/>
          <w:b w:val="1"/>
          <w:bCs w:val="1"/>
          <w:color w:val="auto"/>
        </w:rPr>
        <w:t>”)</w:t>
      </w:r>
    </w:p>
    <w:p>
      <w:pPr>
        <w:spacing w:after="0" w:line="216" w:lineRule="exact"/>
        <w:rPr>
          <w:sz w:val="20"/>
          <w:szCs w:val="20"/>
          <w:color w:val="auto"/>
        </w:rPr>
      </w:pPr>
    </w:p>
    <w:p>
      <w:pPr>
        <w:spacing w:after="0"/>
        <w:tabs>
          <w:tab w:leader="none" w:pos="1500" w:val="left"/>
        </w:tabs>
        <w:rPr>
          <w:sz w:val="20"/>
          <w:szCs w:val="20"/>
          <w:color w:val="auto"/>
        </w:rPr>
      </w:pPr>
      <w:r>
        <w:rPr>
          <w:rFonts w:ascii="Arial" w:cs="Arial" w:eastAsia="Arial" w:hAnsi="Arial"/>
          <w:sz w:val="20"/>
          <w:szCs w:val="20"/>
          <w:b w:val="1"/>
          <w:bCs w:val="1"/>
          <w:color w:val="auto"/>
        </w:rPr>
        <w:t>Attention:</w:t>
      </w:r>
      <w:r>
        <w:rPr>
          <w:sz w:val="20"/>
          <w:szCs w:val="20"/>
          <w:color w:val="auto"/>
        </w:rPr>
        <w:tab/>
      </w:r>
      <w:r>
        <w:rPr>
          <w:rFonts w:ascii="Arial" w:cs="Arial" w:eastAsia="Arial" w:hAnsi="Arial"/>
          <w:sz w:val="20"/>
          <w:szCs w:val="20"/>
          <w:b w:val="1"/>
          <w:bCs w:val="1"/>
          <w:color w:val="auto"/>
        </w:rPr>
        <w:t>President</w:t>
      </w:r>
    </w:p>
    <w:p>
      <w:pPr>
        <w:spacing w:after="0" w:line="216" w:lineRule="exact"/>
        <w:rPr>
          <w:sz w:val="20"/>
          <w:szCs w:val="20"/>
          <w:color w:val="auto"/>
        </w:rPr>
      </w:pPr>
    </w:p>
    <w:p>
      <w:pPr>
        <w:ind w:left="1240" w:right="2080" w:hanging="1232"/>
        <w:spacing w:after="0" w:line="468" w:lineRule="auto"/>
        <w:tabs>
          <w:tab w:leader="none" w:pos="820" w:val="left"/>
        </w:tabs>
        <w:numPr>
          <w:ilvl w:val="0"/>
          <w:numId w:val="233"/>
        </w:numPr>
        <w:rPr>
          <w:rFonts w:ascii="Arial" w:cs="Arial" w:eastAsia="Arial" w:hAnsi="Arial"/>
          <w:sz w:val="20"/>
          <w:szCs w:val="20"/>
          <w:color w:val="auto"/>
        </w:rPr>
      </w:pPr>
      <w:r>
        <w:rPr>
          <w:rFonts w:ascii="Arial" w:cs="Arial" w:eastAsia="Arial" w:hAnsi="Arial"/>
          <w:sz w:val="20"/>
          <w:szCs w:val="20"/>
          <w:b w:val="1"/>
          <w:bCs w:val="1"/>
          <w:color w:val="auto"/>
        </w:rPr>
        <w:t xml:space="preserve">Exercise. </w:t>
      </w:r>
      <w:r>
        <w:rPr>
          <w:rFonts w:ascii="Arial" w:cs="Arial" w:eastAsia="Arial" w:hAnsi="Arial"/>
          <w:sz w:val="20"/>
          <w:szCs w:val="20"/>
          <w:color w:val="auto"/>
        </w:rPr>
        <w:t>The undersigned elects to purchase the following pursuant to the terms of the attached warrant:</w:t>
      </w:r>
      <w:r>
        <w:rPr>
          <w:rFonts w:ascii="Arial" w:cs="Arial" w:eastAsia="Arial" w:hAnsi="Arial"/>
          <w:sz w:val="20"/>
          <w:szCs w:val="20"/>
          <w:b w:val="1"/>
          <w:bCs w:val="1"/>
          <w:color w:val="auto"/>
        </w:rPr>
        <w:t xml:space="preserve"> </w:t>
      </w:r>
      <w:r>
        <w:rPr>
          <w:rFonts w:ascii="Arial" w:cs="Arial" w:eastAsia="Arial" w:hAnsi="Arial"/>
          <w:sz w:val="20"/>
          <w:szCs w:val="20"/>
          <w:color w:val="auto"/>
        </w:rPr>
        <w:t>Number of shares:</w:t>
      </w:r>
    </w:p>
    <w:p>
      <w:pPr>
        <w:ind w:left="1240"/>
        <w:spacing w:after="0"/>
        <w:rPr>
          <w:rFonts w:ascii="Arial" w:cs="Arial" w:eastAsia="Arial" w:hAnsi="Arial"/>
          <w:sz w:val="20"/>
          <w:szCs w:val="20"/>
          <w:color w:val="auto"/>
        </w:rPr>
      </w:pPr>
      <w:r>
        <w:rPr>
          <w:rFonts w:ascii="Arial" w:cs="Arial" w:eastAsia="Arial" w:hAnsi="Arial"/>
          <w:sz w:val="20"/>
          <w:szCs w:val="20"/>
          <w:color w:val="auto"/>
        </w:rPr>
        <w:t>Type of security:</w:t>
      </w:r>
    </w:p>
    <w:p>
      <w:pPr>
        <w:spacing w:after="0" w:line="209" w:lineRule="exact"/>
        <w:rPr>
          <w:rFonts w:ascii="Arial" w:cs="Arial" w:eastAsia="Arial" w:hAnsi="Arial"/>
          <w:sz w:val="20"/>
          <w:szCs w:val="20"/>
          <w:color w:val="auto"/>
        </w:rPr>
      </w:pPr>
    </w:p>
    <w:p>
      <w:pPr>
        <w:ind w:left="820" w:hanging="812"/>
        <w:spacing w:after="0"/>
        <w:tabs>
          <w:tab w:leader="none" w:pos="820" w:val="left"/>
        </w:tabs>
        <w:numPr>
          <w:ilvl w:val="0"/>
          <w:numId w:val="233"/>
        </w:numPr>
        <w:rPr>
          <w:rFonts w:ascii="Arial" w:cs="Arial" w:eastAsia="Arial" w:hAnsi="Arial"/>
          <w:sz w:val="20"/>
          <w:szCs w:val="20"/>
          <w:color w:val="auto"/>
        </w:rPr>
      </w:pPr>
      <w:r>
        <w:rPr>
          <w:rFonts w:ascii="Arial" w:cs="Arial" w:eastAsia="Arial" w:hAnsi="Arial"/>
          <w:sz w:val="20"/>
          <w:szCs w:val="20"/>
          <w:b w:val="1"/>
          <w:bCs w:val="1"/>
          <w:color w:val="auto"/>
        </w:rPr>
        <w:t xml:space="preserve">Method of Exercise. </w:t>
      </w:r>
      <w:r>
        <w:rPr>
          <w:rFonts w:ascii="Arial" w:cs="Arial" w:eastAsia="Arial" w:hAnsi="Arial"/>
          <w:sz w:val="20"/>
          <w:szCs w:val="20"/>
          <w:color w:val="auto"/>
        </w:rPr>
        <w:t>The undersigned elects to exercise the attached warrant pursuant to:</w:t>
      </w:r>
    </w:p>
    <w:p>
      <w:pPr>
        <w:spacing w:after="0" w:line="221" w:lineRule="exact"/>
        <w:rPr>
          <w:rFonts w:ascii="Arial" w:cs="Arial" w:eastAsia="Arial" w:hAnsi="Arial"/>
          <w:sz w:val="20"/>
          <w:szCs w:val="20"/>
          <w:color w:val="auto"/>
        </w:rPr>
      </w:pPr>
    </w:p>
    <w:p>
      <w:pPr>
        <w:ind w:left="2040" w:hanging="804"/>
        <w:spacing w:after="0" w:line="260" w:lineRule="auto"/>
        <w:tabs>
          <w:tab w:leader="none" w:pos="2040" w:val="left"/>
        </w:tabs>
        <w:numPr>
          <w:ilvl w:val="1"/>
          <w:numId w:val="233"/>
        </w:numPr>
        <w:rPr>
          <w:rFonts w:ascii="MS PGothic" w:cs="MS PGothic" w:eastAsia="MS PGothic" w:hAnsi="MS PGothic"/>
          <w:sz w:val="20"/>
          <w:szCs w:val="20"/>
          <w:color w:val="auto"/>
        </w:rPr>
      </w:pPr>
      <w:r>
        <w:rPr>
          <w:rFonts w:ascii="Arial" w:cs="Arial" w:eastAsia="Arial" w:hAnsi="Arial"/>
          <w:sz w:val="20"/>
          <w:szCs w:val="20"/>
          <w:color w:val="auto"/>
        </w:rPr>
        <w:t>A cash payment or cancellation of indebtedness, and tenders herewith payment of the purchase price for such shares in full, together with all applicable transfer taxes, if any.</w:t>
      </w:r>
    </w:p>
    <w:p>
      <w:pPr>
        <w:spacing w:after="0" w:line="176" w:lineRule="exact"/>
        <w:rPr>
          <w:rFonts w:ascii="MS PGothic" w:cs="MS PGothic" w:eastAsia="MS PGothic" w:hAnsi="MS PGothic"/>
          <w:sz w:val="20"/>
          <w:szCs w:val="20"/>
          <w:color w:val="auto"/>
        </w:rPr>
      </w:pPr>
    </w:p>
    <w:p>
      <w:pPr>
        <w:ind w:left="2040" w:hanging="804"/>
        <w:spacing w:after="0"/>
        <w:tabs>
          <w:tab w:leader="none" w:pos="2040" w:val="left"/>
        </w:tabs>
        <w:numPr>
          <w:ilvl w:val="1"/>
          <w:numId w:val="233"/>
        </w:numPr>
        <w:rPr>
          <w:rFonts w:ascii="MS PGothic" w:cs="MS PGothic" w:eastAsia="MS PGothic" w:hAnsi="MS PGothic"/>
          <w:sz w:val="20"/>
          <w:szCs w:val="20"/>
          <w:color w:val="auto"/>
        </w:rPr>
      </w:pPr>
      <w:r>
        <w:rPr>
          <w:rFonts w:ascii="Arial" w:cs="Arial" w:eastAsia="Arial" w:hAnsi="Arial"/>
          <w:sz w:val="20"/>
          <w:szCs w:val="20"/>
          <w:color w:val="auto"/>
        </w:rPr>
        <w:t>The net issue exercise provisions of Section 2(b) of the attached warrant.</w:t>
      </w:r>
    </w:p>
    <w:p>
      <w:pPr>
        <w:spacing w:after="0" w:line="223" w:lineRule="exact"/>
        <w:rPr>
          <w:rFonts w:ascii="MS PGothic" w:cs="MS PGothic" w:eastAsia="MS PGothic" w:hAnsi="MS PGothic"/>
          <w:sz w:val="20"/>
          <w:szCs w:val="20"/>
          <w:color w:val="auto"/>
        </w:rPr>
      </w:pPr>
    </w:p>
    <w:p>
      <w:pPr>
        <w:ind w:left="820" w:hanging="812"/>
        <w:spacing w:after="0"/>
        <w:tabs>
          <w:tab w:leader="none" w:pos="820" w:val="left"/>
        </w:tabs>
        <w:numPr>
          <w:ilvl w:val="0"/>
          <w:numId w:val="233"/>
        </w:numPr>
        <w:rPr>
          <w:rFonts w:ascii="Arial" w:cs="Arial" w:eastAsia="Arial" w:hAnsi="Arial"/>
          <w:sz w:val="20"/>
          <w:szCs w:val="20"/>
          <w:color w:val="auto"/>
        </w:rPr>
      </w:pPr>
      <w:r>
        <w:rPr>
          <w:rFonts w:ascii="Arial" w:cs="Arial" w:eastAsia="Arial" w:hAnsi="Arial"/>
          <w:sz w:val="20"/>
          <w:szCs w:val="20"/>
          <w:b w:val="1"/>
          <w:bCs w:val="1"/>
          <w:color w:val="auto"/>
        </w:rPr>
        <w:t xml:space="preserve">Conditional Exercise. </w:t>
      </w:r>
      <w:r>
        <w:rPr>
          <w:rFonts w:ascii="Arial" w:cs="Arial" w:eastAsia="Arial" w:hAnsi="Arial"/>
          <w:sz w:val="20"/>
          <w:szCs w:val="20"/>
          <w:color w:val="auto"/>
        </w:rPr>
        <w:t>Is this a conditional exercise pursuant to Section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2125345</wp:posOffset>
            </wp:positionH>
            <wp:positionV relativeFrom="paragraph">
              <wp:posOffset>-1579880</wp:posOffset>
            </wp:positionV>
            <wp:extent cx="40830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08305" cy="8255"/>
                    </a:xfrm>
                    <a:prstGeom prst="rect">
                      <a:avLst/>
                    </a:prstGeom>
                    <a:noFill/>
                  </pic:spPr>
                </pic:pic>
              </a:graphicData>
            </a:graphic>
          </wp:anchor>
        </w:drawing>
        <w:drawing>
          <wp:anchor simplePos="0" relativeHeight="251657728" behindDoc="1" locked="0" layoutInCell="0" allowOverlap="1">
            <wp:simplePos x="0" y="0"/>
            <wp:positionH relativeFrom="column">
              <wp:posOffset>2047240</wp:posOffset>
            </wp:positionH>
            <wp:positionV relativeFrom="paragraph">
              <wp:posOffset>-1296670</wp:posOffset>
            </wp:positionV>
            <wp:extent cx="40830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08305" cy="889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-827405</wp:posOffset>
            </wp:positionV>
            <wp:extent cx="95250" cy="965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-398780</wp:posOffset>
            </wp:positionV>
            <wp:extent cx="95250" cy="965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178" w:lineRule="exact"/>
        <w:rPr>
          <w:sz w:val="20"/>
          <w:szCs w:val="20"/>
          <w:color w:val="auto"/>
        </w:rPr>
      </w:pPr>
    </w:p>
    <w:p>
      <w:pPr>
        <w:ind w:left="1240"/>
        <w:spacing w:after="0" w:line="230" w:lineRule="exact"/>
        <w:tabs>
          <w:tab w:leader="none" w:pos="2020" w:val="left"/>
          <w:tab w:leader="none" w:pos="3000" w:val="left"/>
          <w:tab w:leader="none" w:pos="3680" w:val="left"/>
        </w:tabs>
        <w:rPr>
          <w:sz w:val="20"/>
          <w:szCs w:val="20"/>
          <w:color w:val="auto"/>
        </w:rPr>
      </w:pPr>
      <w:r>
        <w:rPr>
          <w:rFonts w:ascii="MS PGothic" w:cs="MS PGothic" w:eastAsia="MS PGothic" w:hAnsi="MS PGothic"/>
          <w:sz w:val="20"/>
          <w:szCs w:val="20"/>
          <w:color w:val="auto"/>
        </w:rPr>
        <w:t>☐</w:t>
      </w:r>
      <w:r>
        <w:rPr>
          <w:sz w:val="20"/>
          <w:szCs w:val="20"/>
          <w:color w:val="auto"/>
        </w:rPr>
        <w:tab/>
      </w:r>
      <w:r>
        <w:rPr>
          <w:rFonts w:ascii="Arial" w:cs="Arial" w:eastAsia="Arial" w:hAnsi="Arial"/>
          <w:sz w:val="20"/>
          <w:szCs w:val="20"/>
          <w:color w:val="auto"/>
        </w:rPr>
        <w:t>Yes</w:t>
      </w:r>
      <w:r>
        <w:rPr>
          <w:sz w:val="20"/>
          <w:szCs w:val="20"/>
          <w:color w:val="auto"/>
        </w:rPr>
        <w:tab/>
      </w:r>
      <w:r>
        <w:rPr>
          <w:rFonts w:ascii="MS PGothic" w:cs="MS PGothic" w:eastAsia="MS PGothic" w:hAnsi="MS PGothic"/>
          <w:sz w:val="20"/>
          <w:szCs w:val="20"/>
          <w:color w:val="auto"/>
        </w:rPr>
        <w:t>☐</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-96520</wp:posOffset>
            </wp:positionV>
            <wp:extent cx="95250" cy="965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-96520</wp:posOffset>
            </wp:positionV>
            <wp:extent cx="95250" cy="965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233"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If “Yes,” indicate the applicable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267335</wp:posOffset>
            </wp:positionV>
            <wp:extent cx="40830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08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20" w:hanging="812"/>
        <w:spacing w:after="0" w:line="267" w:lineRule="auto"/>
        <w:tabs>
          <w:tab w:leader="none" w:pos="820" w:val="left"/>
        </w:tabs>
        <w:numPr>
          <w:ilvl w:val="0"/>
          <w:numId w:val="234"/>
        </w:numPr>
        <w:rPr>
          <w:rFonts w:ascii="Arial" w:cs="Arial" w:eastAsia="Arial" w:hAnsi="Arial"/>
          <w:sz w:val="20"/>
          <w:szCs w:val="20"/>
          <w:color w:val="auto"/>
        </w:rPr>
      </w:pPr>
      <w:r>
        <w:rPr>
          <w:rFonts w:ascii="Arial" w:cs="Arial" w:eastAsia="Arial" w:hAnsi="Arial"/>
          <w:sz w:val="20"/>
          <w:szCs w:val="20"/>
          <w:b w:val="1"/>
          <w:bCs w:val="1"/>
          <w:color w:val="auto"/>
        </w:rPr>
        <w:t xml:space="preserve">Stock. </w:t>
      </w:r>
      <w:r>
        <w:rPr>
          <w:rFonts w:ascii="Arial" w:cs="Arial" w:eastAsia="Arial" w:hAnsi="Arial"/>
          <w:sz w:val="20"/>
          <w:szCs w:val="20"/>
          <w:color w:val="auto"/>
        </w:rPr>
        <w:t>Please make a book entry and, if the shares are certificated, issue a certificate or certificates representing the shares in the</w:t>
      </w:r>
      <w:r>
        <w:rPr>
          <w:rFonts w:ascii="Arial" w:cs="Arial" w:eastAsia="Arial" w:hAnsi="Arial"/>
          <w:sz w:val="20"/>
          <w:szCs w:val="20"/>
          <w:b w:val="1"/>
          <w:bCs w:val="1"/>
          <w:color w:val="auto"/>
        </w:rPr>
        <w:t xml:space="preserve"> </w:t>
      </w:r>
      <w:r>
        <w:rPr>
          <w:rFonts w:ascii="Arial" w:cs="Arial" w:eastAsia="Arial" w:hAnsi="Arial"/>
          <w:sz w:val="20"/>
          <w:szCs w:val="20"/>
          <w:color w:val="auto"/>
        </w:rPr>
        <w:t>name of:</w:t>
      </w:r>
    </w:p>
    <w:p>
      <w:pPr>
        <w:spacing w:after="0" w:line="169" w:lineRule="exact"/>
        <w:rPr>
          <w:rFonts w:ascii="Arial" w:cs="Arial" w:eastAsia="Arial" w:hAnsi="Arial"/>
          <w:sz w:val="20"/>
          <w:szCs w:val="20"/>
          <w:color w:val="auto"/>
        </w:rPr>
      </w:pPr>
    </w:p>
    <w:p>
      <w:pPr>
        <w:ind w:left="2040" w:hanging="804"/>
        <w:spacing w:after="0"/>
        <w:tabs>
          <w:tab w:leader="none" w:pos="2040" w:val="left"/>
        </w:tabs>
        <w:numPr>
          <w:ilvl w:val="1"/>
          <w:numId w:val="234"/>
        </w:numPr>
        <w:rPr>
          <w:rFonts w:ascii="MS PGothic" w:cs="MS PGothic" w:eastAsia="MS PGothic" w:hAnsi="MS PGothic"/>
          <w:sz w:val="20"/>
          <w:szCs w:val="20"/>
          <w:color w:val="auto"/>
        </w:rPr>
      </w:pPr>
      <w:r>
        <w:rPr>
          <w:rFonts w:ascii="Arial" w:cs="Arial" w:eastAsia="Arial" w:hAnsi="Arial"/>
          <w:sz w:val="20"/>
          <w:szCs w:val="20"/>
          <w:color w:val="auto"/>
        </w:rPr>
        <w:t>The undersigned</w:t>
      </w:r>
    </w:p>
    <w:p>
      <w:pPr>
        <w:spacing w:after="0" w:line="229" w:lineRule="exact"/>
        <w:rPr>
          <w:rFonts w:ascii="MS PGothic" w:cs="MS PGothic" w:eastAsia="MS PGothic" w:hAnsi="MS PGothic"/>
          <w:sz w:val="20"/>
          <w:szCs w:val="20"/>
          <w:color w:val="auto"/>
        </w:rPr>
      </w:pPr>
    </w:p>
    <w:p>
      <w:pPr>
        <w:ind w:left="2040" w:hanging="804"/>
        <w:spacing w:after="0"/>
        <w:tabs>
          <w:tab w:leader="none" w:pos="2040" w:val="left"/>
        </w:tabs>
        <w:numPr>
          <w:ilvl w:val="1"/>
          <w:numId w:val="234"/>
        </w:numPr>
        <w:rPr>
          <w:rFonts w:ascii="MS PGothic" w:cs="MS PGothic" w:eastAsia="MS PGothic" w:hAnsi="MS PGothic"/>
          <w:sz w:val="20"/>
          <w:szCs w:val="20"/>
          <w:color w:val="auto"/>
        </w:rPr>
      </w:pPr>
      <w:r>
        <w:rPr>
          <w:rFonts w:ascii="Arial" w:cs="Arial" w:eastAsia="Arial" w:hAnsi="Arial"/>
          <w:sz w:val="20"/>
          <w:szCs w:val="20"/>
          <w:color w:val="auto"/>
        </w:rPr>
        <w:t>Other—Name: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-402590</wp:posOffset>
            </wp:positionV>
            <wp:extent cx="95250" cy="965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-111125</wp:posOffset>
            </wp:positionV>
            <wp:extent cx="95250" cy="965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-14605</wp:posOffset>
            </wp:positionV>
            <wp:extent cx="40830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08305" cy="8255"/>
                    </a:xfrm>
                    <a:prstGeom prst="rect">
                      <a:avLst/>
                    </a:prstGeom>
                    <a:noFill/>
                  </pic:spPr>
                </pic:pic>
              </a:graphicData>
            </a:graphic>
          </wp:anchor>
        </w:drawing>
      </w:r>
    </w:p>
    <w:p>
      <w:pPr>
        <w:spacing w:after="0" w:line="209"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-14605</wp:posOffset>
            </wp:positionV>
            <wp:extent cx="40830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08305" cy="825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267335</wp:posOffset>
            </wp:positionV>
            <wp:extent cx="40830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083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20" w:right="20" w:hanging="812"/>
        <w:spacing w:after="0" w:line="267" w:lineRule="auto"/>
        <w:tabs>
          <w:tab w:leader="none" w:pos="820" w:val="left"/>
        </w:tabs>
        <w:numPr>
          <w:ilvl w:val="0"/>
          <w:numId w:val="235"/>
        </w:numPr>
        <w:rPr>
          <w:rFonts w:ascii="Arial" w:cs="Arial" w:eastAsia="Arial" w:hAnsi="Arial"/>
          <w:sz w:val="20"/>
          <w:szCs w:val="20"/>
          <w:color w:val="auto"/>
        </w:rPr>
      </w:pPr>
      <w:r>
        <w:rPr>
          <w:rFonts w:ascii="Arial" w:cs="Arial" w:eastAsia="Arial" w:hAnsi="Arial"/>
          <w:sz w:val="20"/>
          <w:szCs w:val="20"/>
          <w:b w:val="1"/>
          <w:bCs w:val="1"/>
          <w:color w:val="auto"/>
        </w:rPr>
        <w:t xml:space="preserve">Unexercised Portion of the Warrant. </w:t>
      </w:r>
      <w:r>
        <w:rPr>
          <w:rFonts w:ascii="Arial" w:cs="Arial" w:eastAsia="Arial" w:hAnsi="Arial"/>
          <w:sz w:val="20"/>
          <w:szCs w:val="20"/>
          <w:color w:val="auto"/>
        </w:rPr>
        <w:t>Please issue a new warrant for the unexercised portion of the attached warrant in the name</w:t>
      </w:r>
      <w:r>
        <w:rPr>
          <w:rFonts w:ascii="Arial" w:cs="Arial" w:eastAsia="Arial" w:hAnsi="Arial"/>
          <w:sz w:val="20"/>
          <w:szCs w:val="20"/>
          <w:b w:val="1"/>
          <w:bCs w:val="1"/>
          <w:color w:val="auto"/>
        </w:rPr>
        <w:t xml:space="preserve"> </w:t>
      </w:r>
      <w:r>
        <w:rPr>
          <w:rFonts w:ascii="Arial" w:cs="Arial" w:eastAsia="Arial" w:hAnsi="Arial"/>
          <w:sz w:val="20"/>
          <w:szCs w:val="20"/>
          <w:color w:val="auto"/>
        </w:rPr>
        <w:t>of:</w:t>
      </w:r>
    </w:p>
    <w:p>
      <w:pPr>
        <w:spacing w:after="0" w:line="169" w:lineRule="exact"/>
        <w:rPr>
          <w:rFonts w:ascii="Arial" w:cs="Arial" w:eastAsia="Arial" w:hAnsi="Arial"/>
          <w:sz w:val="20"/>
          <w:szCs w:val="20"/>
          <w:color w:val="auto"/>
        </w:rPr>
      </w:pPr>
    </w:p>
    <w:p>
      <w:pPr>
        <w:ind w:left="2040" w:hanging="804"/>
        <w:spacing w:after="0"/>
        <w:tabs>
          <w:tab w:leader="none" w:pos="2040" w:val="left"/>
        </w:tabs>
        <w:numPr>
          <w:ilvl w:val="1"/>
          <w:numId w:val="235"/>
        </w:numPr>
        <w:rPr>
          <w:rFonts w:ascii="MS PGothic" w:cs="MS PGothic" w:eastAsia="MS PGothic" w:hAnsi="MS PGothic"/>
          <w:sz w:val="20"/>
          <w:szCs w:val="20"/>
          <w:color w:val="auto"/>
        </w:rPr>
      </w:pPr>
      <w:r>
        <w:rPr>
          <w:rFonts w:ascii="Arial" w:cs="Arial" w:eastAsia="Arial" w:hAnsi="Arial"/>
          <w:sz w:val="20"/>
          <w:szCs w:val="20"/>
          <w:color w:val="auto"/>
        </w:rPr>
        <w:t>The undersigned</w:t>
      </w:r>
    </w:p>
    <w:p>
      <w:pPr>
        <w:spacing w:after="0" w:line="229" w:lineRule="exact"/>
        <w:rPr>
          <w:rFonts w:ascii="MS PGothic" w:cs="MS PGothic" w:eastAsia="MS PGothic" w:hAnsi="MS PGothic"/>
          <w:sz w:val="20"/>
          <w:szCs w:val="20"/>
          <w:color w:val="auto"/>
        </w:rPr>
      </w:pPr>
    </w:p>
    <w:p>
      <w:pPr>
        <w:ind w:left="2040" w:hanging="804"/>
        <w:spacing w:after="0"/>
        <w:tabs>
          <w:tab w:leader="none" w:pos="2040" w:val="left"/>
        </w:tabs>
        <w:numPr>
          <w:ilvl w:val="1"/>
          <w:numId w:val="235"/>
        </w:numPr>
        <w:rPr>
          <w:rFonts w:ascii="MS PGothic" w:cs="MS PGothic" w:eastAsia="MS PGothic" w:hAnsi="MS PGothic"/>
          <w:sz w:val="20"/>
          <w:szCs w:val="20"/>
          <w:color w:val="auto"/>
        </w:rPr>
      </w:pPr>
      <w:r>
        <w:rPr>
          <w:rFonts w:ascii="Arial" w:cs="Arial" w:eastAsia="Arial" w:hAnsi="Arial"/>
          <w:sz w:val="20"/>
          <w:szCs w:val="20"/>
          <w:color w:val="auto"/>
        </w:rPr>
        <w:t>Other—Name: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-402590</wp:posOffset>
            </wp:positionV>
            <wp:extent cx="95250" cy="965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-111125</wp:posOffset>
            </wp:positionV>
            <wp:extent cx="95250" cy="965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95250" cy="9652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-14605</wp:posOffset>
            </wp:positionV>
            <wp:extent cx="40830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08305" cy="8255"/>
                    </a:xfrm>
                    <a:prstGeom prst="rect">
                      <a:avLst/>
                    </a:prstGeom>
                    <a:noFill/>
                  </pic:spPr>
                </pic:pic>
              </a:graphicData>
            </a:graphic>
          </wp:anchor>
        </w:drawing>
      </w:r>
    </w:p>
    <w:p>
      <w:pPr>
        <w:spacing w:after="0" w:line="209"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-14605</wp:posOffset>
            </wp:positionV>
            <wp:extent cx="40830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08305" cy="8890"/>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267335</wp:posOffset>
            </wp:positionV>
            <wp:extent cx="40830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083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Not applicable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96" w:name="page297"/>
    <w:bookmarkEnd w:id="296"/>
    <w:p>
      <w:pPr>
        <w:jc w:val="both"/>
        <w:ind w:left="820" w:hanging="812"/>
        <w:spacing w:after="0" w:line="262" w:lineRule="auto"/>
        <w:tabs>
          <w:tab w:leader="none" w:pos="820" w:val="left"/>
        </w:tabs>
        <w:numPr>
          <w:ilvl w:val="0"/>
          <w:numId w:val="236"/>
        </w:numPr>
        <w:rPr>
          <w:rFonts w:ascii="Arial" w:cs="Arial" w:eastAsia="Arial" w:hAnsi="Arial"/>
          <w:sz w:val="19"/>
          <w:szCs w:val="19"/>
          <w:color w:val="auto"/>
        </w:rPr>
      </w:pPr>
      <w:r>
        <w:rPr>
          <w:rFonts w:ascii="Arial" w:cs="Arial" w:eastAsia="Arial" w:hAnsi="Arial"/>
          <w:sz w:val="19"/>
          <w:szCs w:val="19"/>
          <w:b w:val="1"/>
          <w:bCs w:val="1"/>
          <w:color w:val="auto"/>
        </w:rPr>
        <w:t xml:space="preserve">Investment Intent. </w:t>
      </w:r>
      <w:r>
        <w:rPr>
          <w:rFonts w:ascii="Arial" w:cs="Arial" w:eastAsia="Arial" w:hAnsi="Arial"/>
          <w:sz w:val="19"/>
          <w:szCs w:val="19"/>
          <w:color w:val="auto"/>
        </w:rPr>
        <w:t>The undersigned represents and warrants that the aforesaid shares are being acquired for investment for its</w:t>
      </w:r>
      <w:r>
        <w:rPr>
          <w:rFonts w:ascii="Arial" w:cs="Arial" w:eastAsia="Arial" w:hAnsi="Arial"/>
          <w:sz w:val="19"/>
          <w:szCs w:val="19"/>
          <w:b w:val="1"/>
          <w:bCs w:val="1"/>
          <w:color w:val="auto"/>
        </w:rPr>
        <w:t xml:space="preserve"> </w:t>
      </w:r>
      <w:r>
        <w:rPr>
          <w:rFonts w:ascii="Arial" w:cs="Arial" w:eastAsia="Arial" w:hAnsi="Arial"/>
          <w:sz w:val="19"/>
          <w:szCs w:val="19"/>
          <w:color w:val="auto"/>
        </w:rPr>
        <w:t>own account, not as a nominee or agent, and not with a view to, or for resale in connection with, the distribution thereof, and that the undersigned has no present intention of selling, granting any participation in, or otherwise distributing the shares, nor does it have any contract, undertaking, agreement or arrangement for the same, and all representations and warranties of the undersigned set forth in Section 11 of the attached warrant are true and correct as of the date hereof.</w:t>
      </w:r>
    </w:p>
    <w:p>
      <w:pPr>
        <w:spacing w:after="0" w:line="170" w:lineRule="exact"/>
        <w:rPr>
          <w:rFonts w:ascii="Arial" w:cs="Arial" w:eastAsia="Arial" w:hAnsi="Arial"/>
          <w:sz w:val="19"/>
          <w:szCs w:val="19"/>
          <w:color w:val="auto"/>
        </w:rPr>
      </w:pPr>
    </w:p>
    <w:p>
      <w:pPr>
        <w:jc w:val="both"/>
        <w:ind w:left="820" w:hanging="812"/>
        <w:spacing w:after="0" w:line="253" w:lineRule="auto"/>
        <w:tabs>
          <w:tab w:leader="none" w:pos="820" w:val="left"/>
        </w:tabs>
        <w:numPr>
          <w:ilvl w:val="0"/>
          <w:numId w:val="236"/>
        </w:numPr>
        <w:rPr>
          <w:rFonts w:ascii="Arial" w:cs="Arial" w:eastAsia="Arial" w:hAnsi="Arial"/>
          <w:sz w:val="20"/>
          <w:szCs w:val="20"/>
          <w:color w:val="auto"/>
        </w:rPr>
      </w:pPr>
      <w:r>
        <w:rPr>
          <w:rFonts w:ascii="Arial" w:cs="Arial" w:eastAsia="Arial" w:hAnsi="Arial"/>
          <w:sz w:val="20"/>
          <w:szCs w:val="20"/>
          <w:b w:val="1"/>
          <w:bCs w:val="1"/>
          <w:color w:val="auto"/>
        </w:rPr>
        <w:t xml:space="preserve">Investment Representation Statement and Market Stand-Off Agreement. </w:t>
      </w:r>
      <w:r>
        <w:rPr>
          <w:rFonts w:ascii="Arial" w:cs="Arial" w:eastAsia="Arial" w:hAnsi="Arial"/>
          <w:sz w:val="20"/>
          <w:szCs w:val="20"/>
          <w:color w:val="auto"/>
        </w:rPr>
        <w:t>The undersigned has executed, and delivers</w:t>
      </w:r>
      <w:r>
        <w:rPr>
          <w:rFonts w:ascii="Arial" w:cs="Arial" w:eastAsia="Arial" w:hAnsi="Arial"/>
          <w:sz w:val="20"/>
          <w:szCs w:val="20"/>
          <w:b w:val="1"/>
          <w:bCs w:val="1"/>
          <w:color w:val="auto"/>
        </w:rPr>
        <w:t xml:space="preserve"> </w:t>
      </w:r>
      <w:r>
        <w:rPr>
          <w:rFonts w:ascii="Arial" w:cs="Arial" w:eastAsia="Arial" w:hAnsi="Arial"/>
          <w:sz w:val="20"/>
          <w:szCs w:val="20"/>
          <w:color w:val="auto"/>
        </w:rPr>
        <w:t>herewith, an Investment Representation Statement and Market Stand-Off Agreement in a form substantially similar to the form attached to the warrant as Exhibit A-1.</w:t>
      </w:r>
    </w:p>
    <w:p>
      <w:pPr>
        <w:spacing w:after="0" w:line="177" w:lineRule="exact"/>
        <w:rPr>
          <w:rFonts w:ascii="Arial" w:cs="Arial" w:eastAsia="Arial" w:hAnsi="Arial"/>
          <w:sz w:val="20"/>
          <w:szCs w:val="20"/>
          <w:color w:val="auto"/>
        </w:rPr>
      </w:pPr>
    </w:p>
    <w:p>
      <w:pPr>
        <w:jc w:val="both"/>
        <w:ind w:left="820" w:hanging="812"/>
        <w:spacing w:after="0" w:line="257" w:lineRule="auto"/>
        <w:tabs>
          <w:tab w:leader="none" w:pos="820" w:val="left"/>
        </w:tabs>
        <w:numPr>
          <w:ilvl w:val="0"/>
          <w:numId w:val="236"/>
        </w:numPr>
        <w:rPr>
          <w:rFonts w:ascii="Arial" w:cs="Arial" w:eastAsia="Arial" w:hAnsi="Arial"/>
          <w:sz w:val="19"/>
          <w:szCs w:val="19"/>
          <w:color w:val="auto"/>
        </w:rPr>
      </w:pPr>
      <w:r>
        <w:rPr>
          <w:rFonts w:ascii="Arial" w:cs="Arial" w:eastAsia="Arial" w:hAnsi="Arial"/>
          <w:sz w:val="19"/>
          <w:szCs w:val="19"/>
          <w:b w:val="1"/>
          <w:bCs w:val="1"/>
          <w:color w:val="auto"/>
        </w:rPr>
        <w:t xml:space="preserve">Consent to Receipt of Electronic Notice. </w:t>
      </w:r>
      <w:r>
        <w:rPr>
          <w:rFonts w:ascii="Arial" w:cs="Arial" w:eastAsia="Arial" w:hAnsi="Arial"/>
          <w:sz w:val="19"/>
          <w:szCs w:val="19"/>
          <w:color w:val="auto"/>
        </w:rPr>
        <w:t>Subject to the limitations set forth in Delaware General Corporation Law §232(e), the</w:t>
      </w:r>
      <w:r>
        <w:rPr>
          <w:rFonts w:ascii="Arial" w:cs="Arial" w:eastAsia="Arial" w:hAnsi="Arial"/>
          <w:sz w:val="19"/>
          <w:szCs w:val="19"/>
          <w:b w:val="1"/>
          <w:bCs w:val="1"/>
          <w:color w:val="auto"/>
        </w:rPr>
        <w:t xml:space="preserve"> </w:t>
      </w:r>
      <w:r>
        <w:rPr>
          <w:rFonts w:ascii="Arial" w:cs="Arial" w:eastAsia="Arial" w:hAnsi="Arial"/>
          <w:sz w:val="19"/>
          <w:szCs w:val="19"/>
          <w:color w:val="auto"/>
        </w:rPr>
        <w:t>undersigned consents to the delivery of any notice to stockholders given by the Company under the Delaware General Corporation Law or the Company’s certificate of incorporation or bylaws by (i) facsimile telecommunication to the facsimile number provided below (or to any other facsimile number for the undersigned in the Company’s records), (ii) electronic mail to the electronic mail address provided below (or to any other electronic mail address for the undersigned in the Company’s records), (iii) posting on an electronic network together with separate notice to the undersigned of such specific posting or (iv) any other form of electronic transmission (as defined in the Delaware General Corporation Law) directed to the undersigned. This consent may be revoked by the undersigned by written notice to the Company and may be deemed revoked in the circumstances specified in Delaware General Corporation Law §232.</w:t>
      </w:r>
    </w:p>
    <w:p>
      <w:pPr>
        <w:spacing w:after="0" w:line="184"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Print name of the warrant holder</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and title of signatory, if applicable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Fax number</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Email address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Signature page to the Notice of Exercise</w:t>
      </w:r>
      <w:r>
        <w:rPr>
          <w:rFonts w:ascii="Arial" w:cs="Arial" w:eastAsia="Arial" w:hAnsi="Arial"/>
          <w:sz w:val="16"/>
          <w:szCs w:val="16"/>
          <w:b w:val="1"/>
          <w:bCs w:val="1"/>
          <w:color w:val="auto"/>
        </w:rPr>
        <w: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97" w:name="page298"/>
    <w:bookmarkEnd w:id="297"/>
    <w:p>
      <w:pPr>
        <w:jc w:val="center"/>
        <w:spacing w:after="0"/>
        <w:rPr>
          <w:sz w:val="20"/>
          <w:szCs w:val="20"/>
          <w:color w:val="auto"/>
        </w:rPr>
      </w:pPr>
      <w:r>
        <w:rPr>
          <w:rFonts w:ascii="Arial" w:cs="Arial" w:eastAsia="Arial" w:hAnsi="Arial"/>
          <w:sz w:val="20"/>
          <w:szCs w:val="20"/>
          <w:b w:val="1"/>
          <w:bCs w:val="1"/>
          <w:color w:val="auto"/>
        </w:rPr>
        <w:t>EXHIBIT A-l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INVESTMENT REPRESENTATION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jc w:val="center"/>
        <w:spacing w:after="0"/>
        <w:rPr>
          <w:sz w:val="20"/>
          <w:szCs w:val="20"/>
          <w:color w:val="auto"/>
        </w:rPr>
      </w:pPr>
      <w:r>
        <w:rPr>
          <w:rFonts w:ascii="Arial" w:cs="Arial" w:eastAsia="Arial" w:hAnsi="Arial"/>
          <w:sz w:val="20"/>
          <w:szCs w:val="20"/>
          <w:b w:val="1"/>
          <w:bCs w:val="1"/>
          <w:color w:val="auto"/>
        </w:rPr>
        <w:t>MARKET STAND-OFF AGREEMENT</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r>
              <w:rPr>
                <w:rFonts w:ascii="Arial" w:cs="Arial" w:eastAsia="Arial" w:hAnsi="Arial"/>
                <w:sz w:val="20"/>
                <w:szCs w:val="20"/>
                <w:color w:val="auto"/>
              </w:rPr>
              <w:t>INVESTOR:</w:t>
            </w:r>
          </w:p>
        </w:tc>
        <w:tc>
          <w:tcPr>
            <w:tcW w:w="1080" w:type="dxa"/>
            <w:vAlign w:val="bottom"/>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960" w:type="dxa"/>
            <w:vAlign w:val="bottom"/>
          </w:tcPr>
          <w:p>
            <w:pPr>
              <w:spacing w:after="0"/>
              <w:rPr>
                <w:sz w:val="19"/>
                <w:szCs w:val="19"/>
                <w:color w:val="auto"/>
              </w:rPr>
            </w:pPr>
          </w:p>
        </w:tc>
      </w:tr>
      <w:tr>
        <w:trPr>
          <w:trHeight w:val="470"/>
        </w:trPr>
        <w:tc>
          <w:tcPr>
            <w:tcW w:w="1420" w:type="dxa"/>
            <w:vAlign w:val="bottom"/>
          </w:tcPr>
          <w:p>
            <w:pPr>
              <w:spacing w:after="0"/>
              <w:rPr>
                <w:sz w:val="20"/>
                <w:szCs w:val="20"/>
                <w:color w:val="auto"/>
              </w:rPr>
            </w:pPr>
            <w:r>
              <w:rPr>
                <w:rFonts w:ascii="Arial" w:cs="Arial" w:eastAsia="Arial" w:hAnsi="Arial"/>
                <w:sz w:val="20"/>
                <w:szCs w:val="20"/>
                <w:color w:val="auto"/>
              </w:rPr>
              <w:t>COMPANY:</w:t>
            </w:r>
          </w:p>
        </w:tc>
        <w:tc>
          <w:tcPr>
            <w:tcW w:w="4000" w:type="dxa"/>
            <w:vAlign w:val="bottom"/>
            <w:gridSpan w:val="2"/>
          </w:tcPr>
          <w:p>
            <w:pPr>
              <w:ind w:left="240"/>
              <w:spacing w:after="0"/>
              <w:rPr>
                <w:sz w:val="20"/>
                <w:szCs w:val="20"/>
                <w:color w:val="auto"/>
              </w:rPr>
            </w:pPr>
            <w:r>
              <w:rPr>
                <w:rFonts w:ascii="Arial" w:cs="Arial" w:eastAsia="Arial" w:hAnsi="Arial"/>
                <w:sz w:val="20"/>
                <w:szCs w:val="20"/>
                <w:color w:val="auto"/>
              </w:rPr>
              <w:t>ATHIRA PHARMA, INC.</w:t>
            </w:r>
          </w:p>
        </w:tc>
        <w:tc>
          <w:tcPr>
            <w:tcW w:w="28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25"/>
        </w:trPr>
        <w:tc>
          <w:tcPr>
            <w:tcW w:w="1420" w:type="dxa"/>
            <w:vAlign w:val="bottom"/>
          </w:tcPr>
          <w:p>
            <w:pPr>
              <w:spacing w:after="0"/>
              <w:rPr>
                <w:sz w:val="20"/>
                <w:szCs w:val="20"/>
                <w:color w:val="auto"/>
              </w:rPr>
            </w:pPr>
            <w:r>
              <w:rPr>
                <w:rFonts w:ascii="Arial" w:cs="Arial" w:eastAsia="Arial" w:hAnsi="Arial"/>
                <w:sz w:val="20"/>
                <w:szCs w:val="20"/>
                <w:color w:val="auto"/>
              </w:rPr>
              <w:t>SECURITIES:</w:t>
            </w:r>
          </w:p>
        </w:tc>
        <w:tc>
          <w:tcPr>
            <w:tcW w:w="1080" w:type="dxa"/>
            <w:vAlign w:val="bottom"/>
          </w:tcPr>
          <w:p>
            <w:pPr>
              <w:spacing w:after="0"/>
              <w:rPr>
                <w:sz w:val="24"/>
                <w:szCs w:val="24"/>
                <w:color w:val="auto"/>
              </w:rPr>
            </w:pPr>
          </w:p>
        </w:tc>
        <w:tc>
          <w:tcPr>
            <w:tcW w:w="2920" w:type="dxa"/>
            <w:vAlign w:val="bottom"/>
          </w:tcPr>
          <w:p>
            <w:pPr>
              <w:spacing w:after="0"/>
              <w:rPr>
                <w:sz w:val="20"/>
                <w:szCs w:val="20"/>
                <w:color w:val="auto"/>
              </w:rPr>
            </w:pPr>
            <w:r>
              <w:rPr>
                <w:rFonts w:ascii="Arial" w:cs="Arial" w:eastAsia="Arial" w:hAnsi="Arial"/>
                <w:sz w:val="20"/>
                <w:szCs w:val="20"/>
                <w:color w:val="auto"/>
              </w:rPr>
              <w:t>THE WARRANT ISSUED ON [</w:t>
            </w:r>
          </w:p>
        </w:tc>
        <w:tc>
          <w:tcPr>
            <w:tcW w:w="5820" w:type="dxa"/>
            <w:vAlign w:val="bottom"/>
            <w:gridSpan w:val="2"/>
          </w:tcPr>
          <w:p>
            <w:pPr>
              <w:ind w:left="300"/>
              <w:spacing w:after="0"/>
              <w:rPr>
                <w:sz w:val="20"/>
                <w:szCs w:val="20"/>
                <w:color w:val="auto"/>
              </w:rPr>
            </w:pPr>
            <w:r>
              <w:rPr>
                <w:rFonts w:ascii="Arial" w:cs="Arial" w:eastAsia="Arial" w:hAnsi="Arial"/>
                <w:sz w:val="20"/>
                <w:szCs w:val="20"/>
                <w:color w:val="auto"/>
                <w:w w:val="95"/>
              </w:rPr>
              <w:t>], 2020 (THE “</w:t>
            </w:r>
            <w:r>
              <w:rPr>
                <w:rFonts w:ascii="Arial" w:cs="Arial" w:eastAsia="Arial" w:hAnsi="Arial"/>
                <w:sz w:val="20"/>
                <w:szCs w:val="20"/>
                <w:b w:val="1"/>
                <w:bCs w:val="1"/>
                <w:i w:val="1"/>
                <w:iCs w:val="1"/>
                <w:color w:val="auto"/>
                <w:w w:val="95"/>
              </w:rPr>
              <w:t>WARRANT</w:t>
            </w:r>
            <w:r>
              <w:rPr>
                <w:rFonts w:ascii="Arial" w:cs="Arial" w:eastAsia="Arial" w:hAnsi="Arial"/>
                <w:sz w:val="20"/>
                <w:szCs w:val="20"/>
                <w:color w:val="auto"/>
                <w:w w:val="95"/>
              </w:rPr>
              <w:t>”) AND THE SECURITIES ISSUED OR</w:t>
            </w:r>
          </w:p>
        </w:tc>
      </w:tr>
      <w:tr>
        <w:trPr>
          <w:trHeight w:val="250"/>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740" w:type="dxa"/>
            <w:vAlign w:val="bottom"/>
            <w:gridSpan w:val="3"/>
          </w:tcPr>
          <w:p>
            <w:pPr>
              <w:spacing w:after="0"/>
              <w:rPr>
                <w:sz w:val="20"/>
                <w:szCs w:val="20"/>
                <w:color w:val="auto"/>
              </w:rPr>
            </w:pPr>
            <w:r>
              <w:rPr>
                <w:rFonts w:ascii="Arial" w:cs="Arial" w:eastAsia="Arial" w:hAnsi="Arial"/>
                <w:sz w:val="20"/>
                <w:szCs w:val="20"/>
                <w:color w:val="auto"/>
              </w:rPr>
              <w:t>ISSUABLE UPON EXERCISE THEREOF</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-14605</wp:posOffset>
            </wp:positionV>
            <wp:extent cx="185293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852930" cy="8255"/>
                    </a:xfrm>
                    <a:prstGeom prst="rect">
                      <a:avLst/>
                    </a:prstGeom>
                    <a:noFill/>
                  </pic:spPr>
                </pic:pic>
              </a:graphicData>
            </a:graphic>
          </wp:anchor>
        </w:drawing>
      </w:r>
    </w:p>
    <w:p>
      <w:pPr>
        <w:spacing w:after="0" w:line="196" w:lineRule="exact"/>
        <w:rPr>
          <w:sz w:val="20"/>
          <w:szCs w:val="20"/>
          <w:color w:val="auto"/>
        </w:rPr>
      </w:pPr>
    </w:p>
    <w:p>
      <w:pPr>
        <w:jc w:val="both"/>
        <w:ind w:firstLine="832"/>
        <w:spacing w:after="0" w:line="260" w:lineRule="auto"/>
        <w:rPr>
          <w:sz w:val="20"/>
          <w:szCs w:val="20"/>
          <w:color w:val="auto"/>
        </w:rPr>
      </w:pPr>
      <w:r>
        <w:rPr>
          <w:rFonts w:ascii="Arial" w:cs="Arial" w:eastAsia="Arial" w:hAnsi="Arial"/>
          <w:sz w:val="20"/>
          <w:szCs w:val="20"/>
          <w:color w:val="auto"/>
        </w:rPr>
        <w:t>In connection with the purchase or acquisition of the above-listed Securities, the undersigned Investor represents and warrants to, and agrees with, the Company as follows:</w:t>
      </w:r>
    </w:p>
    <w:p>
      <w:pPr>
        <w:spacing w:after="0" w:line="171" w:lineRule="exact"/>
        <w:rPr>
          <w:sz w:val="20"/>
          <w:szCs w:val="20"/>
          <w:color w:val="auto"/>
        </w:rPr>
      </w:pPr>
    </w:p>
    <w:p>
      <w:pPr>
        <w:jc w:val="both"/>
        <w:ind w:firstLine="840"/>
        <w:spacing w:after="0" w:line="248" w:lineRule="auto"/>
        <w:tabs>
          <w:tab w:leader="none" w:pos="1628" w:val="left"/>
        </w:tabs>
        <w:numPr>
          <w:ilvl w:val="0"/>
          <w:numId w:val="237"/>
        </w:numPr>
        <w:rPr>
          <w:rFonts w:ascii="Arial" w:cs="Arial" w:eastAsia="Arial" w:hAnsi="Arial"/>
          <w:sz w:val="20"/>
          <w:szCs w:val="20"/>
          <w:color w:val="auto"/>
        </w:rPr>
      </w:pPr>
      <w:r>
        <w:rPr>
          <w:rFonts w:ascii="Arial" w:cs="Arial" w:eastAsia="Arial" w:hAnsi="Arial"/>
          <w:sz w:val="20"/>
          <w:szCs w:val="20"/>
          <w:b w:val="1"/>
          <w:bCs w:val="1"/>
          <w:color w:val="auto"/>
        </w:rPr>
        <w:t xml:space="preserve">No Registration. </w:t>
      </w:r>
      <w:r>
        <w:rPr>
          <w:rFonts w:ascii="Arial" w:cs="Arial" w:eastAsia="Arial" w:hAnsi="Arial"/>
          <w:sz w:val="20"/>
          <w:szCs w:val="20"/>
          <w:color w:val="auto"/>
        </w:rPr>
        <w:t>The Investor understands that the Securities have not been, and will not be, registered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Securities Act of 1933, as amended (the “</w:t>
      </w:r>
      <w:r>
        <w:rPr>
          <w:rFonts w:ascii="Arial" w:cs="Arial" w:eastAsia="Arial" w:hAnsi="Arial"/>
          <w:sz w:val="20"/>
          <w:szCs w:val="20"/>
          <w:b w:val="1"/>
          <w:bCs w:val="1"/>
          <w:i w:val="1"/>
          <w:iCs w:val="1"/>
          <w:color w:val="auto"/>
        </w:rPr>
        <w:t>Securities Act</w:t>
      </w:r>
      <w:r>
        <w:rPr>
          <w:rFonts w:ascii="Arial" w:cs="Arial" w:eastAsia="Arial" w:hAnsi="Arial"/>
          <w:sz w:val="20"/>
          <w:szCs w:val="20"/>
          <w:color w:val="auto"/>
        </w:rPr>
        <w:t xml:space="preserve">”), by reason of a specific exemption from the registration provisions of the Securities Act, the availability of which depends upon, among other things, the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nature of the investment intent and the accuracy of the Investor’s representations as expressed herein or otherwise made pursuant hereto.</w:t>
      </w:r>
    </w:p>
    <w:p>
      <w:pPr>
        <w:spacing w:after="0" w:line="183" w:lineRule="exact"/>
        <w:rPr>
          <w:rFonts w:ascii="Arial" w:cs="Arial" w:eastAsia="Arial" w:hAnsi="Arial"/>
          <w:sz w:val="20"/>
          <w:szCs w:val="20"/>
          <w:color w:val="auto"/>
        </w:rPr>
      </w:pPr>
    </w:p>
    <w:p>
      <w:pPr>
        <w:jc w:val="both"/>
        <w:ind w:firstLine="840"/>
        <w:spacing w:after="0" w:line="248" w:lineRule="auto"/>
        <w:tabs>
          <w:tab w:leader="none" w:pos="1628" w:val="left"/>
        </w:tabs>
        <w:numPr>
          <w:ilvl w:val="0"/>
          <w:numId w:val="237"/>
        </w:numPr>
        <w:rPr>
          <w:rFonts w:ascii="Arial" w:cs="Arial" w:eastAsia="Arial" w:hAnsi="Arial"/>
          <w:sz w:val="20"/>
          <w:szCs w:val="20"/>
          <w:color w:val="auto"/>
        </w:rPr>
      </w:pPr>
      <w:r>
        <w:rPr>
          <w:rFonts w:ascii="Arial" w:cs="Arial" w:eastAsia="Arial" w:hAnsi="Arial"/>
          <w:sz w:val="20"/>
          <w:szCs w:val="20"/>
          <w:b w:val="1"/>
          <w:bCs w:val="1"/>
          <w:color w:val="auto"/>
        </w:rPr>
        <w:t xml:space="preserve">Investment Intent. </w:t>
      </w:r>
      <w:r>
        <w:rPr>
          <w:rFonts w:ascii="Arial" w:cs="Arial" w:eastAsia="Arial" w:hAnsi="Arial"/>
          <w:sz w:val="20"/>
          <w:szCs w:val="20"/>
          <w:color w:val="auto"/>
        </w:rPr>
        <w:t>The Investor is acquiring the Securities for investment for its own account, not as a nominee or</w:t>
      </w:r>
      <w:r>
        <w:rPr>
          <w:rFonts w:ascii="Arial" w:cs="Arial" w:eastAsia="Arial" w:hAnsi="Arial"/>
          <w:sz w:val="20"/>
          <w:szCs w:val="20"/>
          <w:b w:val="1"/>
          <w:bCs w:val="1"/>
          <w:color w:val="auto"/>
        </w:rPr>
        <w:t xml:space="preserve"> </w:t>
      </w:r>
      <w:r>
        <w:rPr>
          <w:rFonts w:ascii="Arial" w:cs="Arial" w:eastAsia="Arial" w:hAnsi="Arial"/>
          <w:sz w:val="20"/>
          <w:szCs w:val="20"/>
          <w:color w:val="auto"/>
        </w:rPr>
        <w:t>agent, and not with a view to, or for resale in connection with, any distribution thereof. The Investor has no present intention of selling, granting any participation in, or otherwise distributing the Securities, nor does it have any contract, undertaking, agreement or arrangement for the same.</w:t>
      </w:r>
    </w:p>
    <w:p>
      <w:pPr>
        <w:spacing w:after="0" w:line="183" w:lineRule="exact"/>
        <w:rPr>
          <w:rFonts w:ascii="Arial" w:cs="Arial" w:eastAsia="Arial" w:hAnsi="Arial"/>
          <w:sz w:val="20"/>
          <w:szCs w:val="20"/>
          <w:color w:val="auto"/>
        </w:rPr>
      </w:pPr>
    </w:p>
    <w:p>
      <w:pPr>
        <w:jc w:val="both"/>
        <w:ind w:firstLine="840"/>
        <w:spacing w:after="0" w:line="272" w:lineRule="auto"/>
        <w:tabs>
          <w:tab w:leader="none" w:pos="1628" w:val="left"/>
        </w:tabs>
        <w:numPr>
          <w:ilvl w:val="0"/>
          <w:numId w:val="237"/>
        </w:numPr>
        <w:rPr>
          <w:rFonts w:ascii="Arial" w:cs="Arial" w:eastAsia="Arial" w:hAnsi="Arial"/>
          <w:sz w:val="19"/>
          <w:szCs w:val="19"/>
          <w:color w:val="auto"/>
        </w:rPr>
      </w:pPr>
      <w:r>
        <w:rPr>
          <w:rFonts w:ascii="Arial" w:cs="Arial" w:eastAsia="Arial" w:hAnsi="Arial"/>
          <w:sz w:val="19"/>
          <w:szCs w:val="19"/>
          <w:b w:val="1"/>
          <w:bCs w:val="1"/>
          <w:color w:val="auto"/>
        </w:rPr>
        <w:t xml:space="preserve">Investment Experience. </w:t>
      </w:r>
      <w:r>
        <w:rPr>
          <w:rFonts w:ascii="Arial" w:cs="Arial" w:eastAsia="Arial" w:hAnsi="Arial"/>
          <w:sz w:val="19"/>
          <w:szCs w:val="19"/>
          <w:color w:val="auto"/>
        </w:rPr>
        <w:t>The Investor has substantial experience in evaluating and investing in private placement</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transactions of securities in companies similar to the Company, and has such knowledge and experience in financial or business matters so that it is capable of evaluating the merits and risks of its investment in the Company and protecting its own interests.</w:t>
      </w:r>
    </w:p>
    <w:p>
      <w:pPr>
        <w:spacing w:after="0" w:line="161" w:lineRule="exact"/>
        <w:rPr>
          <w:rFonts w:ascii="Arial" w:cs="Arial" w:eastAsia="Arial" w:hAnsi="Arial"/>
          <w:sz w:val="19"/>
          <w:szCs w:val="19"/>
          <w:color w:val="auto"/>
        </w:rPr>
      </w:pPr>
    </w:p>
    <w:p>
      <w:pPr>
        <w:jc w:val="both"/>
        <w:ind w:firstLine="840"/>
        <w:spacing w:after="0" w:line="294" w:lineRule="auto"/>
        <w:tabs>
          <w:tab w:leader="none" w:pos="1628" w:val="left"/>
        </w:tabs>
        <w:numPr>
          <w:ilvl w:val="0"/>
          <w:numId w:val="237"/>
        </w:numPr>
        <w:rPr>
          <w:rFonts w:ascii="Arial" w:cs="Arial" w:eastAsia="Arial" w:hAnsi="Arial"/>
          <w:sz w:val="18"/>
          <w:szCs w:val="18"/>
          <w:color w:val="auto"/>
        </w:rPr>
      </w:pPr>
      <w:r>
        <w:rPr>
          <w:rFonts w:ascii="Arial" w:cs="Arial" w:eastAsia="Arial" w:hAnsi="Arial"/>
          <w:sz w:val="18"/>
          <w:szCs w:val="18"/>
          <w:b w:val="1"/>
          <w:bCs w:val="1"/>
          <w:color w:val="auto"/>
        </w:rPr>
        <w:t xml:space="preserve">Speculative Nature of Investment. </w:t>
      </w:r>
      <w:r>
        <w:rPr>
          <w:rFonts w:ascii="Arial" w:cs="Arial" w:eastAsia="Arial" w:hAnsi="Arial"/>
          <w:sz w:val="18"/>
          <w:szCs w:val="18"/>
          <w:color w:val="auto"/>
        </w:rPr>
        <w:t>The Investor understands and acknowledges that its investment in the Company is</w:t>
      </w:r>
      <w:r>
        <w:rPr>
          <w:rFonts w:ascii="Arial" w:cs="Arial" w:eastAsia="Arial" w:hAnsi="Arial"/>
          <w:sz w:val="18"/>
          <w:szCs w:val="18"/>
          <w:b w:val="1"/>
          <w:bCs w:val="1"/>
          <w:color w:val="auto"/>
        </w:rPr>
        <w:t xml:space="preserve"> </w:t>
      </w:r>
      <w:r>
        <w:rPr>
          <w:rFonts w:ascii="Arial" w:cs="Arial" w:eastAsia="Arial" w:hAnsi="Arial"/>
          <w:sz w:val="18"/>
          <w:szCs w:val="18"/>
          <w:color w:val="auto"/>
        </w:rPr>
        <w:t>highly speculative and involves substantial risks. The Investor can bear the economic risk of its investment and is able, without impairing its financial condition, to hold the Securities for an indefinite period of time and to suffer a complete loss of its investment.</w:t>
      </w:r>
    </w:p>
    <w:p>
      <w:pPr>
        <w:spacing w:after="0" w:line="143" w:lineRule="exact"/>
        <w:rPr>
          <w:rFonts w:ascii="Arial" w:cs="Arial" w:eastAsia="Arial" w:hAnsi="Arial"/>
          <w:sz w:val="18"/>
          <w:szCs w:val="18"/>
          <w:color w:val="auto"/>
        </w:rPr>
      </w:pPr>
    </w:p>
    <w:p>
      <w:pPr>
        <w:jc w:val="both"/>
        <w:ind w:firstLine="840"/>
        <w:spacing w:after="0" w:line="256" w:lineRule="auto"/>
        <w:tabs>
          <w:tab w:leader="none" w:pos="1628" w:val="left"/>
        </w:tabs>
        <w:numPr>
          <w:ilvl w:val="0"/>
          <w:numId w:val="237"/>
        </w:numPr>
        <w:rPr>
          <w:rFonts w:ascii="Arial" w:cs="Arial" w:eastAsia="Arial" w:hAnsi="Arial"/>
          <w:sz w:val="19"/>
          <w:szCs w:val="19"/>
          <w:color w:val="auto"/>
        </w:rPr>
      </w:pPr>
      <w:r>
        <w:rPr>
          <w:rFonts w:ascii="Arial" w:cs="Arial" w:eastAsia="Arial" w:hAnsi="Arial"/>
          <w:sz w:val="19"/>
          <w:szCs w:val="19"/>
          <w:b w:val="1"/>
          <w:bCs w:val="1"/>
          <w:color w:val="auto"/>
        </w:rPr>
        <w:t xml:space="preserve">Access to Data. </w:t>
      </w:r>
      <w:r>
        <w:rPr>
          <w:rFonts w:ascii="Arial" w:cs="Arial" w:eastAsia="Arial" w:hAnsi="Arial"/>
          <w:sz w:val="19"/>
          <w:szCs w:val="19"/>
          <w:color w:val="auto"/>
        </w:rPr>
        <w:t>The Investor has had an opportunity to ask questions of officers of the Company, which questions were</w:t>
      </w:r>
      <w:r>
        <w:rPr>
          <w:rFonts w:ascii="Arial" w:cs="Arial" w:eastAsia="Arial" w:hAnsi="Arial"/>
          <w:sz w:val="19"/>
          <w:szCs w:val="19"/>
          <w:b w:val="1"/>
          <w:bCs w:val="1"/>
          <w:color w:val="auto"/>
        </w:rPr>
        <w:t xml:space="preserve"> </w:t>
      </w:r>
      <w:r>
        <w:rPr>
          <w:rFonts w:ascii="Arial" w:cs="Arial" w:eastAsia="Arial" w:hAnsi="Arial"/>
          <w:sz w:val="19"/>
          <w:szCs w:val="19"/>
          <w:color w:val="auto"/>
        </w:rPr>
        <w:t>answered to its satisfaction. The Investor believes that it has received all the information that it considers necessary or appropriate for deciding whether to acquire the Securities. The Investor understands that any such discussions, as well as any information issued by the Company, were intended to describe certain aspects of the Company’s business and prospects, but were not necessarily a thorough or exhaustive description. The Investor acknowledges that any business plans prepared by the Company have been, and continue to be, subject to change and that any projections included in such business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98" w:name="page299"/>
    <w:bookmarkEnd w:id="298"/>
    <w:p>
      <w:pPr>
        <w:spacing w:after="0" w:line="260" w:lineRule="auto"/>
        <w:rPr>
          <w:sz w:val="20"/>
          <w:szCs w:val="20"/>
          <w:color w:val="auto"/>
        </w:rPr>
      </w:pPr>
      <w:r>
        <w:rPr>
          <w:rFonts w:ascii="Arial" w:cs="Arial" w:eastAsia="Arial" w:hAnsi="Arial"/>
          <w:sz w:val="20"/>
          <w:szCs w:val="20"/>
          <w:color w:val="auto"/>
        </w:rPr>
        <w:t>plans or otherwise are necessarily speculative in nature, and it can be expected that some or all of the assumptions underlying the projections will not materialize or will vary significantly from actual results.</w:t>
      </w:r>
    </w:p>
    <w:p>
      <w:pPr>
        <w:spacing w:after="0" w:line="171" w:lineRule="exact"/>
        <w:rPr>
          <w:sz w:val="20"/>
          <w:szCs w:val="20"/>
          <w:color w:val="auto"/>
        </w:rPr>
      </w:pPr>
    </w:p>
    <w:p>
      <w:pPr>
        <w:jc w:val="both"/>
        <w:ind w:firstLine="840"/>
        <w:spacing w:after="0" w:line="246" w:lineRule="auto"/>
        <w:tabs>
          <w:tab w:leader="none" w:pos="1628" w:val="left"/>
        </w:tabs>
        <w:numPr>
          <w:ilvl w:val="0"/>
          <w:numId w:val="238"/>
        </w:numPr>
        <w:rPr>
          <w:rFonts w:ascii="Arial" w:cs="Arial" w:eastAsia="Arial" w:hAnsi="Arial"/>
          <w:sz w:val="20"/>
          <w:szCs w:val="20"/>
          <w:color w:val="auto"/>
        </w:rPr>
      </w:pPr>
      <w:r>
        <w:rPr>
          <w:rFonts w:ascii="Arial" w:cs="Arial" w:eastAsia="Arial" w:hAnsi="Arial"/>
          <w:sz w:val="20"/>
          <w:szCs w:val="20"/>
          <w:b w:val="1"/>
          <w:bCs w:val="1"/>
          <w:color w:val="auto"/>
        </w:rPr>
        <w:t xml:space="preserve">Accredited Investor. </w:t>
      </w:r>
      <w:r>
        <w:rPr>
          <w:rFonts w:ascii="Arial" w:cs="Arial" w:eastAsia="Arial" w:hAnsi="Arial"/>
          <w:sz w:val="20"/>
          <w:szCs w:val="20"/>
          <w:color w:val="auto"/>
        </w:rPr>
        <w:t>The Investor is an “accredited investor” within the meaning of Regulation D, Rule 501(a),</w:t>
      </w:r>
      <w:r>
        <w:rPr>
          <w:rFonts w:ascii="Arial" w:cs="Arial" w:eastAsia="Arial" w:hAnsi="Arial"/>
          <w:sz w:val="20"/>
          <w:szCs w:val="20"/>
          <w:b w:val="1"/>
          <w:bCs w:val="1"/>
          <w:color w:val="auto"/>
        </w:rPr>
        <w:t xml:space="preserve"> </w:t>
      </w:r>
      <w:r>
        <w:rPr>
          <w:rFonts w:ascii="Arial" w:cs="Arial" w:eastAsia="Arial" w:hAnsi="Arial"/>
          <w:sz w:val="20"/>
          <w:szCs w:val="20"/>
          <w:color w:val="auto"/>
        </w:rPr>
        <w:t>promulgated by the Securities and Exchange Commission and agrees to submit to the Company such further assurances of such status as may be reasonably requested by the Company. The Investor has furnished or made available any and all information requested by the Company or otherwise necessary to satisfy any applicable verification requirements as to “accredited investor” status. Any such information is true, correct, timely and complete.</w:t>
      </w:r>
    </w:p>
    <w:p>
      <w:pPr>
        <w:spacing w:after="0" w:line="184" w:lineRule="exact"/>
        <w:rPr>
          <w:rFonts w:ascii="Arial" w:cs="Arial" w:eastAsia="Arial" w:hAnsi="Arial"/>
          <w:sz w:val="20"/>
          <w:szCs w:val="20"/>
          <w:color w:val="auto"/>
        </w:rPr>
      </w:pPr>
    </w:p>
    <w:p>
      <w:pPr>
        <w:ind w:firstLine="840"/>
        <w:spacing w:after="0" w:line="267" w:lineRule="auto"/>
        <w:tabs>
          <w:tab w:leader="none" w:pos="1628" w:val="left"/>
        </w:tabs>
        <w:numPr>
          <w:ilvl w:val="0"/>
          <w:numId w:val="238"/>
        </w:numPr>
        <w:rPr>
          <w:rFonts w:ascii="Arial" w:cs="Arial" w:eastAsia="Arial" w:hAnsi="Arial"/>
          <w:sz w:val="20"/>
          <w:szCs w:val="20"/>
          <w:color w:val="auto"/>
        </w:rPr>
      </w:pPr>
      <w:r>
        <w:rPr>
          <w:rFonts w:ascii="Arial" w:cs="Arial" w:eastAsia="Arial" w:hAnsi="Arial"/>
          <w:sz w:val="20"/>
          <w:szCs w:val="20"/>
          <w:b w:val="1"/>
          <w:bCs w:val="1"/>
          <w:color w:val="auto"/>
        </w:rPr>
        <w:t xml:space="preserve">Residency. </w:t>
      </w:r>
      <w:r>
        <w:rPr>
          <w:rFonts w:ascii="Arial" w:cs="Arial" w:eastAsia="Arial" w:hAnsi="Arial"/>
          <w:sz w:val="20"/>
          <w:szCs w:val="20"/>
          <w:color w:val="auto"/>
        </w:rPr>
        <w:t>The residency of the Investor (or, in the case of a partnership or corporation, such entity’s principal place of</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is correctly set forth on the signature page hereto.</w:t>
      </w:r>
    </w:p>
    <w:p>
      <w:pPr>
        <w:spacing w:after="0" w:line="163" w:lineRule="exact"/>
        <w:rPr>
          <w:rFonts w:ascii="Arial" w:cs="Arial" w:eastAsia="Arial" w:hAnsi="Arial"/>
          <w:sz w:val="20"/>
          <w:szCs w:val="20"/>
          <w:color w:val="auto"/>
        </w:rPr>
      </w:pPr>
    </w:p>
    <w:p>
      <w:pPr>
        <w:jc w:val="both"/>
        <w:ind w:firstLine="840"/>
        <w:spacing w:after="0" w:line="269" w:lineRule="auto"/>
        <w:tabs>
          <w:tab w:leader="none" w:pos="1628" w:val="left"/>
        </w:tabs>
        <w:numPr>
          <w:ilvl w:val="0"/>
          <w:numId w:val="238"/>
        </w:numPr>
        <w:rPr>
          <w:rFonts w:ascii="Arial" w:cs="Arial" w:eastAsia="Arial" w:hAnsi="Arial"/>
          <w:sz w:val="18"/>
          <w:szCs w:val="18"/>
          <w:color w:val="auto"/>
        </w:rPr>
      </w:pPr>
      <w:r>
        <w:rPr>
          <w:rFonts w:ascii="Arial" w:cs="Arial" w:eastAsia="Arial" w:hAnsi="Arial"/>
          <w:sz w:val="18"/>
          <w:szCs w:val="18"/>
          <w:b w:val="1"/>
          <w:bCs w:val="1"/>
          <w:color w:val="auto"/>
        </w:rPr>
        <w:t xml:space="preserve">Restrictions on Resales. </w:t>
      </w:r>
      <w:r>
        <w:rPr>
          <w:rFonts w:ascii="Arial" w:cs="Arial" w:eastAsia="Arial" w:hAnsi="Arial"/>
          <w:sz w:val="18"/>
          <w:szCs w:val="18"/>
          <w:color w:val="auto"/>
        </w:rPr>
        <w:t>The Investor acknowledges that the Securities must be held indefinitely unless subsequently</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under the Securities Act or an exemption from such registration is available. The Investor is aware of the provisions of Rule 144 promulgated under the Securities Act, which permit resale of shares purchased in a private placement subject to the satisfaction of certain conditions, which may include, among other things, the availability of certain current public information about the Company; the resale occurring not less than a specified period after a party has purchased and paid for the security to be sold; the number of shares being sold during any three-month period not exceeding specified limitations; the sale being effected through a “broker’s transaction,” a transaction directly with a “market maker” or a “riskless principal transaction” (as those terms are defined in the Securities Act or the Securities Exchange Act of 1934, as amended, and the rules and regulations promulgated thereunder); and the filing of a Form 144 notice, if applicable. The Investor acknowledges and understands that the Company may not be satisfying the current public information requirement of Rule 144 at the time the Investor wishes to sell the Securities and that, in such event, the Investor may be precluded from selling the Securities under Rule 144 even if the other applicable requirements of Rule 144 have been satisfied. The Investor understands and acknowledges that, in the event the applicable requirements of Rule 144 are not met, registration under the Securities Act or an exemption from registration will be required for any disposition of the Securities. The Investor understands that, although Rule 144 is not exclusive, the Securities and Exchange Commission has expressed its opinion that persons proposing to sell restricted securities received in a private offering other than in a registered offering or pursuant to Rule 144 will have a substantial burden of proof in establishing that an exemption from registration is available for those offers or sales and that those persons and the brokers who participate in the transactions do so at their own risk.</w:t>
      </w:r>
    </w:p>
    <w:p>
      <w:pPr>
        <w:spacing w:after="0" w:line="176" w:lineRule="exact"/>
        <w:rPr>
          <w:rFonts w:ascii="Arial" w:cs="Arial" w:eastAsia="Arial" w:hAnsi="Arial"/>
          <w:sz w:val="18"/>
          <w:szCs w:val="18"/>
          <w:color w:val="auto"/>
        </w:rPr>
      </w:pPr>
    </w:p>
    <w:p>
      <w:pPr>
        <w:ind w:right="20" w:firstLine="840"/>
        <w:spacing w:after="0" w:line="323" w:lineRule="auto"/>
        <w:tabs>
          <w:tab w:leader="none" w:pos="1628" w:val="left"/>
        </w:tabs>
        <w:numPr>
          <w:ilvl w:val="0"/>
          <w:numId w:val="238"/>
        </w:numPr>
        <w:rPr>
          <w:rFonts w:ascii="Arial" w:cs="Arial" w:eastAsia="Arial" w:hAnsi="Arial"/>
          <w:sz w:val="18"/>
          <w:szCs w:val="18"/>
          <w:color w:val="auto"/>
        </w:rPr>
      </w:pPr>
      <w:r>
        <w:rPr>
          <w:rFonts w:ascii="Arial" w:cs="Arial" w:eastAsia="Arial" w:hAnsi="Arial"/>
          <w:sz w:val="18"/>
          <w:szCs w:val="18"/>
          <w:b w:val="1"/>
          <w:bCs w:val="1"/>
          <w:color w:val="auto"/>
        </w:rPr>
        <w:t xml:space="preserve">No Public Market. </w:t>
      </w:r>
      <w:r>
        <w:rPr>
          <w:rFonts w:ascii="Arial" w:cs="Arial" w:eastAsia="Arial" w:hAnsi="Arial"/>
          <w:sz w:val="18"/>
          <w:szCs w:val="18"/>
          <w:color w:val="auto"/>
        </w:rPr>
        <w:t>The Holder understands and acknowledges that no public market now exists for any of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issued by the Company and that the Company has made no assurances that a public market will ever exist for the Company’s securities.</w:t>
      </w:r>
    </w:p>
    <w:p>
      <w:pPr>
        <w:spacing w:after="0" w:line="117" w:lineRule="exact"/>
        <w:rPr>
          <w:rFonts w:ascii="Arial" w:cs="Arial" w:eastAsia="Arial" w:hAnsi="Arial"/>
          <w:sz w:val="18"/>
          <w:szCs w:val="18"/>
          <w:color w:val="auto"/>
        </w:rPr>
      </w:pPr>
    </w:p>
    <w:p>
      <w:pPr>
        <w:jc w:val="both"/>
        <w:ind w:firstLine="840"/>
        <w:spacing w:after="0" w:line="253" w:lineRule="auto"/>
        <w:tabs>
          <w:tab w:leader="none" w:pos="1727" w:val="left"/>
        </w:tabs>
        <w:numPr>
          <w:ilvl w:val="0"/>
          <w:numId w:val="238"/>
        </w:numPr>
        <w:rPr>
          <w:rFonts w:ascii="Arial" w:cs="Arial" w:eastAsia="Arial" w:hAnsi="Arial"/>
          <w:sz w:val="20"/>
          <w:szCs w:val="20"/>
          <w:color w:val="auto"/>
        </w:rPr>
      </w:pPr>
      <w:r>
        <w:rPr>
          <w:rFonts w:ascii="Arial" w:cs="Arial" w:eastAsia="Arial" w:hAnsi="Arial"/>
          <w:sz w:val="20"/>
          <w:szCs w:val="20"/>
          <w:b w:val="1"/>
          <w:bCs w:val="1"/>
          <w:color w:val="auto"/>
        </w:rPr>
        <w:t xml:space="preserve">Brokers and Finders. </w:t>
      </w:r>
      <w:r>
        <w:rPr>
          <w:rFonts w:ascii="Arial" w:cs="Arial" w:eastAsia="Arial" w:hAnsi="Arial"/>
          <w:sz w:val="20"/>
          <w:szCs w:val="20"/>
          <w:color w:val="auto"/>
        </w:rPr>
        <w:t>The Investor has not engaged any brokers, finders or agents in connection with the Securities,</w:t>
      </w:r>
      <w:r>
        <w:rPr>
          <w:rFonts w:ascii="Arial" w:cs="Arial" w:eastAsia="Arial" w:hAnsi="Arial"/>
          <w:sz w:val="20"/>
          <w:szCs w:val="20"/>
          <w:b w:val="1"/>
          <w:bCs w:val="1"/>
          <w:color w:val="auto"/>
        </w:rPr>
        <w:t xml:space="preserve"> </w:t>
      </w:r>
      <w:r>
        <w:rPr>
          <w:rFonts w:ascii="Arial" w:cs="Arial" w:eastAsia="Arial" w:hAnsi="Arial"/>
          <w:sz w:val="20"/>
          <w:szCs w:val="20"/>
          <w:color w:val="auto"/>
        </w:rPr>
        <w:t>and the Company has not incurred nor will incur, directly or indirectly, as a result of any action taken by the Investor, any liability for brokerage or finders’ fees or agents’ commissions or any similar charges in connection with the Securities.</w:t>
      </w:r>
    </w:p>
    <w:p>
      <w:pPr>
        <w:spacing w:after="0" w:line="177" w:lineRule="exact"/>
        <w:rPr>
          <w:rFonts w:ascii="Arial" w:cs="Arial" w:eastAsia="Arial" w:hAnsi="Arial"/>
          <w:sz w:val="20"/>
          <w:szCs w:val="20"/>
          <w:color w:val="auto"/>
        </w:rPr>
      </w:pPr>
    </w:p>
    <w:p>
      <w:pPr>
        <w:jc w:val="both"/>
        <w:ind w:firstLine="840"/>
        <w:spacing w:after="0" w:line="308" w:lineRule="auto"/>
        <w:tabs>
          <w:tab w:leader="none" w:pos="1720" w:val="left"/>
        </w:tabs>
        <w:numPr>
          <w:ilvl w:val="0"/>
          <w:numId w:val="238"/>
        </w:numPr>
        <w:rPr>
          <w:rFonts w:ascii="Arial" w:cs="Arial" w:eastAsia="Arial" w:hAnsi="Arial"/>
          <w:sz w:val="16"/>
          <w:szCs w:val="16"/>
          <w:color w:val="auto"/>
        </w:rPr>
      </w:pPr>
      <w:r>
        <w:rPr>
          <w:rFonts w:ascii="Arial" w:cs="Arial" w:eastAsia="Arial" w:hAnsi="Arial"/>
          <w:sz w:val="16"/>
          <w:szCs w:val="16"/>
          <w:b w:val="1"/>
          <w:bCs w:val="1"/>
          <w:color w:val="auto"/>
        </w:rPr>
        <w:t xml:space="preserve">Legal Counsel. </w:t>
      </w:r>
      <w:r>
        <w:rPr>
          <w:rFonts w:ascii="Arial" w:cs="Arial" w:eastAsia="Arial" w:hAnsi="Arial"/>
          <w:sz w:val="16"/>
          <w:szCs w:val="16"/>
          <w:color w:val="auto"/>
        </w:rPr>
        <w:t>The Investor has had the opportunity to review the Warrant, the exhibits and schedules attached thereto</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transactions contemplated by the Warrant with its own legal counsel. The Investor is not relying on any statements or representations of the Company or its agents for legal advice with respect to this investment or the transactions contemplated by the Warrant.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99" w:name="page300"/>
    <w:bookmarkEnd w:id="299"/>
    <w:p>
      <w:pPr>
        <w:jc w:val="both"/>
        <w:ind w:firstLine="840"/>
        <w:spacing w:after="0" w:line="246" w:lineRule="auto"/>
        <w:tabs>
          <w:tab w:leader="none" w:pos="1727" w:val="left"/>
        </w:tabs>
        <w:numPr>
          <w:ilvl w:val="0"/>
          <w:numId w:val="239"/>
        </w:numPr>
        <w:rPr>
          <w:rFonts w:ascii="Arial" w:cs="Arial" w:eastAsia="Arial" w:hAnsi="Arial"/>
          <w:sz w:val="20"/>
          <w:szCs w:val="20"/>
          <w:color w:val="auto"/>
        </w:rPr>
      </w:pPr>
      <w:r>
        <w:rPr>
          <w:rFonts w:ascii="Arial" w:cs="Arial" w:eastAsia="Arial" w:hAnsi="Arial"/>
          <w:sz w:val="20"/>
          <w:szCs w:val="20"/>
          <w:b w:val="1"/>
          <w:bCs w:val="1"/>
          <w:color w:val="auto"/>
        </w:rPr>
        <w:t xml:space="preserve">Tax Advisors. </w:t>
      </w:r>
      <w:r>
        <w:rPr>
          <w:rFonts w:ascii="Arial" w:cs="Arial" w:eastAsia="Arial" w:hAnsi="Arial"/>
          <w:sz w:val="20"/>
          <w:szCs w:val="20"/>
          <w:color w:val="auto"/>
        </w:rPr>
        <w:t>The Investor has reviewed with its own tax advisors the U.S. federal, state and local and non-U.S. tax</w:t>
      </w:r>
      <w:r>
        <w:rPr>
          <w:rFonts w:ascii="Arial" w:cs="Arial" w:eastAsia="Arial" w:hAnsi="Arial"/>
          <w:sz w:val="20"/>
          <w:szCs w:val="20"/>
          <w:b w:val="1"/>
          <w:bCs w:val="1"/>
          <w:color w:val="auto"/>
        </w:rPr>
        <w:t xml:space="preserve"> </w:t>
      </w:r>
      <w:r>
        <w:rPr>
          <w:rFonts w:ascii="Arial" w:cs="Arial" w:eastAsia="Arial" w:hAnsi="Arial"/>
          <w:sz w:val="20"/>
          <w:szCs w:val="20"/>
          <w:color w:val="auto"/>
        </w:rPr>
        <w:t>consequences of this investment and the transactions contemplated by the Warrant. With respect to such matters, the Investor relies solely on such advisors and not on any statements or representations of the Company or any of its agents, written or oral. The Investor understands that it (and not the Company) shall be responsible for its own tax liability that may arise as a result of this investment or the transactions contemplated by the Warrant.</w:t>
      </w:r>
    </w:p>
    <w:p>
      <w:pPr>
        <w:spacing w:after="0" w:line="184" w:lineRule="exact"/>
        <w:rPr>
          <w:rFonts w:ascii="Arial" w:cs="Arial" w:eastAsia="Arial" w:hAnsi="Arial"/>
          <w:sz w:val="20"/>
          <w:szCs w:val="20"/>
          <w:color w:val="auto"/>
        </w:rPr>
      </w:pPr>
    </w:p>
    <w:p>
      <w:pPr>
        <w:ind w:firstLine="840"/>
        <w:spacing w:after="0" w:line="267" w:lineRule="auto"/>
        <w:tabs>
          <w:tab w:leader="none" w:pos="1727" w:val="left"/>
        </w:tabs>
        <w:numPr>
          <w:ilvl w:val="0"/>
          <w:numId w:val="239"/>
        </w:numPr>
        <w:rPr>
          <w:rFonts w:ascii="Arial" w:cs="Arial" w:eastAsia="Arial" w:hAnsi="Arial"/>
          <w:sz w:val="20"/>
          <w:szCs w:val="20"/>
          <w:color w:val="auto"/>
        </w:rPr>
      </w:pPr>
      <w:r>
        <w:rPr>
          <w:rFonts w:ascii="Arial" w:cs="Arial" w:eastAsia="Arial" w:hAnsi="Arial"/>
          <w:sz w:val="20"/>
          <w:szCs w:val="20"/>
          <w:b w:val="1"/>
          <w:bCs w:val="1"/>
          <w:color w:val="auto"/>
        </w:rPr>
        <w:t xml:space="preserve">Market Stand-off. </w:t>
      </w:r>
      <w:r>
        <w:rPr>
          <w:rFonts w:ascii="Arial" w:cs="Arial" w:eastAsia="Arial" w:hAnsi="Arial"/>
          <w:sz w:val="20"/>
          <w:szCs w:val="20"/>
          <w:color w:val="auto"/>
        </w:rPr>
        <w:t>The Investor agrees that the Shares are subject to the market stand-off provision of Section 2.11 of</w:t>
      </w:r>
      <w:r>
        <w:rPr>
          <w:rFonts w:ascii="Arial" w:cs="Arial" w:eastAsia="Arial" w:hAnsi="Arial"/>
          <w:sz w:val="20"/>
          <w:szCs w:val="20"/>
          <w:b w:val="1"/>
          <w:bCs w:val="1"/>
          <w:color w:val="auto"/>
        </w:rPr>
        <w:t xml:space="preserve"> </w:t>
      </w:r>
      <w:r>
        <w:rPr>
          <w:rFonts w:ascii="Arial" w:cs="Arial" w:eastAsia="Arial" w:hAnsi="Arial"/>
          <w:sz w:val="20"/>
          <w:szCs w:val="20"/>
          <w:color w:val="auto"/>
        </w:rPr>
        <w:t>the Rights Agreement.</w:t>
      </w:r>
    </w:p>
    <w:p>
      <w:pPr>
        <w:spacing w:after="0" w:line="163" w:lineRule="exact"/>
        <w:rPr>
          <w:rFonts w:ascii="Arial" w:cs="Arial" w:eastAsia="Arial" w:hAnsi="Arial"/>
          <w:sz w:val="20"/>
          <w:szCs w:val="20"/>
          <w:color w:val="auto"/>
        </w:rPr>
      </w:pPr>
    </w:p>
    <w:p>
      <w:pPr>
        <w:jc w:val="both"/>
        <w:ind w:firstLine="840"/>
        <w:spacing w:after="0" w:line="245" w:lineRule="auto"/>
        <w:tabs>
          <w:tab w:leader="none" w:pos="1727" w:val="left"/>
        </w:tabs>
        <w:numPr>
          <w:ilvl w:val="0"/>
          <w:numId w:val="239"/>
        </w:numPr>
        <w:rPr>
          <w:rFonts w:ascii="Arial" w:cs="Arial" w:eastAsia="Arial" w:hAnsi="Arial"/>
          <w:sz w:val="20"/>
          <w:szCs w:val="20"/>
          <w:color w:val="auto"/>
        </w:rPr>
      </w:pPr>
      <w:r>
        <w:rPr>
          <w:rFonts w:ascii="Arial" w:cs="Arial" w:eastAsia="Arial" w:hAnsi="Arial"/>
          <w:sz w:val="20"/>
          <w:szCs w:val="20"/>
          <w:b w:val="1"/>
          <w:bCs w:val="1"/>
          <w:color w:val="auto"/>
        </w:rPr>
        <w:t xml:space="preserve">No “Bad Actor” Disqualification. </w:t>
      </w:r>
      <w:r>
        <w:rPr>
          <w:rFonts w:ascii="Arial" w:cs="Arial" w:eastAsia="Arial" w:hAnsi="Arial"/>
          <w:sz w:val="20"/>
          <w:szCs w:val="20"/>
          <w:color w:val="auto"/>
        </w:rPr>
        <w:t>Neither (i) the Investor, (ii) any of its directors, executive officers, other officers</w:t>
      </w:r>
      <w:r>
        <w:rPr>
          <w:rFonts w:ascii="Arial" w:cs="Arial" w:eastAsia="Arial" w:hAnsi="Arial"/>
          <w:sz w:val="20"/>
          <w:szCs w:val="20"/>
          <w:b w:val="1"/>
          <w:bCs w:val="1"/>
          <w:color w:val="auto"/>
        </w:rPr>
        <w:t xml:space="preserve"> </w:t>
      </w:r>
      <w:r>
        <w:rPr>
          <w:rFonts w:ascii="Arial" w:cs="Arial" w:eastAsia="Arial" w:hAnsi="Arial"/>
          <w:sz w:val="20"/>
          <w:szCs w:val="20"/>
          <w:color w:val="auto"/>
        </w:rPr>
        <w:t>that may serve as a director or officer of any company in which it invests, general partners or managing members, nor (iii) any beneficial owner of any of the Company’s voting equity securities (in accordance with Rule 506(d) of the Securities Act) held by the Investor is subject to any of the “bad actor” disqualifications described in Rule 506(d)(1)(i) through (viii) under the Securities Act, except as set forth in Rule 506(d)(2)(ii) or (iii) or (d)(3) under the Securities Act and disclosed, reasonably in advance of the purchase or acquisition of the Securities, in writing in reasonable detail to the Company.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00" w:name="page301"/>
    <w:bookmarkEnd w:id="300"/>
    <w:p>
      <w:pPr>
        <w:spacing w:after="0"/>
        <w:rPr>
          <w:sz w:val="20"/>
          <w:szCs w:val="20"/>
          <w:color w:val="auto"/>
        </w:rPr>
      </w:pPr>
      <w:r>
        <w:rPr>
          <w:rFonts w:ascii="Arial" w:cs="Arial" w:eastAsia="Arial" w:hAnsi="Arial"/>
          <w:sz w:val="16"/>
          <w:szCs w:val="16"/>
          <w:color w:val="auto"/>
        </w:rPr>
        <w:t>The Investor is signing this Investment Representation Statement and Market Stand-Off Agreement on the date first written above.</w:t>
      </w:r>
    </w:p>
    <w:p>
      <w:pPr>
        <w:sectPr>
          <w:pgSz w:w="11900" w:h="16838" w:orient="portrait"/>
          <w:cols w:equalWidth="0" w:num="1">
            <w:col w:w="10360"/>
          </w:cols>
          <w:pgMar w:left="320" w:top="555" w:right="1219" w:bottom="1440" w:gutter="0" w:footer="0" w:header="0"/>
        </w:sectPr>
      </w:pPr>
    </w:p>
    <w:p>
      <w:pPr>
        <w:spacing w:after="0" w:line="269" w:lineRule="exact"/>
        <w:rPr>
          <w:sz w:val="20"/>
          <w:szCs w:val="20"/>
          <w:color w:val="auto"/>
        </w:rPr>
      </w:pPr>
    </w:p>
    <w:p>
      <w:pPr>
        <w:ind w:left="5740"/>
        <w:spacing w:after="0"/>
        <w:rPr>
          <w:sz w:val="20"/>
          <w:szCs w:val="20"/>
          <w:color w:val="auto"/>
        </w:rPr>
      </w:pPr>
      <w:r>
        <w:rPr>
          <w:rFonts w:ascii="Arial" w:cs="Arial" w:eastAsia="Arial" w:hAnsi="Arial"/>
          <w:sz w:val="20"/>
          <w:szCs w:val="20"/>
          <w:b w:val="1"/>
          <w:bCs w:val="1"/>
          <w:color w:val="auto"/>
        </w:rPr>
        <w:t>INVESTOR</w:t>
      </w:r>
    </w:p>
    <w:p>
      <w:pPr>
        <w:spacing w:after="0" w:line="200" w:lineRule="exact"/>
        <w:rPr>
          <w:sz w:val="20"/>
          <w:szCs w:val="20"/>
          <w:color w:val="auto"/>
        </w:rPr>
      </w:pPr>
    </w:p>
    <w:p>
      <w:pPr>
        <w:spacing w:after="0" w:line="254"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Print name of the investor</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ind w:righ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and title of signatory, if applicable</w:t>
      </w:r>
      <w:r>
        <w:rPr>
          <w:rFonts w:ascii="Arial" w:cs="Arial" w:eastAsia="Arial" w:hAnsi="Arial"/>
          <w:sz w:val="18"/>
          <w:szCs w:val="18"/>
          <w:color w:val="auto"/>
        </w:rPr>
        <w:t>)</w:t>
      </w:r>
    </w:p>
    <w:p>
      <w:pPr>
        <w:spacing w:after="0" w:line="200" w:lineRule="exact"/>
        <w:rPr>
          <w:sz w:val="20"/>
          <w:szCs w:val="20"/>
          <w:color w:val="auto"/>
        </w:rPr>
      </w:pPr>
    </w:p>
    <w:p>
      <w:pPr>
        <w:spacing w:after="0" w:line="246"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Print title of signatory, if applicable</w:t>
      </w:r>
      <w:r>
        <w:rPr>
          <w:rFonts w:ascii="Arial" w:cs="Arial" w:eastAsia="Arial" w:hAnsi="Arial"/>
          <w:sz w:val="16"/>
          <w:szCs w:val="16"/>
          <w:color w:val="auto"/>
        </w:rPr>
        <w:t>)</w:t>
      </w:r>
    </w:p>
    <w:p>
      <w:pPr>
        <w:spacing w:after="0" w:line="200" w:lineRule="exact"/>
        <w:rPr>
          <w:sz w:val="20"/>
          <w:szCs w:val="20"/>
          <w:color w:val="auto"/>
        </w:rPr>
      </w:pPr>
    </w:p>
    <w:p>
      <w:pPr>
        <w:spacing w:after="0" w:line="260"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Street address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City, state and ZIP</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320" w:top="555" w:right="1219" w:bottom="1440" w:gutter="0" w:footer="0" w:header="0"/>
          <w:type w:val="continuous"/>
        </w:sectPr>
      </w:pPr>
    </w:p>
    <w:bookmarkStart w:id="301" w:name="page302"/>
    <w:bookmarkEnd w:id="301"/>
    <w:tbl>
      <w:tblPr>
        <w:tblLayout w:type="fixed"/>
        <w:tblInd w:w="0" w:type="dxa"/>
        <w:tblCellMar>
          <w:top w:w="0" w:type="dxa"/>
          <w:left w:w="0" w:type="dxa"/>
          <w:bottom w:w="0" w:type="dxa"/>
          <w:right w:w="0" w:type="dxa"/>
        </w:tblCellMar>
      </w:tblPr>
      <w:tr>
        <w:trPr>
          <w:trHeight w:val="256"/>
        </w:trPr>
        <w:tc>
          <w:tcPr>
            <w:tcW w:w="2500" w:type="dxa"/>
            <w:vAlign w:val="bottom"/>
          </w:tcPr>
          <w:p>
            <w:pPr>
              <w:spacing w:after="0"/>
              <w:rPr>
                <w:sz w:val="22"/>
                <w:szCs w:val="22"/>
                <w:color w:val="auto"/>
              </w:rPr>
            </w:pPr>
          </w:p>
        </w:tc>
        <w:tc>
          <w:tcPr>
            <w:tcW w:w="7240" w:type="dxa"/>
            <w:vAlign w:val="bottom"/>
            <w:gridSpan w:val="2"/>
          </w:tcPr>
          <w:p>
            <w:pPr>
              <w:ind w:left="2620"/>
              <w:spacing w:after="0"/>
              <w:rPr>
                <w:sz w:val="20"/>
                <w:szCs w:val="20"/>
                <w:color w:val="auto"/>
              </w:rPr>
            </w:pPr>
            <w:r>
              <w:rPr>
                <w:rFonts w:ascii="Arial" w:cs="Arial" w:eastAsia="Arial" w:hAnsi="Arial"/>
                <w:sz w:val="20"/>
                <w:szCs w:val="20"/>
                <w:b w:val="1"/>
                <w:bCs w:val="1"/>
                <w:color w:val="auto"/>
              </w:rPr>
              <w:t>EXHIBIT B</w:t>
            </w:r>
          </w:p>
        </w:tc>
        <w:tc>
          <w:tcPr>
            <w:tcW w:w="1500" w:type="dxa"/>
            <w:vAlign w:val="bottom"/>
          </w:tcPr>
          <w:p>
            <w:pPr>
              <w:spacing w:after="0"/>
              <w:rPr>
                <w:sz w:val="22"/>
                <w:szCs w:val="22"/>
                <w:color w:val="auto"/>
              </w:rPr>
            </w:pPr>
          </w:p>
        </w:tc>
      </w:tr>
      <w:tr>
        <w:trPr>
          <w:trHeight w:val="446"/>
        </w:trPr>
        <w:tc>
          <w:tcPr>
            <w:tcW w:w="2500" w:type="dxa"/>
            <w:vAlign w:val="bottom"/>
          </w:tcPr>
          <w:p>
            <w:pPr>
              <w:spacing w:after="0"/>
              <w:rPr>
                <w:sz w:val="24"/>
                <w:szCs w:val="24"/>
                <w:color w:val="auto"/>
              </w:rPr>
            </w:pPr>
          </w:p>
        </w:tc>
        <w:tc>
          <w:tcPr>
            <w:tcW w:w="7240" w:type="dxa"/>
            <w:vAlign w:val="bottom"/>
            <w:gridSpan w:val="2"/>
          </w:tcPr>
          <w:p>
            <w:pPr>
              <w:ind w:left="2140"/>
              <w:spacing w:after="0"/>
              <w:rPr>
                <w:sz w:val="20"/>
                <w:szCs w:val="20"/>
                <w:color w:val="auto"/>
              </w:rPr>
            </w:pPr>
            <w:r>
              <w:rPr>
                <w:rFonts w:ascii="Arial" w:cs="Arial" w:eastAsia="Arial" w:hAnsi="Arial"/>
                <w:sz w:val="20"/>
                <w:szCs w:val="20"/>
                <w:b w:val="1"/>
                <w:bCs w:val="1"/>
                <w:color w:val="auto"/>
              </w:rPr>
              <w:t>ASSIGNMENT FORM</w:t>
            </w:r>
          </w:p>
        </w:tc>
        <w:tc>
          <w:tcPr>
            <w:tcW w:w="1500" w:type="dxa"/>
            <w:vAlign w:val="bottom"/>
          </w:tcPr>
          <w:p>
            <w:pPr>
              <w:spacing w:after="0"/>
              <w:rPr>
                <w:sz w:val="24"/>
                <w:szCs w:val="24"/>
                <w:color w:val="auto"/>
              </w:rPr>
            </w:pPr>
          </w:p>
        </w:tc>
      </w:tr>
      <w:tr>
        <w:trPr>
          <w:trHeight w:val="401"/>
        </w:trPr>
        <w:tc>
          <w:tcPr>
            <w:tcW w:w="2500" w:type="dxa"/>
            <w:vAlign w:val="bottom"/>
          </w:tcPr>
          <w:p>
            <w:pPr>
              <w:spacing w:after="0"/>
              <w:rPr>
                <w:sz w:val="20"/>
                <w:szCs w:val="20"/>
                <w:color w:val="auto"/>
              </w:rPr>
            </w:pPr>
            <w:r>
              <w:rPr>
                <w:rFonts w:ascii="Arial" w:cs="Arial" w:eastAsia="Arial" w:hAnsi="Arial"/>
                <w:sz w:val="20"/>
                <w:szCs w:val="20"/>
                <w:color w:val="auto"/>
              </w:rPr>
              <w:t>ASSIGNOR:</w:t>
            </w:r>
          </w:p>
        </w:tc>
        <w:tc>
          <w:tcPr>
            <w:tcW w:w="5720" w:type="dxa"/>
            <w:vAlign w:val="bottom"/>
            <w:tcBorders>
              <w:bottom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70"/>
        </w:trPr>
        <w:tc>
          <w:tcPr>
            <w:tcW w:w="2500" w:type="dxa"/>
            <w:vAlign w:val="bottom"/>
          </w:tcPr>
          <w:p>
            <w:pPr>
              <w:spacing w:after="0"/>
              <w:rPr>
                <w:sz w:val="20"/>
                <w:szCs w:val="20"/>
                <w:color w:val="auto"/>
              </w:rPr>
            </w:pPr>
            <w:r>
              <w:rPr>
                <w:rFonts w:ascii="Arial" w:cs="Arial" w:eastAsia="Arial" w:hAnsi="Arial"/>
                <w:sz w:val="20"/>
                <w:szCs w:val="20"/>
                <w:color w:val="auto"/>
              </w:rPr>
              <w:t>COMPANY:</w:t>
            </w:r>
          </w:p>
        </w:tc>
        <w:tc>
          <w:tcPr>
            <w:tcW w:w="7240" w:type="dxa"/>
            <w:vAlign w:val="bottom"/>
            <w:gridSpan w:val="2"/>
          </w:tcPr>
          <w:p>
            <w:pPr>
              <w:spacing w:after="0"/>
              <w:rPr>
                <w:sz w:val="20"/>
                <w:szCs w:val="20"/>
                <w:color w:val="auto"/>
              </w:rPr>
            </w:pPr>
            <w:r>
              <w:rPr>
                <w:rFonts w:ascii="Arial" w:cs="Arial" w:eastAsia="Arial" w:hAnsi="Arial"/>
                <w:sz w:val="20"/>
                <w:szCs w:val="20"/>
                <w:color w:val="auto"/>
              </w:rPr>
              <w:t>ATHIRA PHARMA, INC.</w:t>
            </w:r>
          </w:p>
        </w:tc>
        <w:tc>
          <w:tcPr>
            <w:tcW w:w="1500" w:type="dxa"/>
            <w:vAlign w:val="bottom"/>
          </w:tcPr>
          <w:p>
            <w:pPr>
              <w:spacing w:after="0"/>
              <w:rPr>
                <w:sz w:val="24"/>
                <w:szCs w:val="24"/>
                <w:color w:val="auto"/>
              </w:rPr>
            </w:pPr>
          </w:p>
        </w:tc>
      </w:tr>
      <w:tr>
        <w:trPr>
          <w:trHeight w:val="425"/>
        </w:trPr>
        <w:tc>
          <w:tcPr>
            <w:tcW w:w="2500" w:type="dxa"/>
            <w:vAlign w:val="bottom"/>
          </w:tcPr>
          <w:p>
            <w:pPr>
              <w:spacing w:after="0"/>
              <w:rPr>
                <w:sz w:val="20"/>
                <w:szCs w:val="20"/>
                <w:color w:val="auto"/>
              </w:rPr>
            </w:pPr>
            <w:r>
              <w:rPr>
                <w:rFonts w:ascii="Arial" w:cs="Arial" w:eastAsia="Arial" w:hAnsi="Arial"/>
                <w:sz w:val="20"/>
                <w:szCs w:val="20"/>
                <w:color w:val="auto"/>
              </w:rPr>
              <w:t>WARRANT:</w:t>
            </w:r>
          </w:p>
        </w:tc>
        <w:tc>
          <w:tcPr>
            <w:tcW w:w="7240" w:type="dxa"/>
            <w:vAlign w:val="bottom"/>
            <w:gridSpan w:val="2"/>
          </w:tcPr>
          <w:p>
            <w:pPr>
              <w:spacing w:after="0"/>
              <w:rPr>
                <w:sz w:val="20"/>
                <w:szCs w:val="20"/>
                <w:color w:val="auto"/>
              </w:rPr>
            </w:pPr>
            <w:r>
              <w:rPr>
                <w:rFonts w:ascii="Arial" w:cs="Arial" w:eastAsia="Arial" w:hAnsi="Arial"/>
                <w:sz w:val="20"/>
                <w:szCs w:val="20"/>
                <w:color w:val="auto"/>
              </w:rPr>
              <w:t>THE WARRANT TO PURCHASE SHARES OF COMMON STOCK ISSUED ON</w:t>
            </w:r>
          </w:p>
        </w:tc>
        <w:tc>
          <w:tcPr>
            <w:tcW w:w="1500" w:type="dxa"/>
            <w:vAlign w:val="bottom"/>
          </w:tcPr>
          <w:p>
            <w:pPr>
              <w:ind w:left="380"/>
              <w:spacing w:after="0"/>
              <w:rPr>
                <w:sz w:val="20"/>
                <w:szCs w:val="20"/>
                <w:color w:val="auto"/>
              </w:rPr>
            </w:pPr>
            <w:r>
              <w:rPr>
                <w:rFonts w:ascii="Arial" w:cs="Arial" w:eastAsia="Arial" w:hAnsi="Arial"/>
                <w:sz w:val="20"/>
                <w:szCs w:val="20"/>
                <w:color w:val="auto"/>
                <w:w w:val="96"/>
              </w:rPr>
              <w:t>], 2020 (THE</w:t>
            </w:r>
          </w:p>
        </w:tc>
      </w:tr>
      <w:tr>
        <w:trPr>
          <w:trHeight w:val="250"/>
        </w:trPr>
        <w:tc>
          <w:tcPr>
            <w:tcW w:w="2500" w:type="dxa"/>
            <w:vAlign w:val="bottom"/>
          </w:tcPr>
          <w:p>
            <w:pPr>
              <w:spacing w:after="0"/>
              <w:rPr>
                <w:sz w:val="21"/>
                <w:szCs w:val="21"/>
                <w:color w:val="auto"/>
              </w:rPr>
            </w:pPr>
          </w:p>
        </w:tc>
        <w:tc>
          <w:tcPr>
            <w:tcW w:w="7240" w:type="dxa"/>
            <w:vAlign w:val="bottom"/>
            <w:gridSpan w:val="2"/>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WARRANT</w:t>
            </w:r>
            <w:r>
              <w:rPr>
                <w:rFonts w:ascii="Arial" w:cs="Arial" w:eastAsia="Arial" w:hAnsi="Arial"/>
                <w:sz w:val="20"/>
                <w:szCs w:val="20"/>
                <w:color w:val="auto"/>
              </w:rPr>
              <w:t>”)</w:t>
            </w:r>
          </w:p>
        </w:tc>
        <w:tc>
          <w:tcPr>
            <w:tcW w:w="1500" w:type="dxa"/>
            <w:vAlign w:val="bottom"/>
          </w:tcPr>
          <w:p>
            <w:pPr>
              <w:spacing w:after="0"/>
              <w:rPr>
                <w:sz w:val="21"/>
                <w:szCs w:val="21"/>
                <w:color w:val="auto"/>
              </w:rPr>
            </w:pPr>
          </w:p>
        </w:tc>
      </w:tr>
      <w:tr>
        <w:trPr>
          <w:trHeight w:val="459"/>
        </w:trPr>
        <w:tc>
          <w:tcPr>
            <w:tcW w:w="2500" w:type="dxa"/>
            <w:vAlign w:val="bottom"/>
          </w:tcPr>
          <w:p>
            <w:pPr>
              <w:spacing w:after="0"/>
              <w:rPr>
                <w:sz w:val="20"/>
                <w:szCs w:val="20"/>
                <w:color w:val="auto"/>
              </w:rPr>
            </w:pPr>
            <w:r>
              <w:rPr>
                <w:rFonts w:ascii="Arial" w:cs="Arial" w:eastAsia="Arial" w:hAnsi="Arial"/>
                <w:sz w:val="20"/>
                <w:szCs w:val="20"/>
                <w:color w:val="auto"/>
              </w:rPr>
              <w:t>DATE:</w:t>
            </w:r>
          </w:p>
        </w:tc>
        <w:tc>
          <w:tcPr>
            <w:tcW w:w="5720" w:type="dxa"/>
            <w:vAlign w:val="bottom"/>
          </w:tcPr>
          <w:p>
            <w:pPr>
              <w:spacing w:after="0"/>
              <w:rPr>
                <w:sz w:val="20"/>
                <w:szCs w:val="20"/>
                <w:color w:val="auto"/>
              </w:rPr>
            </w:pPr>
            <w:r>
              <w:rPr>
                <w:rFonts w:ascii="Arial" w:cs="Arial" w:eastAsia="Arial" w:hAnsi="Arial"/>
                <w:sz w:val="20"/>
                <w:szCs w:val="20"/>
                <w:color w:val="auto"/>
              </w:rPr>
              <w:t>_________________________</w:t>
            </w: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189" w:lineRule="exact"/>
        <w:rPr>
          <w:sz w:val="20"/>
          <w:szCs w:val="20"/>
          <w:color w:val="auto"/>
        </w:rPr>
      </w:pPr>
    </w:p>
    <w:p>
      <w:pPr>
        <w:ind w:left="840" w:hanging="832"/>
        <w:spacing w:after="0" w:line="293" w:lineRule="auto"/>
        <w:tabs>
          <w:tab w:leader="none" w:pos="840" w:val="left"/>
        </w:tabs>
        <w:numPr>
          <w:ilvl w:val="0"/>
          <w:numId w:val="240"/>
        </w:numPr>
        <w:rPr>
          <w:rFonts w:ascii="Arial" w:cs="Arial" w:eastAsia="Arial" w:hAnsi="Arial"/>
          <w:sz w:val="19"/>
          <w:szCs w:val="19"/>
          <w:color w:val="auto"/>
        </w:rPr>
      </w:pPr>
      <w:r>
        <w:rPr>
          <w:rFonts w:ascii="Arial" w:cs="Arial" w:eastAsia="Arial" w:hAnsi="Arial"/>
          <w:sz w:val="19"/>
          <w:szCs w:val="19"/>
          <w:b w:val="1"/>
          <w:bCs w:val="1"/>
          <w:color w:val="auto"/>
        </w:rPr>
        <w:t xml:space="preserve">Assignment. </w:t>
      </w:r>
      <w:r>
        <w:rPr>
          <w:rFonts w:ascii="Arial" w:cs="Arial" w:eastAsia="Arial" w:hAnsi="Arial"/>
          <w:sz w:val="19"/>
          <w:szCs w:val="19"/>
          <w:color w:val="auto"/>
        </w:rPr>
        <w:t>The undersigned registered holder of the Warrant (“</w:t>
      </w:r>
      <w:r>
        <w:rPr>
          <w:rFonts w:ascii="Arial" w:cs="Arial" w:eastAsia="Arial" w:hAnsi="Arial"/>
          <w:sz w:val="19"/>
          <w:szCs w:val="19"/>
          <w:b w:val="1"/>
          <w:bCs w:val="1"/>
          <w:i w:val="1"/>
          <w:iCs w:val="1"/>
          <w:color w:val="auto"/>
        </w:rPr>
        <w:t>Assignor</w:t>
      </w:r>
      <w:r>
        <w:rPr>
          <w:rFonts w:ascii="Arial" w:cs="Arial" w:eastAsia="Arial" w:hAnsi="Arial"/>
          <w:sz w:val="19"/>
          <w:szCs w:val="19"/>
          <w:color w:val="auto"/>
        </w:rPr>
        <w:t>”) assigns and transfers to the assignee named below</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i w:val="1"/>
          <w:iCs w:val="1"/>
          <w:color w:val="auto"/>
        </w:rPr>
        <w:t>Assignee</w:t>
      </w:r>
      <w:r>
        <w:rPr>
          <w:rFonts w:ascii="Arial" w:cs="Arial" w:eastAsia="Arial" w:hAnsi="Arial"/>
          <w:sz w:val="19"/>
          <w:szCs w:val="19"/>
          <w:color w:val="auto"/>
        </w:rPr>
        <w:t>”) all of the rights of Assignor under the Warrant, with respect to the number of shares set forth below:</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Name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1791335</wp:posOffset>
            </wp:positionH>
            <wp:positionV relativeFrom="paragraph">
              <wp:posOffset>-14605</wp:posOffset>
            </wp:positionV>
            <wp:extent cx="40830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08305" cy="8255"/>
                    </a:xfrm>
                    <a:prstGeom prst="rect">
                      <a:avLst/>
                    </a:prstGeom>
                    <a:noFill/>
                  </pic:spPr>
                </pic:pic>
              </a:graphicData>
            </a:graphic>
          </wp:anchor>
        </w:drawing>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Address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2283460</wp:posOffset>
            </wp:positionH>
            <wp:positionV relativeFrom="paragraph">
              <wp:posOffset>-14605</wp:posOffset>
            </wp:positionV>
            <wp:extent cx="40830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08305" cy="8255"/>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267335</wp:posOffset>
            </wp:positionV>
            <wp:extent cx="40830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08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Number of Shares Assigned: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-14605</wp:posOffset>
            </wp:positionV>
            <wp:extent cx="40830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08305" cy="8255"/>
                    </a:xfrm>
                    <a:prstGeom prst="rect">
                      <a:avLst/>
                    </a:prstGeom>
                    <a:noFill/>
                  </pic:spPr>
                </pic:pic>
              </a:graphicData>
            </a:graphic>
          </wp:anchor>
        </w:drawing>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and does irrevocably constitute and appoint ______________________ as attorney to make such transfer on the books of Athira</w:t>
      </w:r>
    </w:p>
    <w:p>
      <w:pPr>
        <w:spacing w:after="0" w:line="3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Pharma, Inc., maintained for the purpose, with full power of substitution in the premises.</w:t>
      </w:r>
    </w:p>
    <w:p>
      <w:pPr>
        <w:spacing w:after="0" w:line="194" w:lineRule="exact"/>
        <w:rPr>
          <w:sz w:val="20"/>
          <w:szCs w:val="20"/>
          <w:color w:val="auto"/>
        </w:rPr>
      </w:pPr>
    </w:p>
    <w:p>
      <w:pPr>
        <w:jc w:val="both"/>
        <w:ind w:left="840" w:hanging="832"/>
        <w:spacing w:after="0" w:line="253" w:lineRule="auto"/>
        <w:tabs>
          <w:tab w:leader="none" w:pos="840" w:val="left"/>
        </w:tabs>
        <w:numPr>
          <w:ilvl w:val="0"/>
          <w:numId w:val="241"/>
        </w:numPr>
        <w:rPr>
          <w:rFonts w:ascii="Arial" w:cs="Arial" w:eastAsia="Arial" w:hAnsi="Arial"/>
          <w:sz w:val="20"/>
          <w:szCs w:val="20"/>
          <w:color w:val="auto"/>
        </w:rPr>
      </w:pPr>
      <w:r>
        <w:rPr>
          <w:rFonts w:ascii="Arial" w:cs="Arial" w:eastAsia="Arial" w:hAnsi="Arial"/>
          <w:sz w:val="20"/>
          <w:szCs w:val="20"/>
          <w:b w:val="1"/>
          <w:bCs w:val="1"/>
          <w:color w:val="auto"/>
        </w:rPr>
        <w:t xml:space="preserve">Obligations of Assignee. </w:t>
      </w:r>
      <w:r>
        <w:rPr>
          <w:rFonts w:ascii="Arial" w:cs="Arial" w:eastAsia="Arial" w:hAnsi="Arial"/>
          <w:sz w:val="20"/>
          <w:szCs w:val="20"/>
          <w:color w:val="auto"/>
        </w:rPr>
        <w:t>Assignee agrees to take and hold the Warrant and any shares of stock to be issued upon exercise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rights thereunder (the “</w:t>
      </w:r>
      <w:r>
        <w:rPr>
          <w:rFonts w:ascii="Arial" w:cs="Arial" w:eastAsia="Arial" w:hAnsi="Arial"/>
          <w:sz w:val="20"/>
          <w:szCs w:val="20"/>
          <w:b w:val="1"/>
          <w:bCs w:val="1"/>
          <w:i w:val="1"/>
          <w:iCs w:val="1"/>
          <w:color w:val="auto"/>
        </w:rPr>
        <w:t>Securities</w:t>
      </w:r>
      <w:r>
        <w:rPr>
          <w:rFonts w:ascii="Arial" w:cs="Arial" w:eastAsia="Arial" w:hAnsi="Arial"/>
          <w:sz w:val="20"/>
          <w:szCs w:val="20"/>
          <w:color w:val="auto"/>
        </w:rPr>
        <w:t>”) subject to, and to be bound by, the terms and conditions set forth in the Warrant to the same extent as if Assignee were the original holder thereof.</w:t>
      </w:r>
    </w:p>
    <w:p>
      <w:pPr>
        <w:spacing w:after="0" w:line="177" w:lineRule="exact"/>
        <w:rPr>
          <w:rFonts w:ascii="Arial" w:cs="Arial" w:eastAsia="Arial" w:hAnsi="Arial"/>
          <w:sz w:val="20"/>
          <w:szCs w:val="20"/>
          <w:color w:val="auto"/>
        </w:rPr>
      </w:pPr>
    </w:p>
    <w:p>
      <w:pPr>
        <w:jc w:val="both"/>
        <w:ind w:left="840" w:hanging="832"/>
        <w:spacing w:after="0" w:line="262" w:lineRule="auto"/>
        <w:tabs>
          <w:tab w:leader="none" w:pos="840" w:val="left"/>
        </w:tabs>
        <w:numPr>
          <w:ilvl w:val="0"/>
          <w:numId w:val="241"/>
        </w:numPr>
        <w:rPr>
          <w:rFonts w:ascii="Arial" w:cs="Arial" w:eastAsia="Arial" w:hAnsi="Arial"/>
          <w:sz w:val="19"/>
          <w:szCs w:val="19"/>
          <w:color w:val="auto"/>
        </w:rPr>
      </w:pPr>
      <w:r>
        <w:rPr>
          <w:rFonts w:ascii="Arial" w:cs="Arial" w:eastAsia="Arial" w:hAnsi="Arial"/>
          <w:sz w:val="19"/>
          <w:szCs w:val="19"/>
          <w:b w:val="1"/>
          <w:bCs w:val="1"/>
          <w:color w:val="auto"/>
        </w:rPr>
        <w:t xml:space="preserve">Investment Intent. </w:t>
      </w:r>
      <w:r>
        <w:rPr>
          <w:rFonts w:ascii="Arial" w:cs="Arial" w:eastAsia="Arial" w:hAnsi="Arial"/>
          <w:sz w:val="19"/>
          <w:szCs w:val="19"/>
          <w:color w:val="auto"/>
        </w:rPr>
        <w:t>Assignee represents and warrants that the Securities are being acquired for investment for its own account, not</w:t>
      </w:r>
      <w:r>
        <w:rPr>
          <w:rFonts w:ascii="Arial" w:cs="Arial" w:eastAsia="Arial" w:hAnsi="Arial"/>
          <w:sz w:val="19"/>
          <w:szCs w:val="19"/>
          <w:b w:val="1"/>
          <w:bCs w:val="1"/>
          <w:color w:val="auto"/>
        </w:rPr>
        <w:t xml:space="preserve"> </w:t>
      </w:r>
      <w:r>
        <w:rPr>
          <w:rFonts w:ascii="Arial" w:cs="Arial" w:eastAsia="Arial" w:hAnsi="Arial"/>
          <w:sz w:val="19"/>
          <w:szCs w:val="19"/>
          <w:color w:val="auto"/>
        </w:rPr>
        <w:t>as a nominee or agent, and not with a view to, or for resale in connection with, the distribution thereof, and that Assignee has no present intention of selling, granting any participation in, or otherwise distributing the shares, nor does it have any contract, undertaking, agreement or arrangement for the same, and all representations and warranties set forth in Section 11 of the Warrant are true and correct as to Assignee as of the date hereof.</w:t>
      </w:r>
    </w:p>
    <w:p>
      <w:pPr>
        <w:spacing w:after="0" w:line="170" w:lineRule="exact"/>
        <w:rPr>
          <w:rFonts w:ascii="Arial" w:cs="Arial" w:eastAsia="Arial" w:hAnsi="Arial"/>
          <w:sz w:val="19"/>
          <w:szCs w:val="19"/>
          <w:color w:val="auto"/>
        </w:rPr>
      </w:pPr>
    </w:p>
    <w:p>
      <w:pPr>
        <w:jc w:val="both"/>
        <w:ind w:left="840" w:hanging="832"/>
        <w:spacing w:after="0" w:line="253" w:lineRule="auto"/>
        <w:tabs>
          <w:tab w:leader="none" w:pos="840" w:val="left"/>
        </w:tabs>
        <w:numPr>
          <w:ilvl w:val="0"/>
          <w:numId w:val="241"/>
        </w:numPr>
        <w:rPr>
          <w:rFonts w:ascii="Arial" w:cs="Arial" w:eastAsia="Arial" w:hAnsi="Arial"/>
          <w:sz w:val="20"/>
          <w:szCs w:val="20"/>
          <w:color w:val="auto"/>
        </w:rPr>
      </w:pPr>
      <w:r>
        <w:rPr>
          <w:rFonts w:ascii="Arial" w:cs="Arial" w:eastAsia="Arial" w:hAnsi="Arial"/>
          <w:sz w:val="20"/>
          <w:szCs w:val="20"/>
          <w:b w:val="1"/>
          <w:bCs w:val="1"/>
          <w:color w:val="auto"/>
        </w:rPr>
        <w:t xml:space="preserve">Investment Representation Statement and Market Stand-Off Agreement. </w:t>
      </w:r>
      <w:r>
        <w:rPr>
          <w:rFonts w:ascii="Arial" w:cs="Arial" w:eastAsia="Arial" w:hAnsi="Arial"/>
          <w:sz w:val="20"/>
          <w:szCs w:val="20"/>
          <w:color w:val="auto"/>
        </w:rPr>
        <w:t>Assignee has executed, and delivers herewith, an</w:t>
      </w:r>
      <w:r>
        <w:rPr>
          <w:rFonts w:ascii="Arial" w:cs="Arial" w:eastAsia="Arial" w:hAnsi="Arial"/>
          <w:sz w:val="20"/>
          <w:szCs w:val="20"/>
          <w:b w:val="1"/>
          <w:bCs w:val="1"/>
          <w:color w:val="auto"/>
        </w:rPr>
        <w:t xml:space="preserve"> </w:t>
      </w:r>
      <w:r>
        <w:rPr>
          <w:rFonts w:ascii="Arial" w:cs="Arial" w:eastAsia="Arial" w:hAnsi="Arial"/>
          <w:sz w:val="20"/>
          <w:szCs w:val="20"/>
          <w:color w:val="auto"/>
        </w:rPr>
        <w:t>Investment Representation Statement and Market Stand-Off Agreement in a form substantially similar to the form attached to the Warrant as Exhibit A-1.</w:t>
      </w:r>
    </w:p>
    <w:p>
      <w:pPr>
        <w:spacing w:after="0" w:line="177" w:lineRule="exact"/>
        <w:rPr>
          <w:rFonts w:ascii="Arial" w:cs="Arial" w:eastAsia="Arial" w:hAnsi="Arial"/>
          <w:sz w:val="20"/>
          <w:szCs w:val="20"/>
          <w:color w:val="auto"/>
        </w:rPr>
      </w:pPr>
    </w:p>
    <w:p>
      <w:pPr>
        <w:jc w:val="both"/>
        <w:ind w:left="840" w:hanging="832"/>
        <w:spacing w:after="0" w:line="274" w:lineRule="auto"/>
        <w:tabs>
          <w:tab w:leader="none" w:pos="840" w:val="left"/>
        </w:tabs>
        <w:numPr>
          <w:ilvl w:val="0"/>
          <w:numId w:val="241"/>
        </w:numPr>
        <w:rPr>
          <w:rFonts w:ascii="Arial" w:cs="Arial" w:eastAsia="Arial" w:hAnsi="Arial"/>
          <w:sz w:val="18"/>
          <w:szCs w:val="18"/>
          <w:color w:val="auto"/>
        </w:rPr>
      </w:pPr>
      <w:r>
        <w:rPr>
          <w:rFonts w:ascii="Arial" w:cs="Arial" w:eastAsia="Arial" w:hAnsi="Arial"/>
          <w:sz w:val="18"/>
          <w:szCs w:val="18"/>
          <w:b w:val="1"/>
          <w:bCs w:val="1"/>
          <w:color w:val="auto"/>
        </w:rPr>
        <w:t xml:space="preserve">No “Bad Actor” Disqualification. </w:t>
      </w:r>
      <w:r>
        <w:rPr>
          <w:rFonts w:ascii="Arial" w:cs="Arial" w:eastAsia="Arial" w:hAnsi="Arial"/>
          <w:sz w:val="18"/>
          <w:szCs w:val="18"/>
          <w:color w:val="auto"/>
        </w:rPr>
        <w:t>Neither (i) Assignee, (ii) any of its directors, executive officers, other officers that may serve as</w:t>
      </w:r>
      <w:r>
        <w:rPr>
          <w:rFonts w:ascii="Arial" w:cs="Arial" w:eastAsia="Arial" w:hAnsi="Arial"/>
          <w:sz w:val="18"/>
          <w:szCs w:val="18"/>
          <w:b w:val="1"/>
          <w:bCs w:val="1"/>
          <w:color w:val="auto"/>
        </w:rPr>
        <w:t xml:space="preserve"> </w:t>
      </w:r>
      <w:r>
        <w:rPr>
          <w:rFonts w:ascii="Arial" w:cs="Arial" w:eastAsia="Arial" w:hAnsi="Arial"/>
          <w:sz w:val="18"/>
          <w:szCs w:val="18"/>
          <w:color w:val="auto"/>
        </w:rPr>
        <w:t>a director or officer of any company in which it invests, general partners or managing members, nor (iii) any beneficial owner of any of the Company’s securities held or to be held by Assignee is subject to any of the “bad actor” disqualifications described in</w:t>
      </w:r>
    </w:p>
    <w:p>
      <w:pPr>
        <w:spacing w:after="0" w:line="1" w:lineRule="exact"/>
        <w:rPr>
          <w:rFonts w:ascii="Arial" w:cs="Arial" w:eastAsia="Arial" w:hAnsi="Arial"/>
          <w:sz w:val="18"/>
          <w:szCs w:val="18"/>
          <w:color w:val="auto"/>
        </w:rPr>
      </w:pPr>
    </w:p>
    <w:p>
      <w:pPr>
        <w:ind w:left="5580" w:hanging="121"/>
        <w:spacing w:after="0"/>
        <w:tabs>
          <w:tab w:leader="none" w:pos="5580" w:val="left"/>
        </w:tabs>
        <w:numPr>
          <w:ilvl w:val="1"/>
          <w:numId w:val="241"/>
        </w:numPr>
        <w:rPr>
          <w:rFonts w:ascii="Arial" w:cs="Arial" w:eastAsia="Arial" w:hAnsi="Arial"/>
          <w:sz w:val="20"/>
          <w:szCs w:val="20"/>
          <w:color w:val="auto"/>
        </w:rPr>
      </w:pPr>
      <w:r>
        <w:rPr>
          <w:rFonts w:ascii="Arial" w:cs="Arial" w:eastAsia="Arial" w:hAnsi="Arial"/>
          <w:sz w:val="20"/>
          <w:szCs w:val="20"/>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02" w:name="page303"/>
    <w:bookmarkEnd w:id="302"/>
    <w:p>
      <w:pPr>
        <w:jc w:val="both"/>
        <w:ind w:left="840"/>
        <w:spacing w:after="0" w:line="250" w:lineRule="auto"/>
        <w:rPr>
          <w:sz w:val="20"/>
          <w:szCs w:val="20"/>
          <w:color w:val="auto"/>
        </w:rPr>
      </w:pPr>
      <w:r>
        <w:rPr>
          <w:rFonts w:ascii="Arial" w:cs="Arial" w:eastAsia="Arial" w:hAnsi="Arial"/>
          <w:sz w:val="20"/>
          <w:szCs w:val="20"/>
          <w:color w:val="auto"/>
        </w:rPr>
        <w:t>Rule 506(d)(1)(i) through (viii) under the Securities Act of 1933, as amended (the “</w:t>
      </w:r>
      <w:r>
        <w:rPr>
          <w:rFonts w:ascii="Arial" w:cs="Arial" w:eastAsia="Arial" w:hAnsi="Arial"/>
          <w:sz w:val="20"/>
          <w:szCs w:val="20"/>
          <w:b w:val="1"/>
          <w:bCs w:val="1"/>
          <w:i w:val="1"/>
          <w:iCs w:val="1"/>
          <w:color w:val="auto"/>
        </w:rPr>
        <w:t>Securities Act</w:t>
      </w:r>
      <w:r>
        <w:rPr>
          <w:rFonts w:ascii="Arial" w:cs="Arial" w:eastAsia="Arial" w:hAnsi="Arial"/>
          <w:sz w:val="20"/>
          <w:szCs w:val="20"/>
          <w:color w:val="auto"/>
        </w:rPr>
        <w:t>”), except as set forth in Rule 506(d)(2)(ii) or (iii) or (d)(3) under the Securities Act and disclosed, reasonably in advance of the transfer of the Securities, in writing in reasonable detail to the Company.</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Assignor and Assignee are signing this Assignment Form on the date first set forth above.</w:t>
      </w:r>
    </w:p>
    <w:p>
      <w:pPr>
        <w:sectPr>
          <w:pgSz w:w="11900" w:h="16838" w:orient="portrait"/>
          <w:cols w:equalWidth="0" w:num="1">
            <w:col w:w="11240"/>
          </w:cols>
          <w:pgMar w:left="320" w:top="568" w:right="339" w:bottom="1440" w:gutter="0" w:footer="0" w:header="0"/>
        </w:sect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3497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22"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Print name of Assignor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3497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42"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of Assignor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3497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42" w:lineRule="exact"/>
        <w:rPr>
          <w:sz w:val="20"/>
          <w:szCs w:val="20"/>
          <w:color w:val="auto"/>
        </w:rPr>
      </w:pPr>
    </w:p>
    <w:p>
      <w:pPr>
        <w:jc w:val="right"/>
        <w:ind w:righ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Print name of signatory, if applicable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3497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42"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Print title of signatory, if applicable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34886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22"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Print name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163830</wp:posOffset>
            </wp:positionV>
            <wp:extent cx="34886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42"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of Assignee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163830</wp:posOffset>
            </wp:positionV>
            <wp:extent cx="34886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42" w:lineRule="exact"/>
        <w:rPr>
          <w:sz w:val="20"/>
          <w:szCs w:val="20"/>
          <w:color w:val="auto"/>
        </w:rPr>
      </w:pPr>
    </w:p>
    <w:p>
      <w:pPr>
        <w:jc w:val="right"/>
        <w:ind w:right="1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Print name of signatory, if applicable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163830</wp:posOffset>
            </wp:positionV>
            <wp:extent cx="34886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42" w:lineRule="exact"/>
        <w:rPr>
          <w:sz w:val="20"/>
          <w:szCs w:val="20"/>
          <w:color w:val="auto"/>
        </w:rPr>
      </w:pPr>
    </w:p>
    <w:p>
      <w:pPr>
        <w:ind w:left="1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Print title of signatory, if applicable</w:t>
      </w:r>
      <w:r>
        <w:rPr>
          <w:rFonts w:ascii="Arial" w:cs="Arial" w:eastAsia="Arial" w:hAnsi="Arial"/>
          <w:sz w:val="15"/>
          <w:szCs w:val="15"/>
          <w:color w:val="auto"/>
        </w:rPr>
        <w:t>)</w:t>
      </w:r>
    </w:p>
    <w:p>
      <w:pPr>
        <w:spacing w:after="0" w:line="211" w:lineRule="exact"/>
        <w:rPr>
          <w:sz w:val="20"/>
          <w:szCs w:val="20"/>
          <w:color w:val="auto"/>
        </w:rPr>
      </w:pPr>
    </w:p>
    <w:p>
      <w:pPr>
        <w:sectPr>
          <w:pgSz w:w="11900" w:h="16838" w:orient="portrait"/>
          <w:cols w:equalWidth="0" w:num="2">
            <w:col w:w="5020" w:space="720"/>
            <w:col w:w="5500"/>
          </w:cols>
          <w:pgMar w:left="320" w:top="568" w:right="339" w:bottom="1440" w:gutter="0" w:footer="0" w:header="0"/>
          <w:type w:val="continuous"/>
        </w:sectPr>
      </w:pPr>
    </w:p>
    <w:p>
      <w:pPr>
        <w:spacing w:after="0" w:line="41" w:lineRule="exact"/>
        <w:rPr>
          <w:sz w:val="20"/>
          <w:szCs w:val="20"/>
          <w:color w:val="auto"/>
        </w:rPr>
      </w:pPr>
    </w:p>
    <w:p>
      <w:pPr>
        <w:spacing w:after="0"/>
        <w:tabs>
          <w:tab w:leader="none" w:pos="5720" w:val="left"/>
        </w:tabs>
        <w:rPr>
          <w:sz w:val="20"/>
          <w:szCs w:val="20"/>
          <w:color w:val="auto"/>
        </w:rPr>
      </w:pPr>
      <w:r>
        <w:rPr>
          <w:rFonts w:ascii="Arial" w:cs="Arial" w:eastAsia="Arial" w:hAnsi="Arial"/>
          <w:sz w:val="16"/>
          <w:szCs w:val="16"/>
          <w:color w:val="auto"/>
        </w:rPr>
        <w:t>Address:</w:t>
      </w:r>
      <w:r>
        <w:rPr>
          <w:sz w:val="20"/>
          <w:szCs w:val="20"/>
          <w:color w:val="auto"/>
        </w:rPr>
        <w:tab/>
      </w: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459740</wp:posOffset>
            </wp:positionV>
            <wp:extent cx="713232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- 2 -</w:t>
      </w:r>
    </w:p>
    <w:p>
      <w:pPr>
        <w:sectPr>
          <w:pgSz w:w="11900" w:h="16838" w:orient="portrait"/>
          <w:cols w:equalWidth="0" w:num="1">
            <w:col w:w="11240"/>
          </w:cols>
          <w:pgMar w:left="320" w:top="568" w:right="339" w:bottom="1440" w:gutter="0" w:footer="0" w:header="0"/>
          <w:type w:val="continuous"/>
        </w:sectPr>
      </w:pPr>
    </w:p>
    <w:bookmarkStart w:id="303" w:name="page304"/>
    <w:bookmarkEnd w:id="303"/>
    <w:p>
      <w:pPr>
        <w:jc w:val="right"/>
        <w:spacing w:after="0"/>
        <w:rPr>
          <w:sz w:val="20"/>
          <w:szCs w:val="20"/>
          <w:color w:val="auto"/>
        </w:rPr>
      </w:pPr>
      <w:r>
        <w:rPr>
          <w:rFonts w:ascii="Arial" w:cs="Arial" w:eastAsia="Arial" w:hAnsi="Arial"/>
          <w:sz w:val="20"/>
          <w:szCs w:val="20"/>
          <w:b w:val="1"/>
          <w:bCs w:val="1"/>
          <w:color w:val="auto"/>
        </w:rPr>
        <w:t>Exhibit 10.1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ATHIRA PHARMA,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 AGREEMENT</w:t>
      </w:r>
    </w:p>
    <w:p>
      <w:pPr>
        <w:spacing w:after="0" w:line="222" w:lineRule="exact"/>
        <w:rPr>
          <w:sz w:val="20"/>
          <w:szCs w:val="20"/>
          <w:color w:val="auto"/>
        </w:rPr>
      </w:pPr>
    </w:p>
    <w:p>
      <w:pPr>
        <w:ind w:firstLine="864"/>
        <w:spacing w:after="0" w:line="260" w:lineRule="auto"/>
        <w:rPr>
          <w:sz w:val="20"/>
          <w:szCs w:val="20"/>
          <w:color w:val="auto"/>
        </w:rPr>
      </w:pPr>
      <w:r>
        <w:rPr>
          <w:rFonts w:ascii="Arial" w:cs="Arial" w:eastAsia="Arial" w:hAnsi="Arial"/>
          <w:sz w:val="20"/>
          <w:szCs w:val="20"/>
          <w:color w:val="auto"/>
        </w:rPr>
        <w:t>This Indemnification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dated as of [</w:t>
      </w:r>
      <w:r>
        <w:rPr>
          <w:rFonts w:ascii="Arial" w:cs="Arial" w:eastAsia="Arial" w:hAnsi="Arial"/>
          <w:sz w:val="20"/>
          <w:szCs w:val="20"/>
          <w:i w:val="1"/>
          <w:iCs w:val="1"/>
          <w:color w:val="auto"/>
        </w:rPr>
        <w:t>insert date</w:t>
      </w:r>
      <w:r>
        <w:rPr>
          <w:rFonts w:ascii="Arial" w:cs="Arial" w:eastAsia="Arial" w:hAnsi="Arial"/>
          <w:sz w:val="20"/>
          <w:szCs w:val="20"/>
          <w:color w:val="auto"/>
        </w:rPr>
        <w:t>], and is between Athira Pharma,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w:t>
      </w:r>
      <w:r>
        <w:rPr>
          <w:rFonts w:ascii="Arial" w:cs="Arial" w:eastAsia="Arial" w:hAnsi="Arial"/>
          <w:sz w:val="20"/>
          <w:szCs w:val="20"/>
          <w:i w:val="1"/>
          <w:iCs w:val="1"/>
          <w:color w:val="auto"/>
        </w:rPr>
        <w:t>insert name of indemnitee</w:t>
      </w:r>
      <w:r>
        <w:rPr>
          <w:rFonts w:ascii="Arial" w:cs="Arial" w:eastAsia="Arial" w:hAnsi="Arial"/>
          <w:sz w:val="20"/>
          <w:szCs w:val="20"/>
          <w:color w:val="auto"/>
        </w:rPr>
        <w:t>] (“</w:t>
      </w:r>
      <w:r>
        <w:rPr>
          <w:rFonts w:ascii="Arial" w:cs="Arial" w:eastAsia="Arial" w:hAnsi="Arial"/>
          <w:sz w:val="20"/>
          <w:szCs w:val="20"/>
          <w:b w:val="1"/>
          <w:bCs w:val="1"/>
          <w:i w:val="1"/>
          <w:iCs w:val="1"/>
          <w:color w:val="auto"/>
        </w:rPr>
        <w:t>Indemnitee</w:t>
      </w:r>
      <w:r>
        <w:rPr>
          <w:rFonts w:ascii="Arial" w:cs="Arial" w:eastAsia="Arial" w:hAnsi="Arial"/>
          <w:sz w:val="20"/>
          <w:szCs w:val="20"/>
          <w:color w:val="auto"/>
        </w:rPr>
        <w:t>”).</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ind w:left="1720" w:hanging="848"/>
        <w:spacing w:after="0"/>
        <w:tabs>
          <w:tab w:leader="none" w:pos="1720" w:val="left"/>
        </w:tabs>
        <w:numPr>
          <w:ilvl w:val="0"/>
          <w:numId w:val="242"/>
        </w:numPr>
        <w:rPr>
          <w:rFonts w:ascii="Arial" w:cs="Arial" w:eastAsia="Arial" w:hAnsi="Arial"/>
          <w:sz w:val="20"/>
          <w:szCs w:val="20"/>
          <w:color w:val="auto"/>
        </w:rPr>
      </w:pPr>
      <w:r>
        <w:rPr>
          <w:rFonts w:ascii="Arial" w:cs="Arial" w:eastAsia="Arial" w:hAnsi="Arial"/>
          <w:sz w:val="20"/>
          <w:szCs w:val="20"/>
          <w:color w:val="auto"/>
        </w:rPr>
        <w:t>Indemnitee’s service to the Company substantially benefits the Company.</w:t>
      </w:r>
    </w:p>
    <w:p>
      <w:pPr>
        <w:spacing w:after="0" w:line="215" w:lineRule="exact"/>
        <w:rPr>
          <w:rFonts w:ascii="Arial" w:cs="Arial" w:eastAsia="Arial" w:hAnsi="Arial"/>
          <w:sz w:val="20"/>
          <w:szCs w:val="20"/>
          <w:color w:val="auto"/>
        </w:rPr>
      </w:pPr>
    </w:p>
    <w:p>
      <w:pPr>
        <w:jc w:val="both"/>
        <w:ind w:firstLine="872"/>
        <w:spacing w:after="0" w:line="250" w:lineRule="auto"/>
        <w:tabs>
          <w:tab w:leader="none" w:pos="1693" w:val="left"/>
        </w:tabs>
        <w:numPr>
          <w:ilvl w:val="0"/>
          <w:numId w:val="242"/>
        </w:numPr>
        <w:rPr>
          <w:rFonts w:ascii="Arial" w:cs="Arial" w:eastAsia="Arial" w:hAnsi="Arial"/>
          <w:sz w:val="20"/>
          <w:szCs w:val="20"/>
          <w:color w:val="auto"/>
        </w:rPr>
      </w:pPr>
      <w:r>
        <w:rPr>
          <w:rFonts w:ascii="Arial" w:cs="Arial" w:eastAsia="Arial" w:hAnsi="Arial"/>
          <w:sz w:val="20"/>
          <w:szCs w:val="20"/>
          <w:color w:val="auto"/>
        </w:rPr>
        <w:t>Individuals are reluctant to serve as directors or officers of corporations or in certain other capacities unless they are provided with adequate protection through insurance or indemnification against the risks of claims and actions against them arising out of such service.</w:t>
      </w:r>
    </w:p>
    <w:p>
      <w:pPr>
        <w:spacing w:after="0" w:line="185" w:lineRule="exact"/>
        <w:rPr>
          <w:rFonts w:ascii="Arial" w:cs="Arial" w:eastAsia="Arial" w:hAnsi="Arial"/>
          <w:sz w:val="20"/>
          <w:szCs w:val="20"/>
          <w:color w:val="auto"/>
        </w:rPr>
      </w:pPr>
    </w:p>
    <w:p>
      <w:pPr>
        <w:jc w:val="both"/>
        <w:ind w:firstLine="872"/>
        <w:spacing w:after="0" w:line="250" w:lineRule="auto"/>
        <w:tabs>
          <w:tab w:leader="none" w:pos="1693" w:val="left"/>
        </w:tabs>
        <w:numPr>
          <w:ilvl w:val="0"/>
          <w:numId w:val="242"/>
        </w:numPr>
        <w:rPr>
          <w:rFonts w:ascii="Arial" w:cs="Arial" w:eastAsia="Arial" w:hAnsi="Arial"/>
          <w:sz w:val="20"/>
          <w:szCs w:val="20"/>
          <w:color w:val="auto"/>
        </w:rPr>
      </w:pPr>
      <w:r>
        <w:rPr>
          <w:rFonts w:ascii="Arial" w:cs="Arial" w:eastAsia="Arial" w:hAnsi="Arial"/>
          <w:sz w:val="20"/>
          <w:szCs w:val="20"/>
          <w:color w:val="auto"/>
        </w:rPr>
        <w:t>Indemnitee does not regard the protection currently provided by applicable law, the Company’s governing documents and any insurance as adequate under the present circumstances, and Indemnitee may not be willing to serve as a director or officer without additional protection.</w:t>
      </w:r>
    </w:p>
    <w:p>
      <w:pPr>
        <w:spacing w:after="0" w:line="185" w:lineRule="exact"/>
        <w:rPr>
          <w:rFonts w:ascii="Arial" w:cs="Arial" w:eastAsia="Arial" w:hAnsi="Arial"/>
          <w:sz w:val="20"/>
          <w:szCs w:val="20"/>
          <w:color w:val="auto"/>
        </w:rPr>
      </w:pPr>
    </w:p>
    <w:p>
      <w:pPr>
        <w:jc w:val="both"/>
        <w:ind w:firstLine="872"/>
        <w:spacing w:after="0" w:line="250" w:lineRule="auto"/>
        <w:tabs>
          <w:tab w:leader="none" w:pos="1704" w:val="left"/>
        </w:tabs>
        <w:numPr>
          <w:ilvl w:val="0"/>
          <w:numId w:val="242"/>
        </w:numPr>
        <w:rPr>
          <w:rFonts w:ascii="Arial" w:cs="Arial" w:eastAsia="Arial" w:hAnsi="Arial"/>
          <w:sz w:val="20"/>
          <w:szCs w:val="20"/>
          <w:color w:val="auto"/>
        </w:rPr>
      </w:pPr>
      <w:r>
        <w:rPr>
          <w:rFonts w:ascii="Arial" w:cs="Arial" w:eastAsia="Arial" w:hAnsi="Arial"/>
          <w:sz w:val="20"/>
          <w:szCs w:val="20"/>
          <w:color w:val="auto"/>
        </w:rPr>
        <w:t>In order to induce Indemnitee to continue to provide services to the Company, it is reasonable, prudent and necessary for the Company to contractually obligate itself to indemnify, and to advance expenses on behalf of, Indemnitee as permitted by applicable law.</w:t>
      </w:r>
    </w:p>
    <w:p>
      <w:pPr>
        <w:spacing w:after="0" w:line="185" w:lineRule="exact"/>
        <w:rPr>
          <w:rFonts w:ascii="Arial" w:cs="Arial" w:eastAsia="Arial" w:hAnsi="Arial"/>
          <w:sz w:val="20"/>
          <w:szCs w:val="20"/>
          <w:color w:val="auto"/>
        </w:rPr>
      </w:pPr>
    </w:p>
    <w:p>
      <w:pPr>
        <w:jc w:val="both"/>
        <w:ind w:firstLine="872"/>
        <w:spacing w:after="0" w:line="250" w:lineRule="auto"/>
        <w:tabs>
          <w:tab w:leader="none" w:pos="1682" w:val="left"/>
        </w:tabs>
        <w:numPr>
          <w:ilvl w:val="0"/>
          <w:numId w:val="242"/>
        </w:numPr>
        <w:rPr>
          <w:rFonts w:ascii="Arial" w:cs="Arial" w:eastAsia="Arial" w:hAnsi="Arial"/>
          <w:sz w:val="20"/>
          <w:szCs w:val="20"/>
          <w:color w:val="auto"/>
        </w:rPr>
      </w:pPr>
      <w:r>
        <w:rPr>
          <w:rFonts w:ascii="Arial" w:cs="Arial" w:eastAsia="Arial" w:hAnsi="Arial"/>
          <w:sz w:val="20"/>
          <w:szCs w:val="20"/>
          <w:color w:val="auto"/>
        </w:rPr>
        <w:t>This Agreement is a supplement to and in furtherance of the indemnification provided in the Company’s certificate of incorporation and bylaws, and any resolutions adopted pursuant thereto, and this Agreement shall not be deemed a substitute therefor, nor shall this Agreement be deemed to limit, diminish or abrogate any rights of Indemnitee thereunder.</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The parties therefore agree as follows:</w:t>
      </w:r>
    </w:p>
    <w:p>
      <w:pPr>
        <w:spacing w:after="0" w:line="210" w:lineRule="exact"/>
        <w:rPr>
          <w:sz w:val="20"/>
          <w:szCs w:val="20"/>
          <w:color w:val="auto"/>
        </w:rPr>
      </w:pPr>
    </w:p>
    <w:p>
      <w:pPr>
        <w:ind w:left="1660" w:hanging="788"/>
        <w:spacing w:after="0"/>
        <w:tabs>
          <w:tab w:leader="none" w:pos="1660" w:val="left"/>
        </w:tabs>
        <w:numPr>
          <w:ilvl w:val="0"/>
          <w:numId w:val="243"/>
        </w:numPr>
        <w:rPr>
          <w:rFonts w:ascii="Arial" w:cs="Arial" w:eastAsia="Arial" w:hAnsi="Arial"/>
          <w:sz w:val="20"/>
          <w:szCs w:val="20"/>
          <w:color w:val="auto"/>
        </w:rPr>
      </w:pPr>
      <w:r>
        <w:rPr>
          <w:rFonts w:ascii="Arial" w:cs="Arial" w:eastAsia="Arial" w:hAnsi="Arial"/>
          <w:sz w:val="20"/>
          <w:szCs w:val="20"/>
          <w:b w:val="1"/>
          <w:bCs w:val="1"/>
          <w:color w:val="auto"/>
        </w:rPr>
        <w:t>Definitions.</w:t>
      </w:r>
    </w:p>
    <w:p>
      <w:pPr>
        <w:spacing w:after="0" w:line="221" w:lineRule="exact"/>
        <w:rPr>
          <w:rFonts w:ascii="Arial" w:cs="Arial" w:eastAsia="Arial" w:hAnsi="Arial"/>
          <w:sz w:val="20"/>
          <w:szCs w:val="20"/>
          <w:color w:val="auto"/>
        </w:rPr>
      </w:pPr>
    </w:p>
    <w:p>
      <w:pPr>
        <w:ind w:left="2600" w:hanging="865"/>
        <w:spacing w:after="0"/>
        <w:tabs>
          <w:tab w:leader="none" w:pos="260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be deemed to occur upon the earliest to occur after the date of this Agreement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of any of the following events:</w:t>
      </w:r>
    </w:p>
    <w:p>
      <w:pPr>
        <w:spacing w:after="0" w:line="199" w:lineRule="exact"/>
        <w:rPr>
          <w:rFonts w:ascii="Arial" w:cs="Arial" w:eastAsia="Arial" w:hAnsi="Arial"/>
          <w:sz w:val="18"/>
          <w:szCs w:val="18"/>
          <w:color w:val="auto"/>
        </w:rPr>
      </w:pPr>
    </w:p>
    <w:p>
      <w:pPr>
        <w:jc w:val="both"/>
        <w:ind w:firstLine="3032"/>
        <w:spacing w:after="0" w:line="250" w:lineRule="auto"/>
        <w:tabs>
          <w:tab w:leader="none" w:pos="3858" w:val="left"/>
        </w:tabs>
        <w:numPr>
          <w:ilvl w:val="2"/>
          <w:numId w:val="243"/>
        </w:numPr>
        <w:rPr>
          <w:rFonts w:ascii="Arial" w:cs="Arial" w:eastAsia="Arial" w:hAnsi="Arial"/>
          <w:sz w:val="20"/>
          <w:szCs w:val="20"/>
          <w:color w:val="auto"/>
        </w:rPr>
      </w:pPr>
      <w:r>
        <w:rPr>
          <w:rFonts w:ascii="Arial" w:cs="Arial" w:eastAsia="Arial" w:hAnsi="Arial"/>
          <w:sz w:val="20"/>
          <w:szCs w:val="20"/>
          <w:i w:val="1"/>
          <w:iCs w:val="1"/>
          <w:color w:val="auto"/>
        </w:rPr>
        <w:t xml:space="preserve">Acquisition of Stock by Third Party. </w:t>
      </w:r>
      <w:r>
        <w:rPr>
          <w:rFonts w:ascii="Arial" w:cs="Arial" w:eastAsia="Arial" w:hAnsi="Arial"/>
          <w:sz w:val="20"/>
          <w:szCs w:val="20"/>
          <w:color w:val="auto"/>
        </w:rPr>
        <w:t>Any Person (as defined below) becomes the Beneficial</w:t>
      </w:r>
      <w:r>
        <w:rPr>
          <w:rFonts w:ascii="Arial" w:cs="Arial" w:eastAsia="Arial" w:hAnsi="Arial"/>
          <w:sz w:val="20"/>
          <w:szCs w:val="20"/>
          <w:i w:val="1"/>
          <w:iCs w:val="1"/>
          <w:color w:val="auto"/>
        </w:rPr>
        <w:t xml:space="preserve"> </w:t>
      </w:r>
      <w:r>
        <w:rPr>
          <w:rFonts w:ascii="Arial" w:cs="Arial" w:eastAsia="Arial" w:hAnsi="Arial"/>
          <w:sz w:val="20"/>
          <w:szCs w:val="20"/>
          <w:color w:val="auto"/>
        </w:rPr>
        <w:t>Owner (as defined below), directly or indirectly, of securities of the Company representing fifteen percent (15%) or more of the combined voting power of the Company’s then outstanding securities;</w:t>
      </w:r>
    </w:p>
    <w:p>
      <w:pPr>
        <w:spacing w:after="0" w:line="185" w:lineRule="exact"/>
        <w:rPr>
          <w:rFonts w:ascii="Arial" w:cs="Arial" w:eastAsia="Arial" w:hAnsi="Arial"/>
          <w:sz w:val="20"/>
          <w:szCs w:val="20"/>
          <w:color w:val="auto"/>
        </w:rPr>
      </w:pPr>
    </w:p>
    <w:p>
      <w:pPr>
        <w:jc w:val="both"/>
        <w:ind w:firstLine="3032"/>
        <w:spacing w:after="0" w:line="257" w:lineRule="auto"/>
        <w:tabs>
          <w:tab w:leader="none" w:pos="3913" w:val="left"/>
        </w:tabs>
        <w:numPr>
          <w:ilvl w:val="2"/>
          <w:numId w:val="243"/>
        </w:numPr>
        <w:rPr>
          <w:rFonts w:ascii="Arial" w:cs="Arial" w:eastAsia="Arial" w:hAnsi="Arial"/>
          <w:sz w:val="19"/>
          <w:szCs w:val="19"/>
          <w:color w:val="auto"/>
        </w:rPr>
      </w:pPr>
      <w:r>
        <w:rPr>
          <w:rFonts w:ascii="Arial" w:cs="Arial" w:eastAsia="Arial" w:hAnsi="Arial"/>
          <w:sz w:val="19"/>
          <w:szCs w:val="19"/>
          <w:i w:val="1"/>
          <w:iCs w:val="1"/>
          <w:color w:val="auto"/>
        </w:rPr>
        <w:t xml:space="preserve">Change in Board Composition. </w:t>
      </w:r>
      <w:r>
        <w:rPr>
          <w:rFonts w:ascii="Arial" w:cs="Arial" w:eastAsia="Arial" w:hAnsi="Arial"/>
          <w:sz w:val="19"/>
          <w:szCs w:val="19"/>
          <w:color w:val="auto"/>
        </w:rPr>
        <w:t>During any period of two consecutive years (not including</w:t>
      </w:r>
      <w:r>
        <w:rPr>
          <w:rFonts w:ascii="Arial" w:cs="Arial" w:eastAsia="Arial" w:hAnsi="Arial"/>
          <w:sz w:val="19"/>
          <w:szCs w:val="19"/>
          <w:i w:val="1"/>
          <w:iCs w:val="1"/>
          <w:color w:val="auto"/>
        </w:rPr>
        <w:t xml:space="preserve"> </w:t>
      </w:r>
      <w:r>
        <w:rPr>
          <w:rFonts w:ascii="Arial" w:cs="Arial" w:eastAsia="Arial" w:hAnsi="Arial"/>
          <w:sz w:val="19"/>
          <w:szCs w:val="19"/>
          <w:color w:val="auto"/>
        </w:rPr>
        <w:t>any period prior to the execution of this Agreement), individuals who at the beginning of such period constitute the Company’s board of directors, and any new directors (other than a director designated by a person who has entered into an agreement with the Company to effect a transaction described in Sections 1(a)(i), 1(a)(iii) or 1(a)(iv)) whose election by the board of directors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Company’s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49465"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04" w:name="page305"/>
    <w:bookmarkEnd w:id="304"/>
    <w:p>
      <w:pPr>
        <w:jc w:val="both"/>
        <w:ind w:firstLine="3032"/>
        <w:spacing w:after="0" w:line="243" w:lineRule="auto"/>
        <w:tabs>
          <w:tab w:leader="none" w:pos="3968" w:val="left"/>
        </w:tabs>
        <w:numPr>
          <w:ilvl w:val="0"/>
          <w:numId w:val="244"/>
        </w:numPr>
        <w:rPr>
          <w:rFonts w:ascii="Arial" w:cs="Arial" w:eastAsia="Arial" w:hAnsi="Arial"/>
          <w:sz w:val="20"/>
          <w:szCs w:val="20"/>
          <w:color w:val="auto"/>
        </w:rPr>
      </w:pPr>
      <w:r>
        <w:rPr>
          <w:rFonts w:ascii="Arial" w:cs="Arial" w:eastAsia="Arial" w:hAnsi="Arial"/>
          <w:sz w:val="20"/>
          <w:szCs w:val="20"/>
          <w:i w:val="1"/>
          <w:iCs w:val="1"/>
          <w:color w:val="auto"/>
        </w:rPr>
        <w:t xml:space="preserve">Corporate Transactions. </w:t>
      </w:r>
      <w:r>
        <w:rPr>
          <w:rFonts w:ascii="Arial" w:cs="Arial" w:eastAsia="Arial" w:hAnsi="Arial"/>
          <w:sz w:val="20"/>
          <w:szCs w:val="20"/>
          <w:color w:val="auto"/>
        </w:rPr>
        <w:t>The effective date of a merger or consolidation of the Company</w:t>
      </w:r>
      <w:r>
        <w:rPr>
          <w:rFonts w:ascii="Arial" w:cs="Arial" w:eastAsia="Arial" w:hAnsi="Arial"/>
          <w:sz w:val="20"/>
          <w:szCs w:val="20"/>
          <w:i w:val="1"/>
          <w:iCs w:val="1"/>
          <w:color w:val="auto"/>
        </w:rPr>
        <w:t xml:space="preserve"> </w:t>
      </w:r>
      <w:r>
        <w:rPr>
          <w:rFonts w:ascii="Arial" w:cs="Arial" w:eastAsia="Arial" w:hAnsi="Arial"/>
          <w:sz w:val="20"/>
          <w:szCs w:val="20"/>
          <w:color w:val="auto"/>
        </w:rPr>
        <w:t>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95" w:lineRule="exact"/>
        <w:rPr>
          <w:rFonts w:ascii="Arial" w:cs="Arial" w:eastAsia="Arial" w:hAnsi="Arial"/>
          <w:sz w:val="20"/>
          <w:szCs w:val="20"/>
          <w:color w:val="auto"/>
        </w:rPr>
      </w:pPr>
    </w:p>
    <w:p>
      <w:pPr>
        <w:ind w:left="3960" w:hanging="928"/>
        <w:spacing w:after="0"/>
        <w:tabs>
          <w:tab w:leader="none" w:pos="3960" w:val="left"/>
        </w:tabs>
        <w:numPr>
          <w:ilvl w:val="0"/>
          <w:numId w:val="244"/>
        </w:numPr>
        <w:rPr>
          <w:rFonts w:ascii="Arial" w:cs="Arial" w:eastAsia="Arial" w:hAnsi="Arial"/>
          <w:sz w:val="18"/>
          <w:szCs w:val="18"/>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The approval by the stockholders of the Company of a complete liquidation of</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the Company or an agreement for the sale or disposition by the Company of all or substantially all of the Company’s assets; and</w:t>
      </w:r>
    </w:p>
    <w:p>
      <w:pPr>
        <w:spacing w:after="0" w:line="211" w:lineRule="exact"/>
        <w:rPr>
          <w:rFonts w:ascii="Arial" w:cs="Arial" w:eastAsia="Arial" w:hAnsi="Arial"/>
          <w:sz w:val="18"/>
          <w:szCs w:val="18"/>
          <w:color w:val="auto"/>
        </w:rPr>
      </w:pPr>
    </w:p>
    <w:p>
      <w:pPr>
        <w:jc w:val="both"/>
        <w:ind w:firstLine="3032"/>
        <w:spacing w:after="0" w:line="263" w:lineRule="auto"/>
        <w:tabs>
          <w:tab w:leader="none" w:pos="3902" w:val="left"/>
        </w:tabs>
        <w:numPr>
          <w:ilvl w:val="0"/>
          <w:numId w:val="244"/>
        </w:numPr>
        <w:rPr>
          <w:rFonts w:ascii="Arial" w:cs="Arial" w:eastAsia="Arial" w:hAnsi="Arial"/>
          <w:sz w:val="19"/>
          <w:szCs w:val="19"/>
          <w:color w:val="auto"/>
        </w:rPr>
      </w:pPr>
      <w:r>
        <w:rPr>
          <w:rFonts w:ascii="Arial" w:cs="Arial" w:eastAsia="Arial" w:hAnsi="Arial"/>
          <w:sz w:val="19"/>
          <w:szCs w:val="19"/>
          <w:i w:val="1"/>
          <w:iCs w:val="1"/>
          <w:color w:val="auto"/>
        </w:rPr>
        <w:t xml:space="preserve">Other Events. </w:t>
      </w:r>
      <w:r>
        <w:rPr>
          <w:rFonts w:ascii="Arial" w:cs="Arial" w:eastAsia="Arial" w:hAnsi="Arial"/>
          <w:sz w:val="19"/>
          <w:szCs w:val="19"/>
          <w:color w:val="auto"/>
        </w:rPr>
        <w:t>Any other event of a nature that would be required to be reported in response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to Item 6(e) of Schedule 14A of Regulation 14A (or in response to any similar item on any similar schedule or form) promulgated under the Securities Exchange Act of 1934, as amended, whether or not the Company is then subject to such reporting requirement, </w:t>
      </w:r>
      <w:r>
        <w:rPr>
          <w:rFonts w:ascii="Arial" w:cs="Arial" w:eastAsia="Arial" w:hAnsi="Arial"/>
          <w:sz w:val="19"/>
          <w:szCs w:val="19"/>
          <w:i w:val="1"/>
          <w:iCs w:val="1"/>
          <w:color w:val="auto"/>
        </w:rPr>
        <w:t>except</w:t>
      </w:r>
      <w:r>
        <w:rPr>
          <w:rFonts w:ascii="Arial" w:cs="Arial" w:eastAsia="Arial" w:hAnsi="Arial"/>
          <w:sz w:val="19"/>
          <w:szCs w:val="19"/>
          <w:color w:val="auto"/>
        </w:rPr>
        <w:t xml:space="preserve"> the completion of the Company’s initial public offering shall not be considered a Change in Control.</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For purposes of this Section 1(a), the following terms shall have the following meanings:</w:t>
      </w:r>
    </w:p>
    <w:p>
      <w:pPr>
        <w:spacing w:after="0" w:line="216" w:lineRule="exact"/>
        <w:rPr>
          <w:sz w:val="20"/>
          <w:szCs w:val="20"/>
          <w:color w:val="auto"/>
        </w:rPr>
      </w:pPr>
    </w:p>
    <w:p>
      <w:pPr>
        <w:jc w:val="both"/>
        <w:ind w:firstLine="3464"/>
        <w:spacing w:after="0" w:line="263" w:lineRule="auto"/>
        <w:tabs>
          <w:tab w:leader="none" w:pos="4335" w:val="left"/>
        </w:tabs>
        <w:numPr>
          <w:ilvl w:val="1"/>
          <w:numId w:val="24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Beneficial Owner</w:t>
      </w:r>
      <w:r>
        <w:rPr>
          <w:rFonts w:ascii="Arial" w:cs="Arial" w:eastAsia="Arial" w:hAnsi="Arial"/>
          <w:sz w:val="19"/>
          <w:szCs w:val="19"/>
          <w:color w:val="auto"/>
        </w:rPr>
        <w:t xml:space="preserve">” shall have the meaning given to such term in Rule 13d-3 under the Securities Exchange Act of 1934, as amended;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w:t>
      </w:r>
      <w:r>
        <w:rPr>
          <w:rFonts w:ascii="Arial" w:cs="Arial" w:eastAsia="Arial" w:hAnsi="Arial"/>
          <w:sz w:val="19"/>
          <w:szCs w:val="19"/>
          <w:b w:val="1"/>
          <w:bCs w:val="1"/>
          <w:i w:val="1"/>
          <w:iCs w:val="1"/>
          <w:color w:val="auto"/>
        </w:rPr>
        <w:t>Beneficial Owner</w:t>
      </w:r>
      <w:r>
        <w:rPr>
          <w:rFonts w:ascii="Arial" w:cs="Arial" w:eastAsia="Arial" w:hAnsi="Arial"/>
          <w:sz w:val="19"/>
          <w:szCs w:val="19"/>
          <w:color w:val="auto"/>
        </w:rPr>
        <w:t>” shall exclude any Person otherwise becoming a Beneficial Owner by reason of (i) the stockholders of the Company approving a merger of the Company with another entity or (ii) the Company’s board of directors approving a sale of securities by the Company to such Person.</w:t>
      </w:r>
    </w:p>
    <w:p>
      <w:pPr>
        <w:spacing w:after="0" w:line="176" w:lineRule="exact"/>
        <w:rPr>
          <w:rFonts w:ascii="Arial" w:cs="Arial" w:eastAsia="Arial" w:hAnsi="Arial"/>
          <w:sz w:val="19"/>
          <w:szCs w:val="19"/>
          <w:color w:val="auto"/>
        </w:rPr>
      </w:pPr>
    </w:p>
    <w:p>
      <w:pPr>
        <w:jc w:val="both"/>
        <w:ind w:firstLine="3464"/>
        <w:spacing w:after="0" w:line="263" w:lineRule="auto"/>
        <w:tabs>
          <w:tab w:leader="none" w:pos="4335" w:val="left"/>
        </w:tabs>
        <w:numPr>
          <w:ilvl w:val="1"/>
          <w:numId w:val="24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xml:space="preserve">” shall have the meaning as set forth in Sections 13(d) and 14(d) of the Securities Exchange Act of 1934, as amended;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176" w:lineRule="exact"/>
        <w:rPr>
          <w:rFonts w:ascii="Arial" w:cs="Arial" w:eastAsia="Arial" w:hAnsi="Arial"/>
          <w:sz w:val="19"/>
          <w:szCs w:val="19"/>
          <w:color w:val="auto"/>
        </w:rPr>
      </w:pPr>
    </w:p>
    <w:p>
      <w:pPr>
        <w:ind w:right="20" w:firstLine="1735"/>
        <w:spacing w:after="0" w:line="260" w:lineRule="auto"/>
        <w:tabs>
          <w:tab w:leader="none" w:pos="2682" w:val="left"/>
        </w:tabs>
        <w:numPr>
          <w:ilvl w:val="0"/>
          <w:numId w:val="24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Corporate Status</w:t>
      </w:r>
      <w:r>
        <w:rPr>
          <w:rFonts w:ascii="Arial" w:cs="Arial" w:eastAsia="Arial" w:hAnsi="Arial"/>
          <w:sz w:val="20"/>
          <w:szCs w:val="20"/>
          <w:color w:val="auto"/>
        </w:rPr>
        <w:t>” describes the status of a person who is or was a director, trustee, general partner, managing member, officer, employee, agent or fiduciary of the Company or any other Enterprise.</w:t>
      </w:r>
    </w:p>
    <w:p>
      <w:pPr>
        <w:spacing w:after="0" w:line="176" w:lineRule="exact"/>
        <w:rPr>
          <w:rFonts w:ascii="Arial" w:cs="Arial" w:eastAsia="Arial" w:hAnsi="Arial"/>
          <w:sz w:val="20"/>
          <w:szCs w:val="20"/>
          <w:color w:val="auto"/>
        </w:rPr>
      </w:pPr>
    </w:p>
    <w:p>
      <w:pPr>
        <w:ind w:left="2600" w:hanging="865"/>
        <w:spacing w:after="0"/>
        <w:tabs>
          <w:tab w:leader="none" w:pos="2600" w:val="left"/>
        </w:tabs>
        <w:numPr>
          <w:ilvl w:val="0"/>
          <w:numId w:val="24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DGCL</w:t>
      </w:r>
      <w:r>
        <w:rPr>
          <w:rFonts w:ascii="Arial" w:cs="Arial" w:eastAsia="Arial" w:hAnsi="Arial"/>
          <w:sz w:val="20"/>
          <w:szCs w:val="20"/>
          <w:color w:val="auto"/>
        </w:rPr>
        <w:t>” means the General Corporation Law of the State of Delaware.</w:t>
      </w:r>
    </w:p>
    <w:p>
      <w:pPr>
        <w:spacing w:after="0" w:line="215" w:lineRule="exact"/>
        <w:rPr>
          <w:rFonts w:ascii="Arial" w:cs="Arial" w:eastAsia="Arial" w:hAnsi="Arial"/>
          <w:sz w:val="20"/>
          <w:szCs w:val="20"/>
          <w:color w:val="auto"/>
        </w:rPr>
      </w:pPr>
    </w:p>
    <w:p>
      <w:pPr>
        <w:ind w:firstLine="1735"/>
        <w:spacing w:after="0" w:line="260" w:lineRule="auto"/>
        <w:tabs>
          <w:tab w:leader="none" w:pos="2606" w:val="left"/>
        </w:tabs>
        <w:numPr>
          <w:ilvl w:val="0"/>
          <w:numId w:val="24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Disinterested Director</w:t>
      </w:r>
      <w:r>
        <w:rPr>
          <w:rFonts w:ascii="Arial" w:cs="Arial" w:eastAsia="Arial" w:hAnsi="Arial"/>
          <w:sz w:val="20"/>
          <w:szCs w:val="20"/>
          <w:color w:val="auto"/>
        </w:rPr>
        <w:t>” means a director of the Company who is not and was not a party to the Proceeding in respect of which indemnification is sought by Indemnitee.</w:t>
      </w:r>
    </w:p>
    <w:p>
      <w:pPr>
        <w:spacing w:after="0" w:line="176" w:lineRule="exact"/>
        <w:rPr>
          <w:rFonts w:ascii="Arial" w:cs="Arial" w:eastAsia="Arial" w:hAnsi="Arial"/>
          <w:sz w:val="20"/>
          <w:szCs w:val="20"/>
          <w:color w:val="auto"/>
        </w:rPr>
      </w:pPr>
    </w:p>
    <w:p>
      <w:pPr>
        <w:jc w:val="both"/>
        <w:ind w:firstLine="1735"/>
        <w:spacing w:after="0" w:line="250" w:lineRule="auto"/>
        <w:tabs>
          <w:tab w:leader="none" w:pos="2595" w:val="left"/>
        </w:tabs>
        <w:numPr>
          <w:ilvl w:val="0"/>
          <w:numId w:val="24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Enterprise</w:t>
      </w:r>
      <w:r>
        <w:rPr>
          <w:rFonts w:ascii="Arial" w:cs="Arial" w:eastAsia="Arial" w:hAnsi="Arial"/>
          <w:sz w:val="20"/>
          <w:szCs w:val="20"/>
          <w:color w:val="auto"/>
        </w:rPr>
        <w:t>” means the Company and any other corporation, partnership, limited liability company, joint venture, trust, employee benefit plan or other enterprise of which Indemnitee is or was serving at the request of the Company as a director, trustee, general partner, managing member, officer, employee, agent or fiduciary.</w:t>
      </w:r>
    </w:p>
    <w:p>
      <w:pPr>
        <w:spacing w:after="0" w:line="185" w:lineRule="exact"/>
        <w:rPr>
          <w:rFonts w:ascii="Arial" w:cs="Arial" w:eastAsia="Arial" w:hAnsi="Arial"/>
          <w:sz w:val="20"/>
          <w:szCs w:val="20"/>
          <w:color w:val="auto"/>
        </w:rPr>
      </w:pPr>
    </w:p>
    <w:p>
      <w:pPr>
        <w:jc w:val="both"/>
        <w:ind w:firstLine="1735"/>
        <w:spacing w:after="0" w:line="270" w:lineRule="auto"/>
        <w:tabs>
          <w:tab w:leader="none" w:pos="257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Expenses</w:t>
      </w:r>
      <w:r>
        <w:rPr>
          <w:rFonts w:ascii="Arial" w:cs="Arial" w:eastAsia="Arial" w:hAnsi="Arial"/>
          <w:sz w:val="18"/>
          <w:szCs w:val="18"/>
          <w:color w:val="auto"/>
        </w:rPr>
        <w:t>” include all reasonable and actually incurred attorneys’ fees, retainers, court costs, transcript costs, fees and costs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05" w:name="page306"/>
    <w:bookmarkEnd w:id="305"/>
    <w:p>
      <w:pPr>
        <w:spacing w:after="0" w:line="309" w:lineRule="auto"/>
        <w:rPr>
          <w:sz w:val="20"/>
          <w:szCs w:val="20"/>
          <w:color w:val="auto"/>
        </w:rPr>
      </w:pPr>
      <w:r>
        <w:rPr>
          <w:rFonts w:ascii="Arial" w:cs="Arial" w:eastAsia="Arial" w:hAnsi="Arial"/>
          <w:sz w:val="16"/>
          <w:szCs w:val="16"/>
          <w:color w:val="auto"/>
        </w:rPr>
        <w:t>Proceeding. Expenses also include (i) Expenses incurred in connection with any appeal resulting from any Proceeding, including without limitation the premium, security for, and other costs relating to any cost bond, supersedeas bond or other appeal bond or their equivalent, and</w:t>
      </w:r>
    </w:p>
    <w:p>
      <w:pPr>
        <w:spacing w:after="0" w:line="1" w:lineRule="exact"/>
        <w:rPr>
          <w:sz w:val="20"/>
          <w:szCs w:val="20"/>
          <w:color w:val="auto"/>
        </w:rPr>
      </w:pPr>
    </w:p>
    <w:p>
      <w:pPr>
        <w:jc w:val="both"/>
        <w:ind w:right="20" w:firstLine="8"/>
        <w:spacing w:after="0" w:line="281" w:lineRule="auto"/>
        <w:tabs>
          <w:tab w:leader="none" w:pos="33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for purposes of Section 12(d), Expenses incurred by Indemnitee in connection with the interpretation, enforcement or defense of Indemnitee’s rights under this Agreement or under any directors’ and officers’ liability insurance policies maintained by the Company. Expenses, however, shall not include amounts paid in settlement by Indemnitee or the amount of judgments or fines against Indemnitee.</w:t>
      </w:r>
    </w:p>
    <w:p>
      <w:pPr>
        <w:spacing w:after="0" w:line="161" w:lineRule="exact"/>
        <w:rPr>
          <w:rFonts w:ascii="Arial" w:cs="Arial" w:eastAsia="Arial" w:hAnsi="Arial"/>
          <w:sz w:val="18"/>
          <w:szCs w:val="18"/>
          <w:color w:val="auto"/>
        </w:rPr>
      </w:pPr>
    </w:p>
    <w:p>
      <w:pPr>
        <w:jc w:val="both"/>
        <w:ind w:firstLine="1735"/>
        <w:spacing w:after="0" w:line="257" w:lineRule="auto"/>
        <w:tabs>
          <w:tab w:leader="none" w:pos="2606" w:val="left"/>
        </w:tabs>
        <w:numPr>
          <w:ilvl w:val="2"/>
          <w:numId w:val="24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Independent Counsel</w:t>
      </w:r>
      <w:r>
        <w:rPr>
          <w:rFonts w:ascii="Arial" w:cs="Arial" w:eastAsia="Arial" w:hAnsi="Arial"/>
          <w:sz w:val="19"/>
          <w:szCs w:val="19"/>
          <w:color w:val="auto"/>
        </w:rPr>
        <w:t>” means a law firm, or a partner or member of a law firm, that is experienced in matters of corporation law and neither presently is, nor in the past five years has been, retained to represent (i) the Company or Indemnitee in any matter material to either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w:t>
      </w:r>
      <w:r>
        <w:rPr>
          <w:rFonts w:ascii="Arial" w:cs="Arial" w:eastAsia="Arial" w:hAnsi="Arial"/>
          <w:sz w:val="19"/>
          <w:szCs w:val="19"/>
          <w:b w:val="1"/>
          <w:bCs w:val="1"/>
          <w:i w:val="1"/>
          <w:iCs w:val="1"/>
          <w:color w:val="auto"/>
        </w:rPr>
        <w:t>Independent Counsel</w:t>
      </w:r>
      <w:r>
        <w:rPr>
          <w:rFonts w:ascii="Arial" w:cs="Arial" w:eastAsia="Arial" w:hAnsi="Arial"/>
          <w:sz w:val="19"/>
          <w:szCs w:val="19"/>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4" w:lineRule="exact"/>
        <w:rPr>
          <w:rFonts w:ascii="Arial" w:cs="Arial" w:eastAsia="Arial" w:hAnsi="Arial"/>
          <w:sz w:val="19"/>
          <w:szCs w:val="19"/>
          <w:color w:val="auto"/>
        </w:rPr>
      </w:pPr>
    </w:p>
    <w:p>
      <w:pPr>
        <w:jc w:val="both"/>
        <w:ind w:firstLine="1735"/>
        <w:spacing w:after="0" w:line="269" w:lineRule="auto"/>
        <w:tabs>
          <w:tab w:leader="none" w:pos="2606" w:val="left"/>
        </w:tabs>
        <w:numPr>
          <w:ilvl w:val="2"/>
          <w:numId w:val="2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means any threatened, pending or completed action, suit, arbitration, mediation, alternate dispute resolution mechanism, investigation, inquiry, administrative hearing or proceeding, whether brought in the right of the Company or otherwise and whether of a civil, criminal, administrative or investigative nature, including any appeal therefrom and including without limitation any such Proceeding pending as of the date of this Agreement, in which Indemnitee was, is or will be involved as a party, a potential party, a non-party witness or otherwise by reason of (i) the fact that Indemnitee is or was a director or officer of the Company,</w:t>
      </w:r>
    </w:p>
    <w:p>
      <w:pPr>
        <w:spacing w:after="0" w:line="3" w:lineRule="exact"/>
        <w:rPr>
          <w:rFonts w:ascii="Arial" w:cs="Arial" w:eastAsia="Arial" w:hAnsi="Arial"/>
          <w:sz w:val="18"/>
          <w:szCs w:val="18"/>
          <w:color w:val="auto"/>
        </w:rPr>
      </w:pPr>
    </w:p>
    <w:p>
      <w:pPr>
        <w:ind w:left="320" w:hanging="312"/>
        <w:spacing w:after="0"/>
        <w:tabs>
          <w:tab w:leader="none" w:pos="3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action taken by Indemnitee or any action or inaction on Indemnitee’s part while acting as a director or officer of the Company, or</w:t>
      </w:r>
    </w:p>
    <w:p>
      <w:pPr>
        <w:spacing w:after="0" w:line="22" w:lineRule="exact"/>
        <w:rPr>
          <w:rFonts w:ascii="Arial" w:cs="Arial" w:eastAsia="Arial" w:hAnsi="Arial"/>
          <w:sz w:val="18"/>
          <w:szCs w:val="18"/>
          <w:color w:val="auto"/>
        </w:rPr>
      </w:pPr>
    </w:p>
    <w:p>
      <w:pPr>
        <w:jc w:val="both"/>
        <w:ind w:firstLine="8"/>
        <w:spacing w:after="0" w:line="281" w:lineRule="auto"/>
        <w:tabs>
          <w:tab w:leader="none" w:pos="35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fact that he or she is or was serving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spacing w:after="0" w:line="161" w:lineRule="exact"/>
        <w:rPr>
          <w:rFonts w:ascii="Arial" w:cs="Arial" w:eastAsia="Arial" w:hAnsi="Arial"/>
          <w:sz w:val="18"/>
          <w:szCs w:val="18"/>
          <w:color w:val="auto"/>
        </w:rPr>
      </w:pPr>
    </w:p>
    <w:p>
      <w:pPr>
        <w:jc w:val="both"/>
        <w:ind w:firstLine="1735"/>
        <w:spacing w:after="0" w:line="276" w:lineRule="auto"/>
        <w:tabs>
          <w:tab w:leader="none" w:pos="2562" w:val="left"/>
        </w:tabs>
        <w:numPr>
          <w:ilvl w:val="2"/>
          <w:numId w:val="249"/>
        </w:numPr>
        <w:rPr>
          <w:rFonts w:ascii="Arial" w:cs="Arial" w:eastAsia="Arial" w:hAnsi="Arial"/>
          <w:sz w:val="18"/>
          <w:szCs w:val="18"/>
          <w:color w:val="auto"/>
        </w:rPr>
      </w:pPr>
      <w:r>
        <w:rPr>
          <w:rFonts w:ascii="Arial" w:cs="Arial" w:eastAsia="Arial" w:hAnsi="Arial"/>
          <w:sz w:val="18"/>
          <w:szCs w:val="18"/>
          <w:color w:val="auto"/>
        </w:rPr>
        <w:t>Reference to “</w:t>
      </w:r>
      <w:r>
        <w:rPr>
          <w:rFonts w:ascii="Arial" w:cs="Arial" w:eastAsia="Arial" w:hAnsi="Arial"/>
          <w:sz w:val="18"/>
          <w:szCs w:val="18"/>
          <w:b w:val="1"/>
          <w:bCs w:val="1"/>
          <w:i w:val="1"/>
          <w:iCs w:val="1"/>
          <w:color w:val="auto"/>
        </w:rPr>
        <w:t>other enterprises</w:t>
      </w:r>
      <w:r>
        <w:rPr>
          <w:rFonts w:ascii="Arial" w:cs="Arial" w:eastAsia="Arial" w:hAnsi="Arial"/>
          <w:sz w:val="18"/>
          <w:szCs w:val="18"/>
          <w:color w:val="auto"/>
        </w:rPr>
        <w:t>” shall include employee benefit plans; 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taxes assessed on a person with respect to any employee benefit plan; references to “</w:t>
      </w:r>
      <w:r>
        <w:rPr>
          <w:rFonts w:ascii="Arial" w:cs="Arial" w:eastAsia="Arial" w:hAnsi="Arial"/>
          <w:sz w:val="18"/>
          <w:szCs w:val="18"/>
          <w:b w:val="1"/>
          <w:bCs w:val="1"/>
          <w:i w:val="1"/>
          <w:iCs w:val="1"/>
          <w:color w:val="auto"/>
        </w:rPr>
        <w:t>serving at the request of the Company</w:t>
      </w:r>
      <w:r>
        <w:rPr>
          <w:rFonts w:ascii="Arial" w:cs="Arial" w:eastAsia="Arial" w:hAnsi="Arial"/>
          <w:sz w:val="18"/>
          <w:szCs w:val="18"/>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Arial" w:cs="Arial" w:eastAsia="Arial" w:hAnsi="Arial"/>
          <w:sz w:val="18"/>
          <w:szCs w:val="18"/>
          <w:b w:val="1"/>
          <w:bCs w:val="1"/>
          <w:i w:val="1"/>
          <w:iCs w:val="1"/>
          <w:color w:val="auto"/>
        </w:rPr>
        <w:t>not opposed to the best interests of the Company</w:t>
      </w:r>
      <w:r>
        <w:rPr>
          <w:rFonts w:ascii="Arial" w:cs="Arial" w:eastAsia="Arial" w:hAnsi="Arial"/>
          <w:sz w:val="18"/>
          <w:szCs w:val="18"/>
          <w:color w:val="auto"/>
        </w:rPr>
        <w:t>” as referred to in this Agreement.</w:t>
      </w:r>
    </w:p>
    <w:p>
      <w:pPr>
        <w:spacing w:after="0" w:line="158" w:lineRule="exact"/>
        <w:rPr>
          <w:rFonts w:ascii="Arial" w:cs="Arial" w:eastAsia="Arial" w:hAnsi="Arial"/>
          <w:sz w:val="18"/>
          <w:szCs w:val="18"/>
          <w:color w:val="auto"/>
        </w:rPr>
      </w:pPr>
    </w:p>
    <w:p>
      <w:pPr>
        <w:jc w:val="both"/>
        <w:ind w:firstLine="872"/>
        <w:spacing w:after="0" w:line="269" w:lineRule="auto"/>
        <w:tabs>
          <w:tab w:leader="none" w:pos="1660" w:val="left"/>
        </w:tabs>
        <w:numPr>
          <w:ilvl w:val="1"/>
          <w:numId w:val="249"/>
        </w:numPr>
        <w:rPr>
          <w:rFonts w:ascii="Arial" w:cs="Arial" w:eastAsia="Arial" w:hAnsi="Arial"/>
          <w:sz w:val="18"/>
          <w:szCs w:val="18"/>
          <w:color w:val="auto"/>
        </w:rPr>
      </w:pPr>
      <w:r>
        <w:rPr>
          <w:rFonts w:ascii="Arial" w:cs="Arial" w:eastAsia="Arial" w:hAnsi="Arial"/>
          <w:sz w:val="18"/>
          <w:szCs w:val="18"/>
          <w:b w:val="1"/>
          <w:bCs w:val="1"/>
          <w:color w:val="auto"/>
        </w:rPr>
        <w:t xml:space="preserve">Indemnity in Third-Party Proceedings. </w:t>
      </w:r>
      <w:r>
        <w:rPr>
          <w:rFonts w:ascii="Arial" w:cs="Arial" w:eastAsia="Arial" w:hAnsi="Arial"/>
          <w:sz w:val="18"/>
          <w:szCs w:val="18"/>
          <w:color w:val="auto"/>
        </w:rPr>
        <w:t>The Company shall indemnify Indemnitee in accordance with the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Section 2 if Indemnitee is, or is threatened to be made, a party to or a participant in any Proceeding, other than a Proceeding by or in the right of the Company to procure a judgment in its favor. Pursuant to this Section 2, Indemnitee shall be indemnified to the fullest extent permitted by applicable law against all Expenses, judgments, fines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with respect to any criminal action or proceeding, had no reasonable cause to believe that his or her conduct was unlawful.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06" w:name="page307"/>
    <w:bookmarkEnd w:id="306"/>
    <w:p>
      <w:pPr>
        <w:jc w:val="both"/>
        <w:ind w:firstLine="872"/>
        <w:spacing w:after="0" w:line="272" w:lineRule="auto"/>
        <w:tabs>
          <w:tab w:leader="none" w:pos="1660" w:val="left"/>
        </w:tabs>
        <w:numPr>
          <w:ilvl w:val="0"/>
          <w:numId w:val="250"/>
        </w:numPr>
        <w:rPr>
          <w:rFonts w:ascii="Arial" w:cs="Arial" w:eastAsia="Arial" w:hAnsi="Arial"/>
          <w:sz w:val="18"/>
          <w:szCs w:val="18"/>
          <w:color w:val="auto"/>
        </w:rPr>
      </w:pPr>
      <w:r>
        <w:rPr>
          <w:rFonts w:ascii="Arial" w:cs="Arial" w:eastAsia="Arial" w:hAnsi="Arial"/>
          <w:sz w:val="18"/>
          <w:szCs w:val="18"/>
          <w:b w:val="1"/>
          <w:bCs w:val="1"/>
          <w:color w:val="auto"/>
        </w:rPr>
        <w:t xml:space="preserve">Indemnity in Proceedings by or in the Right of the Company. </w:t>
      </w:r>
      <w:r>
        <w:rPr>
          <w:rFonts w:ascii="Arial" w:cs="Arial" w:eastAsia="Arial" w:hAnsi="Arial"/>
          <w:sz w:val="18"/>
          <w:szCs w:val="18"/>
          <w:color w:val="auto"/>
        </w:rPr>
        <w:t>The Company shall indemnify Indemnitee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provisions of this Section 3 if Indemnitee is, or is threatened to be made, a party to or a participant in any Proceeding by or in the right of the Company to procure a judgment in its favor. Pursuant to this Section 3, Indemnitee shall be indemnified to the fullest extent permitted by applicable law against all Expenses actually and reasonably incurred by Indemnitee or on Indemnitee’s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3 in respect of any claim, issue or matter as to which Indemnitee shall have been adjudged by a court of competent jurisdiction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 court shall deem proper.</w:t>
      </w:r>
    </w:p>
    <w:p>
      <w:pPr>
        <w:spacing w:after="0" w:line="165" w:lineRule="exact"/>
        <w:rPr>
          <w:rFonts w:ascii="Arial" w:cs="Arial" w:eastAsia="Arial" w:hAnsi="Arial"/>
          <w:sz w:val="18"/>
          <w:szCs w:val="18"/>
          <w:color w:val="auto"/>
        </w:rPr>
      </w:pPr>
    </w:p>
    <w:p>
      <w:pPr>
        <w:jc w:val="both"/>
        <w:ind w:firstLine="872"/>
        <w:spacing w:after="0" w:line="262" w:lineRule="auto"/>
        <w:tabs>
          <w:tab w:leader="none" w:pos="1660" w:val="left"/>
        </w:tabs>
        <w:numPr>
          <w:ilvl w:val="0"/>
          <w:numId w:val="250"/>
        </w:numPr>
        <w:rPr>
          <w:rFonts w:ascii="Arial" w:cs="Arial" w:eastAsia="Arial" w:hAnsi="Arial"/>
          <w:sz w:val="19"/>
          <w:szCs w:val="19"/>
          <w:color w:val="auto"/>
        </w:rPr>
      </w:pPr>
      <w:r>
        <w:rPr>
          <w:rFonts w:ascii="Arial" w:cs="Arial" w:eastAsia="Arial" w:hAnsi="Arial"/>
          <w:sz w:val="19"/>
          <w:szCs w:val="19"/>
          <w:b w:val="1"/>
          <w:bCs w:val="1"/>
          <w:color w:val="auto"/>
        </w:rPr>
        <w:t xml:space="preserve">Indemnification for Expenses of a Party Who is Wholly or Partly Successful. </w:t>
      </w:r>
      <w:r>
        <w:rPr>
          <w:rFonts w:ascii="Arial" w:cs="Arial" w:eastAsia="Arial" w:hAnsi="Arial"/>
          <w:sz w:val="19"/>
          <w:szCs w:val="19"/>
          <w:color w:val="auto"/>
        </w:rPr>
        <w:t>To the extent that Indemnitee is a</w:t>
      </w:r>
      <w:r>
        <w:rPr>
          <w:rFonts w:ascii="Arial" w:cs="Arial" w:eastAsia="Arial" w:hAnsi="Arial"/>
          <w:sz w:val="19"/>
          <w:szCs w:val="19"/>
          <w:b w:val="1"/>
          <w:bCs w:val="1"/>
          <w:color w:val="auto"/>
        </w:rPr>
        <w:t xml:space="preserve"> </w:t>
      </w:r>
      <w:r>
        <w:rPr>
          <w:rFonts w:ascii="Arial" w:cs="Arial" w:eastAsia="Arial" w:hAnsi="Arial"/>
          <w:sz w:val="19"/>
          <w:szCs w:val="19"/>
          <w:color w:val="auto"/>
        </w:rPr>
        <w:t>party to or a participant in and is successful (on the merits or otherwise) in defense of any Proceeding or any claim, issue or matter therein, the Company shall indemnify Indemnitee against all Expenses actually and reasonably incurred by Indemnitee or on Indemnitee’s behalf in connection therewith. For purposes of this section, the termination of any claim, issue or matter in such a Proceeding by dismissal, with or without prejudice, shall be deemed to be a successful result as to such claim, issue or matter.</w:t>
      </w:r>
    </w:p>
    <w:p>
      <w:pPr>
        <w:spacing w:after="0" w:line="170" w:lineRule="exact"/>
        <w:rPr>
          <w:rFonts w:ascii="Arial" w:cs="Arial" w:eastAsia="Arial" w:hAnsi="Arial"/>
          <w:sz w:val="19"/>
          <w:szCs w:val="19"/>
          <w:color w:val="auto"/>
        </w:rPr>
      </w:pPr>
    </w:p>
    <w:p>
      <w:pPr>
        <w:jc w:val="both"/>
        <w:ind w:firstLine="872"/>
        <w:spacing w:after="0" w:line="294" w:lineRule="auto"/>
        <w:tabs>
          <w:tab w:leader="none" w:pos="1660" w:val="left"/>
        </w:tabs>
        <w:numPr>
          <w:ilvl w:val="0"/>
          <w:numId w:val="250"/>
        </w:numPr>
        <w:rPr>
          <w:rFonts w:ascii="Arial" w:cs="Arial" w:eastAsia="Arial" w:hAnsi="Arial"/>
          <w:sz w:val="18"/>
          <w:szCs w:val="18"/>
          <w:color w:val="auto"/>
        </w:rPr>
      </w:pPr>
      <w:r>
        <w:rPr>
          <w:rFonts w:ascii="Arial" w:cs="Arial" w:eastAsia="Arial" w:hAnsi="Arial"/>
          <w:sz w:val="18"/>
          <w:szCs w:val="18"/>
          <w:b w:val="1"/>
          <w:bCs w:val="1"/>
          <w:color w:val="auto"/>
        </w:rPr>
        <w:t xml:space="preserve">Indemnification for Expenses of a Witness. </w:t>
      </w:r>
      <w:r>
        <w:rPr>
          <w:rFonts w:ascii="Arial" w:cs="Arial" w:eastAsia="Arial" w:hAnsi="Arial"/>
          <w:sz w:val="18"/>
          <w:szCs w:val="18"/>
          <w:color w:val="auto"/>
        </w:rPr>
        <w:t>To the extent that Indemnitee is, by reason of his or her Corporate Status,</w:t>
      </w:r>
      <w:r>
        <w:rPr>
          <w:rFonts w:ascii="Arial" w:cs="Arial" w:eastAsia="Arial" w:hAnsi="Arial"/>
          <w:sz w:val="18"/>
          <w:szCs w:val="18"/>
          <w:b w:val="1"/>
          <w:bCs w:val="1"/>
          <w:color w:val="auto"/>
        </w:rPr>
        <w:t xml:space="preserve"> </w:t>
      </w:r>
      <w:r>
        <w:rPr>
          <w:rFonts w:ascii="Arial" w:cs="Arial" w:eastAsia="Arial" w:hAnsi="Arial"/>
          <w:sz w:val="18"/>
          <w:szCs w:val="18"/>
          <w:color w:val="auto"/>
        </w:rPr>
        <w:t>a witness in any Proceeding to which Indemnitee is not a party, Indemnitee shall be indemnified to the extent permitted by applicable law against all Expenses actually and reasonably incurred by Indemnitee or on Indemnitee’s behalf in connection therewith.</w:t>
      </w:r>
    </w:p>
    <w:p>
      <w:pPr>
        <w:spacing w:after="0" w:line="143" w:lineRule="exact"/>
        <w:rPr>
          <w:rFonts w:ascii="Arial" w:cs="Arial" w:eastAsia="Arial" w:hAnsi="Arial"/>
          <w:sz w:val="18"/>
          <w:szCs w:val="18"/>
          <w:color w:val="auto"/>
        </w:rPr>
      </w:pPr>
    </w:p>
    <w:p>
      <w:pPr>
        <w:ind w:left="1660" w:hanging="788"/>
        <w:spacing w:after="0"/>
        <w:tabs>
          <w:tab w:leader="none" w:pos="1660" w:val="left"/>
        </w:tabs>
        <w:numPr>
          <w:ilvl w:val="0"/>
          <w:numId w:val="250"/>
        </w:numPr>
        <w:rPr>
          <w:rFonts w:ascii="Arial" w:cs="Arial" w:eastAsia="Arial" w:hAnsi="Arial"/>
          <w:sz w:val="20"/>
          <w:szCs w:val="20"/>
          <w:color w:val="auto"/>
        </w:rPr>
      </w:pPr>
      <w:r>
        <w:rPr>
          <w:rFonts w:ascii="Arial" w:cs="Arial" w:eastAsia="Arial" w:hAnsi="Arial"/>
          <w:sz w:val="20"/>
          <w:szCs w:val="20"/>
          <w:b w:val="1"/>
          <w:bCs w:val="1"/>
          <w:color w:val="auto"/>
        </w:rPr>
        <w:t>Additional Indemnification.</w:t>
      </w:r>
    </w:p>
    <w:p>
      <w:pPr>
        <w:spacing w:after="0" w:line="221" w:lineRule="exact"/>
        <w:rPr>
          <w:rFonts w:ascii="Arial" w:cs="Arial" w:eastAsia="Arial" w:hAnsi="Arial"/>
          <w:sz w:val="20"/>
          <w:szCs w:val="20"/>
          <w:color w:val="auto"/>
        </w:rPr>
      </w:pPr>
    </w:p>
    <w:p>
      <w:pPr>
        <w:jc w:val="both"/>
        <w:ind w:firstLine="1735"/>
        <w:spacing w:after="0" w:line="244" w:lineRule="auto"/>
        <w:tabs>
          <w:tab w:leader="none" w:pos="2595" w:val="left"/>
        </w:tabs>
        <w:numPr>
          <w:ilvl w:val="1"/>
          <w:numId w:val="250"/>
        </w:numPr>
        <w:rPr>
          <w:rFonts w:ascii="Arial" w:cs="Arial" w:eastAsia="Arial" w:hAnsi="Arial"/>
          <w:sz w:val="20"/>
          <w:szCs w:val="20"/>
          <w:color w:val="auto"/>
        </w:rPr>
      </w:pPr>
      <w:r>
        <w:rPr>
          <w:rFonts w:ascii="Arial" w:cs="Arial" w:eastAsia="Arial" w:hAnsi="Arial"/>
          <w:sz w:val="20"/>
          <w:szCs w:val="20"/>
          <w:color w:val="auto"/>
        </w:rPr>
        <w:t>Notwithstanding any limitation in Sections 2, 3 or 4, the Company shall indemnify Indemnitee to the fullest extent permitted by applicable law if Indemnitee is, or is threatened to be made, a party to or a participant in any Proceeding (including a Proceeding by or in the right of the Company to procure a judgment in its favor) against all Expenses, judgments, fines and amounts paid in settlement actually and reasonably incurred by Indemnitee or on his or her behalf in connection with the Proceeding or any claim, issue or matter therein.</w:t>
      </w:r>
    </w:p>
    <w:p>
      <w:pPr>
        <w:spacing w:after="0" w:line="194" w:lineRule="exact"/>
        <w:rPr>
          <w:rFonts w:ascii="Arial" w:cs="Arial" w:eastAsia="Arial" w:hAnsi="Arial"/>
          <w:sz w:val="20"/>
          <w:szCs w:val="20"/>
          <w:color w:val="auto"/>
        </w:rPr>
      </w:pPr>
    </w:p>
    <w:p>
      <w:pPr>
        <w:ind w:right="20" w:firstLine="1735"/>
        <w:spacing w:after="0" w:line="260" w:lineRule="auto"/>
        <w:tabs>
          <w:tab w:leader="none" w:pos="2606" w:val="left"/>
        </w:tabs>
        <w:numPr>
          <w:ilvl w:val="1"/>
          <w:numId w:val="250"/>
        </w:numPr>
        <w:rPr>
          <w:rFonts w:ascii="Arial" w:cs="Arial" w:eastAsia="Arial" w:hAnsi="Arial"/>
          <w:sz w:val="20"/>
          <w:szCs w:val="20"/>
          <w:color w:val="auto"/>
        </w:rPr>
      </w:pPr>
      <w:r>
        <w:rPr>
          <w:rFonts w:ascii="Arial" w:cs="Arial" w:eastAsia="Arial" w:hAnsi="Arial"/>
          <w:sz w:val="20"/>
          <w:szCs w:val="20"/>
          <w:color w:val="auto"/>
        </w:rPr>
        <w:t>For purposes of Section 6(a), the meaning of the phrase “</w:t>
      </w:r>
      <w:r>
        <w:rPr>
          <w:rFonts w:ascii="Arial" w:cs="Arial" w:eastAsia="Arial" w:hAnsi="Arial"/>
          <w:sz w:val="20"/>
          <w:szCs w:val="20"/>
          <w:b w:val="1"/>
          <w:bCs w:val="1"/>
          <w:i w:val="1"/>
          <w:iCs w:val="1"/>
          <w:color w:val="auto"/>
        </w:rPr>
        <w:t>to the fullest extent permitted by applicable law</w:t>
      </w:r>
      <w:r>
        <w:rPr>
          <w:rFonts w:ascii="Arial" w:cs="Arial" w:eastAsia="Arial" w:hAnsi="Arial"/>
          <w:sz w:val="20"/>
          <w:szCs w:val="20"/>
          <w:color w:val="auto"/>
        </w:rPr>
        <w:t>” shall include, but not be limited to:</w:t>
      </w:r>
    </w:p>
    <w:p>
      <w:pPr>
        <w:spacing w:after="0" w:line="176" w:lineRule="exact"/>
        <w:rPr>
          <w:rFonts w:ascii="Arial" w:cs="Arial" w:eastAsia="Arial" w:hAnsi="Arial"/>
          <w:sz w:val="20"/>
          <w:szCs w:val="20"/>
          <w:color w:val="auto"/>
        </w:rPr>
      </w:pPr>
    </w:p>
    <w:p>
      <w:pPr>
        <w:ind w:left="3860" w:hanging="828"/>
        <w:spacing w:after="0"/>
        <w:tabs>
          <w:tab w:leader="none" w:pos="3860" w:val="left"/>
        </w:tabs>
        <w:numPr>
          <w:ilvl w:val="2"/>
          <w:numId w:val="250"/>
        </w:numPr>
        <w:rPr>
          <w:rFonts w:ascii="Arial" w:cs="Arial" w:eastAsia="Arial" w:hAnsi="Arial"/>
          <w:sz w:val="18"/>
          <w:szCs w:val="18"/>
          <w:color w:val="auto"/>
        </w:rPr>
      </w:pPr>
      <w:r>
        <w:rPr>
          <w:rFonts w:ascii="Arial" w:cs="Arial" w:eastAsia="Arial" w:hAnsi="Arial"/>
          <w:sz w:val="18"/>
          <w:szCs w:val="18"/>
          <w:color w:val="auto"/>
        </w:rPr>
        <w:t>the fullest extent permitted by the provision of the DGCL that authorizes or contemplates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additional indemnification by agreement, or the corresponding provision of any amendment to or replacement of the DGCL; and</w:t>
      </w:r>
    </w:p>
    <w:p>
      <w:pPr>
        <w:spacing w:after="0" w:line="211" w:lineRule="exact"/>
        <w:rPr>
          <w:rFonts w:ascii="Arial" w:cs="Arial" w:eastAsia="Arial" w:hAnsi="Arial"/>
          <w:sz w:val="18"/>
          <w:szCs w:val="18"/>
          <w:color w:val="auto"/>
        </w:rPr>
      </w:pPr>
    </w:p>
    <w:p>
      <w:pPr>
        <w:ind w:left="3920" w:hanging="888"/>
        <w:spacing w:after="0"/>
        <w:tabs>
          <w:tab w:leader="none" w:pos="3920" w:val="left"/>
        </w:tabs>
        <w:numPr>
          <w:ilvl w:val="2"/>
          <w:numId w:val="250"/>
        </w:numPr>
        <w:rPr>
          <w:rFonts w:ascii="Arial" w:cs="Arial" w:eastAsia="Arial" w:hAnsi="Arial"/>
          <w:sz w:val="19"/>
          <w:szCs w:val="19"/>
          <w:color w:val="auto"/>
        </w:rPr>
      </w:pPr>
      <w:r>
        <w:rPr>
          <w:rFonts w:ascii="Arial" w:cs="Arial" w:eastAsia="Arial" w:hAnsi="Arial"/>
          <w:sz w:val="19"/>
          <w:szCs w:val="19"/>
          <w:color w:val="auto"/>
        </w:rPr>
        <w:t>the fullest extent authorized or permitted by any amendments to or replacements of the</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8"/>
          <w:szCs w:val="18"/>
          <w:color w:val="auto"/>
        </w:rPr>
        <w:t>DGCL adopted after the date of this Agreement that increase the extent to which a corporation may indemnify its officers and directors.</w:t>
      </w:r>
    </w:p>
    <w:p>
      <w:pPr>
        <w:spacing w:after="0" w:line="216" w:lineRule="exact"/>
        <w:rPr>
          <w:rFonts w:ascii="Arial" w:cs="Arial" w:eastAsia="Arial" w:hAnsi="Arial"/>
          <w:sz w:val="19"/>
          <w:szCs w:val="19"/>
          <w:color w:val="auto"/>
        </w:rPr>
      </w:pPr>
    </w:p>
    <w:p>
      <w:pPr>
        <w:ind w:firstLine="872"/>
        <w:spacing w:after="0" w:line="250" w:lineRule="auto"/>
        <w:tabs>
          <w:tab w:leader="none" w:pos="1660" w:val="left"/>
        </w:tabs>
        <w:numPr>
          <w:ilvl w:val="0"/>
          <w:numId w:val="250"/>
        </w:numPr>
        <w:rPr>
          <w:rFonts w:ascii="Arial" w:cs="Arial" w:eastAsia="Arial" w:hAnsi="Arial"/>
          <w:sz w:val="20"/>
          <w:szCs w:val="20"/>
          <w:color w:val="auto"/>
        </w:rPr>
      </w:pPr>
      <w:r>
        <w:rPr>
          <w:rFonts w:ascii="Arial" w:cs="Arial" w:eastAsia="Arial" w:hAnsi="Arial"/>
          <w:sz w:val="20"/>
          <w:szCs w:val="20"/>
          <w:b w:val="1"/>
          <w:bCs w:val="1"/>
          <w:color w:val="auto"/>
        </w:rPr>
        <w:t xml:space="preserve">Exclusions. </w:t>
      </w:r>
      <w:r>
        <w:rPr>
          <w:rFonts w:ascii="Arial" w:cs="Arial" w:eastAsia="Arial" w:hAnsi="Arial"/>
          <w:sz w:val="20"/>
          <w:szCs w:val="20"/>
          <w:color w:val="auto"/>
        </w:rPr>
        <w:t>Notwithstanding any provision in this Agreement, the Company shall not be obligated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to make any indemnity in connection with any Proceeding (or any part of any Proceeding):</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07" w:name="page308"/>
    <w:bookmarkEnd w:id="307"/>
    <w:p>
      <w:pPr>
        <w:ind w:left="-872" w:right="20" w:firstLine="1735"/>
        <w:spacing w:after="0" w:line="260" w:lineRule="auto"/>
        <w:tabs>
          <w:tab w:leader="none" w:pos="1723" w:val="left"/>
        </w:tabs>
        <w:numPr>
          <w:ilvl w:val="1"/>
          <w:numId w:val="251"/>
        </w:numPr>
        <w:rPr>
          <w:rFonts w:ascii="Arial" w:cs="Arial" w:eastAsia="Arial" w:hAnsi="Arial"/>
          <w:sz w:val="20"/>
          <w:szCs w:val="20"/>
          <w:color w:val="auto"/>
        </w:rPr>
      </w:pPr>
      <w:r>
        <w:rPr>
          <w:rFonts w:ascii="Arial" w:cs="Arial" w:eastAsia="Arial" w:hAnsi="Arial"/>
          <w:sz w:val="20"/>
          <w:szCs w:val="20"/>
          <w:color w:val="auto"/>
        </w:rPr>
        <w:t>for which payment has actually been made to or on behalf of Indemnitee under any statute, insurance policy, indemnity provision, vote or otherwise, except with respect to any excess beyond the amount paid;</w:t>
      </w:r>
    </w:p>
    <w:p>
      <w:pPr>
        <w:spacing w:after="0" w:line="176" w:lineRule="exact"/>
        <w:rPr>
          <w:rFonts w:ascii="Arial" w:cs="Arial" w:eastAsia="Arial" w:hAnsi="Arial"/>
          <w:sz w:val="20"/>
          <w:szCs w:val="20"/>
          <w:color w:val="auto"/>
        </w:rPr>
      </w:pPr>
    </w:p>
    <w:p>
      <w:pPr>
        <w:jc w:val="both"/>
        <w:ind w:left="-872" w:firstLine="1735"/>
        <w:spacing w:after="0" w:line="250" w:lineRule="auto"/>
        <w:tabs>
          <w:tab w:leader="none" w:pos="1734" w:val="left"/>
        </w:tabs>
        <w:numPr>
          <w:ilvl w:val="1"/>
          <w:numId w:val="251"/>
        </w:numPr>
        <w:rPr>
          <w:rFonts w:ascii="Arial" w:cs="Arial" w:eastAsia="Arial" w:hAnsi="Arial"/>
          <w:sz w:val="20"/>
          <w:szCs w:val="20"/>
          <w:color w:val="auto"/>
        </w:rPr>
      </w:pPr>
      <w:r>
        <w:rPr>
          <w:rFonts w:ascii="Arial" w:cs="Arial" w:eastAsia="Arial" w:hAnsi="Arial"/>
          <w:sz w:val="20"/>
          <w:szCs w:val="20"/>
          <w:color w:val="auto"/>
        </w:rPr>
        <w:t>for an accounting or disgorgement of profits pursuant to Section 16(b) of the Securities Exchange Act of 1934, as amended, or similar provisions of federal, state or local statutory law or common law, if Indemnitee is held liable therefor (including pursuant to any settlement arrangements);</w:t>
      </w:r>
    </w:p>
    <w:p>
      <w:pPr>
        <w:spacing w:after="0" w:line="185" w:lineRule="exact"/>
        <w:rPr>
          <w:rFonts w:ascii="Arial" w:cs="Arial" w:eastAsia="Arial" w:hAnsi="Arial"/>
          <w:sz w:val="20"/>
          <w:szCs w:val="20"/>
          <w:color w:val="auto"/>
        </w:rPr>
      </w:pPr>
    </w:p>
    <w:p>
      <w:pPr>
        <w:jc w:val="both"/>
        <w:ind w:left="-872" w:firstLine="1735"/>
        <w:spacing w:after="0" w:line="259" w:lineRule="auto"/>
        <w:tabs>
          <w:tab w:leader="none" w:pos="1723" w:val="left"/>
        </w:tabs>
        <w:numPr>
          <w:ilvl w:val="1"/>
          <w:numId w:val="251"/>
        </w:numPr>
        <w:rPr>
          <w:rFonts w:ascii="Arial" w:cs="Arial" w:eastAsia="Arial" w:hAnsi="Arial"/>
          <w:sz w:val="19"/>
          <w:szCs w:val="19"/>
          <w:color w:val="auto"/>
        </w:rPr>
      </w:pPr>
      <w:r>
        <w:rPr>
          <w:rFonts w:ascii="Arial" w:cs="Arial" w:eastAsia="Arial" w:hAnsi="Arial"/>
          <w:sz w:val="19"/>
          <w:szCs w:val="19"/>
          <w:color w:val="auto"/>
        </w:rPr>
        <w:t>for any reimbursement of the Company by Indemnitee of any bonus or other incentive-based or equity-based compensation or of any profits realized by Indemnitee from the sale of securities of the Company, as required in each case under the Securities Exchange Act of 1934, as amended (including any such reimbursements that arise from an accounting restatement of the Company pursuant to Section 304 of the Sarbanes-Oxley Act of 2002 (the “</w:t>
      </w:r>
      <w:r>
        <w:rPr>
          <w:rFonts w:ascii="Arial" w:cs="Arial" w:eastAsia="Arial" w:hAnsi="Arial"/>
          <w:sz w:val="19"/>
          <w:szCs w:val="19"/>
          <w:b w:val="1"/>
          <w:bCs w:val="1"/>
          <w:i w:val="1"/>
          <w:iCs w:val="1"/>
          <w:color w:val="auto"/>
        </w:rPr>
        <w:t>Sarbanes-Oxley Act</w:t>
      </w:r>
      <w:r>
        <w:rPr>
          <w:rFonts w:ascii="Arial" w:cs="Arial" w:eastAsia="Arial" w:hAnsi="Arial"/>
          <w:sz w:val="19"/>
          <w:szCs w:val="19"/>
          <w:color w:val="auto"/>
        </w:rPr>
        <w:t>”), or the payment to the Company of profits arising from the purchase and sale by Indemnitee of securities in violation of Section 306 of the Sarbanes-Oxley Act), if Indemnitee is held liable therefor (including pursuant to any settlement arrangements);</w:t>
      </w:r>
    </w:p>
    <w:p>
      <w:pPr>
        <w:spacing w:after="0" w:line="178" w:lineRule="exact"/>
        <w:rPr>
          <w:rFonts w:ascii="Arial" w:cs="Arial" w:eastAsia="Arial" w:hAnsi="Arial"/>
          <w:sz w:val="19"/>
          <w:szCs w:val="19"/>
          <w:color w:val="auto"/>
        </w:rPr>
      </w:pPr>
    </w:p>
    <w:p>
      <w:pPr>
        <w:jc w:val="both"/>
        <w:ind w:left="-872" w:firstLine="1735"/>
        <w:spacing w:after="0" w:line="244" w:lineRule="auto"/>
        <w:tabs>
          <w:tab w:leader="none" w:pos="1734" w:val="left"/>
        </w:tabs>
        <w:numPr>
          <w:ilvl w:val="1"/>
          <w:numId w:val="251"/>
        </w:numPr>
        <w:rPr>
          <w:rFonts w:ascii="Arial" w:cs="Arial" w:eastAsia="Arial" w:hAnsi="Arial"/>
          <w:sz w:val="20"/>
          <w:szCs w:val="20"/>
          <w:color w:val="auto"/>
        </w:rPr>
      </w:pPr>
      <w:r>
        <w:rPr>
          <w:rFonts w:ascii="Arial" w:cs="Arial" w:eastAsia="Arial" w:hAnsi="Arial"/>
          <w:sz w:val="20"/>
          <w:szCs w:val="20"/>
          <w:color w:val="auto"/>
        </w:rPr>
        <w:t>initiated by Indemnitee, including any Proceeding (or any part of any Proceeding) initiated by Indemnitee against the Company or its directors, officers, employees, agents or other indemnitees, unless (i) the Company’s board of directors authorized the Proceeding (or the relevant part of the Proceeding) prior to its initiation, (ii) the Company provides the indemnification, in its sole discretion, pursuant to the powers vested in the Company under applicable law, (iii) otherwise authorized in Section 12(d) or (iv) otherwise required by applicable law; or</w:t>
      </w:r>
    </w:p>
    <w:p>
      <w:pPr>
        <w:spacing w:after="0" w:line="194" w:lineRule="exact"/>
        <w:rPr>
          <w:rFonts w:ascii="Arial" w:cs="Arial" w:eastAsia="Arial" w:hAnsi="Arial"/>
          <w:sz w:val="20"/>
          <w:szCs w:val="20"/>
          <w:color w:val="auto"/>
        </w:rPr>
      </w:pPr>
    </w:p>
    <w:p>
      <w:pPr>
        <w:ind w:left="1728" w:hanging="865"/>
        <w:spacing w:after="0"/>
        <w:tabs>
          <w:tab w:leader="none" w:pos="1728" w:val="left"/>
        </w:tabs>
        <w:numPr>
          <w:ilvl w:val="1"/>
          <w:numId w:val="251"/>
        </w:numPr>
        <w:rPr>
          <w:rFonts w:ascii="Arial" w:cs="Arial" w:eastAsia="Arial" w:hAnsi="Arial"/>
          <w:sz w:val="20"/>
          <w:szCs w:val="20"/>
          <w:color w:val="auto"/>
        </w:rPr>
      </w:pPr>
      <w:r>
        <w:rPr>
          <w:rFonts w:ascii="Arial" w:cs="Arial" w:eastAsia="Arial" w:hAnsi="Arial"/>
          <w:sz w:val="20"/>
          <w:szCs w:val="20"/>
          <w:color w:val="auto"/>
        </w:rPr>
        <w:t>if prohibited by applicable law.</w:t>
      </w:r>
    </w:p>
    <w:p>
      <w:pPr>
        <w:spacing w:after="0" w:line="209" w:lineRule="exact"/>
        <w:rPr>
          <w:rFonts w:ascii="Arial" w:cs="Arial" w:eastAsia="Arial" w:hAnsi="Arial"/>
          <w:sz w:val="20"/>
          <w:szCs w:val="20"/>
          <w:color w:val="auto"/>
        </w:rPr>
      </w:pPr>
    </w:p>
    <w:p>
      <w:pPr>
        <w:jc w:val="both"/>
        <w:ind w:left="-872" w:firstLine="872"/>
        <w:spacing w:after="0" w:line="242" w:lineRule="auto"/>
        <w:tabs>
          <w:tab w:leader="none" w:pos="788" w:val="left"/>
        </w:tabs>
        <w:numPr>
          <w:ilvl w:val="0"/>
          <w:numId w:val="252"/>
        </w:numPr>
        <w:rPr>
          <w:rFonts w:ascii="Arial" w:cs="Arial" w:eastAsia="Arial" w:hAnsi="Arial"/>
          <w:sz w:val="20"/>
          <w:szCs w:val="20"/>
          <w:color w:val="auto"/>
        </w:rPr>
      </w:pPr>
      <w:r>
        <w:rPr>
          <w:rFonts w:ascii="Arial" w:cs="Arial" w:eastAsia="Arial" w:hAnsi="Arial"/>
          <w:sz w:val="20"/>
          <w:szCs w:val="20"/>
          <w:b w:val="1"/>
          <w:bCs w:val="1"/>
          <w:color w:val="auto"/>
        </w:rPr>
        <w:t xml:space="preserve">Advances of Expenses. </w:t>
      </w:r>
      <w:r>
        <w:rPr>
          <w:rFonts w:ascii="Arial" w:cs="Arial" w:eastAsia="Arial" w:hAnsi="Arial"/>
          <w:sz w:val="20"/>
          <w:szCs w:val="20"/>
          <w:color w:val="auto"/>
        </w:rPr>
        <w:t>The Company shall advance the Expenses incurred by Indemnitee in connection with any</w:t>
      </w:r>
      <w:r>
        <w:rPr>
          <w:rFonts w:ascii="Arial" w:cs="Arial" w:eastAsia="Arial" w:hAnsi="Arial"/>
          <w:sz w:val="20"/>
          <w:szCs w:val="20"/>
          <w:b w:val="1"/>
          <w:bCs w:val="1"/>
          <w:color w:val="auto"/>
        </w:rPr>
        <w:t xml:space="preserve"> </w:t>
      </w:r>
      <w:r>
        <w:rPr>
          <w:rFonts w:ascii="Arial" w:cs="Arial" w:eastAsia="Arial" w:hAnsi="Arial"/>
          <w:sz w:val="20"/>
          <w:szCs w:val="20"/>
          <w:color w:val="auto"/>
        </w:rPr>
        <w:t>Proceeding prior to its final disposition, and such advancement shall be made as soon as reasonably practicable after the receipt by the Company of a written statement or statements requesting such advances from time to time (which shall include invoices received by Indemnitee in connection with such Expenses but, in the case of invoices in connection with legal services, any references to legal work performed or to expenditure made that would cause Indemnitee to waive any privilege accorded by applicable law shall not be included with the invoice). Advances shall be unsecured and interest free and made without regard to Indemnitee’s ability to repay such advances. Indemnitee hereby undertakes to repay any advance to the extent that it is ultimately determined that Indemnitee is not entitled to be indemnified by the Company. This Section 8 shall not apply to the extent advancement is prohibited by law and shall not apply to any Proceeding (or any part of any Proceeding) for which indemnity is not permitted under this Agreement, but shall apply to any Proceeding (or any part of any Proceeding) referenced in Section 7(b) or 7(c) prior to a determination that Indemnitee is not entitled to be indemnified by the Company.</w:t>
      </w:r>
    </w:p>
    <w:p>
      <w:pPr>
        <w:spacing w:after="0" w:line="189" w:lineRule="exact"/>
        <w:rPr>
          <w:rFonts w:ascii="Arial" w:cs="Arial" w:eastAsia="Arial" w:hAnsi="Arial"/>
          <w:sz w:val="20"/>
          <w:szCs w:val="20"/>
          <w:color w:val="auto"/>
        </w:rPr>
      </w:pPr>
    </w:p>
    <w:p>
      <w:pPr>
        <w:ind w:left="788" w:hanging="788"/>
        <w:spacing w:after="0"/>
        <w:tabs>
          <w:tab w:leader="none" w:pos="788" w:val="left"/>
        </w:tabs>
        <w:numPr>
          <w:ilvl w:val="0"/>
          <w:numId w:val="252"/>
        </w:numPr>
        <w:rPr>
          <w:rFonts w:ascii="Arial" w:cs="Arial" w:eastAsia="Arial" w:hAnsi="Arial"/>
          <w:sz w:val="20"/>
          <w:szCs w:val="20"/>
          <w:color w:val="auto"/>
        </w:rPr>
      </w:pPr>
      <w:r>
        <w:rPr>
          <w:rFonts w:ascii="Arial" w:cs="Arial" w:eastAsia="Arial" w:hAnsi="Arial"/>
          <w:sz w:val="20"/>
          <w:szCs w:val="20"/>
          <w:b w:val="1"/>
          <w:bCs w:val="1"/>
          <w:color w:val="auto"/>
        </w:rPr>
        <w:t>Procedures for Notification and Defense of Claim.</w:t>
      </w:r>
    </w:p>
    <w:p>
      <w:pPr>
        <w:spacing w:after="0" w:line="221" w:lineRule="exact"/>
        <w:rPr>
          <w:rFonts w:ascii="Arial" w:cs="Arial" w:eastAsia="Arial" w:hAnsi="Arial"/>
          <w:sz w:val="20"/>
          <w:szCs w:val="20"/>
          <w:color w:val="auto"/>
        </w:rPr>
      </w:pPr>
    </w:p>
    <w:p>
      <w:pPr>
        <w:jc w:val="both"/>
        <w:ind w:left="-872" w:firstLine="1735"/>
        <w:spacing w:after="0" w:line="269" w:lineRule="auto"/>
        <w:tabs>
          <w:tab w:leader="none" w:pos="1723" w:val="left"/>
        </w:tabs>
        <w:numPr>
          <w:ilvl w:val="1"/>
          <w:numId w:val="252"/>
        </w:numPr>
        <w:rPr>
          <w:rFonts w:ascii="Arial" w:cs="Arial" w:eastAsia="Arial" w:hAnsi="Arial"/>
          <w:sz w:val="18"/>
          <w:szCs w:val="18"/>
          <w:color w:val="auto"/>
        </w:rPr>
      </w:pPr>
      <w:r>
        <w:rPr>
          <w:rFonts w:ascii="Arial" w:cs="Arial" w:eastAsia="Arial" w:hAnsi="Arial"/>
          <w:sz w:val="18"/>
          <w:szCs w:val="18"/>
          <w:color w:val="auto"/>
        </w:rPr>
        <w:t>Indemnitee shall notify the Company in writing of any matter with respect to which Indemnitee intends to seek indemnification or advancement of Expenses as soon as reasonably practicable following the receipt by Indemnitee of notice thereof. The written notification to the Company shall include, in reasonable detail, a description of the nature of the Proceeding and the facts underlying the Proceeding. The failure by Indemnitee to notify the Company will not relieve the Company from any liability which it may have to Indemnitee hereunder or otherwise than under this Agreement, and any delay in so notifying the Company shall not constitute a</w:t>
      </w:r>
    </w:p>
    <w:p>
      <w:pPr>
        <w:spacing w:after="0" w:line="4" w:lineRule="exact"/>
        <w:rPr>
          <w:sz w:val="20"/>
          <w:szCs w:val="20"/>
          <w:color w:val="auto"/>
        </w:rPr>
      </w:pPr>
    </w:p>
    <w:p>
      <w:pPr>
        <w:ind w:left="4628" w:right="1940" w:hanging="5500"/>
        <w:spacing w:after="0" w:line="244" w:lineRule="auto"/>
        <w:rPr>
          <w:sz w:val="20"/>
          <w:szCs w:val="20"/>
          <w:color w:val="auto"/>
        </w:rPr>
      </w:pPr>
      <w:r>
        <w:rPr>
          <w:rFonts w:ascii="Arial" w:cs="Arial" w:eastAsia="Arial" w:hAnsi="Arial"/>
          <w:sz w:val="20"/>
          <w:szCs w:val="20"/>
          <w:color w:val="auto"/>
        </w:rPr>
        <w:t>waiver by Indemnitee of any rights, except to the extent that such failure or delay materially prejudices the Company.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63500</wp:posOffset>
            </wp:positionV>
            <wp:extent cx="7149465"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555" w:right="339" w:bottom="1440" w:gutter="0" w:footer="0" w:header="0"/>
        </w:sectPr>
      </w:pPr>
    </w:p>
    <w:bookmarkStart w:id="308" w:name="page309"/>
    <w:bookmarkEnd w:id="308"/>
    <w:p>
      <w:pPr>
        <w:jc w:val="both"/>
        <w:ind w:firstLine="1735"/>
        <w:spacing w:after="0" w:line="244" w:lineRule="auto"/>
        <w:tabs>
          <w:tab w:leader="none" w:pos="2606" w:val="left"/>
        </w:tabs>
        <w:numPr>
          <w:ilvl w:val="1"/>
          <w:numId w:val="253"/>
        </w:numPr>
        <w:rPr>
          <w:rFonts w:ascii="Arial" w:cs="Arial" w:eastAsia="Arial" w:hAnsi="Arial"/>
          <w:sz w:val="20"/>
          <w:szCs w:val="20"/>
          <w:color w:val="auto"/>
        </w:rPr>
      </w:pPr>
      <w:r>
        <w:rPr>
          <w:rFonts w:ascii="Arial" w:cs="Arial" w:eastAsia="Arial" w:hAnsi="Arial"/>
          <w:sz w:val="20"/>
          <w:szCs w:val="20"/>
          <w:color w:val="auto"/>
        </w:rPr>
        <w:t>If, at the time of the receipt of a notice of a Proceeding pursuant to the terms hereof, the Company has directors’ and officers’ liability insurance in effect that may be applicable to the Proceeding, the Company shall give prompt notice of the commencement of the Proceeding to the insurers in accordance with the procedures set forth in the applicable policies. The Company shall thereafter take all commercially-reasonable action to cause such insurers to pay, on behalf of Indemnitee, all amounts payable as a result of such Proceeding in accordance with the terms of such policies.</w:t>
      </w:r>
    </w:p>
    <w:p>
      <w:pPr>
        <w:spacing w:after="0" w:line="194" w:lineRule="exact"/>
        <w:rPr>
          <w:rFonts w:ascii="Arial" w:cs="Arial" w:eastAsia="Arial" w:hAnsi="Arial"/>
          <w:sz w:val="20"/>
          <w:szCs w:val="20"/>
          <w:color w:val="auto"/>
        </w:rPr>
      </w:pPr>
    </w:p>
    <w:p>
      <w:pPr>
        <w:jc w:val="both"/>
        <w:ind w:firstLine="1735"/>
        <w:spacing w:after="0" w:line="270" w:lineRule="auto"/>
        <w:tabs>
          <w:tab w:leader="none" w:pos="2595" w:val="left"/>
        </w:tabs>
        <w:numPr>
          <w:ilvl w:val="1"/>
          <w:numId w:val="253"/>
        </w:numPr>
        <w:rPr>
          <w:rFonts w:ascii="Arial" w:cs="Arial" w:eastAsia="Arial" w:hAnsi="Arial"/>
          <w:sz w:val="18"/>
          <w:szCs w:val="18"/>
          <w:color w:val="auto"/>
        </w:rPr>
      </w:pPr>
      <w:r>
        <w:rPr>
          <w:rFonts w:ascii="Arial" w:cs="Arial" w:eastAsia="Arial" w:hAnsi="Arial"/>
          <w:sz w:val="18"/>
          <w:szCs w:val="18"/>
          <w:color w:val="auto"/>
        </w:rPr>
        <w:t>In the event the Company may be obligated to make any indemnity in connection with a Proceeding, the Company shall be entitled to assume the defense of such Proceeding with counsel approved by Indemnitee, which approval shall not be unreasonably withheld, conditioned or delayed, upon the delivery to Indemnitee of written notice of its election to do so. After delivery of such notice, approval of such counsel by Indemnitee and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fees and expenses of Indemnitee’s separate counsel to the extent (i) the employment of separate counsel by Indemnitee is authorized by the Company, (ii) counsel for the Company or Indemnitee shall have reasonably concluded that there is a conflict of interest between the Company and Indemnitee in the conduct of any such defense such that Indemnitee needs to be separately represented, (iii) the Company is not financially or legally able to perform its indemnification obligations or (iv) the Company shall not have retained, or shall not continue to retain, counsel to defend such Proceeding. The Company shall have the right to conduct such defense as it sees fit in its sole discretion. Regardless of any provision in this Agreement, Indemnitee shall have the right to employ counsel in any Proceeding at Indemnitee’s personal expense. The Company shall not be entitled, without the consent of Indemnitee, to assume the defense of any claim brought by or in the right of the Company.</w:t>
      </w:r>
    </w:p>
    <w:p>
      <w:pPr>
        <w:spacing w:after="0" w:line="172" w:lineRule="exact"/>
        <w:rPr>
          <w:rFonts w:ascii="Arial" w:cs="Arial" w:eastAsia="Arial" w:hAnsi="Arial"/>
          <w:sz w:val="18"/>
          <w:szCs w:val="18"/>
          <w:color w:val="auto"/>
        </w:rPr>
      </w:pPr>
    </w:p>
    <w:p>
      <w:pPr>
        <w:ind w:left="2620" w:hanging="885"/>
        <w:spacing w:after="0"/>
        <w:tabs>
          <w:tab w:leader="none" w:pos="262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Indemnitee shall give the Company such information and cooperation in connection with the Proceeding as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may be reasonably appropriate.</w:t>
      </w:r>
    </w:p>
    <w:p>
      <w:pPr>
        <w:spacing w:after="0" w:line="199" w:lineRule="exact"/>
        <w:rPr>
          <w:rFonts w:ascii="Arial" w:cs="Arial" w:eastAsia="Arial" w:hAnsi="Arial"/>
          <w:sz w:val="18"/>
          <w:szCs w:val="18"/>
          <w:color w:val="auto"/>
        </w:rPr>
      </w:pPr>
    </w:p>
    <w:p>
      <w:pPr>
        <w:ind w:firstLine="1735"/>
        <w:spacing w:after="0" w:line="287" w:lineRule="auto"/>
        <w:tabs>
          <w:tab w:leader="none" w:pos="2595" w:val="left"/>
        </w:tabs>
        <w:numPr>
          <w:ilvl w:val="1"/>
          <w:numId w:val="253"/>
        </w:numPr>
        <w:rPr>
          <w:rFonts w:ascii="Arial" w:cs="Arial" w:eastAsia="Arial" w:hAnsi="Arial"/>
          <w:sz w:val="19"/>
          <w:szCs w:val="19"/>
          <w:color w:val="auto"/>
        </w:rPr>
      </w:pPr>
      <w:r>
        <w:rPr>
          <w:rFonts w:ascii="Arial" w:cs="Arial" w:eastAsia="Arial" w:hAnsi="Arial"/>
          <w:sz w:val="19"/>
          <w:szCs w:val="19"/>
          <w:color w:val="auto"/>
        </w:rPr>
        <w:t>The Company shall not be liable to indemnify Indemnitee for any settlement of any Proceeding (or any part thereof) without the Company’s prior written consent, which shall not be unreasonably withheld, conditioned or delayed.</w:t>
      </w:r>
    </w:p>
    <w:p>
      <w:pPr>
        <w:spacing w:after="0" w:line="152" w:lineRule="exact"/>
        <w:rPr>
          <w:rFonts w:ascii="Arial" w:cs="Arial" w:eastAsia="Arial" w:hAnsi="Arial"/>
          <w:sz w:val="19"/>
          <w:szCs w:val="19"/>
          <w:color w:val="auto"/>
        </w:rPr>
      </w:pPr>
    </w:p>
    <w:p>
      <w:pPr>
        <w:ind w:firstLine="1735"/>
        <w:spacing w:after="0" w:line="316" w:lineRule="auto"/>
        <w:tabs>
          <w:tab w:leader="none" w:pos="2573"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The Company shall not settle any Proceeding (or any part thereof) in a manner that imposes any penalty or liability on Indemnitee without Indemnitee’s prior written consent, which shall not be unreasonably withheld, conditioned or delayed.</w:t>
      </w:r>
    </w:p>
    <w:p>
      <w:pPr>
        <w:spacing w:after="0" w:line="123" w:lineRule="exact"/>
        <w:rPr>
          <w:rFonts w:ascii="Arial" w:cs="Arial" w:eastAsia="Arial" w:hAnsi="Arial"/>
          <w:sz w:val="18"/>
          <w:szCs w:val="18"/>
          <w:color w:val="auto"/>
        </w:rPr>
      </w:pPr>
    </w:p>
    <w:p>
      <w:pPr>
        <w:ind w:left="1760" w:hanging="888"/>
        <w:spacing w:after="0"/>
        <w:tabs>
          <w:tab w:leader="none" w:pos="1760" w:val="left"/>
        </w:tabs>
        <w:numPr>
          <w:ilvl w:val="0"/>
          <w:numId w:val="254"/>
        </w:numPr>
        <w:rPr>
          <w:rFonts w:ascii="Arial" w:cs="Arial" w:eastAsia="Arial" w:hAnsi="Arial"/>
          <w:sz w:val="20"/>
          <w:szCs w:val="20"/>
          <w:color w:val="auto"/>
        </w:rPr>
      </w:pPr>
      <w:r>
        <w:rPr>
          <w:rFonts w:ascii="Arial" w:cs="Arial" w:eastAsia="Arial" w:hAnsi="Arial"/>
          <w:sz w:val="20"/>
          <w:szCs w:val="20"/>
          <w:b w:val="1"/>
          <w:bCs w:val="1"/>
          <w:color w:val="auto"/>
        </w:rPr>
        <w:t>Procedures upon Application for Indemnification.</w:t>
      </w:r>
    </w:p>
    <w:p>
      <w:pPr>
        <w:spacing w:after="0" w:line="221" w:lineRule="exact"/>
        <w:rPr>
          <w:rFonts w:ascii="Arial" w:cs="Arial" w:eastAsia="Arial" w:hAnsi="Arial"/>
          <w:sz w:val="20"/>
          <w:szCs w:val="20"/>
          <w:color w:val="auto"/>
        </w:rPr>
      </w:pPr>
    </w:p>
    <w:p>
      <w:pPr>
        <w:jc w:val="both"/>
        <w:ind w:firstLine="1735"/>
        <w:spacing w:after="0" w:line="282" w:lineRule="auto"/>
        <w:tabs>
          <w:tab w:leader="none" w:pos="2595"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To obtain indemnification, Indemnitee shall submit to the Company a written request, including therein or therewith such documentation and information as is reasonably available to Indemnitee and as is reasonably necessary to determine whether and to what extent Indemnitee is entitled to indemnification following the final disposition of the Proceeding. Any delay in providing the request will not relieve the Company from its obligations under this Agreement, except to the extent such failure is prejudicial.</w:t>
      </w:r>
    </w:p>
    <w:p>
      <w:pPr>
        <w:spacing w:after="0" w:line="161" w:lineRule="exact"/>
        <w:rPr>
          <w:rFonts w:ascii="Arial" w:cs="Arial" w:eastAsia="Arial" w:hAnsi="Arial"/>
          <w:sz w:val="18"/>
          <w:szCs w:val="18"/>
          <w:color w:val="auto"/>
        </w:rPr>
      </w:pPr>
    </w:p>
    <w:p>
      <w:pPr>
        <w:ind w:left="2620" w:hanging="885"/>
        <w:spacing w:after="0"/>
        <w:tabs>
          <w:tab w:leader="none" w:pos="2620" w:val="left"/>
        </w:tabs>
        <w:numPr>
          <w:ilvl w:val="1"/>
          <w:numId w:val="254"/>
        </w:numPr>
        <w:rPr>
          <w:rFonts w:ascii="Arial" w:cs="Arial" w:eastAsia="Arial" w:hAnsi="Arial"/>
          <w:sz w:val="19"/>
          <w:szCs w:val="19"/>
          <w:color w:val="auto"/>
        </w:rPr>
      </w:pPr>
      <w:r>
        <w:rPr>
          <w:rFonts w:ascii="Arial" w:cs="Arial" w:eastAsia="Arial" w:hAnsi="Arial"/>
          <w:sz w:val="19"/>
          <w:szCs w:val="19"/>
          <w:color w:val="auto"/>
        </w:rPr>
        <w:t>Upon written request by Indemnitee for indemnification pursuant to Section 10(a), a determination with</w:t>
      </w:r>
    </w:p>
    <w:p>
      <w:pPr>
        <w:spacing w:after="0" w:line="27"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respect to Indemnitee’s entitlement thereto shall be made in the specific case (i) if a Change in Control shall have occurred, at Indemnitee’s written request by Independent Counsel in a written opinion to the Company’s board of directors, a copy of which shall be delivered to Indemnitee or (ii) if a Change in Control shall not have occurred, (A) by a majority vote of the Disinterested Directors, even though less than a quorum of the Company’s board of directors, (B) by a committee of Disinterested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color w:val="auto"/>
        </w:rPr>
        <w:t>Directors designated by a majority vote of the Disinterested Directors, even though less than a quorum of the Company’s board of directors,</w:t>
      </w:r>
    </w:p>
    <w:p>
      <w:pPr>
        <w:spacing w:after="0" w:line="39" w:lineRule="exact"/>
        <w:rPr>
          <w:sz w:val="20"/>
          <w:szCs w:val="20"/>
          <w:color w:val="auto"/>
        </w:rPr>
      </w:pPr>
    </w:p>
    <w:p>
      <w:pPr>
        <w:jc w:val="both"/>
        <w:ind w:firstLine="8"/>
        <w:spacing w:after="0" w:line="254" w:lineRule="auto"/>
        <w:tabs>
          <w:tab w:leader="none" w:pos="324" w:val="left"/>
        </w:tabs>
        <w:numPr>
          <w:ilvl w:val="0"/>
          <w:numId w:val="255"/>
        </w:numPr>
        <w:rPr>
          <w:rFonts w:ascii="Arial" w:cs="Arial" w:eastAsia="Arial" w:hAnsi="Arial"/>
          <w:sz w:val="19"/>
          <w:szCs w:val="19"/>
          <w:color w:val="auto"/>
        </w:rPr>
      </w:pPr>
      <w:r>
        <w:rPr>
          <w:rFonts w:ascii="Arial" w:cs="Arial" w:eastAsia="Arial" w:hAnsi="Arial"/>
          <w:sz w:val="19"/>
          <w:szCs w:val="19"/>
          <w:color w:val="auto"/>
        </w:rPr>
        <w:t>if there are no such Disinterested Directors or, if such Disinterested Directors so direct, by Independent Counsel in a written opinion to the Company’s board of directors, a copy of which shall be delivered to Indemnitee or (D) if so directed by the Company’s board of directors, by the stockholders of the Company. If it is determined that Indemnitee is entitled to indemnification, payment to Indemnitee shall be made within ten days after such determination. Indemnitee shall cooperate with the person, persons or entity making the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actually and reasonably incurred by Indemnitee in so cooperating with the person, persons or entity making such determination shall be borne by the Company, to the extent permitted by applicable law.</w:t>
      </w:r>
    </w:p>
    <w:p>
      <w:pPr>
        <w:spacing w:after="0" w:line="184" w:lineRule="exact"/>
        <w:rPr>
          <w:rFonts w:ascii="Arial" w:cs="Arial" w:eastAsia="Arial" w:hAnsi="Arial"/>
          <w:sz w:val="19"/>
          <w:szCs w:val="19"/>
          <w:color w:val="auto"/>
        </w:rPr>
      </w:pPr>
    </w:p>
    <w:p>
      <w:pPr>
        <w:jc w:val="both"/>
        <w:ind w:firstLine="1735"/>
        <w:spacing w:after="0" w:line="268" w:lineRule="auto"/>
        <w:tabs>
          <w:tab w:leader="none" w:pos="2595" w:val="left"/>
        </w:tabs>
        <w:numPr>
          <w:ilvl w:val="2"/>
          <w:numId w:val="255"/>
        </w:numPr>
        <w:rPr>
          <w:rFonts w:ascii="Arial" w:cs="Arial" w:eastAsia="Arial" w:hAnsi="Arial"/>
          <w:sz w:val="18"/>
          <w:szCs w:val="18"/>
          <w:color w:val="auto"/>
        </w:rPr>
      </w:pPr>
      <w:r>
        <w:rPr>
          <w:rFonts w:ascii="Arial" w:cs="Arial" w:eastAsia="Arial" w:hAnsi="Arial"/>
          <w:sz w:val="18"/>
          <w:szCs w:val="18"/>
          <w:color w:val="auto"/>
        </w:rPr>
        <w:t xml:space="preserve">In the event the determination of entitlement to indemnification is to be made by Independent Counsel pursuant to Section 10(b), the Independent Counsel shall be selected as provided in this Section 10(c). If a Change in Control shall not have occurred, the Independent Counsel shall be selected by the Company’s board of directors, and the Company shall give written notice to Indemnitee advising him or her of 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 been given, deliver to the Company or to Indemnitee, as the case may be, a written objection to such selection;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objection may be asserted only on the ground that the Independent Counsel so selected does not meet the requirements of “Independent Counsel” as defined in Section 1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20 days after the later of (i) submission by Indemnitee of a written request for indemnification pursuant to Section 10(a) hereof and (ii) the final disposition of the Proceeding, the parties have not agreed upon an Independent Counsel, either the Company or Indemnitee may petition a court of competent jurisdiction for resolution of any objection which shall have been made by the Company or Indemnitee to the other’s selection of Independent Counsel and for the appointment as Independent Counsel of a person selected by the court or by such other person as the court shall designate, and the person with respect to whom all objections are so resolved or the person so appointed shall act as Independent Counsel under Section 10(b) hereof. Upon the due commencement of any judicial proceeding or arbitration pursuant to Section 12(a) of this Agreement, the Independent Counsel shall be discharged and relieved of any further responsibility in such capacity (subject to the applicable standards of professional conduct then prevailing).</w:t>
      </w:r>
    </w:p>
    <w:p>
      <w:pPr>
        <w:spacing w:after="0" w:line="181" w:lineRule="exact"/>
        <w:rPr>
          <w:rFonts w:ascii="Arial" w:cs="Arial" w:eastAsia="Arial" w:hAnsi="Arial"/>
          <w:sz w:val="18"/>
          <w:szCs w:val="18"/>
          <w:color w:val="auto"/>
        </w:rPr>
      </w:pPr>
    </w:p>
    <w:p>
      <w:pPr>
        <w:ind w:left="2620" w:hanging="885"/>
        <w:spacing w:after="0"/>
        <w:tabs>
          <w:tab w:leader="none" w:pos="2620" w:val="left"/>
        </w:tabs>
        <w:numPr>
          <w:ilvl w:val="2"/>
          <w:numId w:val="255"/>
        </w:numPr>
        <w:rPr>
          <w:rFonts w:ascii="Arial" w:cs="Arial" w:eastAsia="Arial" w:hAnsi="Arial"/>
          <w:sz w:val="20"/>
          <w:szCs w:val="20"/>
          <w:color w:val="auto"/>
        </w:rPr>
      </w:pPr>
      <w:r>
        <w:rPr>
          <w:rFonts w:ascii="Arial" w:cs="Arial" w:eastAsia="Arial" w:hAnsi="Arial"/>
          <w:sz w:val="20"/>
          <w:szCs w:val="20"/>
          <w:color w:val="auto"/>
        </w:rPr>
        <w:t>The Company agrees to pay the reasonable fees and expenses of any Independent Counsel.</w:t>
      </w:r>
    </w:p>
    <w:p>
      <w:pPr>
        <w:spacing w:after="0" w:line="209" w:lineRule="exact"/>
        <w:rPr>
          <w:rFonts w:ascii="Arial" w:cs="Arial" w:eastAsia="Arial" w:hAnsi="Arial"/>
          <w:sz w:val="20"/>
          <w:szCs w:val="20"/>
          <w:color w:val="auto"/>
        </w:rPr>
      </w:pPr>
    </w:p>
    <w:p>
      <w:pPr>
        <w:ind w:left="1760" w:hanging="888"/>
        <w:spacing w:after="0"/>
        <w:tabs>
          <w:tab w:leader="none" w:pos="1760" w:val="left"/>
        </w:tabs>
        <w:numPr>
          <w:ilvl w:val="1"/>
          <w:numId w:val="255"/>
        </w:numPr>
        <w:rPr>
          <w:rFonts w:ascii="Arial" w:cs="Arial" w:eastAsia="Arial" w:hAnsi="Arial"/>
          <w:sz w:val="20"/>
          <w:szCs w:val="20"/>
          <w:color w:val="auto"/>
        </w:rPr>
      </w:pPr>
      <w:r>
        <w:rPr>
          <w:rFonts w:ascii="Arial" w:cs="Arial" w:eastAsia="Arial" w:hAnsi="Arial"/>
          <w:sz w:val="20"/>
          <w:szCs w:val="20"/>
          <w:b w:val="1"/>
          <w:bCs w:val="1"/>
          <w:color w:val="auto"/>
        </w:rPr>
        <w:t>Presumptions and Effect of Certain Proceedings.</w:t>
      </w:r>
    </w:p>
    <w:p>
      <w:pPr>
        <w:spacing w:after="0" w:line="221" w:lineRule="exact"/>
        <w:rPr>
          <w:rFonts w:ascii="Arial" w:cs="Arial" w:eastAsia="Arial" w:hAnsi="Arial"/>
          <w:sz w:val="20"/>
          <w:szCs w:val="20"/>
          <w:color w:val="auto"/>
        </w:rPr>
      </w:pPr>
    </w:p>
    <w:p>
      <w:pPr>
        <w:jc w:val="both"/>
        <w:ind w:firstLine="1735"/>
        <w:spacing w:after="0" w:line="243" w:lineRule="auto"/>
        <w:tabs>
          <w:tab w:leader="none" w:pos="2595" w:val="left"/>
        </w:tabs>
        <w:numPr>
          <w:ilvl w:val="2"/>
          <w:numId w:val="256"/>
        </w:numPr>
        <w:rPr>
          <w:rFonts w:ascii="Arial" w:cs="Arial" w:eastAsia="Arial" w:hAnsi="Arial"/>
          <w:sz w:val="20"/>
          <w:szCs w:val="20"/>
          <w:color w:val="auto"/>
        </w:rPr>
      </w:pPr>
      <w:r>
        <w:rPr>
          <w:rFonts w:ascii="Arial" w:cs="Arial" w:eastAsia="Arial" w:hAnsi="Arial"/>
          <w:sz w:val="20"/>
          <w:szCs w:val="20"/>
          <w:color w:val="auto"/>
        </w:rPr>
        <w:t>In making a determination with respect to entitlement to indemnification hereunder, the person, persons or entity making such determination shall, to the fullest extent not prohibited by law, presume that Indemnitee is entitled to indemnification under this Agreement, and the Company shall, to the fullest extent not prohibited by law, have the burden of proof to overcome that presumption.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10" w:name="page311"/>
    <w:bookmarkEnd w:id="310"/>
    <w:p>
      <w:pPr>
        <w:jc w:val="both"/>
        <w:ind w:firstLine="1735"/>
        <w:spacing w:after="0" w:line="244" w:lineRule="auto"/>
        <w:tabs>
          <w:tab w:leader="none" w:pos="2606" w:val="left"/>
        </w:tabs>
        <w:numPr>
          <w:ilvl w:val="1"/>
          <w:numId w:val="257"/>
        </w:numPr>
        <w:rPr>
          <w:rFonts w:ascii="Arial" w:cs="Arial" w:eastAsia="Arial" w:hAnsi="Arial"/>
          <w:sz w:val="20"/>
          <w:szCs w:val="20"/>
          <w:color w:val="auto"/>
        </w:rPr>
      </w:pPr>
      <w:r>
        <w:rPr>
          <w:rFonts w:ascii="Arial" w:cs="Arial" w:eastAsia="Arial" w:hAnsi="Arial"/>
          <w:sz w:val="20"/>
          <w:szCs w:val="20"/>
          <w:color w:val="auto"/>
        </w:rPr>
        <w:t xml:space="preserve">The termination of any Proceeding or of any claim, issue or matter therein, by judgment, order, settlement or conviction, or upon a plea of </w:t>
      </w:r>
      <w:r>
        <w:rPr>
          <w:rFonts w:ascii="Arial" w:cs="Arial" w:eastAsia="Arial" w:hAnsi="Arial"/>
          <w:sz w:val="20"/>
          <w:szCs w:val="20"/>
          <w:i w:val="1"/>
          <w:iCs w:val="1"/>
          <w:color w:val="auto"/>
        </w:rPr>
        <w:t>nolo contendere</w:t>
      </w:r>
      <w:r>
        <w:rPr>
          <w:rFonts w:ascii="Arial" w:cs="Arial" w:eastAsia="Arial" w:hAnsi="Arial"/>
          <w:sz w:val="20"/>
          <w:szCs w:val="20"/>
          <w:color w:val="auto"/>
        </w:rPr>
        <w:t xml:space="preserve"> or its equivalent, shall not (except as otherwise expressly provided in this Agreement) of itself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94" w:lineRule="exact"/>
        <w:rPr>
          <w:rFonts w:ascii="Arial" w:cs="Arial" w:eastAsia="Arial" w:hAnsi="Arial"/>
          <w:sz w:val="20"/>
          <w:szCs w:val="20"/>
          <w:color w:val="auto"/>
        </w:rPr>
      </w:pPr>
    </w:p>
    <w:p>
      <w:pPr>
        <w:ind w:right="20" w:firstLine="1735"/>
        <w:spacing w:after="0" w:line="260" w:lineRule="auto"/>
        <w:tabs>
          <w:tab w:leader="none" w:pos="2595" w:val="left"/>
        </w:tabs>
        <w:numPr>
          <w:ilvl w:val="1"/>
          <w:numId w:val="257"/>
        </w:numPr>
        <w:rPr>
          <w:rFonts w:ascii="Arial" w:cs="Arial" w:eastAsia="Arial" w:hAnsi="Arial"/>
          <w:sz w:val="20"/>
          <w:szCs w:val="20"/>
          <w:color w:val="auto"/>
        </w:rPr>
      </w:pPr>
      <w:r>
        <w:rPr>
          <w:rFonts w:ascii="Arial" w:cs="Arial" w:eastAsia="Arial" w:hAnsi="Arial"/>
          <w:sz w:val="20"/>
          <w:szCs w:val="20"/>
          <w:color w:val="auto"/>
        </w:rPr>
        <w:t>Neither the knowledge, actions nor failure to act of any other director, officer, agent or employee of the Enterprise shall be imputed to Indemnitee for purposes of determining the right to indemnification under this Agreement.</w:t>
      </w:r>
    </w:p>
    <w:p>
      <w:pPr>
        <w:spacing w:after="0" w:line="170" w:lineRule="exact"/>
        <w:rPr>
          <w:rFonts w:ascii="Arial" w:cs="Arial" w:eastAsia="Arial" w:hAnsi="Arial"/>
          <w:sz w:val="20"/>
          <w:szCs w:val="20"/>
          <w:color w:val="auto"/>
        </w:rPr>
      </w:pPr>
    </w:p>
    <w:p>
      <w:pPr>
        <w:ind w:left="1760" w:hanging="888"/>
        <w:spacing w:after="0"/>
        <w:tabs>
          <w:tab w:leader="none" w:pos="1760" w:val="left"/>
        </w:tabs>
        <w:numPr>
          <w:ilvl w:val="0"/>
          <w:numId w:val="258"/>
        </w:numPr>
        <w:rPr>
          <w:rFonts w:ascii="Arial" w:cs="Arial" w:eastAsia="Arial" w:hAnsi="Arial"/>
          <w:sz w:val="20"/>
          <w:szCs w:val="20"/>
          <w:color w:val="auto"/>
        </w:rPr>
      </w:pPr>
      <w:r>
        <w:rPr>
          <w:rFonts w:ascii="Arial" w:cs="Arial" w:eastAsia="Arial" w:hAnsi="Arial"/>
          <w:sz w:val="20"/>
          <w:szCs w:val="20"/>
          <w:b w:val="1"/>
          <w:bCs w:val="1"/>
          <w:color w:val="auto"/>
        </w:rPr>
        <w:t>Remedies of Indemnitee.</w:t>
      </w:r>
    </w:p>
    <w:p>
      <w:pPr>
        <w:spacing w:after="0" w:line="221" w:lineRule="exact"/>
        <w:rPr>
          <w:rFonts w:ascii="Arial" w:cs="Arial" w:eastAsia="Arial" w:hAnsi="Arial"/>
          <w:sz w:val="20"/>
          <w:szCs w:val="20"/>
          <w:color w:val="auto"/>
        </w:rPr>
      </w:pPr>
    </w:p>
    <w:p>
      <w:pPr>
        <w:jc w:val="both"/>
        <w:ind w:firstLine="1735"/>
        <w:spacing w:after="0" w:line="269" w:lineRule="auto"/>
        <w:tabs>
          <w:tab w:leader="none" w:pos="2595" w:val="left"/>
        </w:tabs>
        <w:numPr>
          <w:ilvl w:val="1"/>
          <w:numId w:val="258"/>
        </w:numPr>
        <w:rPr>
          <w:rFonts w:ascii="Arial" w:cs="Arial" w:eastAsia="Arial" w:hAnsi="Arial"/>
          <w:sz w:val="18"/>
          <w:szCs w:val="18"/>
          <w:color w:val="auto"/>
        </w:rPr>
      </w:pPr>
      <w:r>
        <w:rPr>
          <w:rFonts w:ascii="Arial" w:cs="Arial" w:eastAsia="Arial" w:hAnsi="Arial"/>
          <w:sz w:val="18"/>
          <w:szCs w:val="18"/>
          <w:color w:val="auto"/>
        </w:rPr>
        <w:t xml:space="preserve">Subject to Section 12(e), in the event that (i) a determination is made pursuant to Section 10 of this Agreement that Indemnitee is not entitled to indemnification under this Agreement, (ii) advancement of Expenses is not timely made pursuant to Section 8 or 12(d) of this Agreement, (iii) no determination of entitlement to indemnification shall have been made pursuant to Section 10 of this Agreement within 90 days after the later of the receipt by the Company of the request for indemnification or the final disposition of the Proceeding, (iv) payment of indemnification pursuant to this Agreement is not made (A) within ten days after a determination has been made that Indemnitee is entitled to indemnification or (B) with respect to indemnification pursuant to Sections 4, 5 and 12(d) of this Agreement, within 30 days after receipt by the Company of a written request therefor, or (v) 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 of competent jurisdiction of his or her entitlement to such indemnification or advancement of Expenses. Alternatively, Indemnitee, at his or her option, may seek an award in arbitration with respect to his or her entitlement to such indemnification or advancement of Expenses,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foregoing clause shall not apply in respect of a proceeding brought by Indemnitee to enforce his or her rights under Section 4 of this Agreement. The Company shall not oppose Indemnitee’s right to seek any such adjudication or award in arbitration in accordance with this Agreement.</w:t>
      </w:r>
    </w:p>
    <w:p>
      <w:pPr>
        <w:spacing w:after="0" w:line="173" w:lineRule="exact"/>
        <w:rPr>
          <w:rFonts w:ascii="Arial" w:cs="Arial" w:eastAsia="Arial" w:hAnsi="Arial"/>
          <w:sz w:val="18"/>
          <w:szCs w:val="18"/>
          <w:color w:val="auto"/>
        </w:rPr>
      </w:pPr>
    </w:p>
    <w:p>
      <w:pPr>
        <w:jc w:val="both"/>
        <w:ind w:firstLine="1735"/>
        <w:spacing w:after="0" w:line="302" w:lineRule="auto"/>
        <w:tabs>
          <w:tab w:leader="none" w:pos="2606" w:val="left"/>
        </w:tabs>
        <w:numPr>
          <w:ilvl w:val="1"/>
          <w:numId w:val="258"/>
        </w:numPr>
        <w:rPr>
          <w:rFonts w:ascii="Arial" w:cs="Arial" w:eastAsia="Arial" w:hAnsi="Arial"/>
          <w:sz w:val="16"/>
          <w:szCs w:val="16"/>
          <w:color w:val="auto"/>
        </w:rPr>
      </w:pPr>
      <w:r>
        <w:rPr>
          <w:rFonts w:ascii="Arial" w:cs="Arial" w:eastAsia="Arial" w:hAnsi="Arial"/>
          <w:sz w:val="16"/>
          <w:szCs w:val="16"/>
          <w:color w:val="auto"/>
        </w:rPr>
        <w:t>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 has not met the applicable standard of conduct, shall create a presumption that Indemnitee has or has not met the applicable standard of conduct. In the event that a determination shall have been made pursuant to Section 10 of this Agreement that Indemnitee is not entitled to indemnification, any</w:t>
      </w:r>
    </w:p>
    <w:p>
      <w:pPr>
        <w:spacing w:after="0" w:line="4"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 xml:space="preserve">judicial proceeding or arbitration commenced pursuant to this Section 12 shall be conducted in all respects as a </w:t>
      </w:r>
      <w:r>
        <w:rPr>
          <w:rFonts w:ascii="Arial" w:cs="Arial" w:eastAsia="Arial" w:hAnsi="Arial"/>
          <w:sz w:val="20"/>
          <w:szCs w:val="20"/>
          <w:i w:val="1"/>
          <w:iCs w:val="1"/>
          <w:color w:val="auto"/>
        </w:rPr>
        <w:t>de novo</w:t>
      </w:r>
      <w:r>
        <w:rPr>
          <w:rFonts w:ascii="Arial" w:cs="Arial" w:eastAsia="Arial" w:hAnsi="Arial"/>
          <w:sz w:val="20"/>
          <w:szCs w:val="20"/>
          <w:color w:val="auto"/>
        </w:rPr>
        <w:t xml:space="preserve"> trial, or arbitration, on the merits, and Indemnitee shall not be prejudiced by reason of that adverse determination. In any judicial proceeding or arbitration commenced pursuant to this Section 12, the Company shall, to the fullest extent not prohibited by law, have the burden of proving Indemnitee is not entitled to indemnification or advancement of Expenses, as the case may be.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11" w:name="page312"/>
    <w:bookmarkEnd w:id="311"/>
    <w:p>
      <w:pPr>
        <w:jc w:val="both"/>
        <w:ind w:firstLine="1735"/>
        <w:spacing w:after="0" w:line="242" w:lineRule="auto"/>
        <w:tabs>
          <w:tab w:leader="none" w:pos="2595" w:val="left"/>
        </w:tabs>
        <w:numPr>
          <w:ilvl w:val="1"/>
          <w:numId w:val="259"/>
        </w:numPr>
        <w:rPr>
          <w:rFonts w:ascii="Arial" w:cs="Arial" w:eastAsia="Arial" w:hAnsi="Arial"/>
          <w:sz w:val="20"/>
          <w:szCs w:val="20"/>
          <w:color w:val="auto"/>
        </w:rPr>
      </w:pPr>
      <w:r>
        <w:rPr>
          <w:rFonts w:ascii="Arial" w:cs="Arial" w:eastAsia="Arial" w:hAnsi="Arial"/>
          <w:sz w:val="20"/>
          <w:szCs w:val="20"/>
          <w:color w:val="auto"/>
        </w:rPr>
        <w:t>To the fullest extent not prohibited by law, 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 If a determination shall have been made pursuant to Section 10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statements not materially misleading, in connection with the request for indemnification, or (ii) a prohibition of such indemnification under applicable law.</w:t>
      </w:r>
    </w:p>
    <w:p>
      <w:pPr>
        <w:spacing w:after="0" w:line="196" w:lineRule="exact"/>
        <w:rPr>
          <w:rFonts w:ascii="Arial" w:cs="Arial" w:eastAsia="Arial" w:hAnsi="Arial"/>
          <w:sz w:val="20"/>
          <w:szCs w:val="20"/>
          <w:color w:val="auto"/>
        </w:rPr>
      </w:pPr>
    </w:p>
    <w:p>
      <w:pPr>
        <w:jc w:val="both"/>
        <w:ind w:firstLine="1735"/>
        <w:spacing w:after="0" w:line="278" w:lineRule="auto"/>
        <w:tabs>
          <w:tab w:leader="none" w:pos="2606"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To the extent not prohibited by law, the Company shall indemnify Indemnitee against all Expenses that are incurred by Indemnitee in connection with any action for indemnification or advancement of Expenses from the Company under this Agreement or under any directors’ and officers’ liability insurance policies maintained by the Company to the extent Indemnitee is successful in such action, and, if requested by Indemnitee, shall (as soon as reasonably practicable, but in any event no later than 90 days, after receipt by the Company of a written request therefor) advance such Expenses to Indemnitee, subject to the provisions of Section 8.</w:t>
      </w:r>
    </w:p>
    <w:p>
      <w:pPr>
        <w:spacing w:after="0" w:line="164" w:lineRule="exact"/>
        <w:rPr>
          <w:rFonts w:ascii="Arial" w:cs="Arial" w:eastAsia="Arial" w:hAnsi="Arial"/>
          <w:sz w:val="18"/>
          <w:szCs w:val="18"/>
          <w:color w:val="auto"/>
        </w:rPr>
      </w:pPr>
    </w:p>
    <w:p>
      <w:pPr>
        <w:ind w:firstLine="1735"/>
        <w:spacing w:after="0" w:line="260" w:lineRule="auto"/>
        <w:tabs>
          <w:tab w:leader="none" w:pos="2595" w:val="left"/>
        </w:tabs>
        <w:numPr>
          <w:ilvl w:val="1"/>
          <w:numId w:val="259"/>
        </w:numPr>
        <w:rPr>
          <w:rFonts w:ascii="Arial" w:cs="Arial" w:eastAsia="Arial" w:hAnsi="Arial"/>
          <w:sz w:val="20"/>
          <w:szCs w:val="20"/>
          <w:color w:val="auto"/>
        </w:rPr>
      </w:pPr>
      <w:r>
        <w:rPr>
          <w:rFonts w:ascii="Arial" w:cs="Arial" w:eastAsia="Arial" w:hAnsi="Arial"/>
          <w:sz w:val="20"/>
          <w:szCs w:val="20"/>
          <w:color w:val="auto"/>
        </w:rPr>
        <w:t>Notwithstanding anything in this Agreement to the contrary, no determination as to entitlement to indemnification shall be required to be made prior to the final disposition of the Proceeding.</w:t>
      </w:r>
    </w:p>
    <w:p>
      <w:pPr>
        <w:spacing w:after="0" w:line="170" w:lineRule="exact"/>
        <w:rPr>
          <w:rFonts w:ascii="Arial" w:cs="Arial" w:eastAsia="Arial" w:hAnsi="Arial"/>
          <w:sz w:val="20"/>
          <w:szCs w:val="20"/>
          <w:color w:val="auto"/>
        </w:rPr>
      </w:pPr>
    </w:p>
    <w:p>
      <w:pPr>
        <w:jc w:val="both"/>
        <w:ind w:firstLine="872"/>
        <w:spacing w:after="0" w:line="244" w:lineRule="auto"/>
        <w:tabs>
          <w:tab w:leader="none" w:pos="1759" w:val="left"/>
        </w:tabs>
        <w:numPr>
          <w:ilvl w:val="0"/>
          <w:numId w:val="260"/>
        </w:numPr>
        <w:rPr>
          <w:rFonts w:ascii="Arial" w:cs="Arial" w:eastAsia="Arial" w:hAnsi="Arial"/>
          <w:sz w:val="20"/>
          <w:szCs w:val="20"/>
          <w:color w:val="auto"/>
        </w:rPr>
      </w:pPr>
      <w:r>
        <w:rPr>
          <w:rFonts w:ascii="Arial" w:cs="Arial" w:eastAsia="Arial" w:hAnsi="Arial"/>
          <w:sz w:val="20"/>
          <w:szCs w:val="20"/>
          <w:b w:val="1"/>
          <w:bCs w:val="1"/>
          <w:color w:val="auto"/>
        </w:rPr>
        <w:t xml:space="preserve">Contribution. </w:t>
      </w:r>
      <w:r>
        <w:rPr>
          <w:rFonts w:ascii="Arial" w:cs="Arial" w:eastAsia="Arial" w:hAnsi="Arial"/>
          <w:sz w:val="20"/>
          <w:szCs w:val="20"/>
          <w:color w:val="auto"/>
        </w:rPr>
        <w:t>To the fullest extent permissible under applicable law, if the indemnification provided for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is unavailable to 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w:t>
      </w:r>
    </w:p>
    <w:p>
      <w:pPr>
        <w:spacing w:after="0" w:line="185" w:lineRule="exact"/>
        <w:rPr>
          <w:rFonts w:ascii="Arial" w:cs="Arial" w:eastAsia="Arial" w:hAnsi="Arial"/>
          <w:sz w:val="20"/>
          <w:szCs w:val="20"/>
          <w:color w:val="auto"/>
        </w:rPr>
      </w:pPr>
    </w:p>
    <w:p>
      <w:pPr>
        <w:jc w:val="both"/>
        <w:ind w:firstLine="872"/>
        <w:spacing w:after="0" w:line="302" w:lineRule="auto"/>
        <w:tabs>
          <w:tab w:leader="none" w:pos="1759" w:val="left"/>
        </w:tabs>
        <w:numPr>
          <w:ilvl w:val="0"/>
          <w:numId w:val="260"/>
        </w:numPr>
        <w:rPr>
          <w:rFonts w:ascii="Arial" w:cs="Arial" w:eastAsia="Arial" w:hAnsi="Arial"/>
          <w:sz w:val="16"/>
          <w:szCs w:val="16"/>
          <w:color w:val="auto"/>
        </w:rPr>
      </w:pPr>
      <w:r>
        <w:rPr>
          <w:rFonts w:ascii="Arial" w:cs="Arial" w:eastAsia="Arial" w:hAnsi="Arial"/>
          <w:sz w:val="16"/>
          <w:szCs w:val="16"/>
          <w:b w:val="1"/>
          <w:bCs w:val="1"/>
          <w:color w:val="auto"/>
        </w:rPr>
        <w:t xml:space="preserve">Non-exclusivity. </w:t>
      </w:r>
      <w:r>
        <w:rPr>
          <w:rFonts w:ascii="Arial" w:cs="Arial" w:eastAsia="Arial" w:hAnsi="Arial"/>
          <w:sz w:val="16"/>
          <w:szCs w:val="16"/>
          <w:color w:val="auto"/>
        </w:rPr>
        <w:t>The rights of indemnification and to receive advancement of Expenses as provided by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be deemed exclusive of any other rights to which Indemnitee may at any time be entitled under applicable law, the Company’s certificate of incorporation or bylaws, any agreement, a vote of stockholders or a resolution of directors, or otherwise. To the extent that a change in Delaware law, whether by statute or judicial decision, permits greater indemnification or advancement of Expenses than would be afforded currently under the Company’s certificate of incorporation and bylaws and this Agreement, it is the intent of the parties hereto that Indemnitee shall enjoy by this Agreement the greater benefits so afforded by such change, subject to the restrictions expressly set forth herein or therein. Except as expressly set forth herein, no right or remedy herein conferred is intended to be exclusive of any other right or remedy, and every other right and remedy shall be cumulative and in addition to every other right and remedy given hereunder or now or hereafter existing at law or in equity or otherwise. Except as expressly set forth herein, the assertion or employment of any right or remedy hereunder,</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or otherwise, shall not prevent the concurrent assertion or employment of any other right or remedy.</w:t>
      </w:r>
    </w:p>
    <w:p>
      <w:pPr>
        <w:ind w:left="550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12" w:name="page313"/>
    <w:bookmarkEnd w:id="312"/>
    <w:p>
      <w:pPr>
        <w:jc w:val="both"/>
        <w:ind w:firstLine="872"/>
        <w:spacing w:after="0" w:line="270" w:lineRule="auto"/>
        <w:tabs>
          <w:tab w:leader="none" w:pos="183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Primary Responsibility.</w:t>
      </w:r>
      <w:r>
        <w:rPr>
          <w:rFonts w:ascii="Arial" w:cs="Arial" w:eastAsia="Arial" w:hAnsi="Arial"/>
          <w:sz w:val="18"/>
          <w:szCs w:val="18"/>
          <w:color w:val="auto"/>
        </w:rPr>
        <w:t xml:space="preserve"> The Company acknowledges that Indemnitee has certain rights to indemnification and advancement of expenses provided by [</w:t>
      </w:r>
      <w:r>
        <w:rPr>
          <w:rFonts w:ascii="Arial" w:cs="Arial" w:eastAsia="Arial" w:hAnsi="Arial"/>
          <w:sz w:val="18"/>
          <w:szCs w:val="18"/>
          <w:i w:val="1"/>
          <w:iCs w:val="1"/>
          <w:color w:val="auto"/>
        </w:rPr>
        <w:t>name of fund</w:t>
      </w:r>
      <w:r>
        <w:rPr>
          <w:rFonts w:ascii="Arial" w:cs="Arial" w:eastAsia="Arial" w:hAnsi="Arial"/>
          <w:sz w:val="18"/>
          <w:szCs w:val="18"/>
          <w:color w:val="auto"/>
        </w:rPr>
        <w:t>] and/or certain affiliates thereof (collectively, the “</w:t>
      </w:r>
      <w:r>
        <w:rPr>
          <w:rFonts w:ascii="Arial" w:cs="Arial" w:eastAsia="Arial" w:hAnsi="Arial"/>
          <w:sz w:val="18"/>
          <w:szCs w:val="18"/>
          <w:b w:val="1"/>
          <w:bCs w:val="1"/>
          <w:i w:val="1"/>
          <w:iCs w:val="1"/>
          <w:color w:val="auto"/>
        </w:rPr>
        <w:t>Secondary Indemnitor</w:t>
      </w:r>
      <w:r>
        <w:rPr>
          <w:rFonts w:ascii="Arial" w:cs="Arial" w:eastAsia="Arial" w:hAnsi="Arial"/>
          <w:sz w:val="18"/>
          <w:szCs w:val="18"/>
          <w:color w:val="auto"/>
        </w:rPr>
        <w:t xml:space="preserve">”). The Company agrees that, as between the Company and the Secondary Indemnitor, the Company is primarily responsible for amounts required to be indemnified or advanced under the Company’s certificate of incorporation or bylaws or this Agreement and any obligation of the Secondary Indemnitor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 with respect to the liabilities for which the Company is primarily responsible under this Section 15. In the event of any payment by the Secondary Indemnitor of amounts otherwise required to be indemnified or advanced by the Company under the Company’s certificate of incorporation or bylaws or this Agreement, the Secondary Indemnitor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foregoing sentence will be deemed void if and to the extent that it would violate any applicable insurance policy. The Secondary Indemnitor is an express third-party beneficiary of the terms of this Section 15.]</w:t>
      </w:r>
    </w:p>
    <w:p>
      <w:pPr>
        <w:spacing w:after="0" w:line="165" w:lineRule="exact"/>
        <w:rPr>
          <w:rFonts w:ascii="Arial" w:cs="Arial" w:eastAsia="Arial" w:hAnsi="Arial"/>
          <w:sz w:val="18"/>
          <w:szCs w:val="18"/>
          <w:color w:val="auto"/>
        </w:rPr>
      </w:pPr>
    </w:p>
    <w:p>
      <w:pPr>
        <w:jc w:val="both"/>
        <w:ind w:firstLine="872"/>
        <w:spacing w:after="0" w:line="272" w:lineRule="auto"/>
        <w:tabs>
          <w:tab w:leader="none" w:pos="1759" w:val="left"/>
        </w:tabs>
        <w:numPr>
          <w:ilvl w:val="0"/>
          <w:numId w:val="261"/>
        </w:numPr>
        <w:rPr>
          <w:rFonts w:ascii="Arial" w:cs="Arial" w:eastAsia="Arial" w:hAnsi="Arial"/>
          <w:sz w:val="19"/>
          <w:szCs w:val="19"/>
          <w:color w:val="auto"/>
        </w:rPr>
      </w:pPr>
      <w:r>
        <w:rPr>
          <w:rFonts w:ascii="Arial" w:cs="Arial" w:eastAsia="Arial" w:hAnsi="Arial"/>
          <w:sz w:val="19"/>
          <w:szCs w:val="19"/>
          <w:b w:val="1"/>
          <w:bCs w:val="1"/>
          <w:color w:val="auto"/>
        </w:rPr>
        <w:t xml:space="preserve">No Duplication of Payments. </w:t>
      </w:r>
      <w:r>
        <w:rPr>
          <w:rFonts w:ascii="Arial" w:cs="Arial" w:eastAsia="Arial" w:hAnsi="Arial"/>
          <w:sz w:val="19"/>
          <w:szCs w:val="19"/>
          <w:color w:val="auto"/>
        </w:rPr>
        <w:t>The Company shall not be liable under this Agreement to make any payment of</w:t>
      </w:r>
      <w:r>
        <w:rPr>
          <w:rFonts w:ascii="Arial" w:cs="Arial" w:eastAsia="Arial" w:hAnsi="Arial"/>
          <w:sz w:val="19"/>
          <w:szCs w:val="19"/>
          <w:b w:val="1"/>
          <w:bCs w:val="1"/>
          <w:color w:val="auto"/>
        </w:rPr>
        <w:t xml:space="preserve"> </w:t>
      </w:r>
      <w:r>
        <w:rPr>
          <w:rFonts w:ascii="Arial" w:cs="Arial" w:eastAsia="Arial" w:hAnsi="Arial"/>
          <w:sz w:val="19"/>
          <w:szCs w:val="19"/>
          <w:color w:val="auto"/>
        </w:rPr>
        <w:t>amounts otherwise indemnifiable hereunder (or for which advancement is provided hereunder) if and to the extent that Indemnitee has otherwise actually received payment for such amounts under any insurance policy, contract, agreement or otherwise.</w:t>
      </w:r>
    </w:p>
    <w:p>
      <w:pPr>
        <w:spacing w:after="0" w:line="161" w:lineRule="exact"/>
        <w:rPr>
          <w:rFonts w:ascii="Arial" w:cs="Arial" w:eastAsia="Arial" w:hAnsi="Arial"/>
          <w:sz w:val="19"/>
          <w:szCs w:val="19"/>
          <w:color w:val="auto"/>
        </w:rPr>
      </w:pPr>
    </w:p>
    <w:p>
      <w:pPr>
        <w:jc w:val="both"/>
        <w:ind w:firstLine="872"/>
        <w:spacing w:after="0" w:line="248" w:lineRule="auto"/>
        <w:tabs>
          <w:tab w:leader="none" w:pos="1759" w:val="left"/>
        </w:tabs>
        <w:numPr>
          <w:ilvl w:val="0"/>
          <w:numId w:val="261"/>
        </w:numPr>
        <w:rPr>
          <w:rFonts w:ascii="Arial" w:cs="Arial" w:eastAsia="Arial" w:hAnsi="Arial"/>
          <w:sz w:val="20"/>
          <w:szCs w:val="20"/>
          <w:color w:val="auto"/>
        </w:rPr>
      </w:pPr>
      <w:r>
        <w:rPr>
          <w:rFonts w:ascii="Arial" w:cs="Arial" w:eastAsia="Arial" w:hAnsi="Arial"/>
          <w:sz w:val="20"/>
          <w:szCs w:val="20"/>
          <w:b w:val="1"/>
          <w:bCs w:val="1"/>
          <w:color w:val="auto"/>
        </w:rPr>
        <w:t xml:space="preserve">Insurance. </w:t>
      </w:r>
      <w:r>
        <w:rPr>
          <w:rFonts w:ascii="Arial" w:cs="Arial" w:eastAsia="Arial" w:hAnsi="Arial"/>
          <w:sz w:val="20"/>
          <w:szCs w:val="20"/>
          <w:color w:val="auto"/>
        </w:rPr>
        <w:t>To the extent that the Company maintains an insurance policy or policies providing liability insurance for</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directors, trustees, general partners, managing members, officers, employees, agents or fiduciaries of the Company or any other Enterprise, Indemnitee shall be covered by such policy or policies to the same extent as the most favorably-insured persons under such policy or policies in a comparable position.</w:t>
      </w:r>
    </w:p>
    <w:p>
      <w:pPr>
        <w:spacing w:after="0" w:line="183" w:lineRule="exact"/>
        <w:rPr>
          <w:rFonts w:ascii="Arial" w:cs="Arial" w:eastAsia="Arial" w:hAnsi="Arial"/>
          <w:sz w:val="20"/>
          <w:szCs w:val="20"/>
          <w:color w:val="auto"/>
        </w:rPr>
      </w:pPr>
    </w:p>
    <w:p>
      <w:pPr>
        <w:jc w:val="both"/>
        <w:ind w:right="20" w:firstLine="872"/>
        <w:spacing w:after="0" w:line="294" w:lineRule="auto"/>
        <w:tabs>
          <w:tab w:leader="none" w:pos="1759" w:val="left"/>
        </w:tabs>
        <w:numPr>
          <w:ilvl w:val="0"/>
          <w:numId w:val="261"/>
        </w:numPr>
        <w:rPr>
          <w:rFonts w:ascii="Arial" w:cs="Arial" w:eastAsia="Arial" w:hAnsi="Arial"/>
          <w:sz w:val="18"/>
          <w:szCs w:val="18"/>
          <w:color w:val="auto"/>
        </w:rPr>
      </w:pPr>
      <w:r>
        <w:rPr>
          <w:rFonts w:ascii="Arial" w:cs="Arial" w:eastAsia="Arial" w:hAnsi="Arial"/>
          <w:sz w:val="18"/>
          <w:szCs w:val="18"/>
          <w:b w:val="1"/>
          <w:bCs w:val="1"/>
          <w:color w:val="auto"/>
        </w:rPr>
        <w:t xml:space="preserve">Subrogation. </w:t>
      </w:r>
      <w:r>
        <w:rPr>
          <w:rFonts w:ascii="Arial" w:cs="Arial" w:eastAsia="Arial" w:hAnsi="Arial"/>
          <w:sz w:val="18"/>
          <w:szCs w:val="18"/>
          <w:color w:val="auto"/>
        </w:rPr>
        <w:t>In the event of any payment under this Agreement, the Company shall be subrogated to the extent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43" w:lineRule="exact"/>
        <w:rPr>
          <w:rFonts w:ascii="Arial" w:cs="Arial" w:eastAsia="Arial" w:hAnsi="Arial"/>
          <w:sz w:val="18"/>
          <w:szCs w:val="18"/>
          <w:color w:val="auto"/>
        </w:rPr>
      </w:pPr>
    </w:p>
    <w:p>
      <w:pPr>
        <w:jc w:val="both"/>
        <w:ind w:firstLine="872"/>
        <w:spacing w:after="0" w:line="254" w:lineRule="auto"/>
        <w:tabs>
          <w:tab w:leader="none" w:pos="1759" w:val="left"/>
        </w:tabs>
        <w:numPr>
          <w:ilvl w:val="0"/>
          <w:numId w:val="261"/>
        </w:numPr>
        <w:rPr>
          <w:rFonts w:ascii="Arial" w:cs="Arial" w:eastAsia="Arial" w:hAnsi="Arial"/>
          <w:sz w:val="19"/>
          <w:szCs w:val="19"/>
          <w:color w:val="auto"/>
        </w:rPr>
      </w:pPr>
      <w:r>
        <w:rPr>
          <w:rFonts w:ascii="Arial" w:cs="Arial" w:eastAsia="Arial" w:hAnsi="Arial"/>
          <w:sz w:val="19"/>
          <w:szCs w:val="19"/>
          <w:b w:val="1"/>
          <w:bCs w:val="1"/>
          <w:color w:val="auto"/>
        </w:rPr>
        <w:t xml:space="preserve">Services to the Company. </w:t>
      </w:r>
      <w:r>
        <w:rPr>
          <w:rFonts w:ascii="Arial" w:cs="Arial" w:eastAsia="Arial" w:hAnsi="Arial"/>
          <w:sz w:val="19"/>
          <w:szCs w:val="19"/>
          <w:color w:val="auto"/>
        </w:rPr>
        <w:t>Indemnitee agrees to serve as a director or officer of the Company or, at the request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as a director, trustee, general partner, managing member, officer, employee, agent or 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any employment with the Company (or any of its subsidiaries or any Enterprise) is at will, and Indemnitee may be discharged at any time for any reason, with or without cause, with or without notice, except as may be otherwise expressly provided in any executed, written employment contract between Indemnitee and the Company (or any of its subsidiaries or any Enterprise), any existing formal severance policies adopted by the Company’s board of directors or, with respect to service as a director or officer of the Company, the Company’s certificate of incorporation or bylaws or the DGCL. No such document shall be subject to any oral modification thereof.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13" w:name="page314"/>
    <w:bookmarkEnd w:id="313"/>
    <w:p>
      <w:pPr>
        <w:jc w:val="both"/>
        <w:ind w:firstLine="872"/>
        <w:spacing w:after="0" w:line="262" w:lineRule="auto"/>
        <w:tabs>
          <w:tab w:leader="none" w:pos="1759" w:val="left"/>
        </w:tabs>
        <w:numPr>
          <w:ilvl w:val="0"/>
          <w:numId w:val="262"/>
        </w:numPr>
        <w:rPr>
          <w:rFonts w:ascii="Arial" w:cs="Arial" w:eastAsia="Arial" w:hAnsi="Arial"/>
          <w:sz w:val="19"/>
          <w:szCs w:val="19"/>
          <w:color w:val="auto"/>
        </w:rPr>
      </w:pPr>
      <w:r>
        <w:rPr>
          <w:rFonts w:ascii="Arial" w:cs="Arial" w:eastAsia="Arial" w:hAnsi="Arial"/>
          <w:sz w:val="19"/>
          <w:szCs w:val="19"/>
          <w:b w:val="1"/>
          <w:bCs w:val="1"/>
          <w:color w:val="auto"/>
        </w:rPr>
        <w:t xml:space="preserve">Duration. </w:t>
      </w:r>
      <w:r>
        <w:rPr>
          <w:rFonts w:ascii="Arial" w:cs="Arial" w:eastAsia="Arial" w:hAnsi="Arial"/>
          <w:sz w:val="19"/>
          <w:szCs w:val="19"/>
          <w:color w:val="auto"/>
        </w:rPr>
        <w:t>This Agreement shall continue until and terminate upon the later of (a) ten years after the date that</w:t>
      </w:r>
      <w:r>
        <w:rPr>
          <w:rFonts w:ascii="Arial" w:cs="Arial" w:eastAsia="Arial" w:hAnsi="Arial"/>
          <w:sz w:val="19"/>
          <w:szCs w:val="19"/>
          <w:b w:val="1"/>
          <w:bCs w:val="1"/>
          <w:color w:val="auto"/>
        </w:rPr>
        <w:t xml:space="preserve"> </w:t>
      </w:r>
      <w:r>
        <w:rPr>
          <w:rFonts w:ascii="Arial" w:cs="Arial" w:eastAsia="Arial" w:hAnsi="Arial"/>
          <w:sz w:val="19"/>
          <w:szCs w:val="19"/>
          <w:color w:val="auto"/>
        </w:rPr>
        <w:t>Indemnitee shall have ceased to serve as a director or officer of the Company or as a director, trustee, general partner, managing member, officer, employee, agent or fiduciary of any other Enterprise, as applicable; or (b) one year after the final termination of any Proceeding, including any appeal, then pending in respect of which Indemnitee is granted rights of indemnification or advancement of Expenses hereunder and of any proceeding commenced by Indemnitee pursuant to Section 12 of this Agreement relating thereto.</w:t>
      </w:r>
    </w:p>
    <w:p>
      <w:pPr>
        <w:spacing w:after="0" w:line="170" w:lineRule="exact"/>
        <w:rPr>
          <w:rFonts w:ascii="Arial" w:cs="Arial" w:eastAsia="Arial" w:hAnsi="Arial"/>
          <w:sz w:val="19"/>
          <w:szCs w:val="19"/>
          <w:color w:val="auto"/>
        </w:rPr>
      </w:pPr>
    </w:p>
    <w:p>
      <w:pPr>
        <w:jc w:val="both"/>
        <w:ind w:firstLine="872"/>
        <w:spacing w:after="0" w:line="260" w:lineRule="auto"/>
        <w:tabs>
          <w:tab w:leader="none" w:pos="1759" w:val="left"/>
        </w:tabs>
        <w:numPr>
          <w:ilvl w:val="0"/>
          <w:numId w:val="262"/>
        </w:numPr>
        <w:rPr>
          <w:rFonts w:ascii="Arial" w:cs="Arial" w:eastAsia="Arial" w:hAnsi="Arial"/>
          <w:sz w:val="19"/>
          <w:szCs w:val="19"/>
          <w:color w:val="auto"/>
        </w:rPr>
      </w:pPr>
      <w:r>
        <w:rPr>
          <w:rFonts w:ascii="Arial" w:cs="Arial" w:eastAsia="Arial" w:hAnsi="Arial"/>
          <w:sz w:val="19"/>
          <w:szCs w:val="19"/>
          <w:b w:val="1"/>
          <w:bCs w:val="1"/>
          <w:color w:val="auto"/>
        </w:rPr>
        <w:t xml:space="preserve">Successors. </w:t>
      </w:r>
      <w:r>
        <w:rPr>
          <w:rFonts w:ascii="Arial" w:cs="Arial" w:eastAsia="Arial" w:hAnsi="Arial"/>
          <w:sz w:val="19"/>
          <w:szCs w:val="19"/>
          <w:color w:val="auto"/>
        </w:rPr>
        <w:t>This Agreement shall be binding upon the Company and its successors and assigns, including any direct or</w:t>
      </w:r>
      <w:r>
        <w:rPr>
          <w:rFonts w:ascii="Arial" w:cs="Arial" w:eastAsia="Arial" w:hAnsi="Arial"/>
          <w:sz w:val="19"/>
          <w:szCs w:val="19"/>
          <w:b w:val="1"/>
          <w:bCs w:val="1"/>
          <w:color w:val="auto"/>
        </w:rPr>
        <w:t xml:space="preserve"> </w:t>
      </w:r>
      <w:r>
        <w:rPr>
          <w:rFonts w:ascii="Arial" w:cs="Arial" w:eastAsia="Arial" w:hAnsi="Arial"/>
          <w:sz w:val="19"/>
          <w:szCs w:val="19"/>
          <w:color w:val="auto"/>
        </w:rPr>
        <w:t>indirect successor, by purchase, merger, consolidation or otherwise, to all or substantially all of the business or assets of the Company, and shall inure to the benefit of Indemnitee and Indemnitee’s heirs, executors and administrators. The Company shall require and cause any successor (whether direct or indirect by purchase, merger, consolidation or otherwise) to all or substantially all of the business or assets of the Company, by written agreement, expressly to assume and agree to perform this Agreement in the same manner and to the same extent that the Company would be required to perform if no such succession had taken place.</w:t>
      </w:r>
    </w:p>
    <w:p>
      <w:pPr>
        <w:spacing w:after="0" w:line="172" w:lineRule="exact"/>
        <w:rPr>
          <w:rFonts w:ascii="Arial" w:cs="Arial" w:eastAsia="Arial" w:hAnsi="Arial"/>
          <w:sz w:val="19"/>
          <w:szCs w:val="19"/>
          <w:color w:val="auto"/>
        </w:rPr>
      </w:pPr>
    </w:p>
    <w:p>
      <w:pPr>
        <w:jc w:val="both"/>
        <w:ind w:firstLine="872"/>
        <w:spacing w:after="0" w:line="256" w:lineRule="auto"/>
        <w:tabs>
          <w:tab w:leader="none" w:pos="1759" w:val="left"/>
        </w:tabs>
        <w:numPr>
          <w:ilvl w:val="0"/>
          <w:numId w:val="262"/>
        </w:numPr>
        <w:rPr>
          <w:rFonts w:ascii="Arial" w:cs="Arial" w:eastAsia="Arial" w:hAnsi="Arial"/>
          <w:sz w:val="19"/>
          <w:szCs w:val="19"/>
          <w:color w:val="auto"/>
        </w:rPr>
      </w:pPr>
      <w:r>
        <w:rPr>
          <w:rFonts w:ascii="Arial" w:cs="Arial" w:eastAsia="Arial" w:hAnsi="Arial"/>
          <w:sz w:val="19"/>
          <w:szCs w:val="19"/>
          <w:b w:val="1"/>
          <w:bCs w:val="1"/>
          <w:color w:val="auto"/>
        </w:rPr>
        <w:t xml:space="preserve">Severability. </w:t>
      </w:r>
      <w:r>
        <w:rPr>
          <w:rFonts w:ascii="Arial" w:cs="Arial" w:eastAsia="Arial" w:hAnsi="Arial"/>
          <w:sz w:val="19"/>
          <w:szCs w:val="19"/>
          <w:color w:val="auto"/>
        </w:rPr>
        <w:t>Nothing in this Agreement is intended to require or shall be construed as requiring the Company to do or</w:t>
      </w:r>
      <w:r>
        <w:rPr>
          <w:rFonts w:ascii="Arial" w:cs="Arial" w:eastAsia="Arial" w:hAnsi="Arial"/>
          <w:sz w:val="19"/>
          <w:szCs w:val="19"/>
          <w:b w:val="1"/>
          <w:bCs w:val="1"/>
          <w:color w:val="auto"/>
        </w:rPr>
        <w:t xml:space="preserve"> </w:t>
      </w:r>
      <w:r>
        <w:rPr>
          <w:rFonts w:ascii="Arial" w:cs="Arial" w:eastAsia="Arial" w:hAnsi="Arial"/>
          <w:sz w:val="19"/>
          <w:szCs w:val="19"/>
          <w:color w:val="auto"/>
        </w:rPr>
        <w:t>fail to do any act in violation of applicable law. The Company’s inability, pursuant to court order or other applicable law, to perform its obligations under this Agreement shall not constitute a breach of this Agreement. If any provision or provisions of this Agreement shall be held to be invalid, illegal or unenforceable for any reason whatsoever: (i)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76" w:lineRule="exact"/>
        <w:rPr>
          <w:rFonts w:ascii="Arial" w:cs="Arial" w:eastAsia="Arial" w:hAnsi="Arial"/>
          <w:sz w:val="19"/>
          <w:szCs w:val="19"/>
          <w:color w:val="auto"/>
        </w:rPr>
      </w:pPr>
    </w:p>
    <w:p>
      <w:pPr>
        <w:jc w:val="both"/>
        <w:ind w:firstLine="872"/>
        <w:spacing w:after="0" w:line="272" w:lineRule="auto"/>
        <w:tabs>
          <w:tab w:leader="none" w:pos="1759" w:val="left"/>
        </w:tabs>
        <w:numPr>
          <w:ilvl w:val="0"/>
          <w:numId w:val="262"/>
        </w:numPr>
        <w:rPr>
          <w:rFonts w:ascii="Arial" w:cs="Arial" w:eastAsia="Arial" w:hAnsi="Arial"/>
          <w:sz w:val="19"/>
          <w:szCs w:val="19"/>
          <w:color w:val="auto"/>
        </w:rPr>
      </w:pPr>
      <w:r>
        <w:rPr>
          <w:rFonts w:ascii="Arial" w:cs="Arial" w:eastAsia="Arial" w:hAnsi="Arial"/>
          <w:sz w:val="19"/>
          <w:szCs w:val="19"/>
          <w:b w:val="1"/>
          <w:bCs w:val="1"/>
          <w:color w:val="auto"/>
        </w:rPr>
        <w:t xml:space="preserve">Enforcement. </w:t>
      </w:r>
      <w:r>
        <w:rPr>
          <w:rFonts w:ascii="Arial" w:cs="Arial" w:eastAsia="Arial" w:hAnsi="Arial"/>
          <w:sz w:val="19"/>
          <w:szCs w:val="19"/>
          <w:color w:val="auto"/>
        </w:rPr>
        <w:t>The Company expressly confirms and agrees that it has entered into this Agreement and assumed the</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imposed on it hereby in order to induce Indemnitee to serve as a director or officer of the Company, and the Company acknowledges that Indemnitee is relying upon this Agreement in serving as a director or officer of the Company.</w:t>
      </w:r>
    </w:p>
    <w:p>
      <w:pPr>
        <w:spacing w:after="0" w:line="161" w:lineRule="exact"/>
        <w:rPr>
          <w:rFonts w:ascii="Arial" w:cs="Arial" w:eastAsia="Arial" w:hAnsi="Arial"/>
          <w:sz w:val="19"/>
          <w:szCs w:val="19"/>
          <w:color w:val="auto"/>
        </w:rPr>
      </w:pPr>
    </w:p>
    <w:p>
      <w:pPr>
        <w:jc w:val="both"/>
        <w:ind w:firstLine="872"/>
        <w:spacing w:after="0" w:line="248" w:lineRule="auto"/>
        <w:tabs>
          <w:tab w:leader="none" w:pos="1759" w:val="left"/>
        </w:tabs>
        <w:numPr>
          <w:ilvl w:val="0"/>
          <w:numId w:val="262"/>
        </w:numPr>
        <w:rPr>
          <w:rFonts w:ascii="Arial" w:cs="Arial" w:eastAsia="Arial" w:hAnsi="Arial"/>
          <w:sz w:val="20"/>
          <w:szCs w:val="20"/>
          <w:color w:val="auto"/>
        </w:rPr>
      </w:pPr>
      <w:r>
        <w:rPr>
          <w:rFonts w:ascii="Arial" w:cs="Arial" w:eastAsia="Arial" w:hAnsi="Arial"/>
          <w:sz w:val="20"/>
          <w:szCs w:val="20"/>
          <w:b w:val="1"/>
          <w:bCs w:val="1"/>
          <w:color w:val="auto"/>
        </w:rPr>
        <w:t xml:space="preserve">Entire Agreement. </w:t>
      </w:r>
      <w:r>
        <w:rPr>
          <w:rFonts w:ascii="Arial" w:cs="Arial" w:eastAsia="Arial" w:hAnsi="Arial"/>
          <w:sz w:val="20"/>
          <w:szCs w:val="20"/>
          <w:color w:val="auto"/>
        </w:rPr>
        <w:t>This Agreement constitutes the entire agreement between the parties hereto with respect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subject matter hereof and supersedes all prior agreements and understandings, oral, written and implied, between the parties hereto with respect to the subject matter 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this Agreement is a supplement to and in furtherance of the Company’s certificate of incorporation and bylaws and applicable law.</w:t>
      </w:r>
    </w:p>
    <w:p>
      <w:pPr>
        <w:spacing w:after="0" w:line="183" w:lineRule="exact"/>
        <w:rPr>
          <w:rFonts w:ascii="Arial" w:cs="Arial" w:eastAsia="Arial" w:hAnsi="Arial"/>
          <w:sz w:val="20"/>
          <w:szCs w:val="20"/>
          <w:color w:val="auto"/>
        </w:rPr>
      </w:pPr>
    </w:p>
    <w:p>
      <w:pPr>
        <w:jc w:val="both"/>
        <w:ind w:firstLine="872"/>
        <w:spacing w:after="0" w:line="244" w:lineRule="auto"/>
        <w:tabs>
          <w:tab w:leader="none" w:pos="1759" w:val="left"/>
        </w:tabs>
        <w:numPr>
          <w:ilvl w:val="0"/>
          <w:numId w:val="262"/>
        </w:numPr>
        <w:rPr>
          <w:rFonts w:ascii="Arial" w:cs="Arial" w:eastAsia="Arial" w:hAnsi="Arial"/>
          <w:sz w:val="20"/>
          <w:szCs w:val="20"/>
          <w:color w:val="auto"/>
        </w:rPr>
      </w:pPr>
      <w:r>
        <w:rPr>
          <w:rFonts w:ascii="Arial" w:cs="Arial" w:eastAsia="Arial" w:hAnsi="Arial"/>
          <w:sz w:val="20"/>
          <w:szCs w:val="20"/>
          <w:b w:val="1"/>
          <w:bCs w:val="1"/>
          <w:color w:val="auto"/>
        </w:rPr>
        <w:t xml:space="preserve">Modification and Waiver. </w:t>
      </w:r>
      <w:r>
        <w:rPr>
          <w:rFonts w:ascii="Arial" w:cs="Arial" w:eastAsia="Arial" w:hAnsi="Arial"/>
          <w:sz w:val="20"/>
          <w:szCs w:val="20"/>
          <w:color w:val="auto"/>
        </w:rPr>
        <w:t>No supplement, modification or amendment to this Agreement shall be binding unless</w:t>
      </w:r>
      <w:r>
        <w:rPr>
          <w:rFonts w:ascii="Arial" w:cs="Arial" w:eastAsia="Arial" w:hAnsi="Arial"/>
          <w:sz w:val="20"/>
          <w:szCs w:val="20"/>
          <w:b w:val="1"/>
          <w:bCs w:val="1"/>
          <w:color w:val="auto"/>
        </w:rPr>
        <w:t xml:space="preserve"> </w:t>
      </w:r>
      <w:r>
        <w:rPr>
          <w:rFonts w:ascii="Arial" w:cs="Arial" w:eastAsia="Arial" w:hAnsi="Arial"/>
          <w:sz w:val="20"/>
          <w:szCs w:val="20"/>
          <w:color w:val="auto"/>
        </w:rPr>
        <w:t>executed in writing by the parties hereto. No amendment, alteration or repeal of this Agreement shall adversely affect any right of Indemnitee under this Agreement in respect of any action taken or omitted by such Indemnitee in his or her Corporate Status prior to such amendment, alteration or repeal. No waiver of any of the provisions of this Agreement shall constitute or be deemed a waiver of any other provision of this Agreement nor shall any waiver constitute a continuing waiver.</w:t>
      </w: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14" w:name="page315"/>
    <w:bookmarkEnd w:id="314"/>
    <w:p>
      <w:pPr>
        <w:jc w:val="both"/>
        <w:ind w:firstLine="872"/>
        <w:spacing w:after="0" w:line="253" w:lineRule="auto"/>
        <w:tabs>
          <w:tab w:leader="none" w:pos="1759" w:val="left"/>
        </w:tabs>
        <w:numPr>
          <w:ilvl w:val="0"/>
          <w:numId w:val="263"/>
        </w:numPr>
        <w:rPr>
          <w:rFonts w:ascii="Arial" w:cs="Arial" w:eastAsia="Arial" w:hAnsi="Arial"/>
          <w:sz w:val="20"/>
          <w:szCs w:val="20"/>
          <w:color w:val="auto"/>
        </w:rPr>
      </w:pPr>
      <w:r>
        <w:rPr>
          <w:rFonts w:ascii="Arial" w:cs="Arial" w:eastAsia="Arial" w:hAnsi="Arial"/>
          <w:sz w:val="20"/>
          <w:szCs w:val="20"/>
          <w:b w:val="1"/>
          <w:bCs w:val="1"/>
          <w:color w:val="auto"/>
        </w:rPr>
        <w:t xml:space="preserve">Notices. </w:t>
      </w:r>
      <w:r>
        <w:rPr>
          <w:rFonts w:ascii="Arial" w:cs="Arial" w:eastAsia="Arial" w:hAnsi="Arial"/>
          <w:sz w:val="20"/>
          <w:szCs w:val="20"/>
          <w:color w:val="auto"/>
        </w:rPr>
        <w:t>All notices and other communications required or permitted hereunder shall be in writing and shall be mailed</w:t>
      </w:r>
      <w:r>
        <w:rPr>
          <w:rFonts w:ascii="Arial" w:cs="Arial" w:eastAsia="Arial" w:hAnsi="Arial"/>
          <w:sz w:val="20"/>
          <w:szCs w:val="20"/>
          <w:b w:val="1"/>
          <w:bCs w:val="1"/>
          <w:color w:val="auto"/>
        </w:rPr>
        <w:t xml:space="preserve"> </w:t>
      </w:r>
      <w:r>
        <w:rPr>
          <w:rFonts w:ascii="Arial" w:cs="Arial" w:eastAsia="Arial" w:hAnsi="Arial"/>
          <w:sz w:val="20"/>
          <w:szCs w:val="20"/>
          <w:color w:val="auto"/>
        </w:rPr>
        <w:t>by registered or certified mail, postage prepaid, sent by facsimile or electronic mail or otherwise delivered by hand, messenger or courier service addressed:</w:t>
      </w:r>
    </w:p>
    <w:p>
      <w:pPr>
        <w:spacing w:after="0" w:line="183" w:lineRule="exact"/>
        <w:rPr>
          <w:rFonts w:ascii="Arial" w:cs="Arial" w:eastAsia="Arial" w:hAnsi="Arial"/>
          <w:sz w:val="20"/>
          <w:szCs w:val="20"/>
          <w:color w:val="auto"/>
        </w:rPr>
      </w:pPr>
    </w:p>
    <w:p>
      <w:pPr>
        <w:ind w:firstLine="1735"/>
        <w:spacing w:after="0" w:line="287" w:lineRule="auto"/>
        <w:tabs>
          <w:tab w:leader="none" w:pos="2595" w:val="left"/>
        </w:tabs>
        <w:numPr>
          <w:ilvl w:val="1"/>
          <w:numId w:val="263"/>
        </w:numPr>
        <w:rPr>
          <w:rFonts w:ascii="Arial" w:cs="Arial" w:eastAsia="Arial" w:hAnsi="Arial"/>
          <w:sz w:val="19"/>
          <w:szCs w:val="19"/>
          <w:color w:val="auto"/>
        </w:rPr>
      </w:pPr>
      <w:r>
        <w:rPr>
          <w:rFonts w:ascii="Arial" w:cs="Arial" w:eastAsia="Arial" w:hAnsi="Arial"/>
          <w:sz w:val="19"/>
          <w:szCs w:val="19"/>
          <w:color w:val="auto"/>
        </w:rPr>
        <w:t>if to Indemnitee, to Indemnitee’s address, facsimile number or electronic mail address as shown on the signature page of this Agreement or in the Company’s records, as may be updated in accordance with the provisions hereof; or</w:t>
      </w:r>
    </w:p>
    <w:p>
      <w:pPr>
        <w:spacing w:after="0" w:line="152" w:lineRule="exact"/>
        <w:rPr>
          <w:rFonts w:ascii="Arial" w:cs="Arial" w:eastAsia="Arial" w:hAnsi="Arial"/>
          <w:sz w:val="19"/>
          <w:szCs w:val="19"/>
          <w:color w:val="auto"/>
        </w:rPr>
      </w:pPr>
    </w:p>
    <w:p>
      <w:pPr>
        <w:ind w:left="2620" w:hanging="885"/>
        <w:spacing w:after="0"/>
        <w:tabs>
          <w:tab w:leader="none" w:pos="262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if to the Company, to the attention of the Chief Executive Officer or Chief Financial Officer of the Company</w:t>
      </w:r>
    </w:p>
    <w:p>
      <w:pPr>
        <w:spacing w:after="0" w:line="38" w:lineRule="exact"/>
        <w:rPr>
          <w:rFonts w:ascii="Arial" w:cs="Arial" w:eastAsia="Arial" w:hAnsi="Arial"/>
          <w:sz w:val="18"/>
          <w:szCs w:val="18"/>
          <w:color w:val="auto"/>
        </w:rPr>
      </w:pPr>
    </w:p>
    <w:p>
      <w:pPr>
        <w:jc w:val="both"/>
        <w:spacing w:after="0" w:line="241" w:lineRule="auto"/>
        <w:rPr>
          <w:rFonts w:ascii="Arial" w:cs="Arial" w:eastAsia="Arial" w:hAnsi="Arial"/>
          <w:sz w:val="18"/>
          <w:szCs w:val="18"/>
          <w:color w:val="auto"/>
        </w:rPr>
      </w:pPr>
      <w:r>
        <w:rPr>
          <w:rFonts w:ascii="Arial" w:cs="Arial" w:eastAsia="Arial" w:hAnsi="Arial"/>
          <w:sz w:val="20"/>
          <w:szCs w:val="20"/>
          <w:color w:val="auto"/>
        </w:rPr>
        <w:t>at [ ], or at such other current address as the Company shall have furnished to Indemnitee, with a copy (which shall not constitute notice) to Michael Nordtvedt and Bryan King, Wilson Sonsini Goodrich &amp; Rosati, P.C., 701 Fifth Avenue, Suite 5100, Seattle, WA 98104-7036.</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Each such notice or other communication shall for all purposes of this Agreement be treated as effective or having been given</w:t>
      </w:r>
    </w:p>
    <w:p>
      <w:pPr>
        <w:spacing w:after="0" w:line="39" w:lineRule="exact"/>
        <w:rPr>
          <w:sz w:val="20"/>
          <w:szCs w:val="20"/>
          <w:color w:val="auto"/>
        </w:rPr>
      </w:pPr>
    </w:p>
    <w:p>
      <w:pPr>
        <w:jc w:val="both"/>
        <w:ind w:firstLine="8"/>
        <w:spacing w:after="0" w:line="255" w:lineRule="auto"/>
        <w:tabs>
          <w:tab w:leader="none" w:pos="238" w:val="left"/>
        </w:tabs>
        <w:numPr>
          <w:ilvl w:val="0"/>
          <w:numId w:val="264"/>
        </w:numPr>
        <w:rPr>
          <w:rFonts w:ascii="Arial" w:cs="Arial" w:eastAsia="Arial" w:hAnsi="Arial"/>
          <w:sz w:val="19"/>
          <w:szCs w:val="19"/>
          <w:color w:val="auto"/>
        </w:rPr>
      </w:pPr>
      <w:r>
        <w:rPr>
          <w:rFonts w:ascii="Arial" w:cs="Arial" w:eastAsia="Arial" w:hAnsi="Arial"/>
          <w:sz w:val="19"/>
          <w:szCs w:val="19"/>
          <w:color w:val="auto"/>
        </w:rPr>
        <w:t xml:space="preserve">if delivered by hand, messenger or courier service, when delivered (or if sent </w:t>
      </w:r>
      <w:r>
        <w:rPr>
          <w:rFonts w:ascii="Arial" w:cs="Arial" w:eastAsia="Arial" w:hAnsi="Arial"/>
          <w:sz w:val="19"/>
          <w:szCs w:val="19"/>
          <w:i w:val="1"/>
          <w:iCs w:val="1"/>
          <w:color w:val="auto"/>
        </w:rPr>
        <w:t>via</w:t>
      </w:r>
      <w:r>
        <w:rPr>
          <w:rFonts w:ascii="Arial" w:cs="Arial" w:eastAsia="Arial" w:hAnsi="Arial"/>
          <w:sz w:val="19"/>
          <w:szCs w:val="19"/>
          <w:color w:val="auto"/>
        </w:rPr>
        <w:t xml:space="preserve"> a nationally-recognized overnight courier service, freight prepaid, specifying next-business-day delivery, one business day after deposit with the courier), (ii) if sent </w:t>
      </w:r>
      <w:r>
        <w:rPr>
          <w:rFonts w:ascii="Arial" w:cs="Arial" w:eastAsia="Arial" w:hAnsi="Arial"/>
          <w:sz w:val="19"/>
          <w:szCs w:val="19"/>
          <w:i w:val="1"/>
          <w:iCs w:val="1"/>
          <w:color w:val="auto"/>
        </w:rPr>
        <w:t>via</w:t>
      </w:r>
      <w:r>
        <w:rPr>
          <w:rFonts w:ascii="Arial" w:cs="Arial" w:eastAsia="Arial" w:hAnsi="Arial"/>
          <w:sz w:val="19"/>
          <w:szCs w:val="19"/>
          <w:color w:val="auto"/>
        </w:rPr>
        <w:t xml:space="preserve"> mail, at the earlier of its receipt or five days after the same has been deposited in a regularly-maintained receptacle for the deposit of the United States mail, addressed and mailed as aforesaid, or (iii) if sent </w:t>
      </w:r>
      <w:r>
        <w:rPr>
          <w:rFonts w:ascii="Arial" w:cs="Arial" w:eastAsia="Arial" w:hAnsi="Arial"/>
          <w:sz w:val="19"/>
          <w:szCs w:val="19"/>
          <w:i w:val="1"/>
          <w:iCs w:val="1"/>
          <w:color w:val="auto"/>
        </w:rPr>
        <w:t>via</w:t>
      </w:r>
      <w:r>
        <w:rPr>
          <w:rFonts w:ascii="Arial" w:cs="Arial" w:eastAsia="Arial" w:hAnsi="Arial"/>
          <w:sz w:val="19"/>
          <w:szCs w:val="19"/>
          <w:color w:val="auto"/>
        </w:rPr>
        <w:t xml:space="preserve"> facsimile, upon confirmation of facsimile transfer or, if sent </w:t>
      </w:r>
      <w:r>
        <w:rPr>
          <w:rFonts w:ascii="Arial" w:cs="Arial" w:eastAsia="Arial" w:hAnsi="Arial"/>
          <w:sz w:val="19"/>
          <w:szCs w:val="19"/>
          <w:i w:val="1"/>
          <w:iCs w:val="1"/>
          <w:color w:val="auto"/>
        </w:rPr>
        <w:t>via</w:t>
      </w:r>
      <w:r>
        <w:rPr>
          <w:rFonts w:ascii="Arial" w:cs="Arial" w:eastAsia="Arial" w:hAnsi="Arial"/>
          <w:sz w:val="19"/>
          <w:szCs w:val="19"/>
          <w:color w:val="auto"/>
        </w:rPr>
        <w:t xml:space="preserve"> electronic mail, upon confirmation of delivery when directed to the relevant electronic mail address, if sent during normal business hours of the recipient, or if not sent during normal business hours of the recipient, then on the recipient’s next business day.</w:t>
      </w:r>
    </w:p>
    <w:p>
      <w:pPr>
        <w:spacing w:after="0" w:line="178" w:lineRule="exact"/>
        <w:rPr>
          <w:rFonts w:ascii="Arial" w:cs="Arial" w:eastAsia="Arial" w:hAnsi="Arial"/>
          <w:sz w:val="19"/>
          <w:szCs w:val="19"/>
          <w:color w:val="auto"/>
        </w:rPr>
      </w:pPr>
    </w:p>
    <w:p>
      <w:pPr>
        <w:jc w:val="both"/>
        <w:ind w:firstLine="872"/>
        <w:spacing w:after="0" w:line="310" w:lineRule="auto"/>
        <w:tabs>
          <w:tab w:leader="none" w:pos="1759" w:val="left"/>
        </w:tabs>
        <w:numPr>
          <w:ilvl w:val="1"/>
          <w:numId w:val="264"/>
        </w:numPr>
        <w:rPr>
          <w:rFonts w:ascii="Arial" w:cs="Arial" w:eastAsia="Arial" w:hAnsi="Arial"/>
          <w:sz w:val="16"/>
          <w:szCs w:val="16"/>
          <w:color w:val="auto"/>
        </w:rPr>
      </w:pPr>
      <w:r>
        <w:rPr>
          <w:rFonts w:ascii="Arial" w:cs="Arial" w:eastAsia="Arial" w:hAnsi="Arial"/>
          <w:sz w:val="16"/>
          <w:szCs w:val="16"/>
          <w:b w:val="1"/>
          <w:bCs w:val="1"/>
          <w:color w:val="auto"/>
        </w:rPr>
        <w:t xml:space="preserve">Applicable Law and Consent to Jurisdiction. </w:t>
      </w:r>
      <w:r>
        <w:rPr>
          <w:rFonts w:ascii="Arial" w:cs="Arial" w:eastAsia="Arial" w:hAnsi="Arial"/>
          <w:sz w:val="16"/>
          <w:szCs w:val="16"/>
          <w:color w:val="auto"/>
        </w:rPr>
        <w:t>This Agreement and the legal relations among the parties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of Chancery, and not in any other state or federal court in the United States of America or any court in any other country, (ii) consent to submit to the exclusive jurisdiction of the Delaware Court of Chancery for purposes of any action or proceeding arising out of or in connection with this Agreement, (iii) appoint, to the extent such party is not otherwise subject to service of process in the State of Delaware, Corporation Service Company, 251 Little Falls Drive, in the City of Wilmington, County of New Castle, Delaware 19808, as its agent in the State of Delaware as such party’s agent for acceptance of legal process in connection with any such action or proceeding against such party with the same legal force and validity as if served upon such party personally within the State of Delaware,</w:t>
      </w:r>
    </w:p>
    <w:p>
      <w:pPr>
        <w:spacing w:after="0" w:line="178" w:lineRule="exact"/>
        <w:rPr>
          <w:rFonts w:ascii="Arial" w:cs="Arial" w:eastAsia="Arial" w:hAnsi="Arial"/>
          <w:sz w:val="16"/>
          <w:szCs w:val="16"/>
          <w:color w:val="auto"/>
        </w:rPr>
      </w:pPr>
    </w:p>
    <w:p>
      <w:pPr>
        <w:jc w:val="both"/>
        <w:ind w:firstLine="8"/>
        <w:spacing w:after="0" w:line="241" w:lineRule="auto"/>
        <w:tabs>
          <w:tab w:leader="none" w:pos="336" w:val="left"/>
        </w:tabs>
        <w:numPr>
          <w:ilvl w:val="0"/>
          <w:numId w:val="265"/>
        </w:numPr>
        <w:rPr>
          <w:rFonts w:ascii="Arial" w:cs="Arial" w:eastAsia="Arial" w:hAnsi="Arial"/>
          <w:sz w:val="20"/>
          <w:szCs w:val="20"/>
          <w:color w:val="auto"/>
        </w:rPr>
      </w:pPr>
      <w:r>
        <w:rPr>
          <w:rFonts w:ascii="Arial" w:cs="Arial" w:eastAsia="Arial" w:hAnsi="Arial"/>
          <w:sz w:val="20"/>
          <w:szCs w:val="20"/>
          <w:color w:val="auto"/>
        </w:rPr>
        <w:t>waive any objection to the laying of venue of any such action or proceeding in the Delaware Court of Chancery, and (v) waive, and agree not to plead or to make, any claim that any such action or proceeding brought in the Delaware Court of Chancery has been brought in an improper or inconvenient forum.</w:t>
      </w:r>
    </w:p>
    <w:p>
      <w:pPr>
        <w:spacing w:after="0" w:line="189" w:lineRule="exact"/>
        <w:rPr>
          <w:rFonts w:ascii="Arial" w:cs="Arial" w:eastAsia="Arial" w:hAnsi="Arial"/>
          <w:sz w:val="20"/>
          <w:szCs w:val="20"/>
          <w:color w:val="auto"/>
        </w:rPr>
      </w:pPr>
    </w:p>
    <w:p>
      <w:pPr>
        <w:jc w:val="both"/>
        <w:ind w:firstLine="872"/>
        <w:spacing w:after="0" w:line="246" w:lineRule="auto"/>
        <w:tabs>
          <w:tab w:leader="none" w:pos="1759" w:val="left"/>
        </w:tabs>
        <w:numPr>
          <w:ilvl w:val="1"/>
          <w:numId w:val="265"/>
        </w:numPr>
        <w:rPr>
          <w:rFonts w:ascii="Arial" w:cs="Arial" w:eastAsia="Arial" w:hAnsi="Arial"/>
          <w:sz w:val="20"/>
          <w:szCs w:val="20"/>
          <w:color w:val="auto"/>
        </w:rPr>
      </w:pPr>
      <w:r>
        <w:rPr>
          <w:rFonts w:ascii="Arial" w:cs="Arial" w:eastAsia="Arial" w:hAnsi="Arial"/>
          <w:sz w:val="20"/>
          <w:szCs w:val="20"/>
          <w:b w:val="1"/>
          <w:bCs w:val="1"/>
          <w:color w:val="auto"/>
        </w:rPr>
        <w:t xml:space="preserve">Counterparts. </w:t>
      </w:r>
      <w:r>
        <w:rPr>
          <w:rFonts w:ascii="Arial" w:cs="Arial" w:eastAsia="Arial" w:hAnsi="Arial"/>
          <w:sz w:val="20"/>
          <w:szCs w:val="20"/>
          <w:color w:val="auto"/>
        </w:rPr>
        <w:t>This Agreement may be executed in one or more counterparts, each of which shall for all purposes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to be an original but all of which together shall constitute one and the same Agreement. This Agreement may also be executed and delivered by facsimile signature and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4" w:lineRule="exact"/>
        <w:rPr>
          <w:rFonts w:ascii="Arial" w:cs="Arial" w:eastAsia="Arial" w:hAnsi="Arial"/>
          <w:sz w:val="20"/>
          <w:szCs w:val="20"/>
          <w:color w:val="auto"/>
        </w:rPr>
      </w:pPr>
    </w:p>
    <w:p>
      <w:pPr>
        <w:ind w:firstLine="872"/>
        <w:spacing w:after="0" w:line="267" w:lineRule="auto"/>
        <w:tabs>
          <w:tab w:leader="none" w:pos="1759" w:val="left"/>
        </w:tabs>
        <w:numPr>
          <w:ilvl w:val="1"/>
          <w:numId w:val="265"/>
        </w:numPr>
        <w:rPr>
          <w:rFonts w:ascii="Arial" w:cs="Arial" w:eastAsia="Arial" w:hAnsi="Arial"/>
          <w:sz w:val="20"/>
          <w:szCs w:val="20"/>
          <w:color w:val="auto"/>
        </w:rPr>
      </w:pPr>
      <w:r>
        <w:rPr>
          <w:rFonts w:ascii="Arial" w:cs="Arial" w:eastAsia="Arial" w:hAnsi="Arial"/>
          <w:sz w:val="20"/>
          <w:szCs w:val="20"/>
          <w:b w:val="1"/>
          <w:bCs w:val="1"/>
          <w:color w:val="auto"/>
        </w:rPr>
        <w:t xml:space="preserve">Captions. </w:t>
      </w:r>
      <w:r>
        <w:rPr>
          <w:rFonts w:ascii="Arial" w:cs="Arial" w:eastAsia="Arial" w:hAnsi="Arial"/>
          <w:sz w:val="20"/>
          <w:szCs w:val="20"/>
          <w:color w:val="auto"/>
        </w:rPr>
        <w:t>The headings of the paragraphs of this Agreement are inserted for convenience only and shall not be deemed</w:t>
      </w:r>
      <w:r>
        <w:rPr>
          <w:rFonts w:ascii="Arial" w:cs="Arial" w:eastAsia="Arial" w:hAnsi="Arial"/>
          <w:sz w:val="20"/>
          <w:szCs w:val="20"/>
          <w:b w:val="1"/>
          <w:bCs w:val="1"/>
          <w:color w:val="auto"/>
        </w:rPr>
        <w:t xml:space="preserve"> </w:t>
      </w:r>
      <w:r>
        <w:rPr>
          <w:rFonts w:ascii="Arial" w:cs="Arial" w:eastAsia="Arial" w:hAnsi="Arial"/>
          <w:sz w:val="20"/>
          <w:szCs w:val="20"/>
          <w:color w:val="auto"/>
        </w:rPr>
        <w:t>to constitute part of this Agreement or to affect the construction thereof.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15" w:name="page316"/>
    <w:bookmarkEnd w:id="315"/>
    <w:p>
      <w:pPr>
        <w:spacing w:after="0"/>
        <w:rPr>
          <w:sz w:val="20"/>
          <w:szCs w:val="20"/>
          <w:color w:val="auto"/>
        </w:rPr>
      </w:pPr>
      <w:r>
        <w:rPr>
          <w:rFonts w:ascii="Arial" w:cs="Arial" w:eastAsia="Arial" w:hAnsi="Arial"/>
          <w:sz w:val="16"/>
          <w:szCs w:val="16"/>
          <w:color w:val="auto"/>
        </w:rPr>
        <w:t>The parties are signing this Indemnification Agreement as of the date stated in the introductory sentence.</w:t>
      </w:r>
    </w:p>
    <w:p>
      <w:pPr>
        <w:spacing w:after="0" w:line="283"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ATHIRA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271145</wp:posOffset>
            </wp:positionV>
            <wp:extent cx="356616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274955</wp:posOffset>
            </wp:positionV>
            <wp:extent cx="356616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Print name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274955</wp:posOffset>
            </wp:positionV>
            <wp:extent cx="356616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Title</w:t>
      </w:r>
      <w:r>
        <w:rPr>
          <w:rFonts w:ascii="Arial" w:cs="Arial" w:eastAsia="Arial" w:hAnsi="Arial"/>
          <w:sz w:val="16"/>
          <w:szCs w:val="16"/>
          <w:color w:val="auto"/>
        </w:rPr>
        <w:t>)</w:t>
      </w:r>
    </w:p>
    <w:p>
      <w:pPr>
        <w:spacing w:after="0" w:line="200" w:lineRule="exact"/>
        <w:rPr>
          <w:sz w:val="20"/>
          <w:szCs w:val="20"/>
          <w:color w:val="auto"/>
        </w:rPr>
      </w:pPr>
    </w:p>
    <w:p>
      <w:pPr>
        <w:spacing w:after="0" w:line="217"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INSERT INDEMNITEE NAME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267335</wp:posOffset>
            </wp:positionV>
            <wp:extent cx="356616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7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274955</wp:posOffset>
            </wp:positionV>
            <wp:extent cx="356616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Print name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274955</wp:posOffset>
            </wp:positionV>
            <wp:extent cx="356616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Street address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274955</wp:posOffset>
            </wp:positionV>
            <wp:extent cx="356616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69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City, State and ZIP</w:t>
      </w:r>
      <w:r>
        <w:rPr>
          <w:rFonts w:ascii="Arial" w:cs="Arial" w:eastAsia="Arial" w:hAnsi="Arial"/>
          <w:sz w:val="15"/>
          <w:szCs w:val="15"/>
          <w:color w:val="auto"/>
        </w:rPr>
        <w:t>)</w:t>
      </w:r>
    </w:p>
    <w:p>
      <w:pPr>
        <w:spacing w:after="0" w:line="26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Indemnification Agreement</w:t>
      </w:r>
      <w:r>
        <w:rPr>
          <w:rFonts w:ascii="Arial" w:cs="Arial" w:eastAsia="Arial" w:hAnsi="Arial"/>
          <w:sz w:val="20"/>
          <w:szCs w:val="20"/>
          <w:color w:val="auto"/>
        </w:rPr>
        <w:t>)</w:t>
      </w:r>
    </w:p>
    <w:p>
      <w:pPr>
        <w:sectPr>
          <w:pgSz w:w="11900" w:h="16838" w:orient="portrait"/>
          <w:cols w:equalWidth="0" w:num="1">
            <w:col w:w="9299"/>
          </w:cols>
          <w:pgMar w:left="1160" w:top="339" w:right="1440" w:bottom="1440" w:gutter="0" w:footer="0" w:header="0"/>
        </w:sectPr>
      </w:pPr>
    </w:p>
    <w:bookmarkStart w:id="316" w:name="page317"/>
    <w:bookmarkEnd w:id="316"/>
    <w:p>
      <w:pPr>
        <w:ind w:left="10220"/>
        <w:spacing w:after="0"/>
        <w:rPr>
          <w:sz w:val="20"/>
          <w:szCs w:val="20"/>
          <w:color w:val="auto"/>
        </w:rPr>
      </w:pPr>
      <w:r>
        <w:rPr>
          <w:rFonts w:ascii="Arial" w:cs="Arial" w:eastAsia="Arial" w:hAnsi="Arial"/>
          <w:sz w:val="18"/>
          <w:szCs w:val="18"/>
          <w:b w:val="1"/>
          <w:bCs w:val="1"/>
          <w:color w:val="auto"/>
        </w:rPr>
        <w:t>Exhibit 10.9</w:t>
      </w:r>
    </w:p>
    <w:p>
      <w:pPr>
        <w:spacing w:after="0" w:line="244" w:lineRule="exact"/>
        <w:rPr>
          <w:sz w:val="20"/>
          <w:szCs w:val="20"/>
          <w:color w:val="auto"/>
        </w:rPr>
      </w:pPr>
    </w:p>
    <w:p>
      <w:pPr>
        <w:jc w:val="center"/>
        <w:spacing w:after="0" w:line="250" w:lineRule="auto"/>
        <w:rPr>
          <w:sz w:val="20"/>
          <w:szCs w:val="20"/>
          <w:color w:val="auto"/>
        </w:rPr>
      </w:pPr>
      <w:r>
        <w:rPr>
          <w:rFonts w:ascii="Arial" w:cs="Arial" w:eastAsia="Arial" w:hAnsi="Arial"/>
          <w:sz w:val="20"/>
          <w:szCs w:val="20"/>
          <w:color w:val="333333"/>
        </w:rPr>
        <w:t>CERTAIN IDENTIFIED INFORMATION HAS BEEN EXCLUDED FROM THIS EXHIBIT BECAUSE IT IS BOTH NOT MATERIAL AND WOULD LIKELY CAUSE COMPETITIVE HARM TO THE REGISTRANT IF PUBLICLY DISCLOSED. OMISSIONS ARE DESIGNATED AS [†].</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AMENDED AND RESTATED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STANDARD EXCLUSIVE LICENSE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WITH SUBLICENSING TERMS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22"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Section 1. - Definitions</w:t>
      </w:r>
    </w:p>
    <w:p>
      <w:pPr>
        <w:ind w:left="3340"/>
        <w:spacing w:after="0" w:line="227" w:lineRule="auto"/>
        <w:rPr>
          <w:sz w:val="20"/>
          <w:szCs w:val="20"/>
          <w:color w:val="auto"/>
        </w:rPr>
      </w:pPr>
      <w:r>
        <w:rPr>
          <w:rFonts w:ascii="Arial" w:cs="Arial" w:eastAsia="Arial" w:hAnsi="Arial"/>
          <w:sz w:val="20"/>
          <w:szCs w:val="20"/>
          <w:color w:val="auto"/>
        </w:rPr>
        <w:t>Section 2. - Grant</w:t>
      </w:r>
    </w:p>
    <w:p>
      <w:pPr>
        <w:ind w:left="3340"/>
        <w:spacing w:after="0" w:line="225" w:lineRule="auto"/>
        <w:rPr>
          <w:sz w:val="20"/>
          <w:szCs w:val="20"/>
          <w:color w:val="auto"/>
        </w:rPr>
      </w:pPr>
      <w:r>
        <w:rPr>
          <w:rFonts w:ascii="Arial" w:cs="Arial" w:eastAsia="Arial" w:hAnsi="Arial"/>
          <w:sz w:val="20"/>
          <w:szCs w:val="20"/>
          <w:color w:val="auto"/>
        </w:rPr>
        <w:t>Section 3. - Consideration</w:t>
      </w:r>
    </w:p>
    <w:p>
      <w:pPr>
        <w:ind w:left="3340"/>
        <w:spacing w:after="0" w:line="226" w:lineRule="auto"/>
        <w:rPr>
          <w:sz w:val="20"/>
          <w:szCs w:val="20"/>
          <w:color w:val="auto"/>
        </w:rPr>
      </w:pPr>
      <w:r>
        <w:rPr>
          <w:rFonts w:ascii="Arial" w:cs="Arial" w:eastAsia="Arial" w:hAnsi="Arial"/>
          <w:sz w:val="20"/>
          <w:szCs w:val="20"/>
          <w:color w:val="auto"/>
        </w:rPr>
        <w:t>Section 4. - Certain Warranties of WSU</w:t>
      </w:r>
    </w:p>
    <w:p>
      <w:pPr>
        <w:ind w:left="3340"/>
        <w:spacing w:after="0" w:line="225" w:lineRule="auto"/>
        <w:rPr>
          <w:sz w:val="20"/>
          <w:szCs w:val="20"/>
          <w:color w:val="auto"/>
        </w:rPr>
      </w:pPr>
      <w:r>
        <w:rPr>
          <w:rFonts w:ascii="Arial" w:cs="Arial" w:eastAsia="Arial" w:hAnsi="Arial"/>
          <w:sz w:val="20"/>
          <w:szCs w:val="20"/>
          <w:color w:val="auto"/>
        </w:rPr>
        <w:t>Section 5. - Record keeping</w:t>
      </w:r>
    </w:p>
    <w:p>
      <w:pPr>
        <w:ind w:left="3340"/>
        <w:spacing w:after="0" w:line="226" w:lineRule="auto"/>
        <w:rPr>
          <w:sz w:val="20"/>
          <w:szCs w:val="20"/>
          <w:color w:val="auto"/>
        </w:rPr>
      </w:pPr>
      <w:r>
        <w:rPr>
          <w:rFonts w:ascii="Arial" w:cs="Arial" w:eastAsia="Arial" w:hAnsi="Arial"/>
          <w:sz w:val="20"/>
          <w:szCs w:val="20"/>
          <w:color w:val="auto"/>
        </w:rPr>
        <w:t>Section 6. - Patent Prosecution</w:t>
      </w:r>
    </w:p>
    <w:p>
      <w:pPr>
        <w:ind w:left="3340"/>
        <w:spacing w:after="0" w:line="225" w:lineRule="auto"/>
        <w:rPr>
          <w:sz w:val="20"/>
          <w:szCs w:val="20"/>
          <w:color w:val="auto"/>
        </w:rPr>
      </w:pPr>
      <w:r>
        <w:rPr>
          <w:rFonts w:ascii="Arial" w:cs="Arial" w:eastAsia="Arial" w:hAnsi="Arial"/>
          <w:sz w:val="20"/>
          <w:szCs w:val="20"/>
          <w:color w:val="auto"/>
        </w:rPr>
        <w:t>Section 7. - Term and Termination</w:t>
      </w:r>
    </w:p>
    <w:p>
      <w:pPr>
        <w:ind w:left="3340"/>
        <w:spacing w:after="0" w:line="225" w:lineRule="auto"/>
        <w:rPr>
          <w:sz w:val="20"/>
          <w:szCs w:val="20"/>
          <w:color w:val="auto"/>
        </w:rPr>
      </w:pPr>
      <w:r>
        <w:rPr>
          <w:rFonts w:ascii="Arial" w:cs="Arial" w:eastAsia="Arial" w:hAnsi="Arial"/>
          <w:sz w:val="20"/>
          <w:szCs w:val="20"/>
          <w:color w:val="auto"/>
        </w:rPr>
        <w:t>Section 8. - Assignability</w:t>
      </w:r>
    </w:p>
    <w:p>
      <w:pPr>
        <w:ind w:left="3340"/>
        <w:spacing w:after="0" w:line="226" w:lineRule="auto"/>
        <w:rPr>
          <w:sz w:val="20"/>
          <w:szCs w:val="20"/>
          <w:color w:val="auto"/>
        </w:rPr>
      </w:pPr>
      <w:r>
        <w:rPr>
          <w:rFonts w:ascii="Arial" w:cs="Arial" w:eastAsia="Arial" w:hAnsi="Arial"/>
          <w:sz w:val="20"/>
          <w:szCs w:val="20"/>
          <w:color w:val="auto"/>
        </w:rPr>
        <w:t>Section 9. - Enforcement</w:t>
      </w:r>
    </w:p>
    <w:p>
      <w:pPr>
        <w:ind w:left="3340"/>
        <w:spacing w:after="0" w:line="225" w:lineRule="auto"/>
        <w:rPr>
          <w:sz w:val="20"/>
          <w:szCs w:val="20"/>
          <w:color w:val="auto"/>
        </w:rPr>
      </w:pPr>
      <w:r>
        <w:rPr>
          <w:rFonts w:ascii="Arial" w:cs="Arial" w:eastAsia="Arial" w:hAnsi="Arial"/>
          <w:sz w:val="20"/>
          <w:szCs w:val="20"/>
          <w:color w:val="auto"/>
        </w:rPr>
        <w:t>Section 10. - Product Liability; Conduct of Business</w:t>
      </w:r>
    </w:p>
    <w:p>
      <w:pPr>
        <w:ind w:left="3340"/>
        <w:spacing w:after="0" w:line="226" w:lineRule="auto"/>
        <w:rPr>
          <w:sz w:val="20"/>
          <w:szCs w:val="20"/>
          <w:color w:val="auto"/>
        </w:rPr>
      </w:pPr>
      <w:r>
        <w:rPr>
          <w:rFonts w:ascii="Arial" w:cs="Arial" w:eastAsia="Arial" w:hAnsi="Arial"/>
          <w:sz w:val="20"/>
          <w:szCs w:val="20"/>
          <w:color w:val="auto"/>
        </w:rPr>
        <w:t>Section 11. - Use of Names</w:t>
      </w:r>
    </w:p>
    <w:p>
      <w:pPr>
        <w:ind w:left="3340"/>
        <w:spacing w:after="0" w:line="225" w:lineRule="auto"/>
        <w:rPr>
          <w:sz w:val="20"/>
          <w:szCs w:val="20"/>
          <w:color w:val="auto"/>
        </w:rPr>
      </w:pPr>
      <w:r>
        <w:rPr>
          <w:rFonts w:ascii="Arial" w:cs="Arial" w:eastAsia="Arial" w:hAnsi="Arial"/>
          <w:sz w:val="20"/>
          <w:szCs w:val="20"/>
          <w:color w:val="auto"/>
        </w:rPr>
        <w:t>Section 12. - Miscellaneous</w:t>
      </w:r>
    </w:p>
    <w:p>
      <w:pPr>
        <w:ind w:left="3340"/>
        <w:spacing w:after="0" w:line="226" w:lineRule="auto"/>
        <w:rPr>
          <w:sz w:val="20"/>
          <w:szCs w:val="20"/>
          <w:color w:val="auto"/>
        </w:rPr>
      </w:pPr>
      <w:r>
        <w:rPr>
          <w:rFonts w:ascii="Arial" w:cs="Arial" w:eastAsia="Arial" w:hAnsi="Arial"/>
          <w:sz w:val="20"/>
          <w:szCs w:val="20"/>
          <w:color w:val="auto"/>
        </w:rPr>
        <w:t>Section 13. - Notices</w:t>
      </w:r>
    </w:p>
    <w:p>
      <w:pPr>
        <w:ind w:left="3340"/>
        <w:spacing w:after="0" w:line="225" w:lineRule="auto"/>
        <w:rPr>
          <w:sz w:val="20"/>
          <w:szCs w:val="20"/>
          <w:color w:val="auto"/>
        </w:rPr>
      </w:pPr>
      <w:r>
        <w:rPr>
          <w:rFonts w:ascii="Arial" w:cs="Arial" w:eastAsia="Arial" w:hAnsi="Arial"/>
          <w:sz w:val="20"/>
          <w:szCs w:val="20"/>
          <w:color w:val="auto"/>
        </w:rPr>
        <w:t>Section 14. - Contract Formation and Authority</w:t>
      </w:r>
    </w:p>
    <w:p>
      <w:pPr>
        <w:ind w:left="3340"/>
        <w:spacing w:after="0"/>
        <w:rPr>
          <w:sz w:val="20"/>
          <w:szCs w:val="20"/>
          <w:color w:val="auto"/>
        </w:rPr>
      </w:pPr>
      <w:r>
        <w:rPr>
          <w:rFonts w:ascii="Arial" w:cs="Arial" w:eastAsia="Arial" w:hAnsi="Arial"/>
          <w:sz w:val="20"/>
          <w:szCs w:val="20"/>
          <w:color w:val="auto"/>
        </w:rPr>
        <w:t>Section 15. - United States Government Interests</w:t>
      </w:r>
    </w:p>
    <w:p>
      <w:pPr>
        <w:spacing w:after="0" w:line="186"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Appendix A - Development Report</w:t>
      </w:r>
    </w:p>
    <w:p>
      <w:pPr>
        <w:ind w:left="3340"/>
        <w:spacing w:after="0" w:line="227" w:lineRule="auto"/>
        <w:rPr>
          <w:sz w:val="20"/>
          <w:szCs w:val="20"/>
          <w:color w:val="auto"/>
        </w:rPr>
      </w:pPr>
      <w:r>
        <w:rPr>
          <w:rFonts w:ascii="Arial" w:cs="Arial" w:eastAsia="Arial" w:hAnsi="Arial"/>
          <w:sz w:val="20"/>
          <w:szCs w:val="20"/>
          <w:color w:val="auto"/>
        </w:rPr>
        <w:t>Appendix B - Royalty Report</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Appendix C - Licensed Patents</w:t>
      </w:r>
    </w:p>
    <w:p>
      <w:pPr>
        <w:spacing w:after="0" w:line="186" w:lineRule="exact"/>
        <w:rPr>
          <w:sz w:val="20"/>
          <w:szCs w:val="20"/>
          <w:color w:val="auto"/>
        </w:rPr>
      </w:pPr>
    </w:p>
    <w:p>
      <w:pPr>
        <w:jc w:val="both"/>
        <w:ind w:firstLine="832"/>
        <w:spacing w:after="0" w:line="243" w:lineRule="auto"/>
        <w:rPr>
          <w:sz w:val="20"/>
          <w:szCs w:val="20"/>
          <w:color w:val="auto"/>
        </w:rPr>
      </w:pPr>
      <w:r>
        <w:rPr>
          <w:rFonts w:ascii="Arial" w:cs="Arial" w:eastAsia="Arial" w:hAnsi="Arial"/>
          <w:sz w:val="20"/>
          <w:szCs w:val="20"/>
          <w:color w:val="auto"/>
        </w:rPr>
        <w:t>This Amended and Restated Standard Exclusive License Agreement With Sublicensing Terms (“Agreement”) is made effective the 1st day of September, 2015, (hereinafter “Effective Date”) by and between Washington State University (hereinafter “WSU”), having an office at Office of Commercialization, 1610 NE Eastgate Boulevard, Suite 650, Pullman WA 99163 USA and M</w:t>
      </w:r>
      <w:r>
        <w:rPr>
          <w:rFonts w:ascii="Arial" w:cs="Arial" w:eastAsia="Arial" w:hAnsi="Arial"/>
          <w:sz w:val="16"/>
          <w:szCs w:val="16"/>
          <w:color w:val="auto"/>
        </w:rPr>
        <w:t>3</w:t>
      </w:r>
      <w:r>
        <w:rPr>
          <w:rFonts w:ascii="Arial" w:cs="Arial" w:eastAsia="Arial" w:hAnsi="Arial"/>
          <w:sz w:val="20"/>
          <w:szCs w:val="20"/>
          <w:color w:val="auto"/>
        </w:rPr>
        <w:t xml:space="preserve"> Biotechnology, Inc. (hereinafter “Licensee”), a corporation organized and existing under the laws of Delaware and having a principal office at 4000 Mason Road, Suite 300, Box 353141, Seattle, WA 98195-2141 (each of WSU and Licensee may be referred to individually as a “Party” or together as the “Parties” hereafter).</w:t>
      </w:r>
    </w:p>
    <w:p>
      <w:pPr>
        <w:spacing w:after="0" w:line="196" w:lineRule="exact"/>
        <w:rPr>
          <w:sz w:val="20"/>
          <w:szCs w:val="20"/>
          <w:color w:val="auto"/>
        </w:rPr>
      </w:pPr>
    </w:p>
    <w:p>
      <w:pPr>
        <w:jc w:val="both"/>
        <w:ind w:firstLine="1663"/>
        <w:spacing w:after="0" w:line="263" w:lineRule="auto"/>
        <w:rPr>
          <w:sz w:val="20"/>
          <w:szCs w:val="20"/>
          <w:color w:val="auto"/>
        </w:rPr>
      </w:pPr>
      <w:r>
        <w:rPr>
          <w:rFonts w:ascii="Arial" w:cs="Arial" w:eastAsia="Arial" w:hAnsi="Arial"/>
          <w:sz w:val="19"/>
          <w:szCs w:val="19"/>
          <w:color w:val="auto"/>
        </w:rPr>
        <w:t>WHEREAS, Washington State University Research Foundation (“WSURF”) and Licensee previously entered into a Standard Exclusive License Agreement With Sublicensing Terms, with an effective date of December 22, 2011 (the “2011 Agreement”), as amended by a first amendment to the 2011 Agreement, dated October 29, 2012 (“First Amendment;” the 2011 Agreement as amended by the First Amendment is referred to herein as the “Original License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 of 27</w:t>
      </w:r>
    </w:p>
    <w:p>
      <w:pPr>
        <w:spacing w:after="0"/>
        <w:rPr>
          <w:sz w:val="20"/>
          <w:szCs w:val="20"/>
          <w:color w:val="auto"/>
        </w:rPr>
      </w:pPr>
      <w:r>
        <w:rPr>
          <w:rFonts w:ascii="Arial" w:cs="Arial" w:eastAsia="Arial" w:hAnsi="Arial"/>
          <w:sz w:val="15"/>
          <w:szCs w:val="15"/>
          <w:color w:val="auto"/>
        </w:rPr>
        <w:t>WSU AGR# 10232</w:t>
      </w:r>
    </w:p>
    <w:p>
      <w:pPr>
        <w:spacing w:after="0"/>
        <w:rPr>
          <w:sz w:val="20"/>
          <w:szCs w:val="20"/>
          <w:color w:val="auto"/>
        </w:rPr>
      </w:pPr>
      <w:r>
        <w:rPr>
          <w:rFonts w:ascii="Arial" w:cs="Arial" w:eastAsia="Arial" w:hAnsi="Arial"/>
          <w:sz w:val="15"/>
          <w:szCs w:val="15"/>
          <w:color w:val="auto"/>
        </w:rPr>
        <w:t>116252875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49465"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7" w:name="page318"/>
    <w:bookmarkEnd w:id="317"/>
    <w:p>
      <w:pPr>
        <w:jc w:val="both"/>
        <w:ind w:right="20" w:firstLine="1663"/>
        <w:spacing w:after="0" w:line="260" w:lineRule="auto"/>
        <w:rPr>
          <w:sz w:val="20"/>
          <w:szCs w:val="20"/>
          <w:color w:val="auto"/>
        </w:rPr>
      </w:pPr>
      <w:r>
        <w:rPr>
          <w:rFonts w:ascii="Arial" w:cs="Arial" w:eastAsia="Arial" w:hAnsi="Arial"/>
          <w:sz w:val="20"/>
          <w:szCs w:val="20"/>
          <w:color w:val="auto"/>
        </w:rPr>
        <w:t>WHEREAS, WSURF no longer exists, and the common stock of Licensee that was issued to WSURF in connection with the Original License Agreement has been transferred to the Washington Research Foundation (“WRF”); and</w:t>
      </w:r>
    </w:p>
    <w:p>
      <w:pPr>
        <w:spacing w:after="0" w:line="177" w:lineRule="exact"/>
        <w:rPr>
          <w:sz w:val="20"/>
          <w:szCs w:val="20"/>
          <w:color w:val="auto"/>
        </w:rPr>
      </w:pPr>
    </w:p>
    <w:p>
      <w:pPr>
        <w:jc w:val="both"/>
        <w:ind w:firstLine="1663"/>
        <w:spacing w:after="0" w:line="250" w:lineRule="auto"/>
        <w:rPr>
          <w:sz w:val="20"/>
          <w:szCs w:val="20"/>
          <w:color w:val="auto"/>
        </w:rPr>
      </w:pPr>
      <w:r>
        <w:rPr>
          <w:rFonts w:ascii="Arial" w:cs="Arial" w:eastAsia="Arial" w:hAnsi="Arial"/>
          <w:sz w:val="20"/>
          <w:szCs w:val="20"/>
          <w:color w:val="auto"/>
        </w:rPr>
        <w:t>WHEREAS, WSU and Licensee now desire to amend certain terms and conditions of the Original License Agreement, while retaining the license, option and certain other rights granted to Licensee under the Original License Agreement, all as set forth in this Agreement;</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NOW, THEREFORE, in consideration of the mutual covenants and agreements set forth below, the Parties covenant and agree as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follows:</w:t>
      </w:r>
    </w:p>
    <w:p>
      <w:pPr>
        <w:spacing w:after="0" w:line="194" w:lineRule="exact"/>
        <w:rPr>
          <w:sz w:val="20"/>
          <w:szCs w:val="20"/>
          <w:color w:val="auto"/>
        </w:rPr>
      </w:pPr>
    </w:p>
    <w:p>
      <w:pPr>
        <w:spacing w:after="0"/>
        <w:tabs>
          <w:tab w:leader="none" w:pos="1400" w:val="left"/>
        </w:tabs>
        <w:rPr>
          <w:sz w:val="20"/>
          <w:szCs w:val="20"/>
          <w:color w:val="auto"/>
        </w:rPr>
      </w:pPr>
      <w:r>
        <w:rPr>
          <w:rFonts w:ascii="Arial" w:cs="Arial" w:eastAsia="Arial" w:hAnsi="Arial"/>
          <w:sz w:val="20"/>
          <w:szCs w:val="20"/>
          <w:b w:val="1"/>
          <w:bCs w:val="1"/>
          <w:color w:val="auto"/>
        </w:rPr>
        <w:t>Section 1</w:t>
      </w:r>
      <w:r>
        <w:rPr>
          <w:sz w:val="20"/>
          <w:szCs w:val="20"/>
          <w:color w:val="auto"/>
        </w:rPr>
        <w:tab/>
      </w:r>
      <w:r>
        <w:rPr>
          <w:rFonts w:ascii="Arial" w:cs="Arial" w:eastAsia="Arial" w:hAnsi="Arial"/>
          <w:sz w:val="16"/>
          <w:szCs w:val="16"/>
          <w:b w:val="1"/>
          <w:bCs w:val="1"/>
          <w:color w:val="auto"/>
        </w:rPr>
        <w:t>Definitions.</w:t>
      </w:r>
    </w:p>
    <w:p>
      <w:pPr>
        <w:spacing w:after="0" w:line="222"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color w:val="auto"/>
        </w:rPr>
        <w:t>“Licensed Patents” shall refer to and mean all of the following WSU intellectual property:</w:t>
      </w:r>
    </w:p>
    <w:p>
      <w:pPr>
        <w:spacing w:after="0" w:line="216"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8"/>
          <w:szCs w:val="18"/>
          <w:color w:val="auto"/>
        </w:rPr>
        <w:t>the United States patent(s)/patent application(s) listed in Appendix C;</w:t>
      </w:r>
    </w:p>
    <w:p>
      <w:pPr>
        <w:spacing w:after="0" w:line="216"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8"/>
          <w:szCs w:val="18"/>
          <w:color w:val="auto"/>
        </w:rPr>
        <w:t>all divisionals and continuations of patent(s)/patent application(s) listed in Appendix C, both U.S. and foreign;</w:t>
      </w:r>
    </w:p>
    <w:p>
      <w:pPr>
        <w:spacing w:after="0" w:line="216"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6"/>
          <w:szCs w:val="16"/>
          <w:color w:val="auto"/>
        </w:rPr>
        <w:t>any reissues or re-examinations of patents described in Section 1.1.1 or 1.1.2 above;</w:t>
      </w:r>
    </w:p>
    <w:p>
      <w:pPr>
        <w:spacing w:after="0" w:line="216" w:lineRule="exact"/>
        <w:rPr>
          <w:sz w:val="20"/>
          <w:szCs w:val="20"/>
          <w:color w:val="auto"/>
        </w:rPr>
      </w:pPr>
    </w:p>
    <w:p>
      <w:pPr>
        <w:jc w:val="both"/>
        <w:ind w:left="1660" w:hanging="823"/>
        <w:spacing w:after="0" w:line="316" w:lineRule="auto"/>
        <w:tabs>
          <w:tab w:leader="none" w:pos="164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6"/>
          <w:szCs w:val="16"/>
          <w:color w:val="auto"/>
        </w:rPr>
        <w:t xml:space="preserve">to the extent that the following contain one or more claims directed to the invention or inventions described or claimed in the patent(s)/patent application(s) described in Section 1.1.1: continuations-in-part, all divisions and continuations of these continuations-in-part, all patents issuing from such continuations-in-part, divisions, and continuations; and any reissues, reexaminations, and extensions of all such patents. Licensed Patents shall </w:t>
      </w:r>
      <w:r>
        <w:rPr>
          <w:rFonts w:ascii="Arial" w:cs="Arial" w:eastAsia="Arial" w:hAnsi="Arial"/>
          <w:sz w:val="16"/>
          <w:szCs w:val="16"/>
          <w:i w:val="1"/>
          <w:iCs w:val="1"/>
          <w:color w:val="auto"/>
        </w:rPr>
        <w:t>not</w:t>
      </w:r>
      <w:r>
        <w:rPr>
          <w:rFonts w:ascii="Arial" w:cs="Arial" w:eastAsia="Arial" w:hAnsi="Arial"/>
          <w:sz w:val="16"/>
          <w:szCs w:val="16"/>
          <w:color w:val="auto"/>
        </w:rPr>
        <w:t xml:space="preserve"> include claims of these continuations-in-part, divisions, continuations, reissues, reexaminations and extensions to the extent that such claims are directed to new matter which is not described or claimed in the patent(s)/patent application(s) listed in Appendix C; and</w:t>
      </w:r>
    </w:p>
    <w:p>
      <w:pPr>
        <w:spacing w:after="0" w:line="140"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6"/>
          <w:szCs w:val="16"/>
          <w:color w:val="auto"/>
        </w:rPr>
        <w:t>all foreign counterparts of the patent(s)/patent application(s) described in Sections 1.1.1 through 1.1.4.</w:t>
      </w:r>
    </w:p>
    <w:p>
      <w:pPr>
        <w:spacing w:after="0" w:line="216"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“Licensed Product” and “Licensed Process” shall mean:</w:t>
      </w:r>
    </w:p>
    <w:p>
      <w:pPr>
        <w:spacing w:after="0" w:line="216"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6"/>
          <w:szCs w:val="16"/>
          <w:color w:val="auto"/>
        </w:rPr>
        <w:t>in the case of a Licensed Product, a product:</w:t>
      </w:r>
    </w:p>
    <w:p>
      <w:pPr>
        <w:spacing w:after="0" w:line="216" w:lineRule="exact"/>
        <w:rPr>
          <w:sz w:val="20"/>
          <w:szCs w:val="20"/>
          <w:color w:val="auto"/>
        </w:rPr>
      </w:pPr>
    </w:p>
    <w:p>
      <w:pPr>
        <w:jc w:val="both"/>
        <w:ind w:left="2500" w:hanging="823"/>
        <w:spacing w:after="0" w:line="246" w:lineRule="auto"/>
        <w:tabs>
          <w:tab w:leader="none" w:pos="2480" w:val="left"/>
        </w:tabs>
        <w:rPr>
          <w:sz w:val="20"/>
          <w:szCs w:val="20"/>
          <w:color w:val="auto"/>
        </w:rPr>
      </w:pPr>
      <w:r>
        <w:rPr>
          <w:rFonts w:ascii="Arial" w:cs="Arial" w:eastAsia="Arial" w:hAnsi="Arial"/>
          <w:sz w:val="20"/>
          <w:szCs w:val="20"/>
          <w:color w:val="auto"/>
        </w:rPr>
        <w:t>1.2.1.1</w:t>
        <w:tab/>
        <w:t>the manufacture, use, sale, offer for sale or importation of which would constitute, but for the license granted to Licensee pursuant to this Agreement, an infringement of one or more Valid Claims in a Licensed Patent (or for a pending Valid Claim in a Licensed Patent, would infringe such pending Valid Claim if such claim was an issued claim).</w:t>
      </w:r>
    </w:p>
    <w:p>
      <w:pPr>
        <w:spacing w:after="0" w:line="191" w:lineRule="exact"/>
        <w:rPr>
          <w:sz w:val="20"/>
          <w:szCs w:val="20"/>
          <w:color w:val="auto"/>
        </w:rPr>
      </w:pPr>
    </w:p>
    <w:p>
      <w:pPr>
        <w:jc w:val="both"/>
        <w:ind w:left="2500" w:hanging="823"/>
        <w:spacing w:after="0" w:line="250" w:lineRule="auto"/>
        <w:tabs>
          <w:tab w:leader="none" w:pos="2480" w:val="left"/>
        </w:tabs>
        <w:rPr>
          <w:sz w:val="20"/>
          <w:szCs w:val="20"/>
          <w:color w:val="auto"/>
        </w:rPr>
      </w:pPr>
      <w:r>
        <w:rPr>
          <w:rFonts w:ascii="Arial" w:cs="Arial" w:eastAsia="Arial" w:hAnsi="Arial"/>
          <w:sz w:val="20"/>
          <w:szCs w:val="20"/>
          <w:color w:val="auto"/>
        </w:rPr>
        <w:t>1.2.1.2</w:t>
        <w:tab/>
        <w:t>If a Valid Claim covers only a portion of such product, or if such product constitutes only a portion of a combination product, then the term Licensed Product refers only to the part of such product or combination product that is described in Section 1.2.1.1.</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1"/>
          <w:szCs w:val="21"/>
          <w:color w:val="auto"/>
        </w:rPr>
        <w:t>2</w:t>
      </w:r>
      <w:r>
        <w:rPr>
          <w:rFonts w:ascii="Arial" w:cs="Arial" w:eastAsia="Arial" w:hAnsi="Arial"/>
          <w:sz w:val="20"/>
          <w:szCs w:val="20"/>
          <w:color w:val="auto"/>
        </w:rPr>
        <w:t xml:space="preserve"> of 27</w:t>
      </w:r>
    </w:p>
    <w:p>
      <w:pPr>
        <w:spacing w:after="0" w:line="221" w:lineRule="auto"/>
        <w:rPr>
          <w:sz w:val="20"/>
          <w:szCs w:val="20"/>
          <w:color w:val="auto"/>
        </w:rPr>
      </w:pPr>
      <w:r>
        <w:rPr>
          <w:rFonts w:ascii="Arial" w:cs="Arial" w:eastAsia="Arial" w:hAnsi="Arial"/>
          <w:sz w:val="15"/>
          <w:szCs w:val="15"/>
          <w:color w:val="auto"/>
        </w:rPr>
        <w:t xml:space="preserve">WSU AGR# </w:t>
      </w:r>
      <w:r>
        <w:rPr>
          <w:rFonts w:ascii="Arial" w:cs="Arial" w:eastAsia="Arial" w:hAnsi="Arial"/>
          <w:sz w:val="19"/>
          <w:szCs w:val="19"/>
          <w:color w:val="333333"/>
        </w:rPr>
        <w: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116252875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49465"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18" w:name="page319"/>
    <w:bookmarkEnd w:id="318"/>
    <w:p>
      <w:pPr>
        <w:ind w:left="840"/>
        <w:spacing w:after="0"/>
        <w:tabs>
          <w:tab w:leader="none" w:pos="164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6"/>
          <w:szCs w:val="16"/>
          <w:color w:val="auto"/>
        </w:rPr>
        <w:t>In the case of a Licensed Process, a process:</w:t>
      </w:r>
    </w:p>
    <w:p>
      <w:pPr>
        <w:spacing w:after="0" w:line="216" w:lineRule="exact"/>
        <w:rPr>
          <w:sz w:val="20"/>
          <w:szCs w:val="20"/>
          <w:color w:val="auto"/>
        </w:rPr>
      </w:pPr>
    </w:p>
    <w:p>
      <w:pPr>
        <w:jc w:val="both"/>
        <w:ind w:left="2500" w:hanging="823"/>
        <w:spacing w:after="0" w:line="282" w:lineRule="auto"/>
        <w:tabs>
          <w:tab w:leader="none" w:pos="2480" w:val="left"/>
        </w:tabs>
        <w:rPr>
          <w:sz w:val="20"/>
          <w:szCs w:val="20"/>
          <w:color w:val="auto"/>
        </w:rPr>
      </w:pPr>
      <w:r>
        <w:rPr>
          <w:rFonts w:ascii="Arial" w:cs="Arial" w:eastAsia="Arial" w:hAnsi="Arial"/>
          <w:sz w:val="20"/>
          <w:szCs w:val="20"/>
          <w:color w:val="auto"/>
        </w:rPr>
        <w:t>1.2.2.1</w:t>
      </w:r>
      <w:r>
        <w:rPr>
          <w:sz w:val="20"/>
          <w:szCs w:val="20"/>
          <w:color w:val="auto"/>
        </w:rPr>
        <w:tab/>
      </w:r>
      <w:r>
        <w:rPr>
          <w:rFonts w:ascii="Arial" w:cs="Arial" w:eastAsia="Arial" w:hAnsi="Arial"/>
          <w:sz w:val="18"/>
          <w:szCs w:val="18"/>
          <w:color w:val="auto"/>
        </w:rPr>
        <w:t>the use, sale, offer for sale, importation, practice or exploitation of which would constitute, but for the license granted to Licensee pursuant to this Agreement, an infringement of one or more Valid Claims (including a claim directed to a method of use of a Licensed Product) in a Licensed Patent (or for a pending Valid Claim in a Licensed Patent, would infringe such pending Valid Claim if such claim was an issued claim).</w:t>
      </w:r>
    </w:p>
    <w:p>
      <w:pPr>
        <w:spacing w:after="0" w:line="161" w:lineRule="exact"/>
        <w:rPr>
          <w:sz w:val="20"/>
          <w:szCs w:val="20"/>
          <w:color w:val="auto"/>
        </w:rPr>
      </w:pPr>
    </w:p>
    <w:p>
      <w:pPr>
        <w:jc w:val="both"/>
        <w:ind w:left="2500" w:hanging="823"/>
        <w:spacing w:after="0" w:line="250" w:lineRule="auto"/>
        <w:tabs>
          <w:tab w:leader="none" w:pos="2480" w:val="left"/>
        </w:tabs>
        <w:rPr>
          <w:sz w:val="20"/>
          <w:szCs w:val="20"/>
          <w:color w:val="auto"/>
        </w:rPr>
      </w:pPr>
      <w:r>
        <w:rPr>
          <w:rFonts w:ascii="Arial" w:cs="Arial" w:eastAsia="Arial" w:hAnsi="Arial"/>
          <w:sz w:val="20"/>
          <w:szCs w:val="20"/>
          <w:color w:val="auto"/>
        </w:rPr>
        <w:t>1.2.2.2</w:t>
        <w:tab/>
        <w:t>If a Valid Claim covers only a portion of such process, or if such process constitutes only a portion of a combination process, then the term Licensed Process refers only to the part of such process or combination process that is described in Section 1.2.2.1.</w:t>
      </w:r>
    </w:p>
    <w:p>
      <w:pPr>
        <w:spacing w:after="0" w:line="186" w:lineRule="exact"/>
        <w:rPr>
          <w:sz w:val="20"/>
          <w:szCs w:val="20"/>
          <w:color w:val="auto"/>
        </w:rPr>
      </w:pPr>
    </w:p>
    <w:p>
      <w:pPr>
        <w:jc w:val="both"/>
        <w:ind w:left="840" w:hanging="822"/>
        <w:spacing w:after="0" w:line="257" w:lineRule="auto"/>
        <w:tabs>
          <w:tab w:leader="none" w:pos="82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9"/>
          <w:szCs w:val="19"/>
          <w:color w:val="auto"/>
        </w:rPr>
        <w:t xml:space="preserve">“Selling Price” shall mean, in the case of Licensed Products and/or Licensed Processes that are sold by Licensee or its Affiliates, the invoice price of such Licensed Products and/or Licensed Processes (regardless of uncollectible accounts) less </w:t>
      </w:r>
      <w:r>
        <w:rPr>
          <w:rFonts w:ascii="Arial" w:cs="Arial" w:eastAsia="Arial" w:hAnsi="Arial"/>
          <w:sz w:val="19"/>
          <w:szCs w:val="19"/>
          <w:color w:val="333333"/>
        </w:rPr>
        <w:t>[†]</w:t>
      </w:r>
      <w:r>
        <w:rPr>
          <w:rFonts w:ascii="Arial" w:cs="Arial" w:eastAsia="Arial" w:hAnsi="Arial"/>
          <w:sz w:val="19"/>
          <w:szCs w:val="19"/>
          <w:color w:val="auto"/>
        </w:rPr>
        <w:t xml:space="preserve">. The “Selling Price” for a Licensed Product or Licensed Process that is transferred to a third party for promotional purposes without charge or at a discount shall be </w:t>
      </w:r>
      <w:r>
        <w:rPr>
          <w:rFonts w:ascii="Arial" w:cs="Arial" w:eastAsia="Arial" w:hAnsi="Arial"/>
          <w:sz w:val="19"/>
          <w:szCs w:val="19"/>
          <w:color w:val="333333"/>
        </w:rPr>
        <w:t>[†]</w:t>
      </w:r>
      <w:r>
        <w:rPr>
          <w:rFonts w:ascii="Arial" w:cs="Arial" w:eastAsia="Arial" w:hAnsi="Arial"/>
          <w:sz w:val="19"/>
          <w:szCs w:val="19"/>
          <w:color w:val="auto"/>
        </w:rPr>
        <w:t xml:space="preserve">. The “Selling Price” for a Licensed Product and/or Licensed Process includes transfers of Licensed Products and/or Licensed Processes between or among Licensee and its Affiliates which are not for resale to third parties, and the Selling Price for such transactions will be </w:t>
      </w:r>
      <w:r>
        <w:rPr>
          <w:rFonts w:ascii="Arial" w:cs="Arial" w:eastAsia="Arial" w:hAnsi="Arial"/>
          <w:sz w:val="19"/>
          <w:szCs w:val="19"/>
          <w:color w:val="333333"/>
        </w:rPr>
        <w:t>[†]</w:t>
      </w:r>
      <w:r>
        <w:rPr>
          <w:rFonts w:ascii="Arial" w:cs="Arial" w:eastAsia="Arial" w:hAnsi="Arial"/>
          <w:sz w:val="19"/>
          <w:szCs w:val="19"/>
          <w:color w:val="auto"/>
        </w:rPr>
        <w:t>. “Selling Price” does not include transfers of Licensed Products and/or Licensed Processes made between or among Licensee and its Affiliates for resale to third parties, but will include such resale by the transferee to third parties.</w:t>
      </w:r>
    </w:p>
    <w:p>
      <w:pPr>
        <w:spacing w:after="0" w:line="180" w:lineRule="exact"/>
        <w:rPr>
          <w:sz w:val="20"/>
          <w:szCs w:val="20"/>
          <w:color w:val="auto"/>
        </w:rPr>
      </w:pPr>
    </w:p>
    <w:p>
      <w:pPr>
        <w:jc w:val="both"/>
        <w:ind w:left="840" w:hanging="822"/>
        <w:spacing w:after="0" w:line="244" w:lineRule="auto"/>
        <w:tabs>
          <w:tab w:leader="none" w:pos="82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“Sublicensee Selling Price” shall mean a selling price, determined in the same manner as a Selling Price, that is attributable to a sale of a Licensed Product and/or Licensed Process made by Sublicensees of Licensee. A Sublicensee Selling Price does not include transfers of Licensed Products and/or Licensed Processes made between or among Sublicensees (on the one hand) and Licensee and its Affiliates (on the other hand) for resale to third parties, but will include such resale by the transferee to third parties.</w:t>
      </w:r>
    </w:p>
    <w:p>
      <w:pPr>
        <w:spacing w:after="0" w:line="194" w:lineRule="exact"/>
        <w:rPr>
          <w:sz w:val="20"/>
          <w:szCs w:val="20"/>
          <w:color w:val="auto"/>
        </w:rPr>
      </w:pPr>
    </w:p>
    <w:p>
      <w:pPr>
        <w:jc w:val="both"/>
        <w:ind w:left="840" w:hanging="822"/>
        <w:spacing w:after="0" w:line="260" w:lineRule="auto"/>
        <w:tabs>
          <w:tab w:leader="none" w:pos="82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20"/>
          <w:szCs w:val="20"/>
          <w:color w:val="auto"/>
        </w:rPr>
        <w:t>“Development Plan” shall mean a written report summarizing the development activities that are to be undertaken by the Licensee to bring Licensed Products to the market.</w:t>
      </w:r>
    </w:p>
    <w:p>
      <w:pPr>
        <w:spacing w:after="0" w:line="177" w:lineRule="exact"/>
        <w:rPr>
          <w:sz w:val="20"/>
          <w:szCs w:val="20"/>
          <w:color w:val="auto"/>
        </w:rPr>
      </w:pPr>
    </w:p>
    <w:p>
      <w:pPr>
        <w:jc w:val="both"/>
        <w:ind w:left="840" w:hanging="822"/>
        <w:spacing w:after="0" w:line="250" w:lineRule="auto"/>
        <w:tabs>
          <w:tab w:leader="none" w:pos="82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20"/>
          <w:szCs w:val="20"/>
          <w:color w:val="auto"/>
        </w:rPr>
        <w:t>“Development Report” shall mean (a) a written account of Licensee’s progress under the Development Plan having at least the information specified on Appendix A to this Agreement, or (b) Licensee’s quarterly report to its shareholders, and the document described in clause (a) or (b) shall be sent to the address specified on Appendix A.</w:t>
      </w:r>
    </w:p>
    <w:p>
      <w:pPr>
        <w:spacing w:after="0" w:line="186" w:lineRule="exact"/>
        <w:rPr>
          <w:sz w:val="20"/>
          <w:szCs w:val="20"/>
          <w:color w:val="auto"/>
        </w:rPr>
      </w:pPr>
    </w:p>
    <w:p>
      <w:pPr>
        <w:jc w:val="both"/>
        <w:ind w:left="840" w:hanging="822"/>
        <w:spacing w:after="0" w:line="260" w:lineRule="auto"/>
        <w:tabs>
          <w:tab w:leader="none" w:pos="82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20"/>
          <w:szCs w:val="20"/>
          <w:color w:val="auto"/>
        </w:rPr>
        <w:t>“Licensed Field” shall mean all human and veterinary pharmaceutical applications and uses (including without limitation therapeutic, diagnostic and prophylactic uses), as well as applications and uses as research reagents.</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8"/>
          <w:szCs w:val="18"/>
          <w:color w:val="auto"/>
        </w:rPr>
        <w:t>“Licensed Territory” shall mean the entire world.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1"/>
          <w:szCs w:val="21"/>
          <w:color w:val="auto"/>
        </w:rPr>
        <w:t>3</w:t>
      </w:r>
      <w:r>
        <w:rPr>
          <w:rFonts w:ascii="Arial" w:cs="Arial" w:eastAsia="Arial" w:hAnsi="Arial"/>
          <w:sz w:val="20"/>
          <w:szCs w:val="20"/>
          <w:color w:val="auto"/>
        </w:rPr>
        <w:t xml:space="preserve"> of 27</w:t>
      </w:r>
    </w:p>
    <w:p>
      <w:pPr>
        <w:spacing w:after="0" w:line="221" w:lineRule="auto"/>
        <w:rPr>
          <w:sz w:val="20"/>
          <w:szCs w:val="20"/>
          <w:color w:val="auto"/>
        </w:rPr>
      </w:pPr>
      <w:r>
        <w:rPr>
          <w:rFonts w:ascii="Arial" w:cs="Arial" w:eastAsia="Arial" w:hAnsi="Arial"/>
          <w:sz w:val="15"/>
          <w:szCs w:val="15"/>
          <w:color w:val="auto"/>
        </w:rPr>
        <w:t xml:space="preserve">WSU AGR# </w:t>
      </w:r>
      <w:r>
        <w:rPr>
          <w:rFonts w:ascii="Arial" w:cs="Arial" w:eastAsia="Arial" w:hAnsi="Arial"/>
          <w:sz w:val="19"/>
          <w:szCs w:val="19"/>
          <w:color w:val="333333"/>
        </w:rPr>
        <w: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116252875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49465"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19" w:name="page320"/>
    <w:bookmarkEnd w:id="319"/>
    <w:p>
      <w:pPr>
        <w:jc w:val="both"/>
        <w:ind w:left="840" w:hanging="822"/>
        <w:spacing w:after="0" w:line="278" w:lineRule="auto"/>
        <w:tabs>
          <w:tab w:leader="none" w:pos="82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8"/>
          <w:szCs w:val="18"/>
          <w:color w:val="auto"/>
        </w:rPr>
        <w:t>“Sublicense” means the grant by Licensee to a third party of any license, sublicense, option, first right to negotiate, or other similar right granted to Licensee under this Agreement in exchange for any consideration, including but not limited to cash, promissory notes, equity, upfront payments, milestone payments, royalties, manufacturing contracts, distribution contracts, sponsored research contracts, option agreements, research use licenses, any collaborative arrangements, partnerships, or joint ventures, received by Licensee. A third party that receives such grant by Licensee shall be referred to herein as a “Sublicensee”.</w:t>
      </w:r>
    </w:p>
    <w:p>
      <w:pPr>
        <w:spacing w:after="0" w:line="165" w:lineRule="exact"/>
        <w:rPr>
          <w:sz w:val="20"/>
          <w:szCs w:val="20"/>
          <w:color w:val="auto"/>
        </w:rPr>
      </w:pPr>
    </w:p>
    <w:p>
      <w:pPr>
        <w:jc w:val="both"/>
        <w:ind w:left="840" w:hanging="822"/>
        <w:spacing w:after="0" w:line="260" w:lineRule="auto"/>
        <w:tabs>
          <w:tab w:leader="none" w:pos="82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9"/>
          <w:szCs w:val="19"/>
          <w:color w:val="auto"/>
        </w:rPr>
        <w:t>“Affiliate” means any corporation or other business entity that controls, is controlled by, or is under common control with the Licensee. The term “control” as used in this Section 1.9 shall mean the ownership directly or indirectly of at least fifty percent (50%), or the maximum interest permitted by local law, of the voting stock of a corporation; or a fifty percent (50%) or greater interest in the income of such corporation or other business entity; or the ability otherwise of the Licensee to secure that the affairs of such corporation or other business entity are managed in accordance with its wishes.</w:t>
      </w:r>
    </w:p>
    <w:p>
      <w:pPr>
        <w:spacing w:after="0" w:line="180" w:lineRule="exact"/>
        <w:rPr>
          <w:sz w:val="20"/>
          <w:szCs w:val="20"/>
          <w:color w:val="auto"/>
        </w:rPr>
      </w:pPr>
    </w:p>
    <w:p>
      <w:pPr>
        <w:jc w:val="both"/>
        <w:ind w:left="840" w:hanging="822"/>
        <w:spacing w:after="0" w:line="244" w:lineRule="auto"/>
        <w:tabs>
          <w:tab w:leader="none" w:pos="82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20"/>
          <w:szCs w:val="20"/>
          <w:color w:val="auto"/>
        </w:rPr>
        <w:t>“Valid Claim” means (i) a claim in an issued and unexpired patent included in the Licensed Patents that: (a) has not been held unenforceable, unpatentable or invalid by a decision of a court or other governmental agency of competent jurisdiction, and is not subject to appeal, (b) has not been admitted to be invalid or unenforceable through reissue or disclaimer or otherwise, (c) has not been lost through an interference, reexamination or reissue proceeding; or (ii) a pending claim of a pending patent application included in the Licensed Patents.</w:t>
      </w:r>
    </w:p>
    <w:p>
      <w:pPr>
        <w:spacing w:after="0" w:line="194" w:lineRule="exact"/>
        <w:rPr>
          <w:sz w:val="20"/>
          <w:szCs w:val="20"/>
          <w:color w:val="auto"/>
        </w:rPr>
      </w:pPr>
    </w:p>
    <w:p>
      <w:pPr>
        <w:jc w:val="both"/>
        <w:ind w:left="840" w:hanging="822"/>
        <w:spacing w:after="0" w:line="257" w:lineRule="auto"/>
        <w:tabs>
          <w:tab w:leader="none" w:pos="82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9"/>
          <w:szCs w:val="19"/>
          <w:color w:val="auto"/>
        </w:rPr>
        <w:t xml:space="preserve">“Non-Sales-Based Payments” means non-royalty sublicensing income, including (but not limited to) upfront fees, milestone payments, maintenance fees and premiums over fair market value of stock, but expressly excluding royalties, received by Licensee from Sublicensee(s) that is directly attributable to a Sublicense of the rights granted to Licensee by WSU under this Agreement, and that is not based directly upon Licensed Products and/or Licensed Processes sold by the Sublicensee. With respect to a license or sublicense agreement which includes a Sublicense, the portion of income received by Licensee pursuant to such agreement that is directly attributable to such Sublicense shall be allocated in a consistent and equitable manner that equitably reflects the contribution of the Sublicense to such income received. </w:t>
      </w:r>
      <w:r>
        <w:rPr>
          <w:rFonts w:ascii="Arial" w:cs="Arial" w:eastAsia="Arial" w:hAnsi="Arial"/>
          <w:sz w:val="19"/>
          <w:szCs w:val="19"/>
          <w:color w:val="333333"/>
        </w:rPr>
        <w:t>[†].</w:t>
      </w:r>
    </w:p>
    <w:p>
      <w:pPr>
        <w:spacing w:after="0" w:line="185" w:lineRule="exact"/>
        <w:rPr>
          <w:sz w:val="20"/>
          <w:szCs w:val="20"/>
          <w:color w:val="auto"/>
        </w:rPr>
      </w:pPr>
    </w:p>
    <w:p>
      <w:pPr>
        <w:jc w:val="both"/>
        <w:ind w:left="840" w:hanging="822"/>
        <w:spacing w:after="0" w:line="260" w:lineRule="auto"/>
        <w:tabs>
          <w:tab w:leader="none" w:pos="82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20"/>
          <w:szCs w:val="20"/>
          <w:color w:val="auto"/>
        </w:rPr>
        <w:t>Capitalized terms used but not defined in this Agreement shall have the meanings ascribed to them in the Original License Agreement.</w:t>
      </w:r>
    </w:p>
    <w:p>
      <w:pPr>
        <w:spacing w:after="0" w:line="171" w:lineRule="exact"/>
        <w:rPr>
          <w:sz w:val="20"/>
          <w:szCs w:val="20"/>
          <w:color w:val="auto"/>
        </w:rPr>
      </w:pPr>
    </w:p>
    <w:p>
      <w:pPr>
        <w:spacing w:after="0"/>
        <w:tabs>
          <w:tab w:leader="none" w:pos="1400" w:val="left"/>
        </w:tabs>
        <w:rPr>
          <w:sz w:val="20"/>
          <w:szCs w:val="20"/>
          <w:color w:val="auto"/>
        </w:rPr>
      </w:pPr>
      <w:r>
        <w:rPr>
          <w:rFonts w:ascii="Arial" w:cs="Arial" w:eastAsia="Arial" w:hAnsi="Arial"/>
          <w:sz w:val="20"/>
          <w:szCs w:val="20"/>
          <w:b w:val="1"/>
          <w:bCs w:val="1"/>
          <w:color w:val="auto"/>
        </w:rPr>
        <w:t>Section 2</w:t>
      </w:r>
      <w:r>
        <w:rPr>
          <w:sz w:val="20"/>
          <w:szCs w:val="20"/>
          <w:color w:val="auto"/>
        </w:rPr>
        <w:tab/>
      </w:r>
      <w:r>
        <w:rPr>
          <w:rFonts w:ascii="Arial" w:cs="Arial" w:eastAsia="Arial" w:hAnsi="Arial"/>
          <w:sz w:val="19"/>
          <w:szCs w:val="19"/>
          <w:b w:val="1"/>
          <w:bCs w:val="1"/>
          <w:u w:val="single" w:color="auto"/>
          <w:color w:val="auto"/>
        </w:rPr>
        <w:t>Grant</w:t>
      </w:r>
      <w:r>
        <w:rPr>
          <w:rFonts w:ascii="Arial" w:cs="Arial" w:eastAsia="Arial" w:hAnsi="Arial"/>
          <w:sz w:val="19"/>
          <w:szCs w:val="19"/>
          <w:u w:val="single" w:color="auto"/>
          <w:color w:val="auto"/>
        </w:rPr>
        <w:t>.</w:t>
      </w:r>
    </w:p>
    <w:p>
      <w:pPr>
        <w:spacing w:after="0" w:line="222"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color w:val="auto"/>
        </w:rPr>
        <w:t>License.</w:t>
      </w:r>
    </w:p>
    <w:p>
      <w:pPr>
        <w:spacing w:after="0" w:line="216" w:lineRule="exact"/>
        <w:rPr>
          <w:sz w:val="20"/>
          <w:szCs w:val="20"/>
          <w:color w:val="auto"/>
        </w:rPr>
      </w:pPr>
    </w:p>
    <w:p>
      <w:pPr>
        <w:jc w:val="both"/>
        <w:ind w:left="840"/>
        <w:spacing w:after="0" w:line="246" w:lineRule="auto"/>
        <w:rPr>
          <w:sz w:val="20"/>
          <w:szCs w:val="20"/>
          <w:color w:val="auto"/>
        </w:rPr>
      </w:pPr>
      <w:r>
        <w:rPr>
          <w:rFonts w:ascii="Arial" w:cs="Arial" w:eastAsia="Arial" w:hAnsi="Arial"/>
          <w:sz w:val="20"/>
          <w:szCs w:val="20"/>
          <w:color w:val="auto"/>
        </w:rPr>
        <w:t>(a)</w:t>
      </w:r>
      <w:r>
        <w:rPr>
          <w:rFonts w:ascii="Arial" w:cs="Arial" w:eastAsia="Arial" w:hAnsi="Arial"/>
          <w:sz w:val="20"/>
          <w:szCs w:val="20"/>
          <w:u w:val="single" w:color="auto"/>
          <w:color w:val="auto"/>
        </w:rPr>
        <w:t>License grant under existing intellectual property:</w:t>
      </w:r>
      <w:r>
        <w:rPr>
          <w:rFonts w:ascii="Arial" w:cs="Arial" w:eastAsia="Arial" w:hAnsi="Arial"/>
          <w:sz w:val="20"/>
          <w:szCs w:val="20"/>
          <w:color w:val="auto"/>
        </w:rPr>
        <w:t xml:space="preserve"> WSU hereby grants to Licensee an exclusive license, in the Licensed Field and the Licensed Territory, under the Licensed Patents to make, use, sell, offer for sale and import Licensed Products and Licensed Processes; provided that in the case of U.S. Patent No. </w:t>
      </w:r>
      <w:r>
        <w:rPr>
          <w:rFonts w:ascii="Arial" w:cs="Arial" w:eastAsia="Arial" w:hAnsi="Arial"/>
          <w:sz w:val="20"/>
          <w:szCs w:val="20"/>
          <w:color w:val="333333"/>
        </w:rPr>
        <w:t>[†]</w:t>
      </w:r>
      <w:r>
        <w:rPr>
          <w:rFonts w:ascii="Arial" w:cs="Arial" w:eastAsia="Arial" w:hAnsi="Arial"/>
          <w:sz w:val="20"/>
          <w:szCs w:val="20"/>
          <w:color w:val="auto"/>
        </w:rPr>
        <w:t xml:space="preserve"> (the “Joint Patent”), the license granted herein is with respect to WSU’s rights as a joint owner only.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1"/>
          <w:szCs w:val="21"/>
          <w:color w:val="auto"/>
        </w:rPr>
        <w:t>4</w:t>
      </w:r>
      <w:r>
        <w:rPr>
          <w:rFonts w:ascii="Arial" w:cs="Arial" w:eastAsia="Arial" w:hAnsi="Arial"/>
          <w:sz w:val="20"/>
          <w:szCs w:val="20"/>
          <w:color w:val="auto"/>
        </w:rPr>
        <w:t xml:space="preserve"> of 27</w:t>
      </w:r>
    </w:p>
    <w:p>
      <w:pPr>
        <w:spacing w:after="0" w:line="221" w:lineRule="auto"/>
        <w:rPr>
          <w:sz w:val="20"/>
          <w:szCs w:val="20"/>
          <w:color w:val="auto"/>
        </w:rPr>
      </w:pPr>
      <w:r>
        <w:rPr>
          <w:rFonts w:ascii="Arial" w:cs="Arial" w:eastAsia="Arial" w:hAnsi="Arial"/>
          <w:sz w:val="15"/>
          <w:szCs w:val="15"/>
          <w:color w:val="auto"/>
        </w:rPr>
        <w:t xml:space="preserve">WSU AGR# </w:t>
      </w:r>
      <w:r>
        <w:rPr>
          <w:rFonts w:ascii="Arial" w:cs="Arial" w:eastAsia="Arial" w:hAnsi="Arial"/>
          <w:sz w:val="19"/>
          <w:szCs w:val="19"/>
          <w:color w:val="333333"/>
        </w:rPr>
        <w: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116252875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49465"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20" w:name="page321"/>
    <w:bookmarkEnd w:id="320"/>
    <w:p>
      <w:pPr>
        <w:jc w:val="both"/>
        <w:ind w:left="840"/>
        <w:spacing w:after="0" w:line="308" w:lineRule="auto"/>
        <w:rPr>
          <w:sz w:val="20"/>
          <w:szCs w:val="20"/>
          <w:color w:val="auto"/>
        </w:rPr>
      </w:pPr>
      <w:r>
        <w:rPr>
          <w:rFonts w:ascii="Arial" w:cs="Arial" w:eastAsia="Arial" w:hAnsi="Arial"/>
          <w:sz w:val="16"/>
          <w:szCs w:val="16"/>
          <w:color w:val="auto"/>
        </w:rPr>
        <w:t>(b)</w:t>
      </w:r>
      <w:r>
        <w:rPr>
          <w:rFonts w:ascii="Arial" w:cs="Arial" w:eastAsia="Arial" w:hAnsi="Arial"/>
          <w:sz w:val="16"/>
          <w:szCs w:val="16"/>
          <w:u w:val="single" w:color="auto"/>
          <w:color w:val="auto"/>
        </w:rPr>
        <w:t>Exclusive option to license new intellectual property:</w:t>
      </w:r>
      <w:r>
        <w:rPr>
          <w:rFonts w:ascii="Arial" w:cs="Arial" w:eastAsia="Arial" w:hAnsi="Arial"/>
          <w:sz w:val="16"/>
          <w:szCs w:val="16"/>
          <w:color w:val="auto"/>
        </w:rPr>
        <w:t xml:space="preserve"> WSU hereby grants to Licensee an exclusive option to obtain a license (either exclusive or non-exclusive, at Licensee’s election) to any future intellectual property created, discovered, developed, conceived or reduced to practice by inventors of Licensed Patents at WSU in the Licensed Field (the “Option”). For a period of </w:t>
      </w:r>
      <w:r>
        <w:rPr>
          <w:rFonts w:ascii="Arial" w:cs="Arial" w:eastAsia="Arial" w:hAnsi="Arial"/>
          <w:sz w:val="16"/>
          <w:szCs w:val="16"/>
          <w:color w:val="333333"/>
        </w:rPr>
        <w:t>[†]</w:t>
      </w:r>
      <w:r>
        <w:rPr>
          <w:rFonts w:ascii="Arial" w:cs="Arial" w:eastAsia="Arial" w:hAnsi="Arial"/>
          <w:sz w:val="16"/>
          <w:szCs w:val="16"/>
          <w:color w:val="auto"/>
        </w:rPr>
        <w:t xml:space="preserve"> days from initial disclosure by WSU to Licensee of each such item of future intellectual property to the Licensee, Licensee shall have the right to exercise its Option with respect to such item of future intellectual property, by delivering to WSU written notice of exercise of its Option (such </w:t>
      </w:r>
      <w:r>
        <w:rPr>
          <w:rFonts w:ascii="Arial" w:cs="Arial" w:eastAsia="Arial" w:hAnsi="Arial"/>
          <w:sz w:val="16"/>
          <w:szCs w:val="16"/>
          <w:color w:val="333333"/>
        </w:rPr>
        <w:t>[†]</w:t>
      </w:r>
      <w:r>
        <w:rPr>
          <w:rFonts w:ascii="Arial" w:cs="Arial" w:eastAsia="Arial" w:hAnsi="Arial"/>
          <w:sz w:val="16"/>
          <w:szCs w:val="16"/>
          <w:color w:val="auto"/>
        </w:rPr>
        <w:t xml:space="preserve">-day period may be extended by mutual written agreement of the Parties). WSU will promptly provide any additional information reasonably requested by Licensee during the </w:t>
      </w:r>
      <w:r>
        <w:rPr>
          <w:rFonts w:ascii="Arial" w:cs="Arial" w:eastAsia="Arial" w:hAnsi="Arial"/>
          <w:sz w:val="16"/>
          <w:szCs w:val="16"/>
          <w:color w:val="333333"/>
        </w:rPr>
        <w:t>[†]</w:t>
      </w:r>
      <w:r>
        <w:rPr>
          <w:rFonts w:ascii="Arial" w:cs="Arial" w:eastAsia="Arial" w:hAnsi="Arial"/>
          <w:sz w:val="16"/>
          <w:szCs w:val="16"/>
          <w:color w:val="auto"/>
        </w:rPr>
        <w:t xml:space="preserve">-day period. Should the Licensee fail to exercise the Option within such </w:t>
      </w:r>
      <w:r>
        <w:rPr>
          <w:rFonts w:ascii="Arial" w:cs="Arial" w:eastAsia="Arial" w:hAnsi="Arial"/>
          <w:sz w:val="16"/>
          <w:szCs w:val="16"/>
          <w:color w:val="333333"/>
        </w:rPr>
        <w:t>[†]</w:t>
      </w:r>
      <w:r>
        <w:rPr>
          <w:rFonts w:ascii="Arial" w:cs="Arial" w:eastAsia="Arial" w:hAnsi="Arial"/>
          <w:sz w:val="16"/>
          <w:szCs w:val="16"/>
          <w:color w:val="auto"/>
        </w:rPr>
        <w:t xml:space="preserve"> period (or any mutually agreed extension thereof), or should the Parties fail to reach an agreement on terms and conditions for a license agreement between the Parties within </w:t>
      </w:r>
      <w:r>
        <w:rPr>
          <w:rFonts w:ascii="Arial" w:cs="Arial" w:eastAsia="Arial" w:hAnsi="Arial"/>
          <w:sz w:val="16"/>
          <w:szCs w:val="16"/>
          <w:color w:val="333333"/>
        </w:rPr>
        <w:t>[†]</w:t>
      </w:r>
      <w:r>
        <w:rPr>
          <w:rFonts w:ascii="Arial" w:cs="Arial" w:eastAsia="Arial" w:hAnsi="Arial"/>
          <w:sz w:val="16"/>
          <w:szCs w:val="16"/>
          <w:color w:val="auto"/>
        </w:rPr>
        <w:t xml:space="preserve"> days after the end of the Option exercise period (such </w:t>
      </w:r>
      <w:r>
        <w:rPr>
          <w:rFonts w:ascii="Arial" w:cs="Arial" w:eastAsia="Arial" w:hAnsi="Arial"/>
          <w:sz w:val="16"/>
          <w:szCs w:val="16"/>
          <w:color w:val="333333"/>
        </w:rPr>
        <w:t>[†]</w:t>
      </w:r>
      <w:r>
        <w:rPr>
          <w:rFonts w:ascii="Arial" w:cs="Arial" w:eastAsia="Arial" w:hAnsi="Arial"/>
          <w:sz w:val="16"/>
          <w:szCs w:val="16"/>
          <w:color w:val="auto"/>
        </w:rPr>
        <w:t>-day period may be extended by mutual written agreement of the Parties), WSU will then make such item of future intellectual property available to third parties.</w:t>
      </w:r>
    </w:p>
    <w:p>
      <w:pPr>
        <w:spacing w:after="0" w:line="150" w:lineRule="exact"/>
        <w:rPr>
          <w:sz w:val="20"/>
          <w:szCs w:val="20"/>
          <w:color w:val="auto"/>
        </w:rPr>
      </w:pPr>
    </w:p>
    <w:p>
      <w:pPr>
        <w:jc w:val="both"/>
        <w:ind w:left="840"/>
        <w:spacing w:after="0" w:line="260" w:lineRule="auto"/>
        <w:rPr>
          <w:sz w:val="20"/>
          <w:szCs w:val="20"/>
          <w:color w:val="auto"/>
        </w:rPr>
      </w:pPr>
      <w:r>
        <w:rPr>
          <w:rFonts w:ascii="Arial" w:cs="Arial" w:eastAsia="Arial" w:hAnsi="Arial"/>
          <w:sz w:val="20"/>
          <w:szCs w:val="20"/>
          <w:color w:val="auto"/>
        </w:rPr>
        <w:t xml:space="preserve">(c)WSU reserves to itself (i) the right to make and use Licensed Products and/or Licensed Processes under the Licensed Patents for its own non-commercial academic research purposes, </w:t>
      </w:r>
      <w:r>
        <w:rPr>
          <w:rFonts w:ascii="Arial" w:cs="Arial" w:eastAsia="Arial" w:hAnsi="Arial"/>
          <w:sz w:val="20"/>
          <w:szCs w:val="20"/>
          <w:color w:val="333333"/>
        </w:rPr>
        <w:t>[†]</w:t>
      </w:r>
      <w:r>
        <w:rPr>
          <w:rFonts w:ascii="Arial" w:cs="Arial" w:eastAsia="Arial" w:hAnsi="Arial"/>
          <w:sz w:val="20"/>
          <w:szCs w:val="20"/>
          <w:color w:val="auto"/>
        </w:rPr>
        <w:t>.</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u w:val="single" w:color="auto"/>
          <w:color w:val="auto"/>
        </w:rPr>
        <w:t>Sublicense</w:t>
      </w:r>
    </w:p>
    <w:p>
      <w:pPr>
        <w:spacing w:after="0" w:line="216" w:lineRule="exact"/>
        <w:rPr>
          <w:sz w:val="20"/>
          <w:szCs w:val="20"/>
          <w:color w:val="auto"/>
        </w:rPr>
      </w:pPr>
    </w:p>
    <w:p>
      <w:pPr>
        <w:jc w:val="both"/>
        <w:ind w:left="1660" w:hanging="823"/>
        <w:spacing w:after="0" w:line="271" w:lineRule="auto"/>
        <w:tabs>
          <w:tab w:leader="none" w:pos="164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18"/>
          <w:szCs w:val="18"/>
          <w:color w:val="auto"/>
        </w:rPr>
        <w:t xml:space="preserve">Licensee may grant written Sublicenses to third parties within the Licensed Field and Licensed Territory. Licensee shall have the same responsibility for the activities of any Sublicensee conducted pursuant to such Sublicense as Licensee would have if the activities were directly those of Licensee. Any agreement granting a Sublicense shall state that the Sublicense is subject to the termination of this Agreement; provided, however, at any time within </w:t>
      </w:r>
      <w:r>
        <w:rPr>
          <w:rFonts w:ascii="Arial" w:cs="Arial" w:eastAsia="Arial" w:hAnsi="Arial"/>
          <w:sz w:val="18"/>
          <w:szCs w:val="18"/>
          <w:color w:val="333333"/>
        </w:rPr>
        <w:t>[†]</w:t>
      </w:r>
      <w:r>
        <w:rPr>
          <w:rFonts w:ascii="Arial" w:cs="Arial" w:eastAsia="Arial" w:hAnsi="Arial"/>
          <w:sz w:val="18"/>
          <w:szCs w:val="18"/>
          <w:color w:val="auto"/>
        </w:rPr>
        <w:t xml:space="preserve"> days following termination of this Agreement, a Sublicensee may notify WSU that it wishes to enter into a direct license with WSU (with the same effective date as the date of termination of this Agreement) in order to retain its continuous license rights granted to it under its Sublicense. Following receipt of such notice, WSU and Sublicensee shall enter into a license agreement, the terms of which shall be substantially similar to the terms of this Agreement; provided, however, that the scope of such direct license, the licensed territory and/or the duration of the license grant shall be comparable to the corresponding terms granted by Licensee to such Sublicensee; and further provided that such Sublicensee will be granted at least the same scope of rights as it obtained from Licensee under its Sublicense.</w:t>
      </w:r>
    </w:p>
    <w:p>
      <w:pPr>
        <w:spacing w:after="0" w:line="170" w:lineRule="exact"/>
        <w:rPr>
          <w:sz w:val="20"/>
          <w:szCs w:val="20"/>
          <w:color w:val="auto"/>
        </w:rPr>
      </w:pPr>
    </w:p>
    <w:p>
      <w:pPr>
        <w:jc w:val="both"/>
        <w:ind w:left="1660" w:hanging="823"/>
        <w:spacing w:after="0" w:line="272" w:lineRule="auto"/>
        <w:tabs>
          <w:tab w:leader="none" w:pos="1640" w:val="left"/>
        </w:tabs>
        <w:rPr>
          <w:sz w:val="20"/>
          <w:szCs w:val="20"/>
          <w:color w:val="auto"/>
        </w:rPr>
      </w:pPr>
      <w:r>
        <w:rPr>
          <w:rFonts w:ascii="Arial" w:cs="Arial" w:eastAsia="Arial" w:hAnsi="Arial"/>
          <w:sz w:val="20"/>
          <w:szCs w:val="20"/>
          <w:color w:val="auto"/>
        </w:rPr>
        <w:t>2.2.2</w:t>
      </w:r>
      <w:r>
        <w:rPr>
          <w:sz w:val="20"/>
          <w:szCs w:val="20"/>
          <w:color w:val="auto"/>
        </w:rPr>
        <w:tab/>
      </w:r>
      <w:r>
        <w:rPr>
          <w:rFonts w:ascii="Arial" w:cs="Arial" w:eastAsia="Arial" w:hAnsi="Arial"/>
          <w:sz w:val="18"/>
          <w:szCs w:val="18"/>
          <w:color w:val="auto"/>
        </w:rPr>
        <w:t xml:space="preserve">In respect to Sublicenses granted by Licensee under Section 2.2.1 and Sublicensees’ sales of Licensed Products, Licensee shall pay to WSU a royalty amount determined in accordance with Section 3.3, clause (b). In addition, if Licensee receives any Non-Sales-Based Payments, then Licensee shall pay WSU a percentage of such Non-Sales-Based Payments as specified in Section 2.2.3 and in the manner specified in Section 3.5. Licensee shall provide WSU with a copy of each Sublicense agreement within </w:t>
      </w:r>
      <w:r>
        <w:rPr>
          <w:rFonts w:ascii="Arial" w:cs="Arial" w:eastAsia="Arial" w:hAnsi="Arial"/>
          <w:sz w:val="18"/>
          <w:szCs w:val="18"/>
          <w:color w:val="333333"/>
        </w:rPr>
        <w:t>[ † ]</w:t>
      </w:r>
      <w:r>
        <w:rPr>
          <w:rFonts w:ascii="Arial" w:cs="Arial" w:eastAsia="Arial" w:hAnsi="Arial"/>
          <w:sz w:val="18"/>
          <w:szCs w:val="18"/>
          <w:color w:val="auto"/>
        </w:rPr>
        <w:t xml:space="preserve"> days of the execution of the Sublicense agreement; provided that (a) Licensee may redact portions of such Sublicense agreement which do not pertain to a Sublicense of Licensee’s rights and obligations under this Agreement; and (b) in the event that Licensee provides a redacted copy of such Sublicense agreement, WSU shall have the right to review a copy of the entire, unredacted agreement at Licensee’s premises. For clarity, a grant of a Sublicense by Licensee is not a transfer that is covered by Section 8.1.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1"/>
          <w:szCs w:val="21"/>
          <w:color w:val="auto"/>
        </w:rPr>
        <w:t>5</w:t>
      </w:r>
      <w:r>
        <w:rPr>
          <w:rFonts w:ascii="Arial" w:cs="Arial" w:eastAsia="Arial" w:hAnsi="Arial"/>
          <w:sz w:val="20"/>
          <w:szCs w:val="20"/>
          <w:color w:val="auto"/>
        </w:rPr>
        <w:t xml:space="preserve"> of 27</w:t>
      </w:r>
    </w:p>
    <w:p>
      <w:pPr>
        <w:spacing w:after="0" w:line="221" w:lineRule="auto"/>
        <w:rPr>
          <w:sz w:val="20"/>
          <w:szCs w:val="20"/>
          <w:color w:val="auto"/>
        </w:rPr>
      </w:pPr>
      <w:r>
        <w:rPr>
          <w:rFonts w:ascii="Arial" w:cs="Arial" w:eastAsia="Arial" w:hAnsi="Arial"/>
          <w:sz w:val="15"/>
          <w:szCs w:val="15"/>
          <w:color w:val="auto"/>
        </w:rPr>
        <w:t xml:space="preserve">WSU AGR# </w:t>
      </w:r>
      <w:r>
        <w:rPr>
          <w:rFonts w:ascii="Arial" w:cs="Arial" w:eastAsia="Arial" w:hAnsi="Arial"/>
          <w:sz w:val="19"/>
          <w:szCs w:val="19"/>
          <w:color w:val="333333"/>
        </w:rPr>
        <w: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116252875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49465"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21" w:name="page322"/>
    <w:bookmarkEnd w:id="321"/>
    <w:p>
      <w:pPr>
        <w:ind w:left="840"/>
        <w:spacing w:after="0"/>
        <w:tabs>
          <w:tab w:leader="none" w:pos="164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16"/>
          <w:szCs w:val="16"/>
          <w:u w:val="single" w:color="auto"/>
          <w:color w:val="auto"/>
        </w:rPr>
        <w:t>Payments due to WSU as a percentage of Non-Sales-Based Payments</w:t>
      </w:r>
      <w:r>
        <w:rPr>
          <w:rFonts w:ascii="Arial" w:cs="Arial" w:eastAsia="Arial" w:hAnsi="Arial"/>
          <w:sz w:val="16"/>
          <w:szCs w:val="16"/>
          <w:color w:val="auto"/>
        </w:rPr>
        <w:t>:</w:t>
      </w:r>
    </w:p>
    <w:p>
      <w:pPr>
        <w:spacing w:after="0" w:line="216" w:lineRule="exact"/>
        <w:rPr>
          <w:sz w:val="20"/>
          <w:szCs w:val="20"/>
          <w:color w:val="auto"/>
        </w:rPr>
      </w:pPr>
    </w:p>
    <w:p>
      <w:pPr>
        <w:jc w:val="both"/>
        <w:ind w:left="1680" w:hanging="9"/>
        <w:spacing w:after="0" w:line="250" w:lineRule="auto"/>
        <w:tabs>
          <w:tab w:leader="none" w:pos="2548" w:val="left"/>
        </w:tabs>
        <w:numPr>
          <w:ilvl w:val="0"/>
          <w:numId w:val="266"/>
        </w:numPr>
        <w:rPr>
          <w:rFonts w:ascii="Arial" w:cs="Arial" w:eastAsia="Arial" w:hAnsi="Arial"/>
          <w:sz w:val="20"/>
          <w:szCs w:val="20"/>
          <w:color w:val="auto"/>
        </w:rPr>
      </w:pPr>
      <w:r>
        <w:rPr>
          <w:rFonts w:ascii="Arial" w:cs="Arial" w:eastAsia="Arial" w:hAnsi="Arial"/>
          <w:sz w:val="20"/>
          <w:szCs w:val="20"/>
          <w:color w:val="auto"/>
        </w:rPr>
        <w:t xml:space="preserve">If a particular Sublicense agreement provides for payments to Licensee that are based on the Sublicensee Selling Price, Licensee shall pay to WSU </w:t>
      </w:r>
      <w:r>
        <w:rPr>
          <w:rFonts w:ascii="Arial" w:cs="Arial" w:eastAsia="Arial" w:hAnsi="Arial"/>
          <w:sz w:val="20"/>
          <w:szCs w:val="20"/>
          <w:color w:val="333333"/>
        </w:rPr>
        <w:t>[†]</w:t>
      </w:r>
      <w:r>
        <w:rPr>
          <w:rFonts w:ascii="Arial" w:cs="Arial" w:eastAsia="Arial" w:hAnsi="Arial"/>
          <w:sz w:val="20"/>
          <w:szCs w:val="20"/>
          <w:color w:val="auto"/>
        </w:rPr>
        <w:t xml:space="preserve"> percent </w:t>
      </w:r>
      <w:r>
        <w:rPr>
          <w:rFonts w:ascii="Arial" w:cs="Arial" w:eastAsia="Arial" w:hAnsi="Arial"/>
          <w:sz w:val="20"/>
          <w:szCs w:val="20"/>
          <w:color w:val="333333"/>
        </w:rPr>
        <w:t>[†]</w:t>
      </w:r>
      <w:r>
        <w:rPr>
          <w:rFonts w:ascii="Arial" w:cs="Arial" w:eastAsia="Arial" w:hAnsi="Arial"/>
          <w:sz w:val="20"/>
          <w:szCs w:val="20"/>
          <w:color w:val="auto"/>
        </w:rPr>
        <w:t xml:space="preserve"> of Non-Sales-Based Payments received by Licensee under such Sublicense Agreement after the Effective Date.</w:t>
      </w:r>
    </w:p>
    <w:p>
      <w:pPr>
        <w:spacing w:after="0" w:line="185" w:lineRule="exact"/>
        <w:rPr>
          <w:rFonts w:ascii="Arial" w:cs="Arial" w:eastAsia="Arial" w:hAnsi="Arial"/>
          <w:sz w:val="20"/>
          <w:szCs w:val="20"/>
          <w:color w:val="auto"/>
        </w:rPr>
      </w:pPr>
    </w:p>
    <w:p>
      <w:pPr>
        <w:jc w:val="both"/>
        <w:ind w:left="1680" w:hanging="9"/>
        <w:spacing w:after="0" w:line="250" w:lineRule="auto"/>
        <w:tabs>
          <w:tab w:leader="none" w:pos="2559" w:val="left"/>
        </w:tabs>
        <w:numPr>
          <w:ilvl w:val="0"/>
          <w:numId w:val="266"/>
        </w:numPr>
        <w:rPr>
          <w:rFonts w:ascii="Arial" w:cs="Arial" w:eastAsia="Arial" w:hAnsi="Arial"/>
          <w:sz w:val="20"/>
          <w:szCs w:val="20"/>
          <w:color w:val="auto"/>
        </w:rPr>
      </w:pPr>
      <w:r>
        <w:rPr>
          <w:rFonts w:ascii="Arial" w:cs="Arial" w:eastAsia="Arial" w:hAnsi="Arial"/>
          <w:sz w:val="20"/>
          <w:szCs w:val="20"/>
          <w:color w:val="auto"/>
        </w:rPr>
        <w:t xml:space="preserve">If a particular Sublicense agreement does not provides for payments to Licensee that are based on the Sublicensee Selling Price, Licensee shall pay to WSU </w:t>
      </w:r>
      <w:r>
        <w:rPr>
          <w:rFonts w:ascii="Arial" w:cs="Arial" w:eastAsia="Arial" w:hAnsi="Arial"/>
          <w:sz w:val="20"/>
          <w:szCs w:val="20"/>
          <w:color w:val="333333"/>
        </w:rPr>
        <w:t>[ † ]</w:t>
      </w:r>
      <w:r>
        <w:rPr>
          <w:rFonts w:ascii="Arial" w:cs="Arial" w:eastAsia="Arial" w:hAnsi="Arial"/>
          <w:sz w:val="20"/>
          <w:szCs w:val="20"/>
          <w:color w:val="auto"/>
        </w:rPr>
        <w:t xml:space="preserve"> percent </w:t>
      </w:r>
      <w:r>
        <w:rPr>
          <w:rFonts w:ascii="Arial" w:cs="Arial" w:eastAsia="Arial" w:hAnsi="Arial"/>
          <w:sz w:val="20"/>
          <w:szCs w:val="20"/>
          <w:color w:val="333333"/>
        </w:rPr>
        <w:t>[ † ]</w:t>
      </w:r>
      <w:r>
        <w:rPr>
          <w:rFonts w:ascii="Arial" w:cs="Arial" w:eastAsia="Arial" w:hAnsi="Arial"/>
          <w:sz w:val="20"/>
          <w:szCs w:val="20"/>
          <w:color w:val="auto"/>
        </w:rPr>
        <w:t xml:space="preserve"> of Non-Sales-Based Payments received by Licensee under such Sublicense Agreement after the Effective Date.</w:t>
      </w:r>
    </w:p>
    <w:p>
      <w:pPr>
        <w:spacing w:after="0" w:line="186" w:lineRule="exact"/>
        <w:rPr>
          <w:sz w:val="20"/>
          <w:szCs w:val="20"/>
          <w:color w:val="auto"/>
        </w:rPr>
      </w:pPr>
    </w:p>
    <w:p>
      <w:pPr>
        <w:jc w:val="both"/>
        <w:ind w:left="1680"/>
        <w:spacing w:after="0" w:line="271" w:lineRule="auto"/>
        <w:rPr>
          <w:sz w:val="20"/>
          <w:szCs w:val="20"/>
          <w:color w:val="auto"/>
        </w:rPr>
      </w:pPr>
      <w:r>
        <w:rPr>
          <w:rFonts w:ascii="Arial" w:cs="Arial" w:eastAsia="Arial" w:hAnsi="Arial"/>
          <w:sz w:val="18"/>
          <w:szCs w:val="18"/>
          <w:color w:val="auto"/>
        </w:rPr>
        <w:t>For clarity, in cases where rights and licenses under the Licensed Product or Licensed Patents are bundled together in a Sublicense with rights and licenses under products, patents, patent applications and/or technology independently developed by Licensee and/or developed by and licensed from third parties by Licensee, the amount due to WSU on Non-Sales-Based Payments shall be determined based on the portion of such bundled rights and licenses that is directly attributable to the grant of rights and licenses pursuant to the Sublicense (the “Portion”). If the value of such Portion is not expressly set forth in the Sublicense, then the value of such Portion shall be determined by Licensee at the time the Sublicense is granted and notified to WSU. If WSU does not agree with such determination, then the Parties will collaboratively negotiate in good faith the value of such Portion through mutual discussion and agreement between WSU and the Licensee. If no agreement is reached between the Licensee and WSU as to the value of such Portion, an independent, mutually agreeable, third party shall determine such value of such Portion.</w:t>
      </w:r>
    </w:p>
    <w:p>
      <w:pPr>
        <w:spacing w:after="0" w:line="174"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License to WSU</w:t>
      </w:r>
    </w:p>
    <w:p>
      <w:pPr>
        <w:spacing w:after="0" w:line="216" w:lineRule="exact"/>
        <w:rPr>
          <w:sz w:val="20"/>
          <w:szCs w:val="20"/>
          <w:color w:val="auto"/>
        </w:rPr>
      </w:pPr>
    </w:p>
    <w:p>
      <w:pPr>
        <w:jc w:val="both"/>
        <w:ind w:left="1680"/>
        <w:spacing w:after="0" w:line="254" w:lineRule="auto"/>
        <w:rPr>
          <w:sz w:val="20"/>
          <w:szCs w:val="20"/>
          <w:color w:val="auto"/>
        </w:rPr>
      </w:pPr>
      <w:r>
        <w:rPr>
          <w:rFonts w:ascii="Arial" w:cs="Arial" w:eastAsia="Arial" w:hAnsi="Arial"/>
          <w:sz w:val="19"/>
          <w:szCs w:val="19"/>
          <w:color w:val="auto"/>
        </w:rPr>
        <w:t xml:space="preserve">To the extent permitted by applicable law, Licensee hereby grants to WSU an option to obtain a nonexclusive, royalty-free, paid-up license, solely for non-commercial academic research purposes, under any and all Improvement Patents in which Licensee has an ownership interest. For avoidance of doubt, WSU shall not have the right to grant sublicenses or to otherwise transfer to any third party (whether for-profit or not-for-profit) any rights under any such non-exclusive license obtained by WSU related to such Improvement Patents, and/or to use such non-exclusively licensed rights in support of externally supported sponsored research for any such third party. “Improvement Patents” shall mean any patents or patent applications claiming an improvement or a new use of an invention described by a Valid Claim in the Licensed Patents that, if unlicensed, would infringe one or more Valid Claims of the Licensed Patents. Licensee shall provide WSU with a written disclosure of each such Improvement Patent (such as a U.S. patent application) in which Licensee has an ownership interest, identifying it as an Improvement Patent governed by this Section 2.3, within </w:t>
      </w:r>
      <w:r>
        <w:rPr>
          <w:rFonts w:ascii="Arial" w:cs="Arial" w:eastAsia="Arial" w:hAnsi="Arial"/>
          <w:sz w:val="19"/>
          <w:szCs w:val="19"/>
          <w:color w:val="333333"/>
        </w:rPr>
        <w:t>[†]</w:t>
      </w:r>
      <w:r>
        <w:rPr>
          <w:rFonts w:ascii="Arial" w:cs="Arial" w:eastAsia="Arial" w:hAnsi="Arial"/>
          <w:sz w:val="19"/>
          <w:szCs w:val="19"/>
          <w:color w:val="auto"/>
        </w:rPr>
        <w:t xml:space="preserve"> months of filing a patent application with respect thereto. WSU may exercise its option to obtain a non-exclusive license described in this Section 2.3 under any such Improvement Patent by providing written notice of its election to Licensee within </w:t>
      </w:r>
      <w:r>
        <w:rPr>
          <w:rFonts w:ascii="Arial" w:cs="Arial" w:eastAsia="Arial" w:hAnsi="Arial"/>
          <w:sz w:val="19"/>
          <w:szCs w:val="19"/>
          <w:color w:val="333333"/>
        </w:rPr>
        <w:t>[†]</w:t>
      </w:r>
      <w:r>
        <w:rPr>
          <w:rFonts w:ascii="Arial" w:cs="Arial" w:eastAsia="Arial" w:hAnsi="Arial"/>
          <w:sz w:val="19"/>
          <w:szCs w:val="19"/>
          <w:color w:val="auto"/>
        </w:rPr>
        <w:t xml:space="preserve"> days after the date of such disclosure (“WSU Option Exercise Period”). Further, if WSU exercises its option within the applicable WSU Option Exercise Period, WSU and Licensee shall negotiate in good faith, for a period of up to </w:t>
      </w:r>
      <w:r>
        <w:rPr>
          <w:rFonts w:ascii="Arial" w:cs="Arial" w:eastAsia="Arial" w:hAnsi="Arial"/>
          <w:sz w:val="19"/>
          <w:szCs w:val="19"/>
          <w:color w:val="333333"/>
        </w:rPr>
        <w:t>[†]</w:t>
      </w:r>
      <w:r>
        <w:rPr>
          <w:rFonts w:ascii="Arial" w:cs="Arial" w:eastAsia="Arial" w:hAnsi="Arial"/>
          <w:sz w:val="19"/>
          <w:szCs w:val="19"/>
          <w:color w:val="auto"/>
        </w:rPr>
        <w:t xml:space="preserve"> days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1"/>
          <w:szCs w:val="21"/>
          <w:color w:val="auto"/>
        </w:rPr>
        <w:t>6 of 27</w:t>
      </w:r>
    </w:p>
    <w:p>
      <w:pPr>
        <w:spacing w:after="0" w:line="221" w:lineRule="auto"/>
        <w:rPr>
          <w:sz w:val="20"/>
          <w:szCs w:val="20"/>
          <w:color w:val="auto"/>
        </w:rPr>
      </w:pPr>
      <w:r>
        <w:rPr>
          <w:rFonts w:ascii="Arial" w:cs="Arial" w:eastAsia="Arial" w:hAnsi="Arial"/>
          <w:sz w:val="15"/>
          <w:szCs w:val="15"/>
          <w:color w:val="auto"/>
        </w:rPr>
        <w:t xml:space="preserve">WSU AGR# </w:t>
      </w:r>
      <w:r>
        <w:rPr>
          <w:rFonts w:ascii="Arial" w:cs="Arial" w:eastAsia="Arial" w:hAnsi="Arial"/>
          <w:sz w:val="19"/>
          <w:szCs w:val="19"/>
          <w:color w:val="333333"/>
        </w:rPr>
        <w: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116252875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49465"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22" w:name="page323"/>
    <w:bookmarkEnd w:id="322"/>
    <w:p>
      <w:pPr>
        <w:jc w:val="both"/>
        <w:ind w:left="1680"/>
        <w:spacing w:after="0" w:line="255" w:lineRule="auto"/>
        <w:rPr>
          <w:sz w:val="20"/>
          <w:szCs w:val="20"/>
          <w:color w:val="auto"/>
        </w:rPr>
      </w:pPr>
      <w:r>
        <w:rPr>
          <w:rFonts w:ascii="Arial" w:cs="Arial" w:eastAsia="Arial" w:hAnsi="Arial"/>
          <w:sz w:val="19"/>
          <w:szCs w:val="19"/>
          <w:color w:val="auto"/>
        </w:rPr>
        <w:t>following the date of WSU’s exercise of its option (“WSU Negotiation Period”), a non-exclusive license agreement consistent with the scope of the license described in the first sentence of this Section 2.3 and containing other appropriate, commercially reasonable and mutually acceptable terms and conditions. If (a) WSU fails to exercise its option, or provides written notice to Licensee that it does not wish to exercise its option, relating to a particular Improvement Patent within the applicable WSU Option Exercise Period, or (b) WSU exercises its option relating to a particular Improvement Patent within the applicable WSU Option Exercise Period and the Parties do not execute a license agreement with respect to such Improvement Patent within the applicable WSU Negotiation Period, then all rights of WSU to such Improvement Patent shall terminate as of the expiration of the relevant WSU Option Exercise Period or WSU Negotiation Period, as applicable. Notwithstanding anything to the contrary in this Section 2.3, for the avoidance of doubt, WSU retains its rights described in Section 2.1(c).</w:t>
      </w:r>
    </w:p>
    <w:p>
      <w:pPr>
        <w:spacing w:after="0" w:line="197" w:lineRule="exact"/>
        <w:rPr>
          <w:sz w:val="20"/>
          <w:szCs w:val="20"/>
          <w:color w:val="auto"/>
        </w:rPr>
      </w:pPr>
    </w:p>
    <w:p>
      <w:pPr>
        <w:spacing w:after="0"/>
        <w:tabs>
          <w:tab w:leader="none" w:pos="1400" w:val="left"/>
        </w:tabs>
        <w:rPr>
          <w:sz w:val="20"/>
          <w:szCs w:val="20"/>
          <w:color w:val="auto"/>
        </w:rPr>
      </w:pPr>
      <w:r>
        <w:rPr>
          <w:rFonts w:ascii="Arial" w:cs="Arial" w:eastAsia="Arial" w:hAnsi="Arial"/>
          <w:sz w:val="20"/>
          <w:szCs w:val="20"/>
          <w:b w:val="1"/>
          <w:bCs w:val="1"/>
          <w:color w:val="auto"/>
        </w:rPr>
        <w:t>Section 3</w:t>
      </w:r>
      <w:r>
        <w:rPr>
          <w:sz w:val="20"/>
          <w:szCs w:val="20"/>
          <w:color w:val="auto"/>
        </w:rPr>
        <w:tab/>
      </w:r>
      <w:r>
        <w:rPr>
          <w:rFonts w:ascii="Arial" w:cs="Arial" w:eastAsia="Arial" w:hAnsi="Arial"/>
          <w:sz w:val="16"/>
          <w:szCs w:val="16"/>
          <w:b w:val="1"/>
          <w:bCs w:val="1"/>
          <w:u w:val="single" w:color="auto"/>
          <w:color w:val="auto"/>
        </w:rPr>
        <w:t>Consideration.</w:t>
      </w:r>
    </w:p>
    <w:p>
      <w:pPr>
        <w:spacing w:after="0" w:line="222"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6"/>
          <w:szCs w:val="16"/>
          <w:color w:val="auto"/>
        </w:rPr>
        <w:t>Development</w:t>
      </w:r>
    </w:p>
    <w:p>
      <w:pPr>
        <w:spacing w:after="0" w:line="216" w:lineRule="exact"/>
        <w:rPr>
          <w:sz w:val="20"/>
          <w:szCs w:val="20"/>
          <w:color w:val="auto"/>
        </w:rPr>
      </w:pPr>
    </w:p>
    <w:p>
      <w:pPr>
        <w:jc w:val="both"/>
        <w:ind w:left="1660" w:hanging="823"/>
        <w:spacing w:after="0" w:line="256" w:lineRule="auto"/>
        <w:tabs>
          <w:tab w:leader="none" w:pos="164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9"/>
          <w:szCs w:val="19"/>
          <w:color w:val="auto"/>
        </w:rPr>
        <w:t xml:space="preserve">Licensee agrees to and warrants that: it has, or will obtain, the expertise necessary to independently evaluate the inventions of the Licensed Patents; it will establish and actively and diligently pursue the Development Plan to the end that at least one Licensed Product and/or Licensed Process will be offered for sale in the retail market within the Licensed Field; and within </w:t>
      </w:r>
      <w:r>
        <w:rPr>
          <w:rFonts w:ascii="Arial" w:cs="Arial" w:eastAsia="Arial" w:hAnsi="Arial"/>
          <w:sz w:val="19"/>
          <w:szCs w:val="19"/>
          <w:color w:val="333333"/>
        </w:rPr>
        <w:t>[†]</w:t>
      </w:r>
      <w:r>
        <w:rPr>
          <w:rFonts w:ascii="Arial" w:cs="Arial" w:eastAsia="Arial" w:hAnsi="Arial"/>
          <w:sz w:val="19"/>
          <w:szCs w:val="19"/>
          <w:color w:val="auto"/>
        </w:rPr>
        <w:t xml:space="preserve"> month following the end of each </w:t>
      </w:r>
      <w:r>
        <w:rPr>
          <w:rFonts w:ascii="Arial" w:cs="Arial" w:eastAsia="Arial" w:hAnsi="Arial"/>
          <w:sz w:val="19"/>
          <w:szCs w:val="19"/>
          <w:color w:val="333333"/>
        </w:rPr>
        <w:t>[†]</w:t>
      </w:r>
      <w:r>
        <w:rPr>
          <w:rFonts w:ascii="Arial" w:cs="Arial" w:eastAsia="Arial" w:hAnsi="Arial"/>
          <w:sz w:val="19"/>
          <w:szCs w:val="19"/>
          <w:color w:val="auto"/>
        </w:rPr>
        <w:t xml:space="preserve"> month period ending on </w:t>
      </w:r>
      <w:r>
        <w:rPr>
          <w:rFonts w:ascii="Arial" w:cs="Arial" w:eastAsia="Arial" w:hAnsi="Arial"/>
          <w:sz w:val="19"/>
          <w:szCs w:val="19"/>
          <w:color w:val="333333"/>
        </w:rPr>
        <w:t>[†]</w:t>
      </w:r>
      <w:r>
        <w:rPr>
          <w:rFonts w:ascii="Arial" w:cs="Arial" w:eastAsia="Arial" w:hAnsi="Arial"/>
          <w:sz w:val="19"/>
          <w:szCs w:val="19"/>
          <w:color w:val="auto"/>
        </w:rPr>
        <w:t xml:space="preserve">, and until </w:t>
      </w:r>
      <w:r>
        <w:rPr>
          <w:rFonts w:ascii="Arial" w:cs="Arial" w:eastAsia="Arial" w:hAnsi="Arial"/>
          <w:sz w:val="19"/>
          <w:szCs w:val="19"/>
          <w:color w:val="333333"/>
        </w:rPr>
        <w:t>[†]</w:t>
      </w:r>
      <w:r>
        <w:rPr>
          <w:rFonts w:ascii="Arial" w:cs="Arial" w:eastAsia="Arial" w:hAnsi="Arial"/>
          <w:sz w:val="19"/>
          <w:szCs w:val="19"/>
          <w:color w:val="auto"/>
        </w:rPr>
        <w:t xml:space="preserve">, it will supply WSU with a written Development Report. </w:t>
      </w:r>
      <w:r>
        <w:rPr>
          <w:rFonts w:ascii="Arial" w:cs="Arial" w:eastAsia="Arial" w:hAnsi="Arial"/>
          <w:sz w:val="19"/>
          <w:szCs w:val="19"/>
          <w:color w:val="333333"/>
        </w:rPr>
        <w:t>[ † ]</w:t>
      </w:r>
      <w:r>
        <w:rPr>
          <w:rFonts w:ascii="Arial" w:cs="Arial" w:eastAsia="Arial" w:hAnsi="Arial"/>
          <w:sz w:val="19"/>
          <w:szCs w:val="19"/>
          <w:color w:val="auto"/>
        </w:rPr>
        <w:t>. All development activities and strategies and all aspects of product design and decisions to market and the like are entirely at the discretion of Licensee, and Licensee shall rely entirely on its own expertise with respect thereto. WSU’s review of Licensee’s Development Plan is solely to verify the existence of Licensee’s commitment to development activity and to ensure compliance with Licensee’s obligations to commercialize Licensed Products and/or Licensed Processes, as set forth above.</w:t>
      </w:r>
    </w:p>
    <w:p>
      <w:pPr>
        <w:spacing w:after="0" w:line="184" w:lineRule="exact"/>
        <w:rPr>
          <w:sz w:val="20"/>
          <w:szCs w:val="20"/>
          <w:color w:val="auto"/>
        </w:rPr>
      </w:pPr>
    </w:p>
    <w:p>
      <w:pPr>
        <w:jc w:val="both"/>
        <w:ind w:left="1660" w:hanging="823"/>
        <w:spacing w:after="0" w:line="260" w:lineRule="auto"/>
        <w:tabs>
          <w:tab w:leader="none" w:pos="164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20"/>
          <w:szCs w:val="20"/>
          <w:color w:val="auto"/>
        </w:rPr>
        <w:t>Licensee will meet the following performance milestones, which correspond to dates set forth in the Development Plan (as it may be amended from time to time as mutually agreed by the Parties):</w:t>
      </w:r>
    </w:p>
    <w:p>
      <w:pPr>
        <w:spacing w:after="0" w:line="177" w:lineRule="exact"/>
        <w:rPr>
          <w:sz w:val="20"/>
          <w:szCs w:val="20"/>
          <w:color w:val="auto"/>
        </w:rPr>
      </w:pPr>
    </w:p>
    <w:p>
      <w:pPr>
        <w:ind w:left="1660"/>
        <w:spacing w:after="0"/>
        <w:tabs>
          <w:tab w:leader="none" w:pos="2480" w:val="left"/>
        </w:tabs>
        <w:rPr>
          <w:sz w:val="20"/>
          <w:szCs w:val="20"/>
          <w:color w:val="auto"/>
        </w:rPr>
      </w:pPr>
      <w:r>
        <w:rPr>
          <w:rFonts w:ascii="Arial" w:cs="Arial" w:eastAsia="Arial" w:hAnsi="Arial"/>
          <w:sz w:val="20"/>
          <w:szCs w:val="20"/>
          <w:color w:val="auto"/>
        </w:rPr>
        <w:t>3.1.2.1</w:t>
      </w:r>
      <w:r>
        <w:rPr>
          <w:sz w:val="20"/>
          <w:szCs w:val="20"/>
          <w:color w:val="auto"/>
        </w:rPr>
        <w:tab/>
      </w:r>
      <w:r>
        <w:rPr>
          <w:rFonts w:ascii="Arial" w:cs="Arial" w:eastAsia="Arial" w:hAnsi="Arial"/>
          <w:sz w:val="16"/>
          <w:szCs w:val="16"/>
          <w:color w:val="auto"/>
        </w:rPr>
        <w:t xml:space="preserve">Licensee shall have completed </w:t>
      </w:r>
      <w:r>
        <w:rPr>
          <w:rFonts w:ascii="Arial" w:cs="Arial" w:eastAsia="Arial" w:hAnsi="Arial"/>
          <w:sz w:val="16"/>
          <w:szCs w:val="16"/>
          <w:color w:val="333333"/>
        </w:rPr>
        <w:t>[†]</w:t>
      </w:r>
      <w:r>
        <w:rPr>
          <w:rFonts w:ascii="Arial" w:cs="Arial" w:eastAsia="Arial" w:hAnsi="Arial"/>
          <w:sz w:val="16"/>
          <w:szCs w:val="16"/>
          <w:color w:val="auto"/>
        </w:rPr>
        <w:t>;</w:t>
      </w:r>
    </w:p>
    <w:p>
      <w:pPr>
        <w:spacing w:after="0" w:line="216" w:lineRule="exact"/>
        <w:rPr>
          <w:sz w:val="20"/>
          <w:szCs w:val="20"/>
          <w:color w:val="auto"/>
        </w:rPr>
      </w:pPr>
    </w:p>
    <w:p>
      <w:pPr>
        <w:ind w:left="1660"/>
        <w:spacing w:after="0"/>
        <w:tabs>
          <w:tab w:leader="none" w:pos="2480" w:val="left"/>
        </w:tabs>
        <w:rPr>
          <w:sz w:val="20"/>
          <w:szCs w:val="20"/>
          <w:color w:val="auto"/>
        </w:rPr>
      </w:pPr>
      <w:r>
        <w:rPr>
          <w:rFonts w:ascii="Arial" w:cs="Arial" w:eastAsia="Arial" w:hAnsi="Arial"/>
          <w:sz w:val="20"/>
          <w:szCs w:val="20"/>
          <w:color w:val="auto"/>
        </w:rPr>
        <w:t>3.1.2.2</w:t>
      </w:r>
      <w:r>
        <w:rPr>
          <w:sz w:val="20"/>
          <w:szCs w:val="20"/>
          <w:color w:val="auto"/>
        </w:rPr>
        <w:tab/>
      </w:r>
      <w:r>
        <w:rPr>
          <w:rFonts w:ascii="Arial" w:cs="Arial" w:eastAsia="Arial" w:hAnsi="Arial"/>
          <w:sz w:val="16"/>
          <w:szCs w:val="16"/>
          <w:color w:val="auto"/>
        </w:rPr>
        <w:t xml:space="preserve">Licensee shall have initiated </w:t>
      </w:r>
      <w:r>
        <w:rPr>
          <w:rFonts w:ascii="Arial" w:cs="Arial" w:eastAsia="Arial" w:hAnsi="Arial"/>
          <w:sz w:val="16"/>
          <w:szCs w:val="16"/>
          <w:color w:val="333333"/>
        </w:rPr>
        <w:t>[†]</w:t>
      </w:r>
      <w:r>
        <w:rPr>
          <w:rFonts w:ascii="Arial" w:cs="Arial" w:eastAsia="Arial" w:hAnsi="Arial"/>
          <w:sz w:val="16"/>
          <w:szCs w:val="16"/>
          <w:color w:val="auto"/>
        </w:rPr>
        <w:t>; and</w:t>
      </w:r>
    </w:p>
    <w:p>
      <w:pPr>
        <w:spacing w:after="0" w:line="216" w:lineRule="exact"/>
        <w:rPr>
          <w:sz w:val="20"/>
          <w:szCs w:val="20"/>
          <w:color w:val="auto"/>
        </w:rPr>
      </w:pPr>
    </w:p>
    <w:p>
      <w:pPr>
        <w:ind w:left="1660"/>
        <w:spacing w:after="0"/>
        <w:tabs>
          <w:tab w:leader="none" w:pos="2480" w:val="left"/>
        </w:tabs>
        <w:rPr>
          <w:sz w:val="20"/>
          <w:szCs w:val="20"/>
          <w:color w:val="auto"/>
        </w:rPr>
      </w:pPr>
      <w:r>
        <w:rPr>
          <w:rFonts w:ascii="Arial" w:cs="Arial" w:eastAsia="Arial" w:hAnsi="Arial"/>
          <w:sz w:val="20"/>
          <w:szCs w:val="20"/>
          <w:color w:val="auto"/>
        </w:rPr>
        <w:t>3.1.2.3</w:t>
      </w:r>
      <w:r>
        <w:rPr>
          <w:sz w:val="20"/>
          <w:szCs w:val="20"/>
          <w:color w:val="auto"/>
        </w:rPr>
        <w:tab/>
      </w:r>
      <w:r>
        <w:rPr>
          <w:rFonts w:ascii="Arial" w:cs="Arial" w:eastAsia="Arial" w:hAnsi="Arial"/>
          <w:sz w:val="16"/>
          <w:szCs w:val="16"/>
          <w:color w:val="auto"/>
        </w:rPr>
        <w:t xml:space="preserve">Licensee shall have achieved </w:t>
      </w:r>
      <w:r>
        <w:rPr>
          <w:rFonts w:ascii="Arial" w:cs="Arial" w:eastAsia="Arial" w:hAnsi="Arial"/>
          <w:sz w:val="16"/>
          <w:szCs w:val="16"/>
          <w:color w:val="333333"/>
        </w:rPr>
        <w:t>[†]</w:t>
      </w:r>
      <w:r>
        <w:rPr>
          <w:rFonts w:ascii="Arial" w:cs="Arial" w:eastAsia="Arial" w:hAnsi="Arial"/>
          <w:sz w:val="16"/>
          <w:szCs w:val="16"/>
          <w:color w:val="auto"/>
        </w:rPr>
        <w:t>.</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Failure to meet any of the foregoing milestones will give rise to WSU’s right to terminate this Agreement pursuant to Section 7.3.</w:t>
      </w:r>
    </w:p>
    <w:p>
      <w:pPr>
        <w:spacing w:after="0" w:line="239" w:lineRule="exact"/>
        <w:rPr>
          <w:sz w:val="20"/>
          <w:szCs w:val="20"/>
          <w:color w:val="auto"/>
        </w:rPr>
      </w:pPr>
    </w:p>
    <w:p>
      <w:pPr>
        <w:jc w:val="both"/>
        <w:ind w:left="1660" w:hanging="823"/>
        <w:spacing w:after="0" w:line="291" w:lineRule="auto"/>
        <w:tabs>
          <w:tab w:leader="none" w:pos="1640" w:val="left"/>
        </w:tabs>
        <w:rPr>
          <w:sz w:val="20"/>
          <w:szCs w:val="20"/>
          <w:color w:val="auto"/>
        </w:rPr>
      </w:pPr>
      <w:r>
        <w:rPr>
          <w:rFonts w:ascii="Arial" w:cs="Arial" w:eastAsia="Arial" w:hAnsi="Arial"/>
          <w:sz w:val="20"/>
          <w:szCs w:val="20"/>
          <w:color w:val="auto"/>
        </w:rPr>
        <w:t>3.1.3</w:t>
      </w:r>
      <w:r>
        <w:rPr>
          <w:sz w:val="20"/>
          <w:szCs w:val="20"/>
          <w:color w:val="auto"/>
        </w:rPr>
        <w:tab/>
      </w:r>
      <w:r>
        <w:rPr>
          <w:rFonts w:ascii="Arial" w:cs="Arial" w:eastAsia="Arial" w:hAnsi="Arial"/>
          <w:sz w:val="18"/>
          <w:szCs w:val="18"/>
          <w:color w:val="auto"/>
        </w:rPr>
        <w:t>During the term of this Agreement, Licensee agrees to allow WSU to appoint one representative to sit in as a board observer during the Licensee board (“Board”) meetings, as set forth in Section 3.2.4. For the avoidance of doubt, this WSU-appointed Board observer is not empowered with any rights associated with a regular Board member.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1"/>
          <w:szCs w:val="21"/>
          <w:color w:val="auto"/>
        </w:rPr>
        <w:t>7</w:t>
      </w:r>
      <w:r>
        <w:rPr>
          <w:rFonts w:ascii="Arial" w:cs="Arial" w:eastAsia="Arial" w:hAnsi="Arial"/>
          <w:sz w:val="20"/>
          <w:szCs w:val="20"/>
          <w:color w:val="auto"/>
        </w:rPr>
        <w:t xml:space="preserve"> of 27</w:t>
      </w:r>
    </w:p>
    <w:p>
      <w:pPr>
        <w:spacing w:after="0" w:line="221" w:lineRule="auto"/>
        <w:rPr>
          <w:sz w:val="20"/>
          <w:szCs w:val="20"/>
          <w:color w:val="auto"/>
        </w:rPr>
      </w:pPr>
      <w:r>
        <w:rPr>
          <w:rFonts w:ascii="Arial" w:cs="Arial" w:eastAsia="Arial" w:hAnsi="Arial"/>
          <w:sz w:val="15"/>
          <w:szCs w:val="15"/>
          <w:color w:val="auto"/>
        </w:rPr>
        <w:t xml:space="preserve">WSU AGR# </w:t>
      </w:r>
      <w:r>
        <w:rPr>
          <w:rFonts w:ascii="Arial" w:cs="Arial" w:eastAsia="Arial" w:hAnsi="Arial"/>
          <w:sz w:val="19"/>
          <w:szCs w:val="19"/>
          <w:color w:val="333333"/>
        </w:rPr>
        <w: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116252875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49465"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23" w:name="page324"/>
    <w:bookmarkEnd w:id="323"/>
    <w:p>
      <w:pPr>
        <w:spacing w:after="0"/>
        <w:tabs>
          <w:tab w:leader="none" w:pos="82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6"/>
          <w:szCs w:val="16"/>
          <w:u w:val="single" w:color="auto"/>
          <w:color w:val="auto"/>
        </w:rPr>
        <w:t>License Issue Fee and WSU Equity Rights</w:t>
      </w:r>
      <w:r>
        <w:rPr>
          <w:rFonts w:ascii="Arial" w:cs="Arial" w:eastAsia="Arial" w:hAnsi="Arial"/>
          <w:sz w:val="16"/>
          <w:szCs w:val="16"/>
          <w:color w:val="auto"/>
        </w:rPr>
        <w:t>:</w:t>
      </w:r>
    </w:p>
    <w:p>
      <w:pPr>
        <w:spacing w:after="0" w:line="216" w:lineRule="exact"/>
        <w:rPr>
          <w:sz w:val="20"/>
          <w:szCs w:val="20"/>
          <w:color w:val="auto"/>
        </w:rPr>
      </w:pPr>
    </w:p>
    <w:p>
      <w:pPr>
        <w:jc w:val="both"/>
        <w:ind w:left="1660" w:right="20" w:hanging="823"/>
        <w:spacing w:after="0" w:line="244" w:lineRule="auto"/>
        <w:tabs>
          <w:tab w:leader="none" w:pos="1640" w:val="left"/>
        </w:tabs>
        <w:rPr>
          <w:sz w:val="20"/>
          <w:szCs w:val="20"/>
          <w:color w:val="auto"/>
        </w:rPr>
      </w:pPr>
      <w:r>
        <w:rPr>
          <w:rFonts w:ascii="Arial" w:cs="Arial" w:eastAsia="Arial" w:hAnsi="Arial"/>
          <w:sz w:val="20"/>
          <w:szCs w:val="20"/>
          <w:color w:val="auto"/>
        </w:rPr>
        <w:t>3.2.1</w:t>
      </w:r>
      <w:r>
        <w:rPr>
          <w:sz w:val="20"/>
          <w:szCs w:val="20"/>
          <w:color w:val="auto"/>
        </w:rPr>
        <w:tab/>
      </w:r>
      <w:r>
        <w:rPr>
          <w:rFonts w:ascii="Arial" w:cs="Arial" w:eastAsia="Arial" w:hAnsi="Arial"/>
          <w:sz w:val="20"/>
          <w:szCs w:val="20"/>
          <w:u w:val="single" w:color="auto"/>
          <w:color w:val="auto"/>
        </w:rPr>
        <w:t xml:space="preserve">License Issue Fee and Maintenance Fee: </w:t>
      </w:r>
      <w:r>
        <w:rPr>
          <w:rFonts w:ascii="Arial" w:cs="Arial" w:eastAsia="Arial" w:hAnsi="Arial"/>
          <w:sz w:val="20"/>
          <w:szCs w:val="20"/>
          <w:color w:val="auto"/>
        </w:rPr>
        <w:t>Licensee agrees to pay to WSU a “License Issue Fee” of</w:t>
      </w:r>
      <w:r>
        <w:rPr>
          <w:rFonts w:ascii="Arial" w:cs="Arial" w:eastAsia="Arial" w:hAnsi="Arial"/>
          <w:sz w:val="20"/>
          <w:szCs w:val="20"/>
          <w:u w:val="single" w:color="auto"/>
          <w:color w:val="auto"/>
        </w:rPr>
        <w:t xml:space="preserve"> </w:t>
      </w:r>
      <w:r>
        <w:rPr>
          <w:rFonts w:ascii="Arial" w:cs="Arial" w:eastAsia="Arial" w:hAnsi="Arial"/>
          <w:sz w:val="20"/>
          <w:szCs w:val="20"/>
          <w:color w:val="333333"/>
        </w:rPr>
        <w:t>[†]</w:t>
      </w:r>
      <w:r>
        <w:rPr>
          <w:rFonts w:ascii="Arial" w:cs="Arial" w:eastAsia="Arial" w:hAnsi="Arial"/>
          <w:sz w:val="20"/>
          <w:szCs w:val="20"/>
          <w:u w:val="single" w:color="auto"/>
          <w:color w:val="auto"/>
        </w:rPr>
        <w:t xml:space="preserve"> </w:t>
      </w:r>
      <w:r>
        <w:rPr>
          <w:rFonts w:ascii="Arial" w:cs="Arial" w:eastAsia="Arial" w:hAnsi="Arial"/>
          <w:sz w:val="20"/>
          <w:szCs w:val="20"/>
          <w:color w:val="auto"/>
        </w:rPr>
        <w:t>within</w:t>
      </w:r>
      <w:r>
        <w:rPr>
          <w:rFonts w:ascii="Arial" w:cs="Arial" w:eastAsia="Arial" w:hAnsi="Arial"/>
          <w:sz w:val="20"/>
          <w:szCs w:val="20"/>
          <w:u w:val="single" w:color="auto"/>
          <w:color w:val="auto"/>
        </w:rPr>
        <w:t xml:space="preserve"> </w:t>
      </w:r>
      <w:r>
        <w:rPr>
          <w:rFonts w:ascii="Arial" w:cs="Arial" w:eastAsia="Arial" w:hAnsi="Arial"/>
          <w:sz w:val="20"/>
          <w:szCs w:val="20"/>
          <w:color w:val="333333"/>
        </w:rPr>
        <w:t>[†]</w:t>
      </w:r>
      <w:r>
        <w:rPr>
          <w:rFonts w:ascii="Arial" w:cs="Arial" w:eastAsia="Arial" w:hAnsi="Arial"/>
          <w:sz w:val="20"/>
          <w:szCs w:val="20"/>
          <w:u w:val="single" w:color="auto"/>
          <w:color w:val="auto"/>
        </w:rPr>
        <w:t xml:space="preserve"> </w:t>
      </w:r>
      <w:r>
        <w:rPr>
          <w:rFonts w:ascii="Arial" w:cs="Arial" w:eastAsia="Arial" w:hAnsi="Arial"/>
          <w:sz w:val="20"/>
          <w:szCs w:val="20"/>
          <w:color w:val="auto"/>
        </w:rPr>
        <w:t>days of</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the Effective Date. In addition to the License Issue Fee, Licensee agrees to pay to WSU an annual “Maintenance Fee” of </w:t>
      </w:r>
      <w:r>
        <w:rPr>
          <w:rFonts w:ascii="Arial" w:cs="Arial" w:eastAsia="Arial" w:hAnsi="Arial"/>
          <w:sz w:val="20"/>
          <w:szCs w:val="20"/>
          <w:color w:val="333333"/>
        </w:rPr>
        <w:t>[†]</w:t>
      </w:r>
      <w:r>
        <w:rPr>
          <w:rFonts w:ascii="Arial" w:cs="Arial" w:eastAsia="Arial" w:hAnsi="Arial"/>
          <w:sz w:val="20"/>
          <w:szCs w:val="20"/>
          <w:color w:val="000000"/>
        </w:rPr>
        <w:t>, payable on or before each anniversary of the Effective Date until the first commercial sale of a Licensed Product or</w:t>
      </w:r>
      <w:r>
        <w:rPr>
          <w:rFonts w:ascii="Arial" w:cs="Arial" w:eastAsia="Arial" w:hAnsi="Arial"/>
          <w:sz w:val="20"/>
          <w:szCs w:val="20"/>
          <w:color w:val="333333"/>
        </w:rPr>
        <w:t xml:space="preserve"> </w:t>
      </w:r>
      <w:r>
        <w:rPr>
          <w:rFonts w:ascii="Arial" w:cs="Arial" w:eastAsia="Arial" w:hAnsi="Arial"/>
          <w:sz w:val="20"/>
          <w:szCs w:val="20"/>
          <w:color w:val="000000"/>
        </w:rPr>
        <w:t>Licensed Process, at which time the annual Maintenance Fee is no longer due and is replaced by the Annual Minimum Royalty as specified in Section 3.4.1.</w:t>
      </w:r>
    </w:p>
    <w:p>
      <w:pPr>
        <w:spacing w:after="0" w:line="194" w:lineRule="exact"/>
        <w:rPr>
          <w:sz w:val="20"/>
          <w:szCs w:val="20"/>
          <w:color w:val="auto"/>
        </w:rPr>
      </w:pPr>
    </w:p>
    <w:p>
      <w:pPr>
        <w:jc w:val="both"/>
        <w:ind w:left="1660" w:hanging="823"/>
        <w:spacing w:after="0" w:line="246" w:lineRule="auto"/>
        <w:tabs>
          <w:tab w:leader="none" w:pos="1640" w:val="left"/>
        </w:tabs>
        <w:rPr>
          <w:sz w:val="20"/>
          <w:szCs w:val="20"/>
          <w:color w:val="auto"/>
        </w:rPr>
      </w:pPr>
      <w:r>
        <w:rPr>
          <w:rFonts w:ascii="Arial" w:cs="Arial" w:eastAsia="Arial" w:hAnsi="Arial"/>
          <w:sz w:val="20"/>
          <w:szCs w:val="20"/>
          <w:color w:val="auto"/>
        </w:rPr>
        <w:t>3.2.2</w:t>
      </w:r>
      <w:r>
        <w:rPr>
          <w:sz w:val="20"/>
          <w:szCs w:val="20"/>
          <w:color w:val="auto"/>
        </w:rPr>
        <w:tab/>
      </w:r>
      <w:r>
        <w:rPr>
          <w:rFonts w:ascii="Arial" w:cs="Arial" w:eastAsia="Arial" w:hAnsi="Arial"/>
          <w:sz w:val="20"/>
          <w:szCs w:val="20"/>
          <w:u w:val="single" w:color="auto"/>
          <w:color w:val="auto"/>
        </w:rPr>
        <w:t xml:space="preserve">WSU Equity Rights: </w:t>
      </w:r>
      <w:r>
        <w:rPr>
          <w:rFonts w:ascii="Arial" w:cs="Arial" w:eastAsia="Arial" w:hAnsi="Arial"/>
          <w:sz w:val="20"/>
          <w:szCs w:val="20"/>
          <w:color w:val="auto"/>
        </w:rPr>
        <w:t>WSU acknowledges that WSURF was issued</w:t>
      </w:r>
      <w:r>
        <w:rPr>
          <w:rFonts w:ascii="Arial" w:cs="Arial" w:eastAsia="Arial" w:hAnsi="Arial"/>
          <w:sz w:val="20"/>
          <w:szCs w:val="20"/>
          <w:u w:val="single" w:color="auto"/>
          <w:color w:val="auto"/>
        </w:rPr>
        <w:t xml:space="preserve"> </w:t>
      </w:r>
      <w:r>
        <w:rPr>
          <w:rFonts w:ascii="Arial" w:cs="Arial" w:eastAsia="Arial" w:hAnsi="Arial"/>
          <w:sz w:val="20"/>
          <w:szCs w:val="20"/>
          <w:color w:val="333333"/>
        </w:rPr>
        <w:t>[†]</w:t>
      </w:r>
      <w:r>
        <w:rPr>
          <w:rFonts w:ascii="Arial" w:cs="Arial" w:eastAsia="Arial" w:hAnsi="Arial"/>
          <w:sz w:val="20"/>
          <w:szCs w:val="20"/>
          <w:u w:val="single" w:color="auto"/>
          <w:color w:val="auto"/>
        </w:rPr>
        <w:t xml:space="preserve"> </w:t>
      </w:r>
      <w:r>
        <w:rPr>
          <w:rFonts w:ascii="Arial" w:cs="Arial" w:eastAsia="Arial" w:hAnsi="Arial"/>
          <w:sz w:val="20"/>
          <w:szCs w:val="20"/>
          <w:color w:val="auto"/>
        </w:rPr>
        <w:t>shares of Common Stock of Licensee pursuant to</w:t>
      </w:r>
      <w:r>
        <w:rPr>
          <w:rFonts w:ascii="Arial" w:cs="Arial" w:eastAsia="Arial" w:hAnsi="Arial"/>
          <w:sz w:val="20"/>
          <w:szCs w:val="20"/>
          <w:u w:val="single" w:color="auto"/>
          <w:color w:val="auto"/>
        </w:rPr>
        <w:t xml:space="preserve"> </w:t>
      </w:r>
      <w:r>
        <w:rPr>
          <w:rFonts w:ascii="Arial" w:cs="Arial" w:eastAsia="Arial" w:hAnsi="Arial"/>
          <w:sz w:val="20"/>
          <w:szCs w:val="20"/>
          <w:color w:val="auto"/>
        </w:rPr>
        <w:t>a stock purchase agreement dated June 13, 2013. As of December 31, 2013, these shares of Common Stock of Licensee have been assigned and transferred to WRF. No further anti-dilution rights are provided to WSU with regard to such issued Common Stock.</w:t>
      </w:r>
    </w:p>
    <w:p>
      <w:pPr>
        <w:spacing w:after="0" w:line="191" w:lineRule="exact"/>
        <w:rPr>
          <w:sz w:val="20"/>
          <w:szCs w:val="20"/>
          <w:color w:val="auto"/>
        </w:rPr>
      </w:pPr>
    </w:p>
    <w:p>
      <w:pPr>
        <w:jc w:val="both"/>
        <w:ind w:left="1660" w:hanging="823"/>
        <w:spacing w:after="0" w:line="260" w:lineRule="auto"/>
        <w:tabs>
          <w:tab w:leader="none" w:pos="1640" w:val="left"/>
        </w:tabs>
        <w:rPr>
          <w:sz w:val="20"/>
          <w:szCs w:val="20"/>
          <w:color w:val="auto"/>
        </w:rPr>
      </w:pPr>
      <w:r>
        <w:rPr>
          <w:rFonts w:ascii="Arial" w:cs="Arial" w:eastAsia="Arial" w:hAnsi="Arial"/>
          <w:sz w:val="20"/>
          <w:szCs w:val="20"/>
          <w:color w:val="auto"/>
        </w:rPr>
        <w:t>3.2.3</w:t>
      </w:r>
      <w:r>
        <w:rPr>
          <w:sz w:val="20"/>
          <w:szCs w:val="20"/>
          <w:color w:val="auto"/>
        </w:rPr>
        <w:tab/>
      </w:r>
      <w:r>
        <w:rPr>
          <w:rFonts w:ascii="Arial" w:cs="Arial" w:eastAsia="Arial" w:hAnsi="Arial"/>
          <w:sz w:val="19"/>
          <w:szCs w:val="19"/>
          <w:u w:val="single" w:color="auto"/>
          <w:color w:val="auto"/>
        </w:rPr>
        <w:t xml:space="preserve">WSU Right to Participate. </w:t>
      </w:r>
      <w:r>
        <w:rPr>
          <w:rFonts w:ascii="Arial" w:cs="Arial" w:eastAsia="Arial" w:hAnsi="Arial"/>
          <w:sz w:val="19"/>
          <w:szCs w:val="19"/>
          <w:color w:val="auto"/>
        </w:rPr>
        <w:t>In addition to the equity stake described in Section 3.2.2, in connection with the issuance of</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future common stock of Licensee, WSU would receive a Right to Participate Pro Rata in future financings on the same terms as other major investors in the financing (the “Right”). The Right shall be assignable by WSU to nonprofit entities associated with WSU; provided that WSU shall provide written notice of such assignment, including the identity of the assignee, to Licensee within </w:t>
      </w:r>
      <w:r>
        <w:rPr>
          <w:rFonts w:ascii="Arial" w:cs="Arial" w:eastAsia="Arial" w:hAnsi="Arial"/>
          <w:sz w:val="19"/>
          <w:szCs w:val="19"/>
          <w:color w:val="333333"/>
        </w:rPr>
        <w:t>[†]</w:t>
      </w:r>
      <w:r>
        <w:rPr>
          <w:rFonts w:ascii="Arial" w:cs="Arial" w:eastAsia="Arial" w:hAnsi="Arial"/>
          <w:sz w:val="19"/>
          <w:szCs w:val="19"/>
          <w:color w:val="auto"/>
        </w:rPr>
        <w:t xml:space="preserve"> days after execution of such assignment.</w:t>
      </w:r>
    </w:p>
    <w:p>
      <w:pPr>
        <w:spacing w:after="0" w:line="180"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3.2.4</w:t>
      </w:r>
      <w:r>
        <w:rPr>
          <w:sz w:val="20"/>
          <w:szCs w:val="20"/>
          <w:color w:val="auto"/>
        </w:rPr>
        <w:tab/>
      </w:r>
      <w:r>
        <w:rPr>
          <w:rFonts w:ascii="Arial" w:cs="Arial" w:eastAsia="Arial" w:hAnsi="Arial"/>
          <w:sz w:val="16"/>
          <w:szCs w:val="16"/>
          <w:color w:val="auto"/>
        </w:rPr>
        <w:t>Observer Rights.</w:t>
      </w:r>
    </w:p>
    <w:p>
      <w:pPr>
        <w:spacing w:after="0" w:line="216" w:lineRule="exact"/>
        <w:rPr>
          <w:sz w:val="20"/>
          <w:szCs w:val="20"/>
          <w:color w:val="auto"/>
        </w:rPr>
      </w:pPr>
    </w:p>
    <w:p>
      <w:pPr>
        <w:ind w:left="1660"/>
        <w:spacing w:after="0"/>
        <w:tabs>
          <w:tab w:leader="none" w:pos="2480" w:val="left"/>
        </w:tabs>
        <w:rPr>
          <w:sz w:val="20"/>
          <w:szCs w:val="20"/>
          <w:color w:val="auto"/>
        </w:rPr>
      </w:pPr>
      <w:r>
        <w:rPr>
          <w:rFonts w:ascii="Arial" w:cs="Arial" w:eastAsia="Arial" w:hAnsi="Arial"/>
          <w:sz w:val="20"/>
          <w:szCs w:val="20"/>
          <w:color w:val="auto"/>
        </w:rPr>
        <w:t>3.2.4.1</w:t>
      </w:r>
      <w:r>
        <w:rPr>
          <w:sz w:val="20"/>
          <w:szCs w:val="20"/>
          <w:color w:val="auto"/>
        </w:rPr>
        <w:tab/>
      </w:r>
      <w:r>
        <w:rPr>
          <w:rFonts w:ascii="Arial" w:cs="Arial" w:eastAsia="Arial" w:hAnsi="Arial"/>
          <w:sz w:val="16"/>
          <w:szCs w:val="16"/>
          <w:color w:val="auto"/>
        </w:rPr>
        <w:t>Observer Rights Generally.</w:t>
      </w:r>
    </w:p>
    <w:p>
      <w:pPr>
        <w:spacing w:after="0" w:line="216" w:lineRule="exact"/>
        <w:rPr>
          <w:sz w:val="20"/>
          <w:szCs w:val="20"/>
          <w:color w:val="auto"/>
        </w:rPr>
      </w:pPr>
    </w:p>
    <w:p>
      <w:pPr>
        <w:ind w:left="1680"/>
        <w:spacing w:after="0" w:line="260" w:lineRule="auto"/>
        <w:rPr>
          <w:sz w:val="20"/>
          <w:szCs w:val="20"/>
          <w:color w:val="auto"/>
        </w:rPr>
      </w:pPr>
      <w:r>
        <w:rPr>
          <w:rFonts w:ascii="Arial" w:cs="Arial" w:eastAsia="Arial" w:hAnsi="Arial"/>
          <w:sz w:val="20"/>
          <w:szCs w:val="20"/>
          <w:color w:val="auto"/>
        </w:rPr>
        <w:t>WSU shall have the right to designate one (1) representative to serve as a non-voting observer (“Observer”) in accordance with Section 3.1.3, subject to the limitations specified herein.</w:t>
      </w:r>
    </w:p>
    <w:p>
      <w:pPr>
        <w:spacing w:after="0" w:line="177" w:lineRule="exact"/>
        <w:rPr>
          <w:sz w:val="20"/>
          <w:szCs w:val="20"/>
          <w:color w:val="auto"/>
        </w:rPr>
      </w:pPr>
    </w:p>
    <w:p>
      <w:pPr>
        <w:ind w:left="1680"/>
        <w:spacing w:after="0"/>
        <w:rPr>
          <w:sz w:val="20"/>
          <w:szCs w:val="20"/>
          <w:color w:val="auto"/>
        </w:rPr>
      </w:pPr>
      <w:r>
        <w:rPr>
          <w:rFonts w:ascii="Arial" w:cs="Arial" w:eastAsia="Arial" w:hAnsi="Arial"/>
          <w:sz w:val="20"/>
          <w:szCs w:val="20"/>
          <w:color w:val="auto"/>
        </w:rPr>
        <w:t>WSU shall have such right, and the WSU-appointed representative may serve as an Observer:</w:t>
      </w:r>
    </w:p>
    <w:p>
      <w:pPr>
        <w:spacing w:after="0" w:line="216" w:lineRule="exact"/>
        <w:rPr>
          <w:sz w:val="20"/>
          <w:szCs w:val="20"/>
          <w:color w:val="auto"/>
        </w:rPr>
      </w:pPr>
    </w:p>
    <w:p>
      <w:pPr>
        <w:ind w:left="3320" w:hanging="828"/>
        <w:spacing w:after="0"/>
        <w:tabs>
          <w:tab w:leader="none" w:pos="332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 xml:space="preserve">for so long as </w:t>
      </w:r>
      <w:r>
        <w:rPr>
          <w:rFonts w:ascii="Arial" w:cs="Arial" w:eastAsia="Arial" w:hAnsi="Arial"/>
          <w:sz w:val="20"/>
          <w:szCs w:val="20"/>
          <w:color w:val="333333"/>
        </w:rPr>
        <w:t>[†]</w:t>
      </w:r>
      <w:r>
        <w:rPr>
          <w:rFonts w:ascii="Arial" w:cs="Arial" w:eastAsia="Arial" w:hAnsi="Arial"/>
          <w:sz w:val="20"/>
          <w:szCs w:val="20"/>
          <w:color w:val="auto"/>
        </w:rPr>
        <w:t>; and</w:t>
      </w:r>
    </w:p>
    <w:p>
      <w:pPr>
        <w:spacing w:after="0" w:line="215" w:lineRule="exact"/>
        <w:rPr>
          <w:rFonts w:ascii="Arial" w:cs="Arial" w:eastAsia="Arial" w:hAnsi="Arial"/>
          <w:sz w:val="20"/>
          <w:szCs w:val="20"/>
          <w:color w:val="auto"/>
        </w:rPr>
      </w:pPr>
    </w:p>
    <w:p>
      <w:pPr>
        <w:ind w:left="3320" w:hanging="828"/>
        <w:spacing w:after="0"/>
        <w:tabs>
          <w:tab w:leader="none" w:pos="332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 xml:space="preserve">for so long as </w:t>
      </w:r>
      <w:r>
        <w:rPr>
          <w:rFonts w:ascii="Arial" w:cs="Arial" w:eastAsia="Arial" w:hAnsi="Arial"/>
          <w:sz w:val="20"/>
          <w:szCs w:val="20"/>
          <w:color w:val="333333"/>
        </w:rPr>
        <w:t>[†]</w:t>
      </w:r>
      <w:r>
        <w:rPr>
          <w:rFonts w:ascii="Arial" w:cs="Arial" w:eastAsia="Arial" w:hAnsi="Arial"/>
          <w:sz w:val="20"/>
          <w:szCs w:val="20"/>
          <w:color w:val="auto"/>
        </w:rPr>
        <w:t>; and</w:t>
      </w:r>
    </w:p>
    <w:p>
      <w:pPr>
        <w:spacing w:after="0" w:line="215" w:lineRule="exact"/>
        <w:rPr>
          <w:rFonts w:ascii="Arial" w:cs="Arial" w:eastAsia="Arial" w:hAnsi="Arial"/>
          <w:sz w:val="20"/>
          <w:szCs w:val="20"/>
          <w:color w:val="auto"/>
        </w:rPr>
      </w:pPr>
    </w:p>
    <w:p>
      <w:pPr>
        <w:jc w:val="both"/>
        <w:ind w:left="3320" w:hanging="828"/>
        <w:spacing w:after="0" w:line="309" w:lineRule="auto"/>
        <w:tabs>
          <w:tab w:leader="none" w:pos="332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provided that, </w:t>
      </w:r>
      <w:r>
        <w:rPr>
          <w:rFonts w:ascii="Arial" w:cs="Arial" w:eastAsia="Arial" w:hAnsi="Arial"/>
          <w:sz w:val="16"/>
          <w:szCs w:val="16"/>
          <w:color w:val="333333"/>
        </w:rPr>
        <w:t>[†]</w:t>
      </w:r>
      <w:r>
        <w:rPr>
          <w:rFonts w:ascii="Arial" w:cs="Arial" w:eastAsia="Arial" w:hAnsi="Arial"/>
          <w:sz w:val="16"/>
          <w:szCs w:val="16"/>
          <w:color w:val="auto"/>
        </w:rPr>
        <w:t xml:space="preserve"> each Observer shall disclose to the Licensee (which disclosure shall be in writing if the Licensee so requests) any conflicts of interest such Observer may have with respect to the Licensee and/or its current or proposed future business arrangements or operations, and any relationship such Observer may have with any party other than Licensee that is engaged in any business activity that is in competition, directly or indirectly, with the products or services being developed, offered, marketed, sold or licensed by the Licensee, or that Licensee proposes to develop, offer, market, sell or license. WSU may remove its Observer, or appoint an Observer if a vacancy in such position occurs for any reason, by delivery of a written notice to the Chief Executive Officer of the Licensee at least </w:t>
      </w:r>
      <w:r>
        <w:rPr>
          <w:rFonts w:ascii="Arial" w:cs="Arial" w:eastAsia="Arial" w:hAnsi="Arial"/>
          <w:sz w:val="16"/>
          <w:szCs w:val="16"/>
          <w:color w:val="333333"/>
        </w:rPr>
        <w:t>[†]</w:t>
      </w:r>
      <w:r>
        <w:rPr>
          <w:rFonts w:ascii="Arial" w:cs="Arial" w:eastAsia="Arial" w:hAnsi="Arial"/>
          <w:sz w:val="16"/>
          <w:szCs w:val="16"/>
          <w:color w:val="auto"/>
        </w:rPr>
        <w:t xml:space="preserve"> days in advance of Licensee’s next Board meeting. For purposes of applying the provisions of this Section 3.2.4.1, WSU shall be entitled to only one (1) Observer.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1"/>
          <w:szCs w:val="21"/>
          <w:color w:val="auto"/>
        </w:rPr>
        <w:t>8</w:t>
      </w:r>
      <w:r>
        <w:rPr>
          <w:rFonts w:ascii="Arial" w:cs="Arial" w:eastAsia="Arial" w:hAnsi="Arial"/>
          <w:sz w:val="20"/>
          <w:szCs w:val="20"/>
          <w:color w:val="auto"/>
        </w:rPr>
        <w:t xml:space="preserve"> of 27</w:t>
      </w:r>
    </w:p>
    <w:p>
      <w:pPr>
        <w:spacing w:after="0" w:line="221" w:lineRule="auto"/>
        <w:rPr>
          <w:sz w:val="20"/>
          <w:szCs w:val="20"/>
          <w:color w:val="auto"/>
        </w:rPr>
      </w:pPr>
      <w:r>
        <w:rPr>
          <w:rFonts w:ascii="Arial" w:cs="Arial" w:eastAsia="Arial" w:hAnsi="Arial"/>
          <w:sz w:val="15"/>
          <w:szCs w:val="15"/>
          <w:color w:val="auto"/>
        </w:rPr>
        <w:t xml:space="preserve">WSU AGR# </w:t>
      </w:r>
      <w:r>
        <w:rPr>
          <w:rFonts w:ascii="Arial" w:cs="Arial" w:eastAsia="Arial" w:hAnsi="Arial"/>
          <w:sz w:val="19"/>
          <w:szCs w:val="19"/>
          <w:color w:val="333333"/>
        </w:rPr>
        <w: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116252875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49465"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24" w:name="page325"/>
    <w:bookmarkEnd w:id="324"/>
    <w:p>
      <w:pPr>
        <w:ind w:left="1660"/>
        <w:spacing w:after="0"/>
        <w:tabs>
          <w:tab w:leader="none" w:pos="2480" w:val="left"/>
        </w:tabs>
        <w:rPr>
          <w:sz w:val="20"/>
          <w:szCs w:val="20"/>
          <w:color w:val="auto"/>
        </w:rPr>
      </w:pPr>
      <w:r>
        <w:rPr>
          <w:rFonts w:ascii="Arial" w:cs="Arial" w:eastAsia="Arial" w:hAnsi="Arial"/>
          <w:sz w:val="20"/>
          <w:szCs w:val="20"/>
          <w:color w:val="auto"/>
        </w:rPr>
        <w:t>3.2.4.2</w:t>
      </w:r>
      <w:r>
        <w:rPr>
          <w:sz w:val="20"/>
          <w:szCs w:val="20"/>
          <w:color w:val="auto"/>
        </w:rPr>
        <w:tab/>
      </w:r>
      <w:r>
        <w:rPr>
          <w:rFonts w:ascii="Arial" w:cs="Arial" w:eastAsia="Arial" w:hAnsi="Arial"/>
          <w:sz w:val="16"/>
          <w:szCs w:val="16"/>
          <w:color w:val="auto"/>
        </w:rPr>
        <w:t>Procedures and Limitations.</w:t>
      </w:r>
    </w:p>
    <w:p>
      <w:pPr>
        <w:spacing w:after="0" w:line="216" w:lineRule="exact"/>
        <w:rPr>
          <w:sz w:val="20"/>
          <w:szCs w:val="20"/>
          <w:color w:val="auto"/>
        </w:rPr>
      </w:pPr>
    </w:p>
    <w:p>
      <w:pPr>
        <w:jc w:val="both"/>
        <w:ind w:left="1680"/>
        <w:spacing w:after="0" w:line="268" w:lineRule="auto"/>
        <w:rPr>
          <w:sz w:val="20"/>
          <w:szCs w:val="20"/>
          <w:color w:val="auto"/>
        </w:rPr>
      </w:pPr>
      <w:r>
        <w:rPr>
          <w:rFonts w:ascii="Arial" w:cs="Arial" w:eastAsia="Arial" w:hAnsi="Arial"/>
          <w:sz w:val="18"/>
          <w:szCs w:val="18"/>
          <w:color w:val="auto"/>
        </w:rPr>
        <w:t xml:space="preserve">The Licensee (or the applicable members of the Board) will give WSU or its appointed representative oral or written notice of each meeting of the Board (whether annual or special) </w:t>
      </w:r>
      <w:r>
        <w:rPr>
          <w:rFonts w:ascii="Arial" w:cs="Arial" w:eastAsia="Arial" w:hAnsi="Arial"/>
          <w:sz w:val="18"/>
          <w:szCs w:val="18"/>
          <w:color w:val="333333"/>
        </w:rPr>
        <w:t>[ † ]</w:t>
      </w:r>
      <w:r>
        <w:rPr>
          <w:rFonts w:ascii="Arial" w:cs="Arial" w:eastAsia="Arial" w:hAnsi="Arial"/>
          <w:sz w:val="18"/>
          <w:szCs w:val="18"/>
          <w:color w:val="auto"/>
        </w:rPr>
        <w:t>. Notwithstanding the foregoing, if an Observer attends (or, in the case of a telephonic meeting, listens by telephone to) any such meeting of the Board, then such Observer shall be deemed to have had proper notice of such meeting. Notwithstanding anything contained herein to the contrary, the failure of an Observer to be given notice of a meeting of the Board pursuant to the immediately preceding two sentences or to attend such meeting shall not in any way affect the authority of the Board to have or to adopt resolutions at such meeting or the legitimacy of any actions taken by the Board at such meeting. The Observer shall excuse himself or herself from any portion of any meeting of the Board during which his or her presence would, as reasonably determined by Licensee, on advice of counsel, (a) jeopardize the attorney/client privilege for communications or (b) constitute a conflict of interest. Subject to the foregoing, the Licensee will permit the Observer to attend (or, in the case of a telephonic meeting, to listen by telephone to) each meeting of the Board as non-voting observer. The Licensee shall provide the Observer all written materials and other information (including copies of meeting minutes) given to the members of the Board in connection with any such meeting at the same time as such information is delivered to the members of the Board and, if an Observer does not attend (or, in the case of a telephonic meeting, does not listen by telephone to) a meeting of the Board, such Observer will be entitled to receive the written minutes or an oral summary of the Board meeting from the Secretary of the Licensee. Prior to attending or listening to any meeting of the Board or obtaining any documents or summaries of such meetings, each Observer shall agree in writing to be bound by the same duties of confidentiality, good faith and loyalty as if such Observer were a member of the Board. If the Licensee takes any action by written consent of the Board in lieu of a meeting of the Board, then the Licensee shall give prompt written notice of such action to the Observer. The Observer shall be solely responsible for maintaining current phone and fax numbers, and mailing and electronic mail instructions, on file with the Licensee.</w:t>
      </w:r>
    </w:p>
    <w:p>
      <w:pPr>
        <w:spacing w:after="0" w:line="182"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u w:val="single" w:color="auto"/>
          <w:color w:val="auto"/>
        </w:rPr>
        <w:t>Royalty</w:t>
      </w:r>
    </w:p>
    <w:p>
      <w:pPr>
        <w:spacing w:after="0" w:line="216" w:lineRule="exact"/>
        <w:rPr>
          <w:sz w:val="20"/>
          <w:szCs w:val="20"/>
          <w:color w:val="auto"/>
        </w:rPr>
      </w:pPr>
    </w:p>
    <w:p>
      <w:pPr>
        <w:jc w:val="both"/>
        <w:ind w:left="840"/>
        <w:spacing w:after="0" w:line="270" w:lineRule="auto"/>
        <w:rPr>
          <w:sz w:val="20"/>
          <w:szCs w:val="20"/>
          <w:color w:val="auto"/>
        </w:rPr>
      </w:pPr>
      <w:r>
        <w:rPr>
          <w:rFonts w:ascii="Arial" w:cs="Arial" w:eastAsia="Arial" w:hAnsi="Arial"/>
          <w:sz w:val="18"/>
          <w:szCs w:val="18"/>
          <w:color w:val="auto"/>
        </w:rPr>
        <w:t xml:space="preserve">In addition to the consideration set forth in Section 3.2, Licensee agrees to pay to WSU as earned royalties a royalty calculated as a percentage of the Selling Price in accordance with the terms and conditions of this Agreement. The royalty is deemed earned as of the earlier of the date the Licensed Product and/or Licensed Process is actually sold and paid for, the date an invoice for Licensed Products and/or Licensed Processes is sent by Licensee or its Affiliate(s) or Sublicensee(s), or the date a Licensed Product and/or Licensed Process is transferred to a third party without charge for any promotional purposes or reasons. It is hereby agreed between the Parties that the first $100,000 sales equivalent of such promotional transfers are exempted from royalty payments. The royalty rate shall remain fixed while this Agreement is in effect, at a rate of (a) </w:t>
      </w:r>
      <w:r>
        <w:rPr>
          <w:rFonts w:ascii="Arial" w:cs="Arial" w:eastAsia="Arial" w:hAnsi="Arial"/>
          <w:sz w:val="18"/>
          <w:szCs w:val="18"/>
          <w:color w:val="333333"/>
        </w:rPr>
        <w:t>[†]</w:t>
      </w:r>
      <w:r>
        <w:rPr>
          <w:rFonts w:ascii="Arial" w:cs="Arial" w:eastAsia="Arial" w:hAnsi="Arial"/>
          <w:sz w:val="18"/>
          <w:szCs w:val="18"/>
          <w:color w:val="auto"/>
        </w:rPr>
        <w:t xml:space="preserve">percent </w:t>
      </w:r>
      <w:r>
        <w:rPr>
          <w:rFonts w:ascii="Arial" w:cs="Arial" w:eastAsia="Arial" w:hAnsi="Arial"/>
          <w:sz w:val="18"/>
          <w:szCs w:val="18"/>
          <w:color w:val="333333"/>
        </w:rPr>
        <w:t>[†]</w:t>
      </w:r>
      <w:r>
        <w:rPr>
          <w:rFonts w:ascii="Arial" w:cs="Arial" w:eastAsia="Arial" w:hAnsi="Arial"/>
          <w:sz w:val="18"/>
          <w:szCs w:val="18"/>
          <w:color w:val="auto"/>
        </w:rPr>
        <w:t xml:space="preserve"> of the Selling Price for the life of this Agreement; and (b) </w:t>
      </w:r>
      <w:r>
        <w:rPr>
          <w:rFonts w:ascii="Arial" w:cs="Arial" w:eastAsia="Arial" w:hAnsi="Arial"/>
          <w:sz w:val="18"/>
          <w:szCs w:val="18"/>
          <w:color w:val="333333"/>
        </w:rPr>
        <w:t>[†]</w:t>
      </w:r>
      <w:r>
        <w:rPr>
          <w:rFonts w:ascii="Arial" w:cs="Arial" w:eastAsia="Arial" w:hAnsi="Arial"/>
          <w:sz w:val="18"/>
          <w:szCs w:val="18"/>
          <w:color w:val="auto"/>
        </w:rPr>
        <w:t xml:space="preserve">percent </w:t>
      </w:r>
      <w:r>
        <w:rPr>
          <w:rFonts w:ascii="Arial" w:cs="Arial" w:eastAsia="Arial" w:hAnsi="Arial"/>
          <w:sz w:val="18"/>
          <w:szCs w:val="18"/>
          <w:color w:val="333333"/>
        </w:rPr>
        <w:t>[†]</w:t>
      </w:r>
      <w:r>
        <w:rPr>
          <w:rFonts w:ascii="Arial" w:cs="Arial" w:eastAsia="Arial" w:hAnsi="Arial"/>
          <w:sz w:val="18"/>
          <w:szCs w:val="18"/>
          <w:color w:val="auto"/>
        </w:rPr>
        <w:t xml:space="preserve"> of the royalty amount received by Licensee from each of its Sublicensees for the life of this Agreement, which royalty payment amount received by Licensee is based on the Sublicensee Selling Price for Licensed Products and/or Licensed Processes sold by each such Sublicensee; provided that such </w:t>
      </w:r>
      <w:r>
        <w:rPr>
          <w:rFonts w:ascii="Arial" w:cs="Arial" w:eastAsia="Arial" w:hAnsi="Arial"/>
          <w:sz w:val="18"/>
          <w:szCs w:val="18"/>
          <w:color w:val="333333"/>
        </w:rPr>
        <w:t>[†]</w:t>
      </w:r>
      <w:r>
        <w:rPr>
          <w:rFonts w:ascii="Arial" w:cs="Arial" w:eastAsia="Arial" w:hAnsi="Arial"/>
          <w:sz w:val="18"/>
          <w:szCs w:val="18"/>
          <w:color w:val="auto"/>
        </w:rPr>
        <w:t xml:space="preserve"> amount paid to WSU shall never be less than an amount that is equal to </w:t>
      </w:r>
      <w:r>
        <w:rPr>
          <w:rFonts w:ascii="Arial" w:cs="Arial" w:eastAsia="Arial" w:hAnsi="Arial"/>
          <w:sz w:val="18"/>
          <w:szCs w:val="18"/>
          <w:color w:val="333333"/>
        </w:rPr>
        <w:t>[†]</w:t>
      </w:r>
      <w:r>
        <w:rPr>
          <w:rFonts w:ascii="Arial" w:cs="Arial" w:eastAsia="Arial" w:hAnsi="Arial"/>
          <w:sz w:val="18"/>
          <w:szCs w:val="18"/>
          <w:color w:val="auto"/>
        </w:rPr>
        <w:t xml:space="preserve">percent </w:t>
      </w:r>
      <w:r>
        <w:rPr>
          <w:rFonts w:ascii="Arial" w:cs="Arial" w:eastAsia="Arial" w:hAnsi="Arial"/>
          <w:sz w:val="18"/>
          <w:szCs w:val="18"/>
          <w:color w:val="333333"/>
        </w:rPr>
        <w:t>[†]</w:t>
      </w:r>
      <w:r>
        <w:rPr>
          <w:rFonts w:ascii="Arial" w:cs="Arial" w:eastAsia="Arial" w:hAnsi="Arial"/>
          <w:sz w:val="18"/>
          <w:szCs w:val="18"/>
          <w:color w:val="auto"/>
        </w:rPr>
        <w:t xml:space="preserve"> of the Sublicensee Selling Price for such Licensed Products and/or Licensed Processes sold by such Sublicensee.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1"/>
          <w:szCs w:val="21"/>
          <w:color w:val="auto"/>
        </w:rPr>
        <w:t>9</w:t>
      </w:r>
      <w:r>
        <w:rPr>
          <w:rFonts w:ascii="Arial" w:cs="Arial" w:eastAsia="Arial" w:hAnsi="Arial"/>
          <w:sz w:val="20"/>
          <w:szCs w:val="20"/>
          <w:color w:val="auto"/>
        </w:rPr>
        <w:t xml:space="preserve"> of 27</w:t>
      </w:r>
    </w:p>
    <w:p>
      <w:pPr>
        <w:spacing w:after="0" w:line="221" w:lineRule="auto"/>
        <w:rPr>
          <w:sz w:val="20"/>
          <w:szCs w:val="20"/>
          <w:color w:val="auto"/>
        </w:rPr>
      </w:pPr>
      <w:r>
        <w:rPr>
          <w:rFonts w:ascii="Arial" w:cs="Arial" w:eastAsia="Arial" w:hAnsi="Arial"/>
          <w:sz w:val="15"/>
          <w:szCs w:val="15"/>
          <w:color w:val="auto"/>
        </w:rPr>
        <w:t xml:space="preserve">WSU AGR# </w:t>
      </w:r>
      <w:r>
        <w:rPr>
          <w:rFonts w:ascii="Arial" w:cs="Arial" w:eastAsia="Arial" w:hAnsi="Arial"/>
          <w:sz w:val="19"/>
          <w:szCs w:val="19"/>
          <w:color w:val="333333"/>
        </w:rPr>
        <w: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116252875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49465"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25" w:name="page326"/>
    <w:bookmarkEnd w:id="325"/>
    <w:p>
      <w:pPr>
        <w:spacing w:after="0"/>
        <w:tabs>
          <w:tab w:leader="none" w:pos="82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6"/>
          <w:szCs w:val="16"/>
          <w:color w:val="auto"/>
        </w:rPr>
        <w:t>Other Payments</w:t>
      </w:r>
    </w:p>
    <w:p>
      <w:pPr>
        <w:spacing w:after="0" w:line="216" w:lineRule="exact"/>
        <w:rPr>
          <w:sz w:val="20"/>
          <w:szCs w:val="20"/>
          <w:color w:val="auto"/>
        </w:rPr>
      </w:pPr>
    </w:p>
    <w:p>
      <w:pPr>
        <w:jc w:val="both"/>
        <w:ind w:left="1660" w:hanging="823"/>
        <w:spacing w:after="0" w:line="250" w:lineRule="auto"/>
        <w:tabs>
          <w:tab w:leader="none" w:pos="1640" w:val="left"/>
        </w:tabs>
        <w:rPr>
          <w:sz w:val="20"/>
          <w:szCs w:val="20"/>
          <w:color w:val="auto"/>
        </w:rPr>
      </w:pPr>
      <w:r>
        <w:rPr>
          <w:rFonts w:ascii="Arial" w:cs="Arial" w:eastAsia="Arial" w:hAnsi="Arial"/>
          <w:sz w:val="20"/>
          <w:szCs w:val="20"/>
          <w:color w:val="auto"/>
        </w:rPr>
        <w:t>3.4.1</w:t>
      </w:r>
      <w:r>
        <w:rPr>
          <w:sz w:val="20"/>
          <w:szCs w:val="20"/>
          <w:color w:val="auto"/>
        </w:rPr>
        <w:tab/>
      </w:r>
      <w:r>
        <w:rPr>
          <w:rFonts w:ascii="Arial" w:cs="Arial" w:eastAsia="Arial" w:hAnsi="Arial"/>
          <w:sz w:val="20"/>
          <w:szCs w:val="20"/>
          <w:color w:val="auto"/>
        </w:rPr>
        <w:t>Licensee agrees to pay WSU “Annual Minimum Royalty” payments of $25,000, beginning after the first commercial sale of a Licensed Product and/or Licensed Process, and payable as set forth in the following paragraph for the life of this Agreement.</w:t>
      </w:r>
    </w:p>
    <w:p>
      <w:pPr>
        <w:spacing w:after="0" w:line="186" w:lineRule="exact"/>
        <w:rPr>
          <w:sz w:val="20"/>
          <w:szCs w:val="20"/>
          <w:color w:val="auto"/>
        </w:rPr>
      </w:pPr>
    </w:p>
    <w:p>
      <w:pPr>
        <w:jc w:val="both"/>
        <w:ind w:left="1680"/>
        <w:spacing w:after="0" w:line="271" w:lineRule="auto"/>
        <w:rPr>
          <w:sz w:val="20"/>
          <w:szCs w:val="20"/>
          <w:color w:val="auto"/>
        </w:rPr>
      </w:pPr>
      <w:r>
        <w:rPr>
          <w:rFonts w:ascii="Arial" w:cs="Arial" w:eastAsia="Arial" w:hAnsi="Arial"/>
          <w:sz w:val="18"/>
          <w:szCs w:val="18"/>
          <w:color w:val="auto"/>
        </w:rPr>
        <w:t xml:space="preserve">For the avoidance of doubt, it is agreed between the Parties that the Annual Minimum Royalty payment for the calendar year of such first commercial sale should be paid within </w:t>
      </w:r>
      <w:r>
        <w:rPr>
          <w:rFonts w:ascii="Arial" w:cs="Arial" w:eastAsia="Arial" w:hAnsi="Arial"/>
          <w:sz w:val="18"/>
          <w:szCs w:val="18"/>
          <w:color w:val="333333"/>
        </w:rPr>
        <w:t>[†]</w:t>
      </w:r>
      <w:r>
        <w:rPr>
          <w:rFonts w:ascii="Arial" w:cs="Arial" w:eastAsia="Arial" w:hAnsi="Arial"/>
          <w:sz w:val="18"/>
          <w:szCs w:val="18"/>
          <w:color w:val="auto"/>
        </w:rPr>
        <w:t xml:space="preserve"> days of such first commercial sale. Thereafter, the Annual Minimum Royalty for a given calendar year shall be due in advance, and shall be paid in quarterly installments </w:t>
      </w:r>
      <w:r>
        <w:rPr>
          <w:rFonts w:ascii="Arial" w:cs="Arial" w:eastAsia="Arial" w:hAnsi="Arial"/>
          <w:sz w:val="18"/>
          <w:szCs w:val="18"/>
          <w:color w:val="333333"/>
        </w:rPr>
        <w:t>[†]</w:t>
      </w:r>
      <w:r>
        <w:rPr>
          <w:rFonts w:ascii="Arial" w:cs="Arial" w:eastAsia="Arial" w:hAnsi="Arial"/>
          <w:sz w:val="18"/>
          <w:szCs w:val="18"/>
          <w:color w:val="auto"/>
        </w:rPr>
        <w:t xml:space="preserve"> for the following calendar quarter. Any Annual Minimum Royalty paid in a calendar year will be credited against the earned royalties payable by Licensee for that calendar year; provided, however, that Licensee may credit its advance quarterly installment payment against earned royalties for each calendar quarter, and that any unused credit remaining shall be carried over to subsequent quarters within a given calendar year. It is understood that the Annual Minimum Royalty installment payments within a given calendar year will be applied to earned royalties payable to WSU on a calendar year basis, and that sales of Licensed Products and/or Licensed Processes requiring the payment of earned royalties during a prior or subsequent calendar year shall have no effect on the Annual Minimum Royalty due WSU or the credits available to Licensee for any calendar year other than the same calendar year in which the royalties were earned.</w:t>
      </w:r>
    </w:p>
    <w:p>
      <w:pPr>
        <w:spacing w:after="0" w:line="170"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3.4.2</w:t>
      </w:r>
      <w:r>
        <w:rPr>
          <w:sz w:val="20"/>
          <w:szCs w:val="20"/>
          <w:color w:val="auto"/>
        </w:rPr>
        <w:tab/>
      </w:r>
      <w:r>
        <w:rPr>
          <w:rFonts w:ascii="Arial" w:cs="Arial" w:eastAsia="Arial" w:hAnsi="Arial"/>
          <w:sz w:val="16"/>
          <w:szCs w:val="16"/>
          <w:color w:val="auto"/>
        </w:rPr>
        <w:t>Licensee agrees to pay WSU milestone payments, as follows:</w:t>
      </w:r>
    </w:p>
    <w:p>
      <w:pPr>
        <w:spacing w:after="0" w:line="191" w:lineRule="exact"/>
        <w:rPr>
          <w:sz w:val="20"/>
          <w:szCs w:val="20"/>
          <w:color w:val="auto"/>
        </w:rPr>
      </w:pPr>
    </w:p>
    <w:tbl>
      <w:tblPr>
        <w:tblLayout w:type="fixed"/>
        <w:tblInd w:w="1800" w:type="dxa"/>
        <w:tblCellMar>
          <w:top w:w="0" w:type="dxa"/>
          <w:left w:w="0" w:type="dxa"/>
          <w:bottom w:w="0" w:type="dxa"/>
          <w:right w:w="0" w:type="dxa"/>
        </w:tblCellMar>
      </w:tblPr>
      <w:tr>
        <w:trPr>
          <w:trHeight w:val="230"/>
        </w:trPr>
        <w:tc>
          <w:tcPr>
            <w:tcW w:w="1680" w:type="dxa"/>
            <w:vAlign w:val="bottom"/>
            <w:gridSpan w:val="2"/>
          </w:tcPr>
          <w:p>
            <w:pPr>
              <w:spacing w:after="0"/>
              <w:rPr>
                <w:sz w:val="20"/>
                <w:szCs w:val="20"/>
                <w:color w:val="auto"/>
              </w:rPr>
            </w:pPr>
            <w:r>
              <w:rPr>
                <w:rFonts w:ascii="Arial" w:cs="Arial" w:eastAsia="Arial" w:hAnsi="Arial"/>
                <w:sz w:val="20"/>
                <w:szCs w:val="20"/>
                <w:color w:val="auto"/>
              </w:rPr>
              <w:t>Payment</w:t>
            </w:r>
          </w:p>
        </w:tc>
        <w:tc>
          <w:tcPr>
            <w:tcW w:w="7720" w:type="dxa"/>
            <w:vAlign w:val="bottom"/>
            <w:gridSpan w:val="3"/>
          </w:tcPr>
          <w:p>
            <w:pPr>
              <w:ind w:left="700"/>
              <w:spacing w:after="0"/>
              <w:rPr>
                <w:sz w:val="20"/>
                <w:szCs w:val="20"/>
                <w:color w:val="auto"/>
              </w:rPr>
            </w:pPr>
            <w:r>
              <w:rPr>
                <w:rFonts w:ascii="Arial" w:cs="Arial" w:eastAsia="Arial" w:hAnsi="Arial"/>
                <w:sz w:val="20"/>
                <w:szCs w:val="20"/>
                <w:color w:val="auto"/>
              </w:rPr>
              <w:t>Event</w:t>
            </w:r>
          </w:p>
        </w:tc>
      </w:tr>
      <w:tr>
        <w:trPr>
          <w:trHeight w:val="20"/>
        </w:trPr>
        <w:tc>
          <w:tcPr>
            <w:tcW w:w="6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449"/>
        </w:trPr>
        <w:tc>
          <w:tcPr>
            <w:tcW w:w="1680" w:type="dxa"/>
            <w:vAlign w:val="bottom"/>
            <w:gridSpan w:val="2"/>
          </w:tcPr>
          <w:p>
            <w:pPr>
              <w:spacing w:after="0"/>
              <w:rPr>
                <w:sz w:val="20"/>
                <w:szCs w:val="20"/>
                <w:color w:val="auto"/>
              </w:rPr>
            </w:pPr>
            <w:r>
              <w:rPr>
                <w:rFonts w:ascii="Arial" w:cs="Arial" w:eastAsia="Arial" w:hAnsi="Arial"/>
                <w:sz w:val="20"/>
                <w:szCs w:val="20"/>
                <w:color w:val="auto"/>
              </w:rPr>
              <w:t>$50,000.00</w:t>
            </w:r>
          </w:p>
        </w:tc>
        <w:tc>
          <w:tcPr>
            <w:tcW w:w="7720" w:type="dxa"/>
            <w:vAlign w:val="bottom"/>
            <w:gridSpan w:val="3"/>
          </w:tcPr>
          <w:p>
            <w:pPr>
              <w:ind w:left="700"/>
              <w:spacing w:after="0"/>
              <w:rPr>
                <w:sz w:val="20"/>
                <w:szCs w:val="20"/>
                <w:color w:val="auto"/>
              </w:rPr>
            </w:pPr>
            <w:r>
              <w:rPr>
                <w:rFonts w:ascii="Arial" w:cs="Arial" w:eastAsia="Arial" w:hAnsi="Arial"/>
                <w:sz w:val="20"/>
                <w:szCs w:val="20"/>
                <w:color w:val="auto"/>
                <w:w w:val="90"/>
              </w:rPr>
              <w:t>Initiation of the first Phase II clinical trial in the United States, European Union or Japan</w:t>
            </w:r>
          </w:p>
        </w:tc>
      </w:tr>
      <w:tr>
        <w:trPr>
          <w:trHeight w:val="250"/>
        </w:trPr>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720" w:type="dxa"/>
            <w:vAlign w:val="bottom"/>
            <w:gridSpan w:val="3"/>
          </w:tcPr>
          <w:p>
            <w:pPr>
              <w:ind w:left="700"/>
              <w:spacing w:after="0"/>
              <w:rPr>
                <w:sz w:val="20"/>
                <w:szCs w:val="20"/>
                <w:color w:val="auto"/>
              </w:rPr>
            </w:pPr>
            <w:r>
              <w:rPr>
                <w:rFonts w:ascii="Arial" w:cs="Arial" w:eastAsia="Arial" w:hAnsi="Arial"/>
                <w:sz w:val="20"/>
                <w:szCs w:val="20"/>
                <w:color w:val="auto"/>
              </w:rPr>
              <w:t>for the first Licensed Product or Licensed Process</w:t>
            </w:r>
          </w:p>
        </w:tc>
      </w:tr>
      <w:tr>
        <w:trPr>
          <w:trHeight w:val="425"/>
        </w:trPr>
        <w:tc>
          <w:tcPr>
            <w:tcW w:w="1680" w:type="dxa"/>
            <w:vAlign w:val="bottom"/>
            <w:gridSpan w:val="2"/>
          </w:tcPr>
          <w:p>
            <w:pPr>
              <w:spacing w:after="0"/>
              <w:rPr>
                <w:sz w:val="20"/>
                <w:szCs w:val="20"/>
                <w:color w:val="auto"/>
              </w:rPr>
            </w:pPr>
            <w:r>
              <w:rPr>
                <w:rFonts w:ascii="Arial" w:cs="Arial" w:eastAsia="Arial" w:hAnsi="Arial"/>
                <w:sz w:val="20"/>
                <w:szCs w:val="20"/>
                <w:color w:val="auto"/>
              </w:rPr>
              <w:t>$300,000.00</w:t>
            </w:r>
          </w:p>
        </w:tc>
        <w:tc>
          <w:tcPr>
            <w:tcW w:w="7720" w:type="dxa"/>
            <w:vAlign w:val="bottom"/>
            <w:gridSpan w:val="3"/>
          </w:tcPr>
          <w:p>
            <w:pPr>
              <w:ind w:left="700"/>
              <w:spacing w:after="0"/>
              <w:rPr>
                <w:sz w:val="20"/>
                <w:szCs w:val="20"/>
                <w:color w:val="auto"/>
              </w:rPr>
            </w:pPr>
            <w:r>
              <w:rPr>
                <w:rFonts w:ascii="Arial" w:cs="Arial" w:eastAsia="Arial" w:hAnsi="Arial"/>
                <w:sz w:val="20"/>
                <w:szCs w:val="20"/>
                <w:color w:val="auto"/>
                <w:w w:val="97"/>
              </w:rPr>
              <w:t>Initiation of the first Phase III clinical trial in the United States, European Union or</w:t>
            </w:r>
          </w:p>
        </w:tc>
      </w:tr>
      <w:tr>
        <w:trPr>
          <w:trHeight w:val="250"/>
        </w:trPr>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720" w:type="dxa"/>
            <w:vAlign w:val="bottom"/>
            <w:gridSpan w:val="3"/>
          </w:tcPr>
          <w:p>
            <w:pPr>
              <w:ind w:left="700"/>
              <w:spacing w:after="0"/>
              <w:rPr>
                <w:sz w:val="20"/>
                <w:szCs w:val="20"/>
                <w:color w:val="auto"/>
              </w:rPr>
            </w:pPr>
            <w:r>
              <w:rPr>
                <w:rFonts w:ascii="Arial" w:cs="Arial" w:eastAsia="Arial" w:hAnsi="Arial"/>
                <w:sz w:val="20"/>
                <w:szCs w:val="20"/>
                <w:color w:val="auto"/>
              </w:rPr>
              <w:t>Japan for the first Licensed Product or Licensed Process</w:t>
            </w:r>
          </w:p>
        </w:tc>
      </w:tr>
      <w:tr>
        <w:trPr>
          <w:trHeight w:val="425"/>
        </w:trPr>
        <w:tc>
          <w:tcPr>
            <w:tcW w:w="1680" w:type="dxa"/>
            <w:vAlign w:val="bottom"/>
            <w:gridSpan w:val="2"/>
          </w:tcPr>
          <w:p>
            <w:pPr>
              <w:spacing w:after="0"/>
              <w:rPr>
                <w:sz w:val="20"/>
                <w:szCs w:val="20"/>
                <w:color w:val="auto"/>
              </w:rPr>
            </w:pPr>
            <w:r>
              <w:rPr>
                <w:rFonts w:ascii="Arial" w:cs="Arial" w:eastAsia="Arial" w:hAnsi="Arial"/>
                <w:sz w:val="20"/>
                <w:szCs w:val="20"/>
                <w:color w:val="auto"/>
              </w:rPr>
              <w:t>$600,000.00</w:t>
            </w:r>
          </w:p>
        </w:tc>
        <w:tc>
          <w:tcPr>
            <w:tcW w:w="7720" w:type="dxa"/>
            <w:vAlign w:val="bottom"/>
            <w:gridSpan w:val="3"/>
          </w:tcPr>
          <w:p>
            <w:pPr>
              <w:ind w:left="700"/>
              <w:spacing w:after="0"/>
              <w:rPr>
                <w:sz w:val="20"/>
                <w:szCs w:val="20"/>
                <w:color w:val="auto"/>
              </w:rPr>
            </w:pPr>
            <w:r>
              <w:rPr>
                <w:rFonts w:ascii="Arial" w:cs="Arial" w:eastAsia="Arial" w:hAnsi="Arial"/>
                <w:sz w:val="20"/>
                <w:szCs w:val="20"/>
                <w:color w:val="auto"/>
                <w:w w:val="90"/>
              </w:rPr>
              <w:t>Marketing approval in the United States, European Union or Japan for the first Licensed</w:t>
            </w:r>
          </w:p>
        </w:tc>
      </w:tr>
      <w:tr>
        <w:trPr>
          <w:trHeight w:val="250"/>
        </w:trPr>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720" w:type="dxa"/>
            <w:vAlign w:val="bottom"/>
            <w:gridSpan w:val="3"/>
          </w:tcPr>
          <w:p>
            <w:pPr>
              <w:ind w:left="700"/>
              <w:spacing w:after="0"/>
              <w:rPr>
                <w:sz w:val="20"/>
                <w:szCs w:val="20"/>
                <w:color w:val="auto"/>
              </w:rPr>
            </w:pPr>
            <w:r>
              <w:rPr>
                <w:rFonts w:ascii="Arial" w:cs="Arial" w:eastAsia="Arial" w:hAnsi="Arial"/>
                <w:sz w:val="20"/>
                <w:szCs w:val="20"/>
                <w:color w:val="auto"/>
              </w:rPr>
              <w:t>Product or Licensed Process</w:t>
            </w:r>
          </w:p>
        </w:tc>
      </w:tr>
    </w:tbl>
    <w:p>
      <w:pPr>
        <w:spacing w:after="0" w:line="200" w:lineRule="exact"/>
        <w:rPr>
          <w:sz w:val="20"/>
          <w:szCs w:val="20"/>
          <w:color w:val="auto"/>
        </w:rPr>
      </w:pPr>
    </w:p>
    <w:p>
      <w:pPr>
        <w:spacing w:after="0" w:line="211"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6"/>
          <w:szCs w:val="16"/>
          <w:color w:val="auto"/>
        </w:rPr>
        <w:t>Accounting Payments.</w:t>
      </w:r>
    </w:p>
    <w:p>
      <w:pPr>
        <w:spacing w:after="0" w:line="216" w:lineRule="exact"/>
        <w:rPr>
          <w:sz w:val="20"/>
          <w:szCs w:val="20"/>
          <w:color w:val="auto"/>
        </w:rPr>
      </w:pPr>
    </w:p>
    <w:p>
      <w:pPr>
        <w:jc w:val="both"/>
        <w:ind w:left="1660" w:hanging="823"/>
        <w:spacing w:after="0" w:line="243" w:lineRule="auto"/>
        <w:tabs>
          <w:tab w:leader="none" w:pos="1640" w:val="left"/>
        </w:tabs>
        <w:rPr>
          <w:sz w:val="20"/>
          <w:szCs w:val="20"/>
          <w:color w:val="auto"/>
        </w:rPr>
      </w:pPr>
      <w:r>
        <w:rPr>
          <w:rFonts w:ascii="Arial" w:cs="Arial" w:eastAsia="Arial" w:hAnsi="Arial"/>
          <w:sz w:val="20"/>
          <w:szCs w:val="20"/>
          <w:color w:val="auto"/>
        </w:rPr>
        <w:t>3.5.1</w:t>
      </w:r>
      <w:r>
        <w:rPr>
          <w:sz w:val="20"/>
          <w:szCs w:val="20"/>
          <w:color w:val="auto"/>
        </w:rPr>
        <w:tab/>
      </w:r>
      <w:r>
        <w:rPr>
          <w:rFonts w:ascii="Arial" w:cs="Arial" w:eastAsia="Arial" w:hAnsi="Arial"/>
          <w:sz w:val="20"/>
          <w:szCs w:val="20"/>
          <w:color w:val="auto"/>
        </w:rPr>
        <w:t xml:space="preserve">Earned royalty amounts owing to WSU under Section 2.2.2 and Section 3.3 shall be paid on a quarterly basis after the amount of Annual Minimum Royalty paid to date for the calendar year is exceeded, with such amounts due on or before the </w:t>
      </w:r>
      <w:r>
        <w:rPr>
          <w:rFonts w:ascii="Arial" w:cs="Arial" w:eastAsia="Arial" w:hAnsi="Arial"/>
          <w:sz w:val="20"/>
          <w:szCs w:val="20"/>
          <w:color w:val="333333"/>
        </w:rPr>
        <w:t>[†]</w:t>
      </w:r>
      <w:r>
        <w:rPr>
          <w:rFonts w:ascii="Arial" w:cs="Arial" w:eastAsia="Arial" w:hAnsi="Arial"/>
          <w:sz w:val="20"/>
          <w:szCs w:val="20"/>
          <w:color w:val="auto"/>
        </w:rPr>
        <w:t xml:space="preserve"> day following </w:t>
      </w:r>
      <w:r>
        <w:rPr>
          <w:rFonts w:ascii="Arial" w:cs="Arial" w:eastAsia="Arial" w:hAnsi="Arial"/>
          <w:sz w:val="20"/>
          <w:szCs w:val="20"/>
          <w:color w:val="333333"/>
        </w:rPr>
        <w:t>[†]</w:t>
      </w:r>
      <w:r>
        <w:rPr>
          <w:rFonts w:ascii="Arial" w:cs="Arial" w:eastAsia="Arial" w:hAnsi="Arial"/>
          <w:sz w:val="20"/>
          <w:szCs w:val="20"/>
          <w:color w:val="auto"/>
        </w:rPr>
        <w:t xml:space="preserve">. The balance of any undisputed amounts due to WSU hereunder that remain unpaid more than </w:t>
      </w:r>
      <w:r>
        <w:rPr>
          <w:rFonts w:ascii="Arial" w:cs="Arial" w:eastAsia="Arial" w:hAnsi="Arial"/>
          <w:sz w:val="20"/>
          <w:szCs w:val="20"/>
          <w:color w:val="333333"/>
        </w:rPr>
        <w:t>[†]</w:t>
      </w:r>
      <w:r>
        <w:rPr>
          <w:rFonts w:ascii="Arial" w:cs="Arial" w:eastAsia="Arial" w:hAnsi="Arial"/>
          <w:sz w:val="20"/>
          <w:szCs w:val="20"/>
          <w:color w:val="000000"/>
        </w:rPr>
        <w:t>days after they are due to WSU shall accrue interest until paid at the rate of the lesser of</w:t>
      </w:r>
      <w:r>
        <w:rPr>
          <w:rFonts w:ascii="Arial" w:cs="Arial" w:eastAsia="Arial" w:hAnsi="Arial"/>
          <w:sz w:val="20"/>
          <w:szCs w:val="20"/>
          <w:color w:val="333333"/>
        </w:rPr>
        <w:t xml:space="preserve"> [ † ]</w:t>
      </w:r>
      <w:r>
        <w:rPr>
          <w:rFonts w:ascii="Arial" w:cs="Arial" w:eastAsia="Arial" w:hAnsi="Arial"/>
          <w:sz w:val="20"/>
          <w:szCs w:val="20"/>
          <w:color w:val="000000"/>
        </w:rPr>
        <w:t>percent</w:t>
      </w:r>
      <w:r>
        <w:rPr>
          <w:rFonts w:ascii="Arial" w:cs="Arial" w:eastAsia="Arial" w:hAnsi="Arial"/>
          <w:sz w:val="20"/>
          <w:szCs w:val="20"/>
          <w:color w:val="333333"/>
        </w:rPr>
        <w:t xml:space="preserve"> [ † ] </w:t>
      </w:r>
      <w:r>
        <w:rPr>
          <w:rFonts w:ascii="Arial" w:cs="Arial" w:eastAsia="Arial" w:hAnsi="Arial"/>
          <w:sz w:val="20"/>
          <w:szCs w:val="20"/>
          <w:color w:val="000000"/>
        </w:rPr>
        <w:t>or the</w:t>
      </w:r>
      <w:r>
        <w:rPr>
          <w:rFonts w:ascii="Arial" w:cs="Arial" w:eastAsia="Arial" w:hAnsi="Arial"/>
          <w:sz w:val="20"/>
          <w:szCs w:val="20"/>
          <w:color w:val="333333"/>
        </w:rPr>
        <w:t xml:space="preserve"> </w:t>
      </w:r>
      <w:r>
        <w:rPr>
          <w:rFonts w:ascii="Arial" w:cs="Arial" w:eastAsia="Arial" w:hAnsi="Arial"/>
          <w:sz w:val="20"/>
          <w:szCs w:val="20"/>
          <w:color w:val="000000"/>
        </w:rPr>
        <w:t>maximum amount allowed under applicable law. However, in no event shall this interest provision be construed as a grant of permission for any payment delays.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1"/>
          <w:szCs w:val="21"/>
          <w:color w:val="auto"/>
        </w:rPr>
        <w:t>10</w:t>
      </w:r>
      <w:r>
        <w:rPr>
          <w:rFonts w:ascii="Arial" w:cs="Arial" w:eastAsia="Arial" w:hAnsi="Arial"/>
          <w:sz w:val="20"/>
          <w:szCs w:val="20"/>
          <w:color w:val="auto"/>
        </w:rPr>
        <w:t xml:space="preserve"> of 27</w:t>
      </w:r>
    </w:p>
    <w:p>
      <w:pPr>
        <w:spacing w:after="0" w:line="221" w:lineRule="auto"/>
        <w:rPr>
          <w:sz w:val="20"/>
          <w:szCs w:val="20"/>
          <w:color w:val="auto"/>
        </w:rPr>
      </w:pPr>
      <w:r>
        <w:rPr>
          <w:rFonts w:ascii="Arial" w:cs="Arial" w:eastAsia="Arial" w:hAnsi="Arial"/>
          <w:sz w:val="15"/>
          <w:szCs w:val="15"/>
          <w:color w:val="auto"/>
        </w:rPr>
        <w:t xml:space="preserve">WSU AGR# </w:t>
      </w:r>
      <w:r>
        <w:rPr>
          <w:rFonts w:ascii="Arial" w:cs="Arial" w:eastAsia="Arial" w:hAnsi="Arial"/>
          <w:sz w:val="19"/>
          <w:szCs w:val="19"/>
          <w:color w:val="333333"/>
        </w:rPr>
        <w: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116252875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49465"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26" w:name="page327"/>
    <w:bookmarkEnd w:id="326"/>
    <w:p>
      <w:pPr>
        <w:jc w:val="both"/>
        <w:ind w:left="1660" w:hanging="823"/>
        <w:spacing w:after="0" w:line="246" w:lineRule="auto"/>
        <w:tabs>
          <w:tab w:leader="none" w:pos="1640" w:val="left"/>
        </w:tabs>
        <w:rPr>
          <w:sz w:val="20"/>
          <w:szCs w:val="20"/>
          <w:color w:val="auto"/>
        </w:rPr>
      </w:pPr>
      <w:r>
        <w:rPr>
          <w:rFonts w:ascii="Arial" w:cs="Arial" w:eastAsia="Arial" w:hAnsi="Arial"/>
          <w:sz w:val="20"/>
          <w:szCs w:val="20"/>
          <w:color w:val="auto"/>
        </w:rPr>
        <w:t>3.5.2</w:t>
      </w:r>
      <w:r>
        <w:rPr>
          <w:sz w:val="20"/>
          <w:szCs w:val="20"/>
          <w:color w:val="auto"/>
        </w:rPr>
        <w:tab/>
      </w:r>
      <w:r>
        <w:rPr>
          <w:rFonts w:ascii="Arial" w:cs="Arial" w:eastAsia="Arial" w:hAnsi="Arial"/>
          <w:sz w:val="20"/>
          <w:szCs w:val="20"/>
          <w:color w:val="auto"/>
        </w:rPr>
        <w:t>Except as otherwise directed, all amounts owing to WSU under this Agreement shall be paid in U.S. dollars to WSU at the address provided in Section 13.1. All royalties owing with respect to Selling Prices stated in currencies other than U.S. dollars shall be converted at the rate shown in the Federal Reserve Noon Valuation - Value of Foreign Currencies on the business day preceding the payment.</w:t>
      </w:r>
    </w:p>
    <w:p>
      <w:pPr>
        <w:spacing w:after="0" w:line="191" w:lineRule="exact"/>
        <w:rPr>
          <w:sz w:val="20"/>
          <w:szCs w:val="20"/>
          <w:color w:val="auto"/>
        </w:rPr>
      </w:pPr>
    </w:p>
    <w:p>
      <w:pPr>
        <w:jc w:val="both"/>
        <w:ind w:left="1660" w:hanging="823"/>
        <w:spacing w:after="0" w:line="278" w:lineRule="auto"/>
        <w:tabs>
          <w:tab w:leader="none" w:pos="1640" w:val="left"/>
        </w:tabs>
        <w:rPr>
          <w:sz w:val="20"/>
          <w:szCs w:val="20"/>
          <w:color w:val="auto"/>
        </w:rPr>
      </w:pPr>
      <w:r>
        <w:rPr>
          <w:rFonts w:ascii="Arial" w:cs="Arial" w:eastAsia="Arial" w:hAnsi="Arial"/>
          <w:sz w:val="20"/>
          <w:szCs w:val="20"/>
          <w:color w:val="auto"/>
        </w:rPr>
        <w:t>3.5.3</w:t>
      </w:r>
      <w:r>
        <w:rPr>
          <w:sz w:val="20"/>
          <w:szCs w:val="20"/>
          <w:color w:val="auto"/>
        </w:rPr>
        <w:tab/>
      </w:r>
      <w:r>
        <w:rPr>
          <w:rFonts w:ascii="Arial" w:cs="Arial" w:eastAsia="Arial" w:hAnsi="Arial"/>
          <w:sz w:val="18"/>
          <w:szCs w:val="18"/>
          <w:color w:val="auto"/>
        </w:rPr>
        <w:t xml:space="preserve">A full accounting showing how any earned royalty amounts payable to WSU under Section 3.3 have been calculated shall be submitted to WSU </w:t>
      </w:r>
      <w:r>
        <w:rPr>
          <w:rFonts w:ascii="Arial" w:cs="Arial" w:eastAsia="Arial" w:hAnsi="Arial"/>
          <w:sz w:val="18"/>
          <w:szCs w:val="18"/>
          <w:color w:val="333333"/>
        </w:rPr>
        <w:t>[†]</w:t>
      </w:r>
      <w:r>
        <w:rPr>
          <w:rFonts w:ascii="Arial" w:cs="Arial" w:eastAsia="Arial" w:hAnsi="Arial"/>
          <w:sz w:val="18"/>
          <w:szCs w:val="18"/>
          <w:color w:val="auto"/>
        </w:rPr>
        <w:t>. Such accounting shall be on a per-country and product line, model or trade name basis (unless the Parties otherwise mutually agree in writing), and shall be summarized on the form shown in Appendix B of this Agreement. In the event no earned royalty payment is owed to WSU because the amount of Annual Minimum Royalty paid has not been exceeded or otherwise, an accounting demonstrating that fact shall be supplied to WSU.</w:t>
      </w:r>
    </w:p>
    <w:p>
      <w:pPr>
        <w:spacing w:after="0" w:line="165" w:lineRule="exact"/>
        <w:rPr>
          <w:sz w:val="20"/>
          <w:szCs w:val="20"/>
          <w:color w:val="auto"/>
        </w:rPr>
      </w:pPr>
    </w:p>
    <w:p>
      <w:pPr>
        <w:jc w:val="both"/>
        <w:ind w:left="1660" w:hanging="823"/>
        <w:spacing w:after="0" w:line="244" w:lineRule="auto"/>
        <w:tabs>
          <w:tab w:leader="none" w:pos="1640" w:val="left"/>
        </w:tabs>
        <w:rPr>
          <w:sz w:val="20"/>
          <w:szCs w:val="20"/>
          <w:color w:val="auto"/>
        </w:rPr>
      </w:pPr>
      <w:r>
        <w:rPr>
          <w:rFonts w:ascii="Arial" w:cs="Arial" w:eastAsia="Arial" w:hAnsi="Arial"/>
          <w:sz w:val="20"/>
          <w:szCs w:val="20"/>
          <w:color w:val="auto"/>
        </w:rPr>
        <w:t>3.5.4</w:t>
      </w:r>
      <w:r>
        <w:rPr>
          <w:sz w:val="20"/>
          <w:szCs w:val="20"/>
          <w:color w:val="auto"/>
        </w:rPr>
        <w:tab/>
      </w:r>
      <w:r>
        <w:rPr>
          <w:rFonts w:ascii="Arial" w:cs="Arial" w:eastAsia="Arial" w:hAnsi="Arial"/>
          <w:sz w:val="20"/>
          <w:szCs w:val="20"/>
          <w:color w:val="auto"/>
        </w:rPr>
        <w:t>WSU is exempt from paying income taxes under U.S. law. Therefore, all payments due under this Agreement shall be made without deduction for taxes, assessments, or other charges of any kind that may be imposed on WSU by any government outside of the United States or any political subdivision of such government with respect to any amounts payable to WSU pursuant to this Agreement. All such taxes, assessments, or other charges (if any) shall be assumed by Licensee.</w:t>
      </w:r>
    </w:p>
    <w:p>
      <w:pPr>
        <w:spacing w:after="0" w:line="188" w:lineRule="exact"/>
        <w:rPr>
          <w:sz w:val="20"/>
          <w:szCs w:val="20"/>
          <w:color w:val="auto"/>
        </w:rPr>
      </w:pPr>
    </w:p>
    <w:p>
      <w:pPr>
        <w:spacing w:after="0"/>
        <w:tabs>
          <w:tab w:leader="none" w:pos="1400" w:val="left"/>
        </w:tabs>
        <w:rPr>
          <w:sz w:val="20"/>
          <w:szCs w:val="20"/>
          <w:color w:val="auto"/>
        </w:rPr>
      </w:pPr>
      <w:r>
        <w:rPr>
          <w:rFonts w:ascii="Arial" w:cs="Arial" w:eastAsia="Arial" w:hAnsi="Arial"/>
          <w:sz w:val="20"/>
          <w:szCs w:val="20"/>
          <w:b w:val="1"/>
          <w:bCs w:val="1"/>
          <w:color w:val="auto"/>
        </w:rPr>
        <w:t>Section 4</w:t>
      </w:r>
      <w:r>
        <w:rPr>
          <w:sz w:val="20"/>
          <w:szCs w:val="20"/>
          <w:color w:val="auto"/>
        </w:rPr>
        <w:tab/>
      </w:r>
      <w:r>
        <w:rPr>
          <w:rFonts w:ascii="Arial" w:cs="Arial" w:eastAsia="Arial" w:hAnsi="Arial"/>
          <w:sz w:val="18"/>
          <w:szCs w:val="18"/>
          <w:b w:val="1"/>
          <w:bCs w:val="1"/>
          <w:color w:val="auto"/>
        </w:rPr>
        <w:t>Certain Warranties of WSU.</w:t>
      </w:r>
    </w:p>
    <w:p>
      <w:pPr>
        <w:spacing w:after="0" w:line="222" w:lineRule="exact"/>
        <w:rPr>
          <w:sz w:val="20"/>
          <w:szCs w:val="20"/>
          <w:color w:val="auto"/>
        </w:rPr>
      </w:pPr>
    </w:p>
    <w:p>
      <w:pPr>
        <w:jc w:val="both"/>
        <w:ind w:left="840" w:hanging="822"/>
        <w:spacing w:after="0" w:line="250" w:lineRule="auto"/>
        <w:tabs>
          <w:tab w:leader="none" w:pos="82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color w:val="auto"/>
        </w:rPr>
        <w:t>WSU warrants that, subject to the U.S. Government interests set forth in Section 15, (i) it is the sole owner of the Licensed Patents other than the Joint Patent, (ii) it is joint owner of the Joint Patent, and (iii) it has the right to grant the licenses granted to Licensee in this Agreement. However, nothing in this Agreement shall be construed as:</w:t>
      </w:r>
    </w:p>
    <w:p>
      <w:pPr>
        <w:spacing w:after="0" w:line="186"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4.1.1</w:t>
      </w:r>
      <w:r>
        <w:rPr>
          <w:sz w:val="20"/>
          <w:szCs w:val="20"/>
          <w:color w:val="auto"/>
        </w:rPr>
        <w:tab/>
      </w:r>
      <w:r>
        <w:rPr>
          <w:rFonts w:ascii="Arial" w:cs="Arial" w:eastAsia="Arial" w:hAnsi="Arial"/>
          <w:sz w:val="18"/>
          <w:szCs w:val="18"/>
          <w:color w:val="auto"/>
        </w:rPr>
        <w:t>a warranty or representation by WSU as to the validity or scope of any Valid Claim included in the Licensed Patents;</w:t>
      </w:r>
    </w:p>
    <w:p>
      <w:pPr>
        <w:spacing w:after="0" w:line="216" w:lineRule="exact"/>
        <w:rPr>
          <w:sz w:val="20"/>
          <w:szCs w:val="20"/>
          <w:color w:val="auto"/>
        </w:rPr>
      </w:pPr>
    </w:p>
    <w:p>
      <w:pPr>
        <w:jc w:val="both"/>
        <w:ind w:left="1660" w:hanging="823"/>
        <w:spacing w:after="0" w:line="260" w:lineRule="auto"/>
        <w:tabs>
          <w:tab w:leader="none" w:pos="1640" w:val="left"/>
        </w:tabs>
        <w:rPr>
          <w:sz w:val="20"/>
          <w:szCs w:val="20"/>
          <w:color w:val="auto"/>
        </w:rPr>
      </w:pPr>
      <w:r>
        <w:rPr>
          <w:rFonts w:ascii="Arial" w:cs="Arial" w:eastAsia="Arial" w:hAnsi="Arial"/>
          <w:sz w:val="20"/>
          <w:szCs w:val="20"/>
          <w:color w:val="auto"/>
        </w:rPr>
        <w:t>4.1.2</w:t>
      </w:r>
      <w:r>
        <w:rPr>
          <w:sz w:val="20"/>
          <w:szCs w:val="20"/>
          <w:color w:val="auto"/>
        </w:rPr>
        <w:tab/>
      </w:r>
      <w:r>
        <w:rPr>
          <w:rFonts w:ascii="Arial" w:cs="Arial" w:eastAsia="Arial" w:hAnsi="Arial"/>
          <w:sz w:val="20"/>
          <w:szCs w:val="20"/>
          <w:color w:val="auto"/>
        </w:rPr>
        <w:t>a warranty or representation that anything made, used, sold, offered for sale, imported or otherwise disposed of under the license granted in this Agreement will or will not infringe patents of third parties;</w:t>
      </w:r>
    </w:p>
    <w:p>
      <w:pPr>
        <w:spacing w:after="0" w:line="177"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4.1.3</w:t>
      </w:r>
      <w:r>
        <w:rPr>
          <w:sz w:val="20"/>
          <w:szCs w:val="20"/>
          <w:color w:val="auto"/>
        </w:rPr>
        <w:tab/>
      </w:r>
      <w:r>
        <w:rPr>
          <w:rFonts w:ascii="Arial" w:cs="Arial" w:eastAsia="Arial" w:hAnsi="Arial"/>
          <w:sz w:val="18"/>
          <w:szCs w:val="18"/>
          <w:color w:val="auto"/>
        </w:rPr>
        <w:t>an obligation to bring or prosecute actions or suits against third parties for infringement of Licensed Patents;</w:t>
      </w:r>
    </w:p>
    <w:p>
      <w:pPr>
        <w:spacing w:after="0" w:line="216" w:lineRule="exact"/>
        <w:rPr>
          <w:sz w:val="20"/>
          <w:szCs w:val="20"/>
          <w:color w:val="auto"/>
        </w:rPr>
      </w:pPr>
    </w:p>
    <w:p>
      <w:pPr>
        <w:jc w:val="both"/>
        <w:ind w:left="1660" w:hanging="823"/>
        <w:spacing w:after="0" w:line="260" w:lineRule="auto"/>
        <w:tabs>
          <w:tab w:leader="none" w:pos="1640" w:val="left"/>
        </w:tabs>
        <w:rPr>
          <w:sz w:val="20"/>
          <w:szCs w:val="20"/>
          <w:color w:val="auto"/>
        </w:rPr>
      </w:pPr>
      <w:r>
        <w:rPr>
          <w:rFonts w:ascii="Arial" w:cs="Arial" w:eastAsia="Arial" w:hAnsi="Arial"/>
          <w:sz w:val="20"/>
          <w:szCs w:val="20"/>
          <w:color w:val="auto"/>
        </w:rPr>
        <w:t>4.1.4</w:t>
      </w:r>
      <w:r>
        <w:rPr>
          <w:sz w:val="20"/>
          <w:szCs w:val="20"/>
          <w:color w:val="auto"/>
        </w:rPr>
        <w:tab/>
      </w:r>
      <w:r>
        <w:rPr>
          <w:rFonts w:ascii="Arial" w:cs="Arial" w:eastAsia="Arial" w:hAnsi="Arial"/>
          <w:sz w:val="20"/>
          <w:szCs w:val="20"/>
          <w:color w:val="auto"/>
        </w:rPr>
        <w:t>an obligation to furnish any know-how not provided in Licensed Patents or Licensed Biological Materials or any services other than those specified in this Agreement; or</w:t>
      </w:r>
    </w:p>
    <w:p>
      <w:pPr>
        <w:spacing w:after="0" w:line="177" w:lineRule="exact"/>
        <w:rPr>
          <w:sz w:val="20"/>
          <w:szCs w:val="20"/>
          <w:color w:val="auto"/>
        </w:rPr>
      </w:pPr>
    </w:p>
    <w:p>
      <w:pPr>
        <w:jc w:val="both"/>
        <w:ind w:left="1660" w:hanging="823"/>
        <w:spacing w:after="0" w:line="250" w:lineRule="auto"/>
        <w:tabs>
          <w:tab w:leader="none" w:pos="1640" w:val="left"/>
        </w:tabs>
        <w:rPr>
          <w:sz w:val="20"/>
          <w:szCs w:val="20"/>
          <w:color w:val="auto"/>
        </w:rPr>
      </w:pPr>
      <w:r>
        <w:rPr>
          <w:rFonts w:ascii="Arial" w:cs="Arial" w:eastAsia="Arial" w:hAnsi="Arial"/>
          <w:sz w:val="20"/>
          <w:szCs w:val="20"/>
          <w:color w:val="auto"/>
        </w:rPr>
        <w:t>4.1.5</w:t>
      </w:r>
      <w:r>
        <w:rPr>
          <w:sz w:val="20"/>
          <w:szCs w:val="20"/>
          <w:color w:val="auto"/>
        </w:rPr>
        <w:tab/>
      </w:r>
      <w:r>
        <w:rPr>
          <w:rFonts w:ascii="Arial" w:cs="Arial" w:eastAsia="Arial" w:hAnsi="Arial"/>
          <w:sz w:val="20"/>
          <w:szCs w:val="20"/>
          <w:color w:val="auto"/>
        </w:rPr>
        <w:t>a warranty or representation by WSU that it will not grant licenses to others to make, use or sell products which are not covered by Valid Claims of the Licensed Patents, but which may be similar to and/or compete with products made or sold by Licensee or its Affiliate(s) or Sublicensee(s).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1"/>
          <w:szCs w:val="21"/>
          <w:color w:val="auto"/>
        </w:rPr>
        <w:t>11</w:t>
      </w:r>
      <w:r>
        <w:rPr>
          <w:rFonts w:ascii="Arial" w:cs="Arial" w:eastAsia="Arial" w:hAnsi="Arial"/>
          <w:sz w:val="20"/>
          <w:szCs w:val="20"/>
          <w:color w:val="auto"/>
        </w:rPr>
        <w:t xml:space="preserve"> of 27</w:t>
      </w:r>
    </w:p>
    <w:p>
      <w:pPr>
        <w:spacing w:after="0" w:line="221" w:lineRule="auto"/>
        <w:rPr>
          <w:sz w:val="20"/>
          <w:szCs w:val="20"/>
          <w:color w:val="auto"/>
        </w:rPr>
      </w:pPr>
      <w:r>
        <w:rPr>
          <w:rFonts w:ascii="Arial" w:cs="Arial" w:eastAsia="Arial" w:hAnsi="Arial"/>
          <w:sz w:val="15"/>
          <w:szCs w:val="15"/>
          <w:color w:val="auto"/>
        </w:rPr>
        <w:t xml:space="preserve">WSU AGR# </w:t>
      </w:r>
      <w:r>
        <w:rPr>
          <w:rFonts w:ascii="Arial" w:cs="Arial" w:eastAsia="Arial" w:hAnsi="Arial"/>
          <w:sz w:val="19"/>
          <w:szCs w:val="19"/>
          <w:color w:val="333333"/>
        </w:rPr>
        <w: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116252875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49465"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27" w:name="page328"/>
    <w:bookmarkEnd w:id="327"/>
    <w:p>
      <w:pPr>
        <w:jc w:val="both"/>
        <w:ind w:left="840" w:hanging="822"/>
        <w:spacing w:after="0" w:line="269" w:lineRule="auto"/>
        <w:tabs>
          <w:tab w:leader="none" w:pos="82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9"/>
          <w:szCs w:val="19"/>
          <w:color w:val="auto"/>
        </w:rPr>
        <w:t>WSU MAKES NO REPRESENTATIONS, EXTENDS NO WARRANTIES OF ANY KIND, EITHER EXPRESS OR IMPLIED, AND ASSUMES NO RESPONSIBILITIES WHATSOEVER WITH RESPECT TO USE, SALE, OR OTHER DISPOSITION BY LICENSEE, ITS SUBLICENSEE(S) OR THEIR VENDEES OR OTHER TRANSFEREES OF LICENSED PRODUCTS.</w:t>
      </w:r>
    </w:p>
    <w:p>
      <w:pPr>
        <w:spacing w:after="0" w:line="164" w:lineRule="exact"/>
        <w:rPr>
          <w:sz w:val="20"/>
          <w:szCs w:val="20"/>
          <w:color w:val="auto"/>
        </w:rPr>
      </w:pPr>
    </w:p>
    <w:p>
      <w:pPr>
        <w:spacing w:after="0"/>
        <w:tabs>
          <w:tab w:leader="none" w:pos="1400" w:val="left"/>
        </w:tabs>
        <w:rPr>
          <w:sz w:val="20"/>
          <w:szCs w:val="20"/>
          <w:color w:val="auto"/>
        </w:rPr>
      </w:pPr>
      <w:r>
        <w:rPr>
          <w:rFonts w:ascii="Arial" w:cs="Arial" w:eastAsia="Arial" w:hAnsi="Arial"/>
          <w:sz w:val="20"/>
          <w:szCs w:val="20"/>
          <w:b w:val="1"/>
          <w:bCs w:val="1"/>
          <w:color w:val="auto"/>
        </w:rPr>
        <w:t>Section 5</w:t>
      </w:r>
      <w:r>
        <w:rPr>
          <w:sz w:val="20"/>
          <w:szCs w:val="20"/>
          <w:color w:val="auto"/>
        </w:rPr>
        <w:tab/>
      </w:r>
      <w:r>
        <w:rPr>
          <w:rFonts w:ascii="Arial" w:cs="Arial" w:eastAsia="Arial" w:hAnsi="Arial"/>
          <w:sz w:val="16"/>
          <w:szCs w:val="16"/>
          <w:b w:val="1"/>
          <w:bCs w:val="1"/>
          <w:color w:val="auto"/>
        </w:rPr>
        <w:t>Record keeping.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181"/>
              <w:spacing w:after="0"/>
              <w:rPr>
                <w:sz w:val="20"/>
                <w:szCs w:val="20"/>
                <w:color w:val="auto"/>
              </w:rPr>
            </w:pPr>
            <w:r>
              <w:rPr>
                <w:rFonts w:ascii="Arial" w:cs="Arial" w:eastAsia="Arial" w:hAnsi="Arial"/>
                <w:sz w:val="20"/>
                <w:szCs w:val="20"/>
                <w:color w:val="auto"/>
                <w:w w:val="86"/>
              </w:rPr>
              <w:t>5.1</w:t>
            </w:r>
          </w:p>
        </w:tc>
        <w:tc>
          <w:tcPr>
            <w:tcW w:w="10700" w:type="dxa"/>
            <w:vAlign w:val="bottom"/>
          </w:tcPr>
          <w:p>
            <w:pPr>
              <w:ind w:left="300"/>
              <w:spacing w:after="0"/>
              <w:rPr>
                <w:sz w:val="20"/>
                <w:szCs w:val="20"/>
                <w:color w:val="auto"/>
              </w:rPr>
            </w:pPr>
            <w:r>
              <w:rPr>
                <w:rFonts w:ascii="Arial" w:cs="Arial" w:eastAsia="Arial" w:hAnsi="Arial"/>
                <w:sz w:val="20"/>
                <w:szCs w:val="20"/>
                <w:color w:val="auto"/>
                <w:w w:val="92"/>
              </w:rPr>
              <w:t>Licensee and its Sublicensee(s) shall keep books and records sufficient to verify the accuracy and completeness of Licensee’s</w:t>
            </w:r>
          </w:p>
        </w:tc>
      </w:tr>
      <w:tr>
        <w:trPr>
          <w:trHeight w:val="230"/>
        </w:trPr>
        <w:tc>
          <w:tcPr>
            <w:tcW w:w="540" w:type="dxa"/>
            <w:vAlign w:val="bottom"/>
          </w:tcPr>
          <w:p>
            <w:pPr>
              <w:spacing w:after="0"/>
              <w:rPr>
                <w:sz w:val="19"/>
                <w:szCs w:val="19"/>
                <w:color w:val="auto"/>
              </w:rPr>
            </w:pPr>
          </w:p>
        </w:tc>
        <w:tc>
          <w:tcPr>
            <w:tcW w:w="10700" w:type="dxa"/>
            <w:vAlign w:val="bottom"/>
          </w:tcPr>
          <w:p>
            <w:pPr>
              <w:ind w:left="300"/>
              <w:spacing w:after="0"/>
              <w:rPr>
                <w:sz w:val="20"/>
                <w:szCs w:val="20"/>
                <w:color w:val="auto"/>
              </w:rPr>
            </w:pPr>
            <w:r>
              <w:rPr>
                <w:rFonts w:ascii="Arial" w:cs="Arial" w:eastAsia="Arial" w:hAnsi="Arial"/>
                <w:sz w:val="20"/>
                <w:szCs w:val="20"/>
                <w:color w:val="auto"/>
                <w:w w:val="95"/>
              </w:rPr>
              <w:t>accounting referred to in Sections 2.2.2 and 3.5.1 above, including without limitation purchase and invoice records, general</w:t>
            </w:r>
          </w:p>
        </w:tc>
      </w:tr>
      <w:tr>
        <w:trPr>
          <w:trHeight w:val="229"/>
        </w:trPr>
        <w:tc>
          <w:tcPr>
            <w:tcW w:w="540" w:type="dxa"/>
            <w:vAlign w:val="bottom"/>
          </w:tcPr>
          <w:p>
            <w:pPr>
              <w:spacing w:after="0"/>
              <w:rPr>
                <w:sz w:val="19"/>
                <w:szCs w:val="19"/>
                <w:color w:val="auto"/>
              </w:rPr>
            </w:pPr>
          </w:p>
        </w:tc>
        <w:tc>
          <w:tcPr>
            <w:tcW w:w="10700" w:type="dxa"/>
            <w:vAlign w:val="bottom"/>
          </w:tcPr>
          <w:p>
            <w:pPr>
              <w:ind w:left="300"/>
              <w:spacing w:after="0"/>
              <w:rPr>
                <w:sz w:val="20"/>
                <w:szCs w:val="20"/>
                <w:color w:val="auto"/>
              </w:rPr>
            </w:pPr>
            <w:r>
              <w:rPr>
                <w:rFonts w:ascii="Arial" w:cs="Arial" w:eastAsia="Arial" w:hAnsi="Arial"/>
                <w:sz w:val="20"/>
                <w:szCs w:val="20"/>
                <w:color w:val="auto"/>
                <w:w w:val="88"/>
              </w:rPr>
              <w:t>ledgers, financial statements, and tax returns relating to sales of the Licensed Products and/or Licensed Processes. Such books and</w:t>
            </w:r>
          </w:p>
        </w:tc>
      </w:tr>
      <w:tr>
        <w:trPr>
          <w:trHeight w:val="229"/>
        </w:trPr>
        <w:tc>
          <w:tcPr>
            <w:tcW w:w="540" w:type="dxa"/>
            <w:vAlign w:val="bottom"/>
          </w:tcPr>
          <w:p>
            <w:pPr>
              <w:spacing w:after="0"/>
              <w:rPr>
                <w:sz w:val="19"/>
                <w:szCs w:val="19"/>
                <w:color w:val="auto"/>
              </w:rPr>
            </w:pPr>
          </w:p>
        </w:tc>
        <w:tc>
          <w:tcPr>
            <w:tcW w:w="10700" w:type="dxa"/>
            <w:vAlign w:val="bottom"/>
          </w:tcPr>
          <w:p>
            <w:pPr>
              <w:ind w:left="300"/>
              <w:spacing w:after="0"/>
              <w:rPr>
                <w:sz w:val="20"/>
                <w:szCs w:val="20"/>
                <w:color w:val="auto"/>
              </w:rPr>
            </w:pPr>
            <w:r>
              <w:rPr>
                <w:rFonts w:ascii="Arial" w:cs="Arial" w:eastAsia="Arial" w:hAnsi="Arial"/>
                <w:sz w:val="20"/>
                <w:szCs w:val="20"/>
                <w:color w:val="auto"/>
                <w:w w:val="95"/>
              </w:rPr>
              <w:t xml:space="preserve">records shall be preserved for a period not less than </w:t>
            </w:r>
            <w:r>
              <w:rPr>
                <w:rFonts w:ascii="Arial" w:cs="Arial" w:eastAsia="Arial" w:hAnsi="Arial"/>
                <w:sz w:val="20"/>
                <w:szCs w:val="20"/>
                <w:color w:val="333333"/>
                <w:w w:val="95"/>
              </w:rPr>
              <w:t>[ † ]</w:t>
            </w:r>
            <w:r>
              <w:rPr>
                <w:rFonts w:ascii="Arial" w:cs="Arial" w:eastAsia="Arial" w:hAnsi="Arial"/>
                <w:sz w:val="20"/>
                <w:szCs w:val="20"/>
                <w:color w:val="auto"/>
                <w:w w:val="95"/>
              </w:rPr>
              <w:t xml:space="preserve"> years after they are created, both during and after the term of this</w:t>
            </w:r>
          </w:p>
        </w:tc>
      </w:tr>
      <w:tr>
        <w:trPr>
          <w:trHeight w:val="250"/>
        </w:trPr>
        <w:tc>
          <w:tcPr>
            <w:tcW w:w="540" w:type="dxa"/>
            <w:vAlign w:val="bottom"/>
          </w:tcPr>
          <w:p>
            <w:pPr>
              <w:spacing w:after="0"/>
              <w:rPr>
                <w:sz w:val="21"/>
                <w:szCs w:val="21"/>
                <w:color w:val="auto"/>
              </w:rPr>
            </w:pPr>
          </w:p>
        </w:tc>
        <w:tc>
          <w:tcPr>
            <w:tcW w:w="10700" w:type="dxa"/>
            <w:vAlign w:val="bottom"/>
          </w:tcPr>
          <w:p>
            <w:pPr>
              <w:ind w:left="300"/>
              <w:spacing w:after="0"/>
              <w:rPr>
                <w:sz w:val="20"/>
                <w:szCs w:val="20"/>
                <w:color w:val="auto"/>
              </w:rPr>
            </w:pPr>
            <w:r>
              <w:rPr>
                <w:rFonts w:ascii="Arial" w:cs="Arial" w:eastAsia="Arial" w:hAnsi="Arial"/>
                <w:sz w:val="20"/>
                <w:szCs w:val="20"/>
                <w:color w:val="auto"/>
              </w:rPr>
              <w:t>Agreement.</w:t>
            </w:r>
          </w:p>
        </w:tc>
      </w:tr>
      <w:tr>
        <w:trPr>
          <w:trHeight w:val="425"/>
        </w:trPr>
        <w:tc>
          <w:tcPr>
            <w:tcW w:w="540" w:type="dxa"/>
            <w:vAlign w:val="bottom"/>
          </w:tcPr>
          <w:p>
            <w:pPr>
              <w:jc w:val="right"/>
              <w:ind w:right="181"/>
              <w:spacing w:after="0"/>
              <w:rPr>
                <w:sz w:val="20"/>
                <w:szCs w:val="20"/>
                <w:color w:val="auto"/>
              </w:rPr>
            </w:pPr>
            <w:r>
              <w:rPr>
                <w:rFonts w:ascii="Arial" w:cs="Arial" w:eastAsia="Arial" w:hAnsi="Arial"/>
                <w:sz w:val="20"/>
                <w:szCs w:val="20"/>
                <w:color w:val="auto"/>
                <w:w w:val="86"/>
              </w:rPr>
              <w:t>5.2</w:t>
            </w:r>
          </w:p>
        </w:tc>
        <w:tc>
          <w:tcPr>
            <w:tcW w:w="10700" w:type="dxa"/>
            <w:vAlign w:val="bottom"/>
          </w:tcPr>
          <w:p>
            <w:pPr>
              <w:ind w:left="300"/>
              <w:spacing w:after="0"/>
              <w:rPr>
                <w:sz w:val="20"/>
                <w:szCs w:val="20"/>
                <w:color w:val="auto"/>
              </w:rPr>
            </w:pPr>
            <w:r>
              <w:rPr>
                <w:rFonts w:ascii="Arial" w:cs="Arial" w:eastAsia="Arial" w:hAnsi="Arial"/>
                <w:sz w:val="20"/>
                <w:szCs w:val="20"/>
                <w:color w:val="auto"/>
                <w:w w:val="90"/>
              </w:rPr>
              <w:t xml:space="preserve">Licensee shall take all steps necessary so that WSU may, within </w:t>
            </w:r>
            <w:r>
              <w:rPr>
                <w:rFonts w:ascii="Arial" w:cs="Arial" w:eastAsia="Arial" w:hAnsi="Arial"/>
                <w:sz w:val="20"/>
                <w:szCs w:val="20"/>
                <w:color w:val="333333"/>
                <w:w w:val="90"/>
              </w:rPr>
              <w:t>[†]</w:t>
            </w:r>
            <w:r>
              <w:rPr>
                <w:rFonts w:ascii="Arial" w:cs="Arial" w:eastAsia="Arial" w:hAnsi="Arial"/>
                <w:sz w:val="20"/>
                <w:szCs w:val="20"/>
                <w:color w:val="auto"/>
                <w:w w:val="90"/>
              </w:rPr>
              <w:t xml:space="preserve"> days of WSU’s request, review Licensee’s books and records</w:t>
            </w:r>
          </w:p>
        </w:tc>
      </w:tr>
      <w:tr>
        <w:trPr>
          <w:trHeight w:val="230"/>
        </w:trPr>
        <w:tc>
          <w:tcPr>
            <w:tcW w:w="540" w:type="dxa"/>
            <w:vAlign w:val="bottom"/>
          </w:tcPr>
          <w:p>
            <w:pPr>
              <w:spacing w:after="0"/>
              <w:rPr>
                <w:sz w:val="19"/>
                <w:szCs w:val="19"/>
                <w:color w:val="auto"/>
              </w:rPr>
            </w:pPr>
          </w:p>
        </w:tc>
        <w:tc>
          <w:tcPr>
            <w:tcW w:w="10700" w:type="dxa"/>
            <w:vAlign w:val="bottom"/>
          </w:tcPr>
          <w:p>
            <w:pPr>
              <w:ind w:left="300"/>
              <w:spacing w:after="0"/>
              <w:rPr>
                <w:sz w:val="20"/>
                <w:szCs w:val="20"/>
                <w:color w:val="auto"/>
              </w:rPr>
            </w:pPr>
            <w:r>
              <w:rPr>
                <w:rFonts w:ascii="Arial" w:cs="Arial" w:eastAsia="Arial" w:hAnsi="Arial"/>
                <w:sz w:val="20"/>
                <w:szCs w:val="20"/>
                <w:color w:val="auto"/>
                <w:w w:val="91"/>
              </w:rPr>
              <w:t>described in Section 5.1 at a single U.S. location to verify the accuracy of Licensee’s and Sublicensee’s accounting described in</w:t>
            </w:r>
          </w:p>
        </w:tc>
      </w:tr>
      <w:tr>
        <w:trPr>
          <w:trHeight w:val="229"/>
        </w:trPr>
        <w:tc>
          <w:tcPr>
            <w:tcW w:w="540" w:type="dxa"/>
            <w:vAlign w:val="bottom"/>
          </w:tcPr>
          <w:p>
            <w:pPr>
              <w:spacing w:after="0"/>
              <w:rPr>
                <w:sz w:val="19"/>
                <w:szCs w:val="19"/>
                <w:color w:val="auto"/>
              </w:rPr>
            </w:pPr>
          </w:p>
        </w:tc>
        <w:tc>
          <w:tcPr>
            <w:tcW w:w="10700" w:type="dxa"/>
            <w:vAlign w:val="bottom"/>
          </w:tcPr>
          <w:p>
            <w:pPr>
              <w:ind w:left="300"/>
              <w:spacing w:after="0"/>
              <w:rPr>
                <w:sz w:val="20"/>
                <w:szCs w:val="20"/>
                <w:color w:val="auto"/>
              </w:rPr>
            </w:pPr>
            <w:r>
              <w:rPr>
                <w:rFonts w:ascii="Arial" w:cs="Arial" w:eastAsia="Arial" w:hAnsi="Arial"/>
                <w:sz w:val="20"/>
                <w:szCs w:val="20"/>
                <w:color w:val="auto"/>
                <w:w w:val="91"/>
              </w:rPr>
              <w:t>Sections 2.2.2 and 3.5.1. Such review may be performed by any authorized non-employee representative of WSU, including any</w:t>
            </w:r>
          </w:p>
        </w:tc>
      </w:tr>
      <w:tr>
        <w:trPr>
          <w:trHeight w:val="229"/>
        </w:trPr>
        <w:tc>
          <w:tcPr>
            <w:tcW w:w="540" w:type="dxa"/>
            <w:vAlign w:val="bottom"/>
          </w:tcPr>
          <w:p>
            <w:pPr>
              <w:spacing w:after="0"/>
              <w:rPr>
                <w:sz w:val="19"/>
                <w:szCs w:val="19"/>
                <w:color w:val="auto"/>
              </w:rPr>
            </w:pPr>
          </w:p>
        </w:tc>
        <w:tc>
          <w:tcPr>
            <w:tcW w:w="10700" w:type="dxa"/>
            <w:vAlign w:val="bottom"/>
          </w:tcPr>
          <w:p>
            <w:pPr>
              <w:ind w:left="300"/>
              <w:spacing w:after="0"/>
              <w:rPr>
                <w:sz w:val="20"/>
                <w:szCs w:val="20"/>
                <w:color w:val="auto"/>
              </w:rPr>
            </w:pPr>
            <w:r>
              <w:rPr>
                <w:rFonts w:ascii="Arial" w:cs="Arial" w:eastAsia="Arial" w:hAnsi="Arial"/>
                <w:sz w:val="20"/>
                <w:szCs w:val="20"/>
                <w:color w:val="auto"/>
                <w:w w:val="91"/>
              </w:rPr>
              <w:t>attorney or registered CPA designated by WSU, upon reasonable advance written notice and during Licensee’s regular business</w:t>
            </w:r>
          </w:p>
        </w:tc>
      </w:tr>
      <w:tr>
        <w:trPr>
          <w:trHeight w:val="250"/>
        </w:trPr>
        <w:tc>
          <w:tcPr>
            <w:tcW w:w="540" w:type="dxa"/>
            <w:vAlign w:val="bottom"/>
          </w:tcPr>
          <w:p>
            <w:pPr>
              <w:spacing w:after="0"/>
              <w:rPr>
                <w:sz w:val="21"/>
                <w:szCs w:val="21"/>
                <w:color w:val="auto"/>
              </w:rPr>
            </w:pPr>
          </w:p>
        </w:tc>
        <w:tc>
          <w:tcPr>
            <w:tcW w:w="10700" w:type="dxa"/>
            <w:vAlign w:val="bottom"/>
          </w:tcPr>
          <w:p>
            <w:pPr>
              <w:ind w:left="300"/>
              <w:spacing w:after="0"/>
              <w:rPr>
                <w:sz w:val="20"/>
                <w:szCs w:val="20"/>
                <w:color w:val="auto"/>
              </w:rPr>
            </w:pPr>
            <w:r>
              <w:rPr>
                <w:rFonts w:ascii="Arial" w:cs="Arial" w:eastAsia="Arial" w:hAnsi="Arial"/>
                <w:sz w:val="20"/>
                <w:szCs w:val="20"/>
                <w:color w:val="auto"/>
              </w:rPr>
              <w:t xml:space="preserve">hours. Such review shall not exceed </w:t>
            </w:r>
            <w:r>
              <w:rPr>
                <w:rFonts w:ascii="Arial" w:cs="Arial" w:eastAsia="Arial" w:hAnsi="Arial"/>
                <w:sz w:val="20"/>
                <w:szCs w:val="20"/>
                <w:color w:val="333333"/>
              </w:rPr>
              <w:t>[†]</w:t>
            </w:r>
            <w:r>
              <w:rPr>
                <w:rFonts w:ascii="Arial" w:cs="Arial" w:eastAsia="Arial" w:hAnsi="Arial"/>
                <w:sz w:val="20"/>
                <w:szCs w:val="20"/>
                <w:color w:val="auto"/>
              </w:rPr>
              <w:t xml:space="preserve"> days.</w:t>
            </w:r>
          </w:p>
        </w:tc>
      </w:tr>
      <w:tr>
        <w:trPr>
          <w:trHeight w:val="425"/>
        </w:trPr>
        <w:tc>
          <w:tcPr>
            <w:tcW w:w="540" w:type="dxa"/>
            <w:vAlign w:val="bottom"/>
          </w:tcPr>
          <w:p>
            <w:pPr>
              <w:jc w:val="right"/>
              <w:ind w:right="181"/>
              <w:spacing w:after="0"/>
              <w:rPr>
                <w:sz w:val="20"/>
                <w:szCs w:val="20"/>
                <w:color w:val="auto"/>
              </w:rPr>
            </w:pPr>
            <w:r>
              <w:rPr>
                <w:rFonts w:ascii="Arial" w:cs="Arial" w:eastAsia="Arial" w:hAnsi="Arial"/>
                <w:sz w:val="20"/>
                <w:szCs w:val="20"/>
                <w:color w:val="auto"/>
                <w:w w:val="86"/>
              </w:rPr>
              <w:t>5.3</w:t>
            </w:r>
          </w:p>
        </w:tc>
        <w:tc>
          <w:tcPr>
            <w:tcW w:w="10700" w:type="dxa"/>
            <w:vAlign w:val="bottom"/>
          </w:tcPr>
          <w:p>
            <w:pPr>
              <w:ind w:left="300"/>
              <w:spacing w:after="0"/>
              <w:rPr>
                <w:sz w:val="20"/>
                <w:szCs w:val="20"/>
                <w:color w:val="auto"/>
              </w:rPr>
            </w:pPr>
            <w:r>
              <w:rPr>
                <w:rFonts w:ascii="Arial" w:cs="Arial" w:eastAsia="Arial" w:hAnsi="Arial"/>
                <w:sz w:val="20"/>
                <w:szCs w:val="20"/>
                <w:color w:val="auto"/>
                <w:w w:val="91"/>
              </w:rPr>
              <w:t>If an earned royalty payment deficiency is determined pursuant to Section 5.2, and Licensee does not dispute in good faith such</w:t>
            </w:r>
          </w:p>
        </w:tc>
      </w:tr>
      <w:tr>
        <w:trPr>
          <w:trHeight w:val="230"/>
        </w:trPr>
        <w:tc>
          <w:tcPr>
            <w:tcW w:w="540" w:type="dxa"/>
            <w:vAlign w:val="bottom"/>
          </w:tcPr>
          <w:p>
            <w:pPr>
              <w:spacing w:after="0"/>
              <w:rPr>
                <w:sz w:val="19"/>
                <w:szCs w:val="19"/>
                <w:color w:val="auto"/>
              </w:rPr>
            </w:pPr>
          </w:p>
        </w:tc>
        <w:tc>
          <w:tcPr>
            <w:tcW w:w="10700" w:type="dxa"/>
            <w:vAlign w:val="bottom"/>
          </w:tcPr>
          <w:p>
            <w:pPr>
              <w:ind w:left="300"/>
              <w:spacing w:after="0"/>
              <w:rPr>
                <w:sz w:val="20"/>
                <w:szCs w:val="20"/>
                <w:color w:val="auto"/>
              </w:rPr>
            </w:pPr>
            <w:r>
              <w:rPr>
                <w:rFonts w:ascii="Arial" w:cs="Arial" w:eastAsia="Arial" w:hAnsi="Arial"/>
                <w:sz w:val="20"/>
                <w:szCs w:val="20"/>
                <w:color w:val="auto"/>
                <w:w w:val="91"/>
              </w:rPr>
              <w:t xml:space="preserve">determination, then Licensee shall pay the earned royalty deficiency that is outstanding within </w:t>
            </w:r>
            <w:r>
              <w:rPr>
                <w:rFonts w:ascii="Arial" w:cs="Arial" w:eastAsia="Arial" w:hAnsi="Arial"/>
                <w:sz w:val="20"/>
                <w:szCs w:val="20"/>
                <w:color w:val="333333"/>
                <w:w w:val="91"/>
              </w:rPr>
              <w:t>[†]</w:t>
            </w:r>
            <w:r>
              <w:rPr>
                <w:rFonts w:ascii="Arial" w:cs="Arial" w:eastAsia="Arial" w:hAnsi="Arial"/>
                <w:sz w:val="20"/>
                <w:szCs w:val="20"/>
                <w:color w:val="auto"/>
                <w:w w:val="91"/>
              </w:rPr>
              <w:t xml:space="preserve"> days of receiving written notice</w:t>
            </w:r>
          </w:p>
        </w:tc>
      </w:tr>
      <w:tr>
        <w:trPr>
          <w:trHeight w:val="250"/>
        </w:trPr>
        <w:tc>
          <w:tcPr>
            <w:tcW w:w="540" w:type="dxa"/>
            <w:vAlign w:val="bottom"/>
          </w:tcPr>
          <w:p>
            <w:pPr>
              <w:spacing w:after="0"/>
              <w:rPr>
                <w:sz w:val="21"/>
                <w:szCs w:val="21"/>
                <w:color w:val="auto"/>
              </w:rPr>
            </w:pPr>
          </w:p>
        </w:tc>
        <w:tc>
          <w:tcPr>
            <w:tcW w:w="10700" w:type="dxa"/>
            <w:vAlign w:val="bottom"/>
          </w:tcPr>
          <w:p>
            <w:pPr>
              <w:ind w:left="300"/>
              <w:spacing w:after="0"/>
              <w:rPr>
                <w:sz w:val="20"/>
                <w:szCs w:val="20"/>
                <w:color w:val="auto"/>
              </w:rPr>
            </w:pPr>
            <w:r>
              <w:rPr>
                <w:rFonts w:ascii="Arial" w:cs="Arial" w:eastAsia="Arial" w:hAnsi="Arial"/>
                <w:sz w:val="20"/>
                <w:szCs w:val="20"/>
                <w:color w:val="auto"/>
              </w:rPr>
              <w:t>thereof, plus (to the extent applicable) interest on outstanding amounts as described in Section 3.5.1.</w:t>
            </w:r>
          </w:p>
        </w:tc>
      </w:tr>
      <w:tr>
        <w:trPr>
          <w:trHeight w:val="425"/>
        </w:trPr>
        <w:tc>
          <w:tcPr>
            <w:tcW w:w="540" w:type="dxa"/>
            <w:vAlign w:val="bottom"/>
          </w:tcPr>
          <w:p>
            <w:pPr>
              <w:jc w:val="right"/>
              <w:ind w:right="181"/>
              <w:spacing w:after="0"/>
              <w:rPr>
                <w:sz w:val="20"/>
                <w:szCs w:val="20"/>
                <w:color w:val="auto"/>
              </w:rPr>
            </w:pPr>
            <w:r>
              <w:rPr>
                <w:rFonts w:ascii="Arial" w:cs="Arial" w:eastAsia="Arial" w:hAnsi="Arial"/>
                <w:sz w:val="20"/>
                <w:szCs w:val="20"/>
                <w:color w:val="auto"/>
                <w:w w:val="86"/>
              </w:rPr>
              <w:t>5.4</w:t>
            </w:r>
          </w:p>
        </w:tc>
        <w:tc>
          <w:tcPr>
            <w:tcW w:w="10700" w:type="dxa"/>
            <w:vAlign w:val="bottom"/>
          </w:tcPr>
          <w:p>
            <w:pPr>
              <w:ind w:left="300"/>
              <w:spacing w:after="0"/>
              <w:rPr>
                <w:sz w:val="20"/>
                <w:szCs w:val="20"/>
                <w:color w:val="auto"/>
              </w:rPr>
            </w:pPr>
            <w:r>
              <w:rPr>
                <w:rFonts w:ascii="Arial" w:cs="Arial" w:eastAsia="Arial" w:hAnsi="Arial"/>
                <w:sz w:val="20"/>
                <w:szCs w:val="20"/>
                <w:color w:val="auto"/>
                <w:w w:val="94"/>
              </w:rPr>
              <w:t xml:space="preserve">If an earned royalty payment deficiency for a given calendar year exceeds </w:t>
            </w:r>
            <w:r>
              <w:rPr>
                <w:rFonts w:ascii="Arial" w:cs="Arial" w:eastAsia="Arial" w:hAnsi="Arial"/>
                <w:sz w:val="20"/>
                <w:szCs w:val="20"/>
                <w:color w:val="333333"/>
                <w:w w:val="94"/>
              </w:rPr>
              <w:t>[†]</w:t>
            </w:r>
            <w:r>
              <w:rPr>
                <w:rFonts w:ascii="Arial" w:cs="Arial" w:eastAsia="Arial" w:hAnsi="Arial"/>
                <w:sz w:val="20"/>
                <w:szCs w:val="20"/>
                <w:color w:val="auto"/>
                <w:w w:val="94"/>
              </w:rPr>
              <w:t xml:space="preserve">percent </w:t>
            </w:r>
            <w:r>
              <w:rPr>
                <w:rFonts w:ascii="Arial" w:cs="Arial" w:eastAsia="Arial" w:hAnsi="Arial"/>
                <w:sz w:val="20"/>
                <w:szCs w:val="20"/>
                <w:color w:val="333333"/>
                <w:w w:val="94"/>
              </w:rPr>
              <w:t>[ † ]</w:t>
            </w:r>
            <w:r>
              <w:rPr>
                <w:rFonts w:ascii="Arial" w:cs="Arial" w:eastAsia="Arial" w:hAnsi="Arial"/>
                <w:sz w:val="20"/>
                <w:szCs w:val="20"/>
                <w:color w:val="auto"/>
                <w:w w:val="94"/>
              </w:rPr>
              <w:t xml:space="preserve"> of the earned royalties paid for that</w:t>
            </w:r>
          </w:p>
        </w:tc>
      </w:tr>
      <w:tr>
        <w:trPr>
          <w:trHeight w:val="229"/>
        </w:trPr>
        <w:tc>
          <w:tcPr>
            <w:tcW w:w="540" w:type="dxa"/>
            <w:vAlign w:val="bottom"/>
          </w:tcPr>
          <w:p>
            <w:pPr>
              <w:spacing w:after="0"/>
              <w:rPr>
                <w:sz w:val="19"/>
                <w:szCs w:val="19"/>
                <w:color w:val="auto"/>
              </w:rPr>
            </w:pPr>
          </w:p>
        </w:tc>
        <w:tc>
          <w:tcPr>
            <w:tcW w:w="10700" w:type="dxa"/>
            <w:vAlign w:val="bottom"/>
          </w:tcPr>
          <w:p>
            <w:pPr>
              <w:ind w:left="300"/>
              <w:spacing w:after="0"/>
              <w:rPr>
                <w:sz w:val="20"/>
                <w:szCs w:val="20"/>
                <w:color w:val="auto"/>
              </w:rPr>
            </w:pPr>
            <w:r>
              <w:rPr>
                <w:rFonts w:ascii="Arial" w:cs="Arial" w:eastAsia="Arial" w:hAnsi="Arial"/>
                <w:sz w:val="20"/>
                <w:szCs w:val="20"/>
                <w:color w:val="auto"/>
                <w:w w:val="91"/>
              </w:rPr>
              <w:t>calendar year, then Licensee shall be responsible for paying WSU’s reasonable out-of-pocket expenses incurred with respect to</w:t>
            </w:r>
          </w:p>
        </w:tc>
      </w:tr>
      <w:tr>
        <w:trPr>
          <w:trHeight w:val="250"/>
        </w:trPr>
        <w:tc>
          <w:tcPr>
            <w:tcW w:w="540" w:type="dxa"/>
            <w:vAlign w:val="bottom"/>
          </w:tcPr>
          <w:p>
            <w:pPr>
              <w:spacing w:after="0"/>
              <w:rPr>
                <w:sz w:val="21"/>
                <w:szCs w:val="21"/>
                <w:color w:val="auto"/>
              </w:rPr>
            </w:pPr>
          </w:p>
        </w:tc>
        <w:tc>
          <w:tcPr>
            <w:tcW w:w="10700" w:type="dxa"/>
            <w:vAlign w:val="bottom"/>
          </w:tcPr>
          <w:p>
            <w:pPr>
              <w:ind w:left="300"/>
              <w:spacing w:after="0"/>
              <w:rPr>
                <w:sz w:val="20"/>
                <w:szCs w:val="20"/>
                <w:color w:val="auto"/>
              </w:rPr>
            </w:pPr>
            <w:r>
              <w:rPr>
                <w:rFonts w:ascii="Arial" w:cs="Arial" w:eastAsia="Arial" w:hAnsi="Arial"/>
                <w:sz w:val="20"/>
                <w:szCs w:val="20"/>
                <w:color w:val="auto"/>
              </w:rPr>
              <w:t>such review performed pursuant to Section 5.2.</w:t>
            </w:r>
          </w:p>
        </w:tc>
      </w:tr>
    </w:tbl>
    <w:p>
      <w:pPr>
        <w:spacing w:after="0" w:line="189" w:lineRule="exact"/>
        <w:rPr>
          <w:sz w:val="20"/>
          <w:szCs w:val="20"/>
          <w:color w:val="auto"/>
        </w:rPr>
      </w:pPr>
    </w:p>
    <w:p>
      <w:pPr>
        <w:spacing w:after="0"/>
        <w:tabs>
          <w:tab w:leader="none" w:pos="1400" w:val="left"/>
        </w:tabs>
        <w:rPr>
          <w:sz w:val="20"/>
          <w:szCs w:val="20"/>
          <w:color w:val="auto"/>
        </w:rPr>
      </w:pPr>
      <w:r>
        <w:rPr>
          <w:rFonts w:ascii="Arial" w:cs="Arial" w:eastAsia="Arial" w:hAnsi="Arial"/>
          <w:sz w:val="20"/>
          <w:szCs w:val="20"/>
          <w:b w:val="1"/>
          <w:bCs w:val="1"/>
          <w:color w:val="auto"/>
        </w:rPr>
        <w:t>Section 6</w:t>
      </w:r>
      <w:r>
        <w:rPr>
          <w:sz w:val="20"/>
          <w:szCs w:val="20"/>
          <w:color w:val="auto"/>
        </w:rPr>
        <w:tab/>
      </w:r>
      <w:r>
        <w:rPr>
          <w:rFonts w:ascii="Arial" w:cs="Arial" w:eastAsia="Arial" w:hAnsi="Arial"/>
          <w:sz w:val="16"/>
          <w:szCs w:val="16"/>
          <w:b w:val="1"/>
          <w:bCs w:val="1"/>
          <w:color w:val="auto"/>
        </w:rPr>
        <w:t>Patent Prosecution</w:t>
      </w:r>
      <w:r>
        <w:rPr>
          <w:rFonts w:ascii="Arial" w:cs="Arial" w:eastAsia="Arial" w:hAnsi="Arial"/>
          <w:sz w:val="16"/>
          <w:szCs w:val="16"/>
          <w:color w:val="auto"/>
        </w:rPr>
        <w:t>.</w:t>
      </w:r>
    </w:p>
    <w:p>
      <w:pPr>
        <w:spacing w:after="0" w:line="222"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6"/>
          <w:szCs w:val="16"/>
          <w:color w:val="auto"/>
        </w:rPr>
        <w:t>WSU shall diligently prepare, file, prosecute and maintain the Licensed Patents using outside</w:t>
      </w:r>
    </w:p>
    <w:p>
      <w:pPr>
        <w:spacing w:after="0" w:line="16" w:lineRule="exact"/>
        <w:rPr>
          <w:sz w:val="20"/>
          <w:szCs w:val="20"/>
          <w:color w:val="auto"/>
        </w:rPr>
      </w:pPr>
    </w:p>
    <w:p>
      <w:pPr>
        <w:jc w:val="both"/>
        <w:ind w:left="840"/>
        <w:spacing w:after="0" w:line="271" w:lineRule="auto"/>
        <w:rPr>
          <w:sz w:val="20"/>
          <w:szCs w:val="20"/>
          <w:color w:val="auto"/>
        </w:rPr>
      </w:pPr>
      <w:r>
        <w:rPr>
          <w:rFonts w:ascii="Arial" w:cs="Arial" w:eastAsia="Arial" w:hAnsi="Arial"/>
          <w:sz w:val="18"/>
          <w:szCs w:val="18"/>
          <w:color w:val="auto"/>
        </w:rPr>
        <w:t xml:space="preserve">patent counsel of its choice. </w:t>
      </w:r>
      <w:r>
        <w:rPr>
          <w:rFonts w:ascii="Arial" w:cs="Arial" w:eastAsia="Arial" w:hAnsi="Arial"/>
          <w:sz w:val="18"/>
          <w:szCs w:val="18"/>
          <w:color w:val="333333"/>
        </w:rPr>
        <w:t>[†]</w:t>
      </w:r>
      <w:r>
        <w:rPr>
          <w:rFonts w:ascii="Arial" w:cs="Arial" w:eastAsia="Arial" w:hAnsi="Arial"/>
          <w:sz w:val="18"/>
          <w:szCs w:val="18"/>
          <w:color w:val="auto"/>
        </w:rPr>
        <w:t>. WSU shall instruct its patent counsel to inform Licensee of the status of the preparation, filing, prosecution and maintenance of the Licensed Patents, including directly copying Licensee on all pertinent notices, written communications with government officials, summaries of oral communications with government officials, all documents sent to and received from patent offices in the Licensed Territory. WSU and its patent counsel shall consult with Licensee on the preparation, filing, prosecution and maintenance of the Licensed Patents. Licensee’s comments, suggestions and requests regarding Licensed Patent preparation, filing, prosecution and maintenance will be reasonably considered and included, unless detrimental to WSU’s rights in the Licensed Patents. Licensee agrees to keep such information described in this Section 6.1 confidential.</w:t>
      </w:r>
    </w:p>
    <w:p>
      <w:pPr>
        <w:spacing w:after="0" w:line="170" w:lineRule="exact"/>
        <w:rPr>
          <w:sz w:val="20"/>
          <w:szCs w:val="20"/>
          <w:color w:val="auto"/>
        </w:rPr>
      </w:pPr>
    </w:p>
    <w:p>
      <w:pPr>
        <w:jc w:val="both"/>
        <w:ind w:left="840" w:hanging="822"/>
        <w:spacing w:after="0" w:line="282" w:lineRule="auto"/>
        <w:tabs>
          <w:tab w:leader="none" w:pos="82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8"/>
          <w:szCs w:val="18"/>
          <w:color w:val="auto"/>
        </w:rPr>
        <w:t xml:space="preserve">Licensee shall be responsible for and pay all past and future costs and expenses reasonably incurred by WSU for the preparation, filing, prosecution, issuance, and maintenance of the Licensed Patents (“Patent Costs”). For any Patent Costs incurred by WSU on or after the date of execution of this Agreement (“Execution Date”), Licensee shall pay such Patent Costs within </w:t>
      </w:r>
      <w:r>
        <w:rPr>
          <w:rFonts w:ascii="Arial" w:cs="Arial" w:eastAsia="Arial" w:hAnsi="Arial"/>
          <w:sz w:val="18"/>
          <w:szCs w:val="18"/>
          <w:color w:val="333333"/>
        </w:rPr>
        <w:t>[†]</w:t>
      </w:r>
      <w:r>
        <w:rPr>
          <w:rFonts w:ascii="Arial" w:cs="Arial" w:eastAsia="Arial" w:hAnsi="Arial"/>
          <w:sz w:val="18"/>
          <w:szCs w:val="18"/>
          <w:color w:val="auto"/>
        </w:rPr>
        <w:t xml:space="preserve"> days of receipt of an invoice from WSU setting forth such Patent Costs (including the date each of such Patent Costs was incurred). </w:t>
      </w:r>
      <w:r>
        <w:rPr>
          <w:rFonts w:ascii="Arial" w:cs="Arial" w:eastAsia="Arial" w:hAnsi="Arial"/>
          <w:sz w:val="18"/>
          <w:szCs w:val="18"/>
          <w:color w:val="333333"/>
        </w:rPr>
        <w:t>[†]</w:t>
      </w:r>
      <w:r>
        <w:rPr>
          <w:rFonts w:ascii="Arial" w:cs="Arial" w:eastAsia="Arial" w:hAnsi="Arial"/>
          <w:sz w:val="18"/>
          <w:szCs w:val="18"/>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1"/>
          <w:szCs w:val="21"/>
          <w:color w:val="auto"/>
        </w:rPr>
        <w:t>12</w:t>
      </w:r>
      <w:r>
        <w:rPr>
          <w:rFonts w:ascii="Arial" w:cs="Arial" w:eastAsia="Arial" w:hAnsi="Arial"/>
          <w:sz w:val="20"/>
          <w:szCs w:val="20"/>
          <w:color w:val="auto"/>
        </w:rPr>
        <w:t xml:space="preserve"> of 27</w:t>
      </w:r>
    </w:p>
    <w:p>
      <w:pPr>
        <w:spacing w:after="0" w:line="221" w:lineRule="auto"/>
        <w:rPr>
          <w:sz w:val="20"/>
          <w:szCs w:val="20"/>
          <w:color w:val="auto"/>
        </w:rPr>
      </w:pPr>
      <w:r>
        <w:rPr>
          <w:rFonts w:ascii="Arial" w:cs="Arial" w:eastAsia="Arial" w:hAnsi="Arial"/>
          <w:sz w:val="15"/>
          <w:szCs w:val="15"/>
          <w:color w:val="auto"/>
        </w:rPr>
        <w:t xml:space="preserve">WSU AGR# </w:t>
      </w:r>
      <w:r>
        <w:rPr>
          <w:rFonts w:ascii="Arial" w:cs="Arial" w:eastAsia="Arial" w:hAnsi="Arial"/>
          <w:sz w:val="19"/>
          <w:szCs w:val="19"/>
          <w:color w:val="333333"/>
        </w:rPr>
        <w: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116252875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49465"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28" w:name="page329"/>
    <w:bookmarkEnd w:id="328"/>
    <w:p>
      <w:pPr>
        <w:jc w:val="both"/>
        <w:ind w:left="840"/>
        <w:spacing w:after="0" w:line="250" w:lineRule="auto"/>
        <w:rPr>
          <w:sz w:val="20"/>
          <w:szCs w:val="20"/>
          <w:color w:val="auto"/>
        </w:rPr>
      </w:pPr>
      <w:r>
        <w:rPr>
          <w:rFonts w:ascii="Arial" w:cs="Arial" w:eastAsia="Arial" w:hAnsi="Arial"/>
          <w:sz w:val="20"/>
          <w:szCs w:val="20"/>
          <w:color w:val="auto"/>
        </w:rPr>
        <w:t xml:space="preserve">It shall be the responsibility of Licensee to keep WSU fully apprised of the “small entity” status of Licensee with respect to the U.S. patent laws and with respect to the patent laws of any other countries, if applicable, and to inform WSU of any changes in such status, within </w:t>
      </w:r>
      <w:r>
        <w:rPr>
          <w:rFonts w:ascii="Arial" w:cs="Arial" w:eastAsia="Arial" w:hAnsi="Arial"/>
          <w:sz w:val="20"/>
          <w:szCs w:val="20"/>
          <w:color w:val="333333"/>
        </w:rPr>
        <w:t>[†]</w:t>
      </w:r>
      <w:r>
        <w:rPr>
          <w:rFonts w:ascii="Arial" w:cs="Arial" w:eastAsia="Arial" w:hAnsi="Arial"/>
          <w:sz w:val="20"/>
          <w:szCs w:val="20"/>
          <w:color w:val="auto"/>
        </w:rPr>
        <w:t xml:space="preserve"> days of any such change.</w:t>
      </w:r>
    </w:p>
    <w:p>
      <w:pPr>
        <w:spacing w:after="0" w:line="180" w:lineRule="exact"/>
        <w:rPr>
          <w:sz w:val="20"/>
          <w:szCs w:val="20"/>
          <w:color w:val="auto"/>
        </w:rPr>
      </w:pPr>
    </w:p>
    <w:p>
      <w:pPr>
        <w:spacing w:after="0"/>
        <w:tabs>
          <w:tab w:leader="none" w:pos="1400" w:val="left"/>
        </w:tabs>
        <w:rPr>
          <w:sz w:val="20"/>
          <w:szCs w:val="20"/>
          <w:color w:val="auto"/>
        </w:rPr>
      </w:pPr>
      <w:r>
        <w:rPr>
          <w:rFonts w:ascii="Arial" w:cs="Arial" w:eastAsia="Arial" w:hAnsi="Arial"/>
          <w:sz w:val="20"/>
          <w:szCs w:val="20"/>
          <w:b w:val="1"/>
          <w:bCs w:val="1"/>
          <w:color w:val="auto"/>
        </w:rPr>
        <w:t>Section 7</w:t>
      </w:r>
      <w:r>
        <w:rPr>
          <w:sz w:val="20"/>
          <w:szCs w:val="20"/>
          <w:color w:val="auto"/>
        </w:rPr>
        <w:tab/>
      </w:r>
      <w:r>
        <w:rPr>
          <w:rFonts w:ascii="Arial" w:cs="Arial" w:eastAsia="Arial" w:hAnsi="Arial"/>
          <w:sz w:val="18"/>
          <w:szCs w:val="18"/>
          <w:b w:val="1"/>
          <w:bCs w:val="1"/>
          <w:color w:val="auto"/>
        </w:rPr>
        <w:t>Term and Termination.</w:t>
      </w:r>
    </w:p>
    <w:p>
      <w:pPr>
        <w:spacing w:after="0" w:line="222" w:lineRule="exact"/>
        <w:rPr>
          <w:sz w:val="20"/>
          <w:szCs w:val="20"/>
          <w:color w:val="auto"/>
        </w:rPr>
      </w:pPr>
    </w:p>
    <w:p>
      <w:pPr>
        <w:jc w:val="both"/>
        <w:ind w:left="840" w:hanging="822"/>
        <w:spacing w:after="0" w:line="250" w:lineRule="auto"/>
        <w:tabs>
          <w:tab w:leader="none" w:pos="82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20"/>
          <w:szCs w:val="20"/>
          <w:color w:val="auto"/>
        </w:rPr>
        <w:t>The term of this Agreement shall begin on the Effective Date and continue until the earlier of the date that (a) no Valid Claim in a Licensed Patent remains enforceable or (b) the payment of earned royalties under Section 3.3, once begun, ceases for more than four (4) consecutive calendar quarters.</w:t>
      </w:r>
    </w:p>
    <w:p>
      <w:pPr>
        <w:spacing w:after="0" w:line="186" w:lineRule="exact"/>
        <w:rPr>
          <w:sz w:val="20"/>
          <w:szCs w:val="20"/>
          <w:color w:val="auto"/>
        </w:rPr>
      </w:pPr>
    </w:p>
    <w:p>
      <w:pPr>
        <w:ind w:left="1660" w:right="20" w:hanging="823"/>
        <w:spacing w:after="0" w:line="260" w:lineRule="auto"/>
        <w:tabs>
          <w:tab w:leader="none" w:pos="1640" w:val="left"/>
        </w:tabs>
        <w:rPr>
          <w:sz w:val="20"/>
          <w:szCs w:val="20"/>
          <w:color w:val="auto"/>
        </w:rPr>
      </w:pPr>
      <w:r>
        <w:rPr>
          <w:rFonts w:ascii="Arial" w:cs="Arial" w:eastAsia="Arial" w:hAnsi="Arial"/>
          <w:sz w:val="20"/>
          <w:szCs w:val="20"/>
          <w:color w:val="auto"/>
        </w:rPr>
        <w:t>7.1.1</w:t>
      </w:r>
      <w:r>
        <w:rPr>
          <w:sz w:val="20"/>
          <w:szCs w:val="20"/>
          <w:color w:val="auto"/>
        </w:rPr>
        <w:tab/>
      </w:r>
      <w:r>
        <w:rPr>
          <w:rFonts w:ascii="Arial" w:cs="Arial" w:eastAsia="Arial" w:hAnsi="Arial"/>
          <w:sz w:val="20"/>
          <w:szCs w:val="20"/>
          <w:color w:val="auto"/>
        </w:rPr>
        <w:t>The period from the effective date of the Original License Agreement until the Effective Date of this Agreement shall be governed by the terms and conditions of the Original License Agreement.</w:t>
      </w:r>
    </w:p>
    <w:p>
      <w:pPr>
        <w:spacing w:after="0" w:line="177"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7.1.2</w:t>
      </w:r>
      <w:r>
        <w:rPr>
          <w:sz w:val="20"/>
          <w:szCs w:val="20"/>
          <w:color w:val="auto"/>
        </w:rPr>
        <w:tab/>
      </w:r>
      <w:r>
        <w:rPr>
          <w:rFonts w:ascii="Arial" w:cs="Arial" w:eastAsia="Arial" w:hAnsi="Arial"/>
          <w:sz w:val="18"/>
          <w:szCs w:val="18"/>
          <w:color w:val="auto"/>
        </w:rPr>
        <w:t xml:space="preserve">Notwithstanding anything to the contrary in this Agreement or in the Original License Agreement, WSU (a) </w:t>
      </w:r>
      <w:r>
        <w:rPr>
          <w:rFonts w:ascii="Arial" w:cs="Arial" w:eastAsia="Arial" w:hAnsi="Arial"/>
          <w:sz w:val="18"/>
          <w:szCs w:val="18"/>
          <w:color w:val="333333"/>
        </w:rPr>
        <w:t>[†].</w:t>
      </w:r>
    </w:p>
    <w:p>
      <w:pPr>
        <w:spacing w:after="0" w:line="216" w:lineRule="exact"/>
        <w:rPr>
          <w:sz w:val="20"/>
          <w:szCs w:val="20"/>
          <w:color w:val="auto"/>
        </w:rPr>
      </w:pPr>
    </w:p>
    <w:p>
      <w:pPr>
        <w:jc w:val="both"/>
        <w:ind w:left="840" w:hanging="822"/>
        <w:spacing w:after="0" w:line="316" w:lineRule="auto"/>
        <w:tabs>
          <w:tab w:leader="none" w:pos="82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8"/>
          <w:szCs w:val="18"/>
          <w:color w:val="auto"/>
        </w:rPr>
        <w:t>Licensee may terminate this Agreement at any time by giving at least ninety (90) days prior written and unambiguous notice of such termination to WSU. As a courtesy, such a notice shall be accompanied by a statement of the reasons for termination.</w:t>
      </w:r>
    </w:p>
    <w:p>
      <w:pPr>
        <w:spacing w:after="0" w:line="130" w:lineRule="exact"/>
        <w:rPr>
          <w:sz w:val="20"/>
          <w:szCs w:val="20"/>
          <w:color w:val="auto"/>
        </w:rPr>
      </w:pPr>
    </w:p>
    <w:p>
      <w:pPr>
        <w:jc w:val="both"/>
        <w:ind w:left="840" w:hanging="822"/>
        <w:spacing w:after="0" w:line="291" w:lineRule="auto"/>
        <w:tabs>
          <w:tab w:leader="none" w:pos="82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8"/>
          <w:szCs w:val="18"/>
          <w:color w:val="auto"/>
        </w:rPr>
        <w:t>WSU may terminate this Agreement by giving Licensee at least ninety (90) days prior written notice if any of the performance milestones set forth in Section 3.1.2 are not achieved by the applicable date set forth in Section 3.1.2, unless such date is extended by Written mutual agreement of the Parties, which agreement shall not be unreasonably withheld by either Party.</w:t>
      </w:r>
    </w:p>
    <w:p>
      <w:pPr>
        <w:spacing w:after="0" w:line="152" w:lineRule="exact"/>
        <w:rPr>
          <w:sz w:val="20"/>
          <w:szCs w:val="20"/>
          <w:color w:val="auto"/>
        </w:rPr>
      </w:pPr>
    </w:p>
    <w:p>
      <w:pPr>
        <w:jc w:val="both"/>
        <w:ind w:left="840" w:hanging="822"/>
        <w:spacing w:after="0" w:line="259" w:lineRule="auto"/>
        <w:tabs>
          <w:tab w:leader="none" w:pos="82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9"/>
          <w:szCs w:val="19"/>
          <w:color w:val="auto"/>
        </w:rPr>
        <w:t>If Licensee at any time defaults in the timely payment of any monies due to WSU or the timely submission to WSU of any Development Report, fails to conduct any activities pursuant to the Development Plan for two consecutive calendar quarters, or commits any material breach of this Agreement, and Licensee fails to remedy any such breach or default within ninety (90) days (or thirty (30) days in the case of failure to make a timely payment of monies) after Licensee’s receipt of WSU’s written notice thereof, WSU may, at its option, terminate this Agreement by giving ninety (90) days (or thirty (30) days in the case of failure to make a timely payment of monies) written notice of termination to Licensee.</w:t>
      </w:r>
    </w:p>
    <w:p>
      <w:pPr>
        <w:spacing w:after="0" w:line="178" w:lineRule="exact"/>
        <w:rPr>
          <w:sz w:val="20"/>
          <w:szCs w:val="20"/>
          <w:color w:val="auto"/>
        </w:rPr>
      </w:pPr>
    </w:p>
    <w:p>
      <w:pPr>
        <w:jc w:val="both"/>
        <w:ind w:left="840" w:hanging="822"/>
        <w:spacing w:after="0" w:line="260" w:lineRule="auto"/>
        <w:tabs>
          <w:tab w:leader="none" w:pos="82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20"/>
          <w:szCs w:val="20"/>
          <w:color w:val="auto"/>
        </w:rPr>
        <w:t>Upon the termination of this Agreement, Licensee shall remain obligated to provide an accounting for and to pay royalties earned up to the date of the termination.</w:t>
      </w:r>
    </w:p>
    <w:p>
      <w:pPr>
        <w:spacing w:after="0" w:line="177" w:lineRule="exact"/>
        <w:rPr>
          <w:sz w:val="20"/>
          <w:szCs w:val="20"/>
          <w:color w:val="auto"/>
        </w:rPr>
      </w:pPr>
    </w:p>
    <w:p>
      <w:pPr>
        <w:jc w:val="both"/>
        <w:ind w:left="840" w:hanging="822"/>
        <w:spacing w:after="0" w:line="276" w:lineRule="auto"/>
        <w:tabs>
          <w:tab w:leader="none" w:pos="820"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18"/>
          <w:szCs w:val="18"/>
          <w:color w:val="auto"/>
        </w:rPr>
        <w:t xml:space="preserve">At any time within </w:t>
      </w:r>
      <w:r>
        <w:rPr>
          <w:rFonts w:ascii="Arial" w:cs="Arial" w:eastAsia="Arial" w:hAnsi="Arial"/>
          <w:sz w:val="18"/>
          <w:szCs w:val="18"/>
          <w:color w:val="333333"/>
        </w:rPr>
        <w:t>[ † ]</w:t>
      </w:r>
      <w:r>
        <w:rPr>
          <w:rFonts w:ascii="Arial" w:cs="Arial" w:eastAsia="Arial" w:hAnsi="Arial"/>
          <w:sz w:val="18"/>
          <w:szCs w:val="18"/>
          <w:color w:val="auto"/>
        </w:rPr>
        <w:t xml:space="preserve"> following termination of this Agreement, if a Sublicensee is in good standing under its Sublicense, such Sublicensee may notify WSU that it wishes to enter into a direct license agreement with WSU (with the same effective date as the date of termination of this Agreement) in order to retain its continuous rights and licenses granted to it under its Sublicense. Following receipt of such notice, WSU and such Sublicensee shall enter into a license agreement the terms of which shall be substantially similar to the terms of this Agreement; and the scope of such direct license, the licensed territory and the duration of the license grant shall be comparable to the corresponding terms granted by Licensee to such Sublicensee. </w:t>
      </w:r>
      <w:r>
        <w:rPr>
          <w:rFonts w:ascii="Arial" w:cs="Arial" w:eastAsia="Arial" w:hAnsi="Arial"/>
          <w:sz w:val="18"/>
          <w:szCs w:val="18"/>
          <w:color w:val="333333"/>
        </w:rPr>
        <w: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1"/>
          <w:szCs w:val="21"/>
          <w:color w:val="auto"/>
        </w:rPr>
        <w:t>13</w:t>
      </w:r>
      <w:r>
        <w:rPr>
          <w:rFonts w:ascii="Arial" w:cs="Arial" w:eastAsia="Arial" w:hAnsi="Arial"/>
          <w:sz w:val="20"/>
          <w:szCs w:val="20"/>
          <w:color w:val="auto"/>
        </w:rPr>
        <w:t xml:space="preserve"> of 27</w:t>
      </w:r>
    </w:p>
    <w:p>
      <w:pPr>
        <w:spacing w:after="0" w:line="221" w:lineRule="auto"/>
        <w:rPr>
          <w:sz w:val="20"/>
          <w:szCs w:val="20"/>
          <w:color w:val="auto"/>
        </w:rPr>
      </w:pPr>
      <w:r>
        <w:rPr>
          <w:rFonts w:ascii="Arial" w:cs="Arial" w:eastAsia="Arial" w:hAnsi="Arial"/>
          <w:sz w:val="15"/>
          <w:szCs w:val="15"/>
          <w:color w:val="auto"/>
        </w:rPr>
        <w:t xml:space="preserve">WSU AGR# </w:t>
      </w:r>
      <w:r>
        <w:rPr>
          <w:rFonts w:ascii="Arial" w:cs="Arial" w:eastAsia="Arial" w:hAnsi="Arial"/>
          <w:sz w:val="19"/>
          <w:szCs w:val="19"/>
          <w:color w:val="333333"/>
        </w:rPr>
        <w: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116252875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49465"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29" w:name="page330"/>
    <w:bookmarkEnd w:id="329"/>
    <w:p>
      <w:pPr>
        <w:jc w:val="both"/>
        <w:ind w:left="840" w:hanging="822"/>
        <w:spacing w:after="0" w:line="250" w:lineRule="auto"/>
        <w:tabs>
          <w:tab w:leader="none" w:pos="820" w:val="left"/>
        </w:tabs>
        <w:rPr>
          <w:sz w:val="20"/>
          <w:szCs w:val="20"/>
          <w:color w:val="auto"/>
        </w:rPr>
      </w:pPr>
      <w:r>
        <w:rPr>
          <w:rFonts w:ascii="Arial" w:cs="Arial" w:eastAsia="Arial" w:hAnsi="Arial"/>
          <w:sz w:val="20"/>
          <w:szCs w:val="20"/>
          <w:color w:val="auto"/>
        </w:rPr>
        <w:t>7.7</w:t>
      </w:r>
      <w:r>
        <w:rPr>
          <w:sz w:val="20"/>
          <w:szCs w:val="20"/>
          <w:color w:val="auto"/>
        </w:rPr>
        <w:tab/>
      </w:r>
      <w:r>
        <w:rPr>
          <w:rFonts w:ascii="Arial" w:cs="Arial" w:eastAsia="Arial" w:hAnsi="Arial"/>
          <w:sz w:val="20"/>
          <w:szCs w:val="20"/>
          <w:color w:val="auto"/>
        </w:rPr>
        <w:t>Upon the termination of this Agreement, but excluding expiration of this Agreement, Licensee agrees to promptly return to WSU all Licensed Biological Materials, or to destroy all such Licensed Biological Materials and to deliver a notarized document certifying that all such Licensed Biological Materials have been destroyed.</w:t>
      </w:r>
    </w:p>
    <w:p>
      <w:pPr>
        <w:spacing w:after="0" w:line="186" w:lineRule="exact"/>
        <w:rPr>
          <w:sz w:val="20"/>
          <w:szCs w:val="20"/>
          <w:color w:val="auto"/>
        </w:rPr>
      </w:pPr>
    </w:p>
    <w:p>
      <w:pPr>
        <w:jc w:val="both"/>
        <w:ind w:left="840" w:hanging="822"/>
        <w:spacing w:after="0" w:line="328" w:lineRule="auto"/>
        <w:tabs>
          <w:tab w:leader="none" w:pos="820" w:val="left"/>
        </w:tabs>
        <w:rPr>
          <w:sz w:val="20"/>
          <w:szCs w:val="20"/>
          <w:color w:val="auto"/>
        </w:rPr>
      </w:pPr>
      <w:r>
        <w:rPr>
          <w:rFonts w:ascii="Arial" w:cs="Arial" w:eastAsia="Arial" w:hAnsi="Arial"/>
          <w:sz w:val="20"/>
          <w:szCs w:val="20"/>
          <w:color w:val="auto"/>
        </w:rPr>
        <w:t>7.8</w:t>
      </w:r>
      <w:r>
        <w:rPr>
          <w:sz w:val="20"/>
          <w:szCs w:val="20"/>
          <w:color w:val="auto"/>
        </w:rPr>
        <w:tab/>
      </w:r>
      <w:r>
        <w:rPr>
          <w:rFonts w:ascii="Arial" w:cs="Arial" w:eastAsia="Arial" w:hAnsi="Arial"/>
          <w:sz w:val="16"/>
          <w:szCs w:val="16"/>
          <w:color w:val="auto"/>
        </w:rPr>
        <w:t>Termination of this Agreement shall not relieve Licensee of any obligation to pay WSU any amounts owing under Section 3 nor of any obligation with respect to the confidential information or materials covered by this Agreement. Sections 1 Definitions, 4. Certain Warranties of WSU, 5. Record Keeping, 7.5, 7.6, this 7.7 under Termination, 10. Product Liability and Conduct of Business, 11. Use of Names, 12. Miscellaneous, 13. Notices, and 15. United States Government Interests shall survive termination.</w:t>
      </w:r>
    </w:p>
    <w:p>
      <w:pPr>
        <w:spacing w:after="0" w:line="122" w:lineRule="exact"/>
        <w:rPr>
          <w:sz w:val="20"/>
          <w:szCs w:val="20"/>
          <w:color w:val="auto"/>
        </w:rPr>
      </w:pPr>
    </w:p>
    <w:p>
      <w:pPr>
        <w:spacing w:after="0"/>
        <w:tabs>
          <w:tab w:leader="none" w:pos="1400" w:val="left"/>
        </w:tabs>
        <w:rPr>
          <w:sz w:val="20"/>
          <w:szCs w:val="20"/>
          <w:color w:val="auto"/>
        </w:rPr>
      </w:pPr>
      <w:r>
        <w:rPr>
          <w:rFonts w:ascii="Arial" w:cs="Arial" w:eastAsia="Arial" w:hAnsi="Arial"/>
          <w:sz w:val="20"/>
          <w:szCs w:val="20"/>
          <w:b w:val="1"/>
          <w:bCs w:val="1"/>
          <w:color w:val="auto"/>
        </w:rPr>
        <w:t>Section 8</w:t>
      </w:r>
      <w:r>
        <w:rPr>
          <w:sz w:val="20"/>
          <w:szCs w:val="20"/>
          <w:color w:val="auto"/>
        </w:rPr>
        <w:tab/>
      </w:r>
      <w:r>
        <w:rPr>
          <w:rFonts w:ascii="Arial" w:cs="Arial" w:eastAsia="Arial" w:hAnsi="Arial"/>
          <w:sz w:val="16"/>
          <w:szCs w:val="16"/>
          <w:b w:val="1"/>
          <w:bCs w:val="1"/>
          <w:color w:val="auto"/>
        </w:rPr>
        <w:t>Assignability</w:t>
      </w:r>
      <w:r>
        <w:rPr>
          <w:rFonts w:ascii="Arial" w:cs="Arial" w:eastAsia="Arial" w:hAnsi="Arial"/>
          <w:sz w:val="16"/>
          <w:szCs w:val="16"/>
          <w:color w:val="auto"/>
        </w:rPr>
        <w:t>.</w:t>
      </w:r>
    </w:p>
    <w:p>
      <w:pPr>
        <w:spacing w:after="0" w:line="222" w:lineRule="exact"/>
        <w:rPr>
          <w:sz w:val="20"/>
          <w:szCs w:val="20"/>
          <w:color w:val="auto"/>
        </w:rPr>
      </w:pPr>
    </w:p>
    <w:p>
      <w:pPr>
        <w:jc w:val="both"/>
        <w:ind w:left="840" w:hanging="822"/>
        <w:spacing w:after="0" w:line="256" w:lineRule="auto"/>
        <w:tabs>
          <w:tab w:leader="none" w:pos="82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9"/>
          <w:szCs w:val="19"/>
          <w:color w:val="auto"/>
        </w:rPr>
        <w:t xml:space="preserve">Neither this Agreement, nor the Licensed Patents, may be transferred, assigned or pledged by Licensee, nor shall Licensee grant any security interest in this Agreement or the Licensed Patents, except with the prior written consent of WSU. Notwithstanding the foregoing, without WSU’s consent Licensee may assign this Agreement to any of its Affiliates, to a successor of Licensee’s business to which this Agreement pertains, to a purchaser of all or substantially all of Licensee’s assets; or incident to an acquisition, merger, sale of Licensee or the like at any time during the term of this Agreement. WSU will be notified of any such permitted assignment by Licensee and a copy of such assignment shall be delivered to WSU within </w:t>
      </w:r>
      <w:r>
        <w:rPr>
          <w:rFonts w:ascii="Arial" w:cs="Arial" w:eastAsia="Arial" w:hAnsi="Arial"/>
          <w:sz w:val="19"/>
          <w:szCs w:val="19"/>
          <w:color w:val="333333"/>
        </w:rPr>
        <w:t>[†]</w:t>
      </w:r>
      <w:r>
        <w:rPr>
          <w:rFonts w:ascii="Arial" w:cs="Arial" w:eastAsia="Arial" w:hAnsi="Arial"/>
          <w:sz w:val="19"/>
          <w:szCs w:val="19"/>
          <w:color w:val="auto"/>
        </w:rPr>
        <w:t xml:space="preserve"> days of the execution of the same. It is agreed that Licensee will ensure that upon a sale or merger of Licensee, the successor entity (for example, the new owner or majority owner) agrees in writing to be bound by the terms and conditions of this Agreement (including the obligations of Licensee hereunder).</w:t>
      </w:r>
    </w:p>
    <w:p>
      <w:pPr>
        <w:spacing w:after="0" w:line="178" w:lineRule="exact"/>
        <w:rPr>
          <w:sz w:val="20"/>
          <w:szCs w:val="20"/>
          <w:color w:val="auto"/>
        </w:rPr>
      </w:pPr>
    </w:p>
    <w:p>
      <w:pPr>
        <w:spacing w:after="0"/>
        <w:tabs>
          <w:tab w:leader="none" w:pos="1400" w:val="left"/>
        </w:tabs>
        <w:rPr>
          <w:sz w:val="20"/>
          <w:szCs w:val="20"/>
          <w:color w:val="auto"/>
        </w:rPr>
      </w:pPr>
      <w:r>
        <w:rPr>
          <w:rFonts w:ascii="Arial" w:cs="Arial" w:eastAsia="Arial" w:hAnsi="Arial"/>
          <w:sz w:val="20"/>
          <w:szCs w:val="20"/>
          <w:b w:val="1"/>
          <w:bCs w:val="1"/>
          <w:color w:val="auto"/>
        </w:rPr>
        <w:t>Section 9</w:t>
      </w:r>
      <w:r>
        <w:rPr>
          <w:sz w:val="20"/>
          <w:szCs w:val="20"/>
          <w:color w:val="auto"/>
        </w:rPr>
        <w:tab/>
      </w:r>
      <w:r>
        <w:rPr>
          <w:rFonts w:ascii="Arial" w:cs="Arial" w:eastAsia="Arial" w:hAnsi="Arial"/>
          <w:sz w:val="16"/>
          <w:szCs w:val="16"/>
          <w:b w:val="1"/>
          <w:bCs w:val="1"/>
          <w:color w:val="auto"/>
        </w:rPr>
        <w:t>Enforcement.</w:t>
      </w:r>
    </w:p>
    <w:p>
      <w:pPr>
        <w:spacing w:after="0" w:line="222" w:lineRule="exact"/>
        <w:rPr>
          <w:sz w:val="20"/>
          <w:szCs w:val="20"/>
          <w:color w:val="auto"/>
        </w:rPr>
      </w:pPr>
    </w:p>
    <w:p>
      <w:pPr>
        <w:jc w:val="both"/>
        <w:ind w:left="840" w:hanging="822"/>
        <w:spacing w:after="0" w:line="274" w:lineRule="auto"/>
        <w:tabs>
          <w:tab w:leader="none" w:pos="82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8"/>
          <w:szCs w:val="18"/>
          <w:color w:val="auto"/>
        </w:rPr>
        <w:t xml:space="preserve">WSU intends to assert Licensed Patents against infringers or otherwise act to eliminate third-party infringement of Licensed Patents when, in WSU’s sole judgment after consultation with Licensee, such action is reasonably necessary, proper, and justified (including, for example, to protect the value of the licenses granted to Licensee hereunder). In the event that Licensee believes there is infringement of any Licensed Patent under this Agreement, Licensee shall provide WSU with notification and reasonable evidence of such infringement. Should WSU in its sole judgment elect not to assert, or should WSU fail to assert, infringement of Licensed Patents per Licensee’s evidence then, </w:t>
      </w:r>
      <w:r>
        <w:rPr>
          <w:rFonts w:ascii="Arial" w:cs="Arial" w:eastAsia="Arial" w:hAnsi="Arial"/>
          <w:sz w:val="18"/>
          <w:szCs w:val="18"/>
          <w:color w:val="333333"/>
        </w:rPr>
        <w:t>[†]</w:t>
      </w:r>
      <w:r>
        <w:rPr>
          <w:rFonts w:ascii="Arial" w:cs="Arial" w:eastAsia="Arial" w:hAnsi="Arial"/>
          <w:sz w:val="18"/>
          <w:szCs w:val="18"/>
          <w:color w:val="auto"/>
        </w:rPr>
        <w:t xml:space="preserve"> days after notifying WSU of such infringement (or before any deadline for making such assertion passes, if earlier), Licensee may take independent action without WSU’s consent.</w:t>
      </w:r>
    </w:p>
    <w:p>
      <w:pPr>
        <w:spacing w:after="0" w:line="168" w:lineRule="exact"/>
        <w:rPr>
          <w:sz w:val="20"/>
          <w:szCs w:val="20"/>
          <w:color w:val="auto"/>
        </w:rPr>
      </w:pPr>
    </w:p>
    <w:p>
      <w:pPr>
        <w:jc w:val="both"/>
        <w:ind w:left="840" w:hanging="822"/>
        <w:spacing w:after="0" w:line="246" w:lineRule="auto"/>
        <w:tabs>
          <w:tab w:leader="none" w:pos="82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20"/>
          <w:szCs w:val="20"/>
          <w:color w:val="auto"/>
        </w:rPr>
        <w:t>The Parties agree to cooperate in the conduct or defense of any claim or suit challenging any intellectual property rights which may arise in connection with this Agreement. Except as set forth in Section 4.1 above, WSU makes no warranty, express or implied, regarding any invention, writing or tangible rendition of research results, including but not limited to any implied warranties of merchantability or fitness for a particular purpose.</w:t>
      </w:r>
    </w:p>
    <w:p>
      <w:pPr>
        <w:spacing w:after="0" w:line="185" w:lineRule="exact"/>
        <w:rPr>
          <w:sz w:val="20"/>
          <w:szCs w:val="20"/>
          <w:color w:val="auto"/>
        </w:rPr>
      </w:pPr>
    </w:p>
    <w:p>
      <w:pPr>
        <w:spacing w:after="0"/>
        <w:tabs>
          <w:tab w:leader="none" w:pos="1500" w:val="left"/>
        </w:tabs>
        <w:rPr>
          <w:sz w:val="20"/>
          <w:szCs w:val="20"/>
          <w:color w:val="auto"/>
        </w:rPr>
      </w:pPr>
      <w:r>
        <w:rPr>
          <w:rFonts w:ascii="Arial" w:cs="Arial" w:eastAsia="Arial" w:hAnsi="Arial"/>
          <w:sz w:val="20"/>
          <w:szCs w:val="20"/>
          <w:b w:val="1"/>
          <w:bCs w:val="1"/>
          <w:color w:val="auto"/>
        </w:rPr>
        <w:t>Section 10</w:t>
      </w:r>
      <w:r>
        <w:rPr>
          <w:sz w:val="20"/>
          <w:szCs w:val="20"/>
          <w:color w:val="auto"/>
        </w:rPr>
        <w:tab/>
      </w:r>
      <w:r>
        <w:rPr>
          <w:rFonts w:ascii="Arial" w:cs="Arial" w:eastAsia="Arial" w:hAnsi="Arial"/>
          <w:sz w:val="16"/>
          <w:szCs w:val="16"/>
          <w:b w:val="1"/>
          <w:bCs w:val="1"/>
          <w:u w:val="single" w:color="auto"/>
          <w:color w:val="auto"/>
        </w:rPr>
        <w:t>Product Liability: Conduct of Business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left="840" w:hanging="822"/>
        <w:spacing w:after="0" w:line="246" w:lineRule="auto"/>
        <w:tabs>
          <w:tab w:leader="none" w:pos="82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20"/>
          <w:szCs w:val="20"/>
          <w:color w:val="auto"/>
        </w:rPr>
        <w:t>Licensee, on behalf of itself and its Affiliates and its Sublicensee(s) shall, at all times during the term of this Agreement and thereafter, indemnify, defend and hold WSU and its employees, and the inventors of the Licensed Patents harmless against all third-party claims and expenses, including legal expenses and reasonable attorneys fees, arising out of the death of or injury to any person or persons or out 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1"/>
          <w:szCs w:val="21"/>
          <w:color w:val="auto"/>
        </w:rPr>
        <w:t>14 of 27</w:t>
      </w:r>
    </w:p>
    <w:p>
      <w:pPr>
        <w:spacing w:after="0" w:line="221" w:lineRule="auto"/>
        <w:rPr>
          <w:sz w:val="20"/>
          <w:szCs w:val="20"/>
          <w:color w:val="auto"/>
        </w:rPr>
      </w:pPr>
      <w:r>
        <w:rPr>
          <w:rFonts w:ascii="Arial" w:cs="Arial" w:eastAsia="Arial" w:hAnsi="Arial"/>
          <w:sz w:val="15"/>
          <w:szCs w:val="15"/>
          <w:color w:val="auto"/>
        </w:rPr>
        <w:t xml:space="preserve">WSU AGR# </w:t>
      </w:r>
      <w:r>
        <w:rPr>
          <w:rFonts w:ascii="Arial" w:cs="Arial" w:eastAsia="Arial" w:hAnsi="Arial"/>
          <w:sz w:val="19"/>
          <w:szCs w:val="19"/>
          <w:color w:val="333333"/>
        </w:rPr>
        <w: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116252875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49465"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30" w:name="page331"/>
    <w:bookmarkEnd w:id="330"/>
    <w:p>
      <w:pPr>
        <w:jc w:val="both"/>
        <w:ind w:left="840"/>
        <w:spacing w:after="0" w:line="246" w:lineRule="auto"/>
        <w:rPr>
          <w:sz w:val="20"/>
          <w:szCs w:val="20"/>
          <w:color w:val="auto"/>
        </w:rPr>
      </w:pPr>
      <w:r>
        <w:rPr>
          <w:rFonts w:ascii="Arial" w:cs="Arial" w:eastAsia="Arial" w:hAnsi="Arial"/>
          <w:sz w:val="20"/>
          <w:szCs w:val="20"/>
          <w:color w:val="auto"/>
        </w:rPr>
        <w:t>any damage to property and against any other third-party claim, proceeding, demand, expense and liability of any kind whatsoever, including patent infringement claims, resulting from the production, manufacture, sale, use, lease, consumption or advertisement of Licensed Products. Notwithstanding the above, WSU at all times reserves the right to retain counsel of its own, at its own expense, to defend WSU’s and the inventor’s interests.</w:t>
      </w:r>
    </w:p>
    <w:p>
      <w:pPr>
        <w:spacing w:after="0" w:line="191" w:lineRule="exact"/>
        <w:rPr>
          <w:sz w:val="20"/>
          <w:szCs w:val="20"/>
          <w:color w:val="auto"/>
        </w:rPr>
      </w:pPr>
    </w:p>
    <w:p>
      <w:pPr>
        <w:jc w:val="both"/>
        <w:ind w:left="840" w:hanging="822"/>
        <w:spacing w:after="0" w:line="282" w:lineRule="auto"/>
        <w:tabs>
          <w:tab w:leader="none" w:pos="82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color w:val="auto"/>
        </w:rPr>
        <w:t xml:space="preserve">Licensee warrants that it now maintains and will continue to maintain general commercial liability insurance coverage appropriate to the risk involved in marketing the Licensed Products subject to this Agreement. Within </w:t>
      </w:r>
      <w:r>
        <w:rPr>
          <w:rFonts w:ascii="Arial" w:cs="Arial" w:eastAsia="Arial" w:hAnsi="Arial"/>
          <w:sz w:val="18"/>
          <w:szCs w:val="18"/>
          <w:color w:val="333333"/>
        </w:rPr>
        <w:t>[†]</w:t>
      </w:r>
      <w:r>
        <w:rPr>
          <w:rFonts w:ascii="Arial" w:cs="Arial" w:eastAsia="Arial" w:hAnsi="Arial"/>
          <w:sz w:val="18"/>
          <w:szCs w:val="18"/>
          <w:color w:val="auto"/>
        </w:rPr>
        <w:t xml:space="preserve"> days after the execution of this Agreement </w:t>
      </w:r>
      <w:r>
        <w:rPr>
          <w:rFonts w:ascii="Arial" w:cs="Arial" w:eastAsia="Arial" w:hAnsi="Arial"/>
          <w:sz w:val="18"/>
          <w:szCs w:val="18"/>
          <w:color w:val="333333"/>
        </w:rPr>
        <w:t>[†]</w:t>
      </w:r>
      <w:r>
        <w:rPr>
          <w:rFonts w:ascii="Arial" w:cs="Arial" w:eastAsia="Arial" w:hAnsi="Arial"/>
          <w:sz w:val="18"/>
          <w:szCs w:val="18"/>
          <w:color w:val="auto"/>
        </w:rPr>
        <w:t xml:space="preserve"> Licensee will present evidence to WSU that such insurance coverage is being maintained by Licensee. In addition, Licensee shall provide WSU with at least </w:t>
      </w:r>
      <w:r>
        <w:rPr>
          <w:rFonts w:ascii="Arial" w:cs="Arial" w:eastAsia="Arial" w:hAnsi="Arial"/>
          <w:sz w:val="18"/>
          <w:szCs w:val="18"/>
          <w:color w:val="333333"/>
        </w:rPr>
        <w:t>[†]</w:t>
      </w:r>
      <w:r>
        <w:rPr>
          <w:rFonts w:ascii="Arial" w:cs="Arial" w:eastAsia="Arial" w:hAnsi="Arial"/>
          <w:sz w:val="18"/>
          <w:szCs w:val="18"/>
          <w:color w:val="auto"/>
        </w:rPr>
        <w:t xml:space="preserve"> days prior written notice of any change in or cancellation of such insurance coverage.</w:t>
      </w:r>
    </w:p>
    <w:p>
      <w:pPr>
        <w:spacing w:after="0" w:line="155" w:lineRule="exact"/>
        <w:rPr>
          <w:sz w:val="20"/>
          <w:szCs w:val="20"/>
          <w:color w:val="auto"/>
        </w:rPr>
      </w:pPr>
    </w:p>
    <w:p>
      <w:pPr>
        <w:spacing w:after="0"/>
        <w:tabs>
          <w:tab w:leader="none" w:pos="1480" w:val="left"/>
        </w:tabs>
        <w:rPr>
          <w:sz w:val="20"/>
          <w:szCs w:val="20"/>
          <w:color w:val="auto"/>
        </w:rPr>
      </w:pPr>
      <w:r>
        <w:rPr>
          <w:rFonts w:ascii="Arial" w:cs="Arial" w:eastAsia="Arial" w:hAnsi="Arial"/>
          <w:sz w:val="20"/>
          <w:szCs w:val="20"/>
          <w:b w:val="1"/>
          <w:bCs w:val="1"/>
          <w:color w:val="auto"/>
        </w:rPr>
        <w:t>Section 11</w:t>
      </w:r>
      <w:r>
        <w:rPr>
          <w:sz w:val="20"/>
          <w:szCs w:val="20"/>
          <w:color w:val="auto"/>
        </w:rPr>
        <w:tab/>
      </w:r>
      <w:r>
        <w:rPr>
          <w:rFonts w:ascii="Arial" w:cs="Arial" w:eastAsia="Arial" w:hAnsi="Arial"/>
          <w:sz w:val="16"/>
          <w:szCs w:val="16"/>
          <w:b w:val="1"/>
          <w:bCs w:val="1"/>
          <w:u w:val="single" w:color="auto"/>
          <w:color w:val="auto"/>
        </w:rPr>
        <w:t>Use of Names</w:t>
      </w:r>
      <w:r>
        <w:rPr>
          <w:rFonts w:ascii="Arial" w:cs="Arial" w:eastAsia="Arial" w:hAnsi="Arial"/>
          <w:sz w:val="16"/>
          <w:szCs w:val="16"/>
          <w:color w:val="auto"/>
        </w:rPr>
        <w:t>.</w:t>
      </w:r>
    </w:p>
    <w:p>
      <w:pPr>
        <w:spacing w:after="0" w:line="222" w:lineRule="exact"/>
        <w:rPr>
          <w:sz w:val="20"/>
          <w:szCs w:val="20"/>
          <w:color w:val="auto"/>
        </w:rPr>
      </w:pPr>
    </w:p>
    <w:p>
      <w:pPr>
        <w:jc w:val="both"/>
        <w:ind w:left="840"/>
        <w:spacing w:after="0" w:line="282" w:lineRule="auto"/>
        <w:rPr>
          <w:sz w:val="20"/>
          <w:szCs w:val="20"/>
          <w:color w:val="auto"/>
        </w:rPr>
      </w:pPr>
      <w:r>
        <w:rPr>
          <w:rFonts w:ascii="Arial" w:cs="Arial" w:eastAsia="Arial" w:hAnsi="Arial"/>
          <w:sz w:val="18"/>
          <w:szCs w:val="18"/>
          <w:color w:val="auto"/>
        </w:rPr>
        <w:t>Licensee shall not use, and shall ensure that its Affiliates and its Sublicensee(s) shall not use, WSU’s name, or the name of any inventor of Licensed Patents under this Agreement, in any sales promotion, advertising, or any other form of publicity without the prior written approval of WSU. WSU shall not use, and shall ensure that the inventors of Licensed Patents shall not use, the name or logo of Licensee in any public disclosure or publicity materials without the prior written approval of Licensee.</w:t>
      </w:r>
    </w:p>
    <w:p>
      <w:pPr>
        <w:spacing w:after="0" w:line="155" w:lineRule="exact"/>
        <w:rPr>
          <w:sz w:val="20"/>
          <w:szCs w:val="20"/>
          <w:color w:val="auto"/>
        </w:rPr>
      </w:pPr>
    </w:p>
    <w:p>
      <w:pPr>
        <w:spacing w:after="0"/>
        <w:tabs>
          <w:tab w:leader="none" w:pos="1500" w:val="left"/>
        </w:tabs>
        <w:rPr>
          <w:sz w:val="20"/>
          <w:szCs w:val="20"/>
          <w:color w:val="auto"/>
        </w:rPr>
      </w:pPr>
      <w:r>
        <w:rPr>
          <w:rFonts w:ascii="Arial" w:cs="Arial" w:eastAsia="Arial" w:hAnsi="Arial"/>
          <w:sz w:val="20"/>
          <w:szCs w:val="20"/>
          <w:b w:val="1"/>
          <w:bCs w:val="1"/>
          <w:color w:val="auto"/>
        </w:rPr>
        <w:t>Section 12</w:t>
      </w:r>
      <w:r>
        <w:rPr>
          <w:sz w:val="20"/>
          <w:szCs w:val="20"/>
          <w:color w:val="auto"/>
        </w:rPr>
        <w:tab/>
      </w:r>
      <w:r>
        <w:rPr>
          <w:rFonts w:ascii="Arial" w:cs="Arial" w:eastAsia="Arial" w:hAnsi="Arial"/>
          <w:sz w:val="16"/>
          <w:szCs w:val="16"/>
          <w:b w:val="1"/>
          <w:bCs w:val="1"/>
          <w:u w:val="single" w:color="auto"/>
          <w:color w:val="auto"/>
        </w:rPr>
        <w:t>Miscellaneous.</w:t>
      </w:r>
    </w:p>
    <w:p>
      <w:pPr>
        <w:spacing w:after="0" w:line="222" w:lineRule="exact"/>
        <w:rPr>
          <w:sz w:val="20"/>
          <w:szCs w:val="20"/>
          <w:color w:val="auto"/>
        </w:rPr>
      </w:pPr>
    </w:p>
    <w:p>
      <w:pPr>
        <w:jc w:val="both"/>
        <w:ind w:left="840" w:hanging="822"/>
        <w:spacing w:after="0" w:line="255" w:lineRule="auto"/>
        <w:tabs>
          <w:tab w:leader="none" w:pos="82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9"/>
          <w:szCs w:val="19"/>
          <w:color w:val="auto"/>
        </w:rPr>
        <w:t>This Agreement is made in Pullman, Washington, and shall be construed and interpreted in accordance with the laws of the State of Washington, United States of America, without regard to any presumption or rule requiring construction or interpretation against the Party drafting or causing any instrument to be drafted. By its execution and delivery of this Agreement, Licensee hereby accepts the jurisdiction of a court of competent jurisdiction sitting in the State of Washington in any legal action or proceeding relating to this Agreement. No right or remedy conferred upon or reserved to the Parties pursuant to this Agreement is exclusive of any other right or remedy provided or permitted at law or in equity. Each Party acknowledges that any violation or threatened violation of this Agreement may cause irreparable injury and that money alone may not be adequate to redress such injury. If any provisions of this Agreement are or shall come into conflict with the laws or regulations of any jurisdiction or any governmental entity having jurisdiction over the Parties or this Agreement, those provisions shall be deemed automatically severed and deleted, if such severance and deletion is allowed by relevant law, and the remaining terms and conditions of this Agreement shall remain in full force and effect. The Parties agree to substitute new terms as similar in effect to the severed or deleted terms as may be allowed under the applicable laws and regulations. The Parties hereto are independent contractors and not joint venturers or partners.</w:t>
      </w:r>
    </w:p>
    <w:p>
      <w:pPr>
        <w:spacing w:after="0" w:line="182" w:lineRule="exact"/>
        <w:rPr>
          <w:sz w:val="20"/>
          <w:szCs w:val="20"/>
          <w:color w:val="auto"/>
        </w:rPr>
      </w:pPr>
    </w:p>
    <w:p>
      <w:pPr>
        <w:jc w:val="both"/>
        <w:ind w:left="840" w:hanging="822"/>
        <w:spacing w:after="0" w:line="250" w:lineRule="auto"/>
        <w:tabs>
          <w:tab w:leader="none" w:pos="82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20"/>
          <w:szCs w:val="20"/>
          <w:color w:val="auto"/>
        </w:rPr>
        <w:t>Licensee shall insure that it, its Affiliates and its Sublicensee(s) apply patent markings that meet all requirements of U.S. law, 35 U.S.C. §287, with respect to all Licensed Products subject to this Agreement. Licensee agrees to comply with the requirements of U.S. law 35 U.S.C. § 200-212 with respect to inventions funded by the U.S: government.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1"/>
          <w:szCs w:val="21"/>
          <w:color w:val="auto"/>
        </w:rPr>
        <w:t>15</w:t>
      </w:r>
      <w:r>
        <w:rPr>
          <w:rFonts w:ascii="Arial" w:cs="Arial" w:eastAsia="Arial" w:hAnsi="Arial"/>
          <w:sz w:val="20"/>
          <w:szCs w:val="20"/>
          <w:color w:val="auto"/>
        </w:rPr>
        <w:t xml:space="preserve"> of 27</w:t>
      </w:r>
    </w:p>
    <w:p>
      <w:pPr>
        <w:spacing w:after="0" w:line="221" w:lineRule="auto"/>
        <w:rPr>
          <w:sz w:val="20"/>
          <w:szCs w:val="20"/>
          <w:color w:val="auto"/>
        </w:rPr>
      </w:pPr>
      <w:r>
        <w:rPr>
          <w:rFonts w:ascii="Arial" w:cs="Arial" w:eastAsia="Arial" w:hAnsi="Arial"/>
          <w:sz w:val="15"/>
          <w:szCs w:val="15"/>
          <w:color w:val="auto"/>
        </w:rPr>
        <w:t xml:space="preserve">WSU AGR# </w:t>
      </w:r>
      <w:r>
        <w:rPr>
          <w:rFonts w:ascii="Arial" w:cs="Arial" w:eastAsia="Arial" w:hAnsi="Arial"/>
          <w:sz w:val="19"/>
          <w:szCs w:val="19"/>
          <w:color w:val="333333"/>
        </w:rPr>
        <w: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116252875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49465"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31" w:name="page332"/>
    <w:bookmarkEnd w:id="331"/>
    <w:p>
      <w:pPr>
        <w:jc w:val="both"/>
        <w:ind w:left="840" w:hanging="822"/>
        <w:spacing w:after="0" w:line="270" w:lineRule="auto"/>
        <w:tabs>
          <w:tab w:leader="none" w:pos="82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8"/>
          <w:szCs w:val="18"/>
          <w:color w:val="auto"/>
        </w:rPr>
        <w:t>Except as otherwise expressly provided herein, this Agreement, with all of the attachments hereto, constitutes the full understanding between the Parties with reference to the subject matter hereof, and no statements or agreements by or between the Parties made prior to or at the signing hereof, whether orally or in writing, shall vary or modify the written terms of this Agreement and the Non-disclosure Agreement dated October 28, 2011 between the Parties. All attachments referred to in this Agreement shall be attached hereto and are incorporated herein by reference. The failure of either Party to assert a right hereunder or to insist upon compliance with any term or condition of this Agreement shall not constitute a waiver of that right or excuse a similar failure to perform any such term or condition by the other Party. Neither Party shall claim any amendment, modification, or release from any provisions of this Agreement by mutual agreement, acknowledgment, or otherwise, unless such mutual agreement is in writing, signed by the other Party, and specifically states that it is an amendment to this Agreement. This Agreement may be executed in one or more counterparts by original or facsimile or electronic PDF signature, each of which shall be deemed an original and all of which, taken together, shall constitute but one and the same document. It shall not be necessary in making proof of this document or any counterpart hereof to produce or account for any of the other counterparts.</w:t>
      </w:r>
    </w:p>
    <w:p>
      <w:pPr>
        <w:spacing w:after="0" w:line="176" w:lineRule="exact"/>
        <w:rPr>
          <w:sz w:val="20"/>
          <w:szCs w:val="20"/>
          <w:color w:val="auto"/>
        </w:rPr>
      </w:pPr>
    </w:p>
    <w:p>
      <w:pPr>
        <w:jc w:val="both"/>
        <w:ind w:left="840" w:hanging="822"/>
        <w:spacing w:after="0" w:line="259" w:lineRule="auto"/>
        <w:tabs>
          <w:tab w:leader="none" w:pos="82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9"/>
          <w:szCs w:val="19"/>
          <w:color w:val="auto"/>
        </w:rPr>
        <w:t>In the event Licensee contests the validity of any Licensed Patent, Licensee shall continue to pay royalties with respect to that Licensed Patent as if such contest were not underway, until the Licensed Patent is finally adjudicated invalid or unenforceable by a court of last resort; provided, however, notwithstanding any such final adjudication of invalidity or unenforceability, the full royalty payment due under this Agreement shall continue to be paid on any Licensed Patent which has not been finally adjudicated invalid or unenforceable by a court of last resort; and further provided Licensee shall have no recourse against WSU for any royalties paid or due and owing prior to such final adjudication.</w:t>
      </w:r>
    </w:p>
    <w:p>
      <w:pPr>
        <w:spacing w:after="0" w:line="178" w:lineRule="exact"/>
        <w:rPr>
          <w:sz w:val="20"/>
          <w:szCs w:val="20"/>
          <w:color w:val="auto"/>
        </w:rPr>
      </w:pPr>
    </w:p>
    <w:p>
      <w:pPr>
        <w:jc w:val="both"/>
        <w:ind w:left="840" w:hanging="822"/>
        <w:spacing w:after="0" w:line="260" w:lineRule="auto"/>
        <w:tabs>
          <w:tab w:leader="none" w:pos="82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20"/>
          <w:szCs w:val="20"/>
          <w:color w:val="auto"/>
        </w:rPr>
        <w:t>Licensee shall not encumber or otherwise grant a security interest in any of the rights granted hereunder to any third party without the prior written approval of WSU.</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1"/>
          <w:szCs w:val="21"/>
          <w:color w:val="auto"/>
        </w:rPr>
        <w:t>16</w:t>
      </w:r>
      <w:r>
        <w:rPr>
          <w:rFonts w:ascii="Arial" w:cs="Arial" w:eastAsia="Arial" w:hAnsi="Arial"/>
          <w:sz w:val="20"/>
          <w:szCs w:val="20"/>
          <w:color w:val="auto"/>
        </w:rPr>
        <w:t xml:space="preserve"> of 27</w:t>
      </w:r>
    </w:p>
    <w:p>
      <w:pPr>
        <w:spacing w:after="0" w:line="221" w:lineRule="auto"/>
        <w:rPr>
          <w:sz w:val="20"/>
          <w:szCs w:val="20"/>
          <w:color w:val="auto"/>
        </w:rPr>
      </w:pPr>
      <w:r>
        <w:rPr>
          <w:rFonts w:ascii="Arial" w:cs="Arial" w:eastAsia="Arial" w:hAnsi="Arial"/>
          <w:sz w:val="15"/>
          <w:szCs w:val="15"/>
          <w:color w:val="auto"/>
        </w:rPr>
        <w:t xml:space="preserve">WSU AGR# </w:t>
      </w:r>
      <w:r>
        <w:rPr>
          <w:rFonts w:ascii="Arial" w:cs="Arial" w:eastAsia="Arial" w:hAnsi="Arial"/>
          <w:sz w:val="19"/>
          <w:szCs w:val="19"/>
          <w:color w:val="333333"/>
        </w:rPr>
        <w: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116252875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49465"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32" w:name="page333"/>
    <w:bookmarkEnd w:id="332"/>
    <w:p>
      <w:pPr>
        <w:spacing w:after="0"/>
        <w:tabs>
          <w:tab w:leader="none" w:pos="1500" w:val="left"/>
        </w:tabs>
        <w:rPr>
          <w:sz w:val="20"/>
          <w:szCs w:val="20"/>
          <w:color w:val="auto"/>
        </w:rPr>
      </w:pPr>
      <w:r>
        <w:rPr>
          <w:rFonts w:ascii="Arial" w:cs="Arial" w:eastAsia="Arial" w:hAnsi="Arial"/>
          <w:sz w:val="20"/>
          <w:szCs w:val="20"/>
          <w:b w:val="1"/>
          <w:bCs w:val="1"/>
          <w:color w:val="auto"/>
        </w:rPr>
        <w:t>Section 13</w:t>
      </w:r>
      <w:r>
        <w:rPr>
          <w:sz w:val="20"/>
          <w:szCs w:val="20"/>
          <w:color w:val="auto"/>
        </w:rPr>
        <w:tab/>
      </w:r>
      <w:r>
        <w:rPr>
          <w:rFonts w:ascii="Arial" w:cs="Arial" w:eastAsia="Arial" w:hAnsi="Arial"/>
          <w:sz w:val="16"/>
          <w:szCs w:val="16"/>
          <w:b w:val="1"/>
          <w:bCs w:val="1"/>
          <w:color w:val="auto"/>
        </w:rPr>
        <w:t>Notices</w:t>
      </w:r>
      <w:r>
        <w:rPr>
          <w:rFonts w:ascii="Arial" w:cs="Arial" w:eastAsia="Arial" w:hAnsi="Arial"/>
          <w:sz w:val="16"/>
          <w:szCs w:val="16"/>
          <w:color w:val="auto"/>
        </w:rPr>
        <w:t>.</w:t>
      </w:r>
    </w:p>
    <w:p>
      <w:pPr>
        <w:spacing w:after="0" w:line="222"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8"/>
          <w:szCs w:val="18"/>
          <w:color w:val="auto"/>
        </w:rPr>
        <w:t>Any notice required to be given pursuant to the provisions of this Agreement shall be in writing</w:t>
      </w:r>
    </w:p>
    <w:p>
      <w:pPr>
        <w:spacing w:after="0" w:line="16" w:lineRule="exact"/>
        <w:rPr>
          <w:sz w:val="20"/>
          <w:szCs w:val="20"/>
          <w:color w:val="auto"/>
        </w:rPr>
      </w:pPr>
    </w:p>
    <w:p>
      <w:pPr>
        <w:jc w:val="both"/>
        <w:ind w:left="840"/>
        <w:spacing w:after="0" w:line="243" w:lineRule="auto"/>
        <w:rPr>
          <w:sz w:val="20"/>
          <w:szCs w:val="20"/>
          <w:color w:val="auto"/>
        </w:rPr>
      </w:pPr>
      <w:r>
        <w:rPr>
          <w:rFonts w:ascii="Arial" w:cs="Arial" w:eastAsia="Arial" w:hAnsi="Arial"/>
          <w:sz w:val="19"/>
          <w:szCs w:val="19"/>
          <w:color w:val="auto"/>
        </w:rPr>
        <w:t>and shall be deemed to have been given on the business day when actually received as a consequence of any effective method of delivery, including but not limited to hand delivery, transmission by telecopier, and/or electronic mail addressed to the Party for whom intended at the address below or at such changed address as the Party shall have specified by written notice, provided that any notice of change of address shall be effective only upon actual receipt.</w:t>
      </w:r>
    </w:p>
    <w:p>
      <w:pPr>
        <w:spacing w:after="0" w:line="179"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Washington State University</w:t>
      </w:r>
    </w:p>
    <w:p>
      <w:pPr>
        <w:ind w:left="3340"/>
        <w:spacing w:after="0" w:line="227" w:lineRule="auto"/>
        <w:rPr>
          <w:sz w:val="20"/>
          <w:szCs w:val="20"/>
          <w:color w:val="auto"/>
        </w:rPr>
      </w:pPr>
      <w:r>
        <w:rPr>
          <w:rFonts w:ascii="Arial" w:cs="Arial" w:eastAsia="Arial" w:hAnsi="Arial"/>
          <w:sz w:val="20"/>
          <w:szCs w:val="20"/>
          <w:color w:val="auto"/>
        </w:rPr>
        <w:t>Attn:</w:t>
      </w:r>
    </w:p>
    <w:p>
      <w:pPr>
        <w:ind w:left="3340"/>
        <w:spacing w:after="0" w:line="225" w:lineRule="auto"/>
        <w:rPr>
          <w:sz w:val="20"/>
          <w:szCs w:val="20"/>
          <w:color w:val="auto"/>
        </w:rPr>
      </w:pPr>
      <w:r>
        <w:rPr>
          <w:rFonts w:ascii="Arial" w:cs="Arial" w:eastAsia="Arial" w:hAnsi="Arial"/>
          <w:sz w:val="20"/>
          <w:szCs w:val="20"/>
          <w:color w:val="auto"/>
        </w:rPr>
        <w:t>1610 NE Eastgate Boulevard</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Pullman, WA 99163</w:t>
      </w:r>
    </w:p>
    <w:p>
      <w:pPr>
        <w:spacing w:after="0" w:line="186"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M</w:t>
      </w:r>
      <w:r>
        <w:rPr>
          <w:rFonts w:ascii="Arial" w:cs="Arial" w:eastAsia="Arial" w:hAnsi="Arial"/>
          <w:sz w:val="16"/>
          <w:szCs w:val="16"/>
          <w:color w:val="auto"/>
        </w:rPr>
        <w:t>3</w:t>
      </w:r>
      <w:r>
        <w:rPr>
          <w:rFonts w:ascii="Arial" w:cs="Arial" w:eastAsia="Arial" w:hAnsi="Arial"/>
          <w:sz w:val="20"/>
          <w:szCs w:val="20"/>
          <w:color w:val="auto"/>
        </w:rPr>
        <w:t xml:space="preserve"> Biotechnology, Inc.</w:t>
      </w:r>
    </w:p>
    <w:p>
      <w:pPr>
        <w:ind w:left="3340"/>
        <w:spacing w:after="0" w:line="227" w:lineRule="auto"/>
        <w:rPr>
          <w:sz w:val="20"/>
          <w:szCs w:val="20"/>
          <w:color w:val="auto"/>
        </w:rPr>
      </w:pPr>
      <w:r>
        <w:rPr>
          <w:rFonts w:ascii="Arial" w:cs="Arial" w:eastAsia="Arial" w:hAnsi="Arial"/>
          <w:sz w:val="20"/>
          <w:szCs w:val="20"/>
          <w:color w:val="auto"/>
        </w:rPr>
        <w:t>Attn: Leen Kawas, Ph.D.</w:t>
      </w:r>
    </w:p>
    <w:p>
      <w:pPr>
        <w:ind w:left="3340"/>
        <w:spacing w:after="0" w:line="225" w:lineRule="auto"/>
        <w:rPr>
          <w:sz w:val="20"/>
          <w:szCs w:val="20"/>
          <w:color w:val="auto"/>
        </w:rPr>
      </w:pPr>
      <w:r>
        <w:rPr>
          <w:rFonts w:ascii="Arial" w:cs="Arial" w:eastAsia="Arial" w:hAnsi="Arial"/>
          <w:sz w:val="20"/>
          <w:szCs w:val="20"/>
          <w:color w:val="auto"/>
        </w:rPr>
        <w:t>4000 Mason Road, Suite 300</w:t>
      </w:r>
    </w:p>
    <w:p>
      <w:pPr>
        <w:ind w:left="3340"/>
        <w:spacing w:after="0" w:line="226" w:lineRule="auto"/>
        <w:rPr>
          <w:sz w:val="20"/>
          <w:szCs w:val="20"/>
          <w:color w:val="auto"/>
        </w:rPr>
      </w:pPr>
      <w:r>
        <w:rPr>
          <w:rFonts w:ascii="Arial" w:cs="Arial" w:eastAsia="Arial" w:hAnsi="Arial"/>
          <w:sz w:val="20"/>
          <w:szCs w:val="20"/>
          <w:color w:val="auto"/>
        </w:rPr>
        <w:t>Box 352141</w:t>
      </w:r>
    </w:p>
    <w:p>
      <w:pPr>
        <w:ind w:left="3340"/>
        <w:spacing w:after="0"/>
        <w:rPr>
          <w:sz w:val="20"/>
          <w:szCs w:val="20"/>
          <w:color w:val="auto"/>
        </w:rPr>
      </w:pPr>
      <w:r>
        <w:rPr>
          <w:rFonts w:ascii="Arial" w:cs="Arial" w:eastAsia="Arial" w:hAnsi="Arial"/>
          <w:sz w:val="20"/>
          <w:szCs w:val="20"/>
          <w:color w:val="auto"/>
        </w:rPr>
        <w:t>Seattle, WA 98195-2141</w:t>
      </w:r>
    </w:p>
    <w:p>
      <w:pPr>
        <w:spacing w:after="0" w:line="180" w:lineRule="exact"/>
        <w:rPr>
          <w:sz w:val="20"/>
          <w:szCs w:val="20"/>
          <w:color w:val="auto"/>
        </w:rPr>
      </w:pPr>
    </w:p>
    <w:p>
      <w:pPr>
        <w:spacing w:after="0"/>
        <w:tabs>
          <w:tab w:leader="none" w:pos="1500" w:val="left"/>
        </w:tabs>
        <w:rPr>
          <w:sz w:val="20"/>
          <w:szCs w:val="20"/>
          <w:color w:val="auto"/>
        </w:rPr>
      </w:pPr>
      <w:r>
        <w:rPr>
          <w:rFonts w:ascii="Arial" w:cs="Arial" w:eastAsia="Arial" w:hAnsi="Arial"/>
          <w:sz w:val="20"/>
          <w:szCs w:val="20"/>
          <w:b w:val="1"/>
          <w:bCs w:val="1"/>
          <w:color w:val="auto"/>
        </w:rPr>
        <w:t>Section 14</w:t>
      </w:r>
      <w:r>
        <w:rPr>
          <w:sz w:val="20"/>
          <w:szCs w:val="20"/>
          <w:color w:val="auto"/>
        </w:rPr>
        <w:tab/>
      </w:r>
      <w:r>
        <w:rPr>
          <w:rFonts w:ascii="Arial" w:cs="Arial" w:eastAsia="Arial" w:hAnsi="Arial"/>
          <w:sz w:val="18"/>
          <w:szCs w:val="18"/>
          <w:b w:val="1"/>
          <w:bCs w:val="1"/>
          <w:u w:val="single" w:color="auto"/>
          <w:color w:val="auto"/>
        </w:rPr>
        <w:t>Contract Formation and Authority.</w:t>
      </w:r>
    </w:p>
    <w:p>
      <w:pPr>
        <w:spacing w:after="0" w:line="222" w:lineRule="exact"/>
        <w:rPr>
          <w:sz w:val="20"/>
          <w:szCs w:val="20"/>
          <w:color w:val="auto"/>
        </w:rPr>
      </w:pPr>
    </w:p>
    <w:p>
      <w:pPr>
        <w:jc w:val="both"/>
        <w:ind w:left="840" w:hanging="822"/>
        <w:spacing w:after="0" w:line="316" w:lineRule="auto"/>
        <w:tabs>
          <w:tab w:leader="none" w:pos="82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8"/>
          <w:szCs w:val="18"/>
          <w:color w:val="auto"/>
        </w:rPr>
        <w:t xml:space="preserve">No agreement between the Parties shall exist unless the duly authorized representative of Licensee and the Executive Director of WSU have signed this Agreement within </w:t>
      </w:r>
      <w:r>
        <w:rPr>
          <w:rFonts w:ascii="Arial" w:cs="Arial" w:eastAsia="Arial" w:hAnsi="Arial"/>
          <w:sz w:val="18"/>
          <w:szCs w:val="18"/>
          <w:color w:val="333333"/>
        </w:rPr>
        <w:t>[†]</w:t>
      </w:r>
      <w:r>
        <w:rPr>
          <w:rFonts w:ascii="Arial" w:cs="Arial" w:eastAsia="Arial" w:hAnsi="Arial"/>
          <w:sz w:val="18"/>
          <w:szCs w:val="18"/>
          <w:color w:val="auto"/>
        </w:rPr>
        <w:t xml:space="preserve"> days of the Effective Date written on the first page of this Agreement.</w:t>
      </w:r>
    </w:p>
    <w:p>
      <w:pPr>
        <w:spacing w:after="0" w:line="130" w:lineRule="exact"/>
        <w:rPr>
          <w:sz w:val="20"/>
          <w:szCs w:val="20"/>
          <w:color w:val="auto"/>
        </w:rPr>
      </w:pPr>
    </w:p>
    <w:p>
      <w:pPr>
        <w:jc w:val="both"/>
        <w:ind w:left="840" w:hanging="822"/>
        <w:spacing w:after="0" w:line="260" w:lineRule="auto"/>
        <w:tabs>
          <w:tab w:leader="none" w:pos="82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20"/>
          <w:szCs w:val="20"/>
          <w:color w:val="auto"/>
        </w:rPr>
        <w:t>WSU and Licensee hereby warrant and represent that the persons signing this Agreement have authority to execute this Agreement on behalf of the Party for whom they have signed.</w:t>
      </w:r>
    </w:p>
    <w:p>
      <w:pPr>
        <w:spacing w:after="0" w:line="171" w:lineRule="exact"/>
        <w:rPr>
          <w:sz w:val="20"/>
          <w:szCs w:val="20"/>
          <w:color w:val="auto"/>
        </w:rPr>
      </w:pPr>
    </w:p>
    <w:p>
      <w:pPr>
        <w:spacing w:after="0"/>
        <w:tabs>
          <w:tab w:leader="none" w:pos="1500" w:val="left"/>
        </w:tabs>
        <w:rPr>
          <w:sz w:val="20"/>
          <w:szCs w:val="20"/>
          <w:color w:val="auto"/>
        </w:rPr>
      </w:pPr>
      <w:r>
        <w:rPr>
          <w:rFonts w:ascii="Arial" w:cs="Arial" w:eastAsia="Arial" w:hAnsi="Arial"/>
          <w:sz w:val="20"/>
          <w:szCs w:val="20"/>
          <w:b w:val="1"/>
          <w:bCs w:val="1"/>
          <w:color w:val="auto"/>
        </w:rPr>
        <w:t>Section 15</w:t>
      </w:r>
      <w:r>
        <w:rPr>
          <w:sz w:val="20"/>
          <w:szCs w:val="20"/>
          <w:color w:val="auto"/>
        </w:rPr>
        <w:tab/>
      </w:r>
      <w:r>
        <w:rPr>
          <w:rFonts w:ascii="Arial" w:cs="Arial" w:eastAsia="Arial" w:hAnsi="Arial"/>
          <w:sz w:val="16"/>
          <w:szCs w:val="16"/>
          <w:b w:val="1"/>
          <w:bCs w:val="1"/>
          <w:u w:val="single" w:color="auto"/>
          <w:color w:val="auto"/>
        </w:rPr>
        <w:t>United States Government Interests</w:t>
      </w:r>
      <w:r>
        <w:rPr>
          <w:rFonts w:ascii="Arial" w:cs="Arial" w:eastAsia="Arial" w:hAnsi="Arial"/>
          <w:sz w:val="16"/>
          <w:szCs w:val="16"/>
          <w:color w:val="auto"/>
        </w:rPr>
        <w:t>.</w:t>
      </w:r>
    </w:p>
    <w:p>
      <w:pPr>
        <w:spacing w:after="0" w:line="222" w:lineRule="exact"/>
        <w:rPr>
          <w:sz w:val="20"/>
          <w:szCs w:val="20"/>
          <w:color w:val="auto"/>
        </w:rPr>
      </w:pPr>
    </w:p>
    <w:p>
      <w:pPr>
        <w:jc w:val="both"/>
        <w:ind w:left="840" w:hanging="822"/>
        <w:spacing w:after="0" w:line="278" w:lineRule="auto"/>
        <w:tabs>
          <w:tab w:leader="none" w:pos="82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8"/>
          <w:szCs w:val="18"/>
          <w:color w:val="auto"/>
        </w:rPr>
        <w:t>It is understood that if the United States Government (through any of its agencies or otherwise) has funded research, during the course of or under which any of the inventions of the Licensed Patents were conceived or made, the United States Government is entitled, as a right, under the provisions of 35 U.S.C. §202-212 and applicable regulations of Title 37 of the Code of Federal Regulations, to a nonexclusive, nontransferable, irrevocable, paid-up license to practice or have practiced the inventions of such Licensed Patents for governmental purposes. Any license granted to Licensee in this Agreement shall be subject to such right.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1"/>
          <w:szCs w:val="21"/>
          <w:color w:val="auto"/>
        </w:rPr>
        <w:t>17</w:t>
      </w:r>
      <w:r>
        <w:rPr>
          <w:rFonts w:ascii="Arial" w:cs="Arial" w:eastAsia="Arial" w:hAnsi="Arial"/>
          <w:sz w:val="20"/>
          <w:szCs w:val="20"/>
          <w:color w:val="auto"/>
        </w:rPr>
        <w:t xml:space="preserve"> of 27</w:t>
      </w:r>
    </w:p>
    <w:p>
      <w:pPr>
        <w:spacing w:after="0" w:line="221" w:lineRule="auto"/>
        <w:rPr>
          <w:sz w:val="20"/>
          <w:szCs w:val="20"/>
          <w:color w:val="auto"/>
        </w:rPr>
      </w:pPr>
      <w:r>
        <w:rPr>
          <w:rFonts w:ascii="Arial" w:cs="Arial" w:eastAsia="Arial" w:hAnsi="Arial"/>
          <w:sz w:val="15"/>
          <w:szCs w:val="15"/>
          <w:color w:val="auto"/>
        </w:rPr>
        <w:t xml:space="preserve">WSU AGR# </w:t>
      </w:r>
      <w:r>
        <w:rPr>
          <w:rFonts w:ascii="Arial" w:cs="Arial" w:eastAsia="Arial" w:hAnsi="Arial"/>
          <w:sz w:val="19"/>
          <w:szCs w:val="19"/>
          <w:color w:val="333333"/>
        </w:rPr>
        <w: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116252875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49465"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33" w:name="page334"/>
    <w:bookmarkEnd w:id="333"/>
    <w:p>
      <w:pPr>
        <w:spacing w:after="0"/>
        <w:rPr>
          <w:sz w:val="20"/>
          <w:szCs w:val="20"/>
          <w:color w:val="auto"/>
        </w:rPr>
      </w:pPr>
      <w:r>
        <w:rPr>
          <w:rFonts w:ascii="Arial" w:cs="Arial" w:eastAsia="Arial" w:hAnsi="Arial"/>
          <w:sz w:val="20"/>
          <w:szCs w:val="20"/>
          <w:color w:val="auto"/>
        </w:rPr>
        <w:t>IN WITNESS WHEREOF, the Parties hereto have duly executed this Agreement on the dates indicated below.</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540" w:type="dxa"/>
            <w:vAlign w:val="bottom"/>
            <w:gridSpan w:val="3"/>
          </w:tcPr>
          <w:p>
            <w:pPr>
              <w:spacing w:after="0"/>
              <w:rPr>
                <w:sz w:val="20"/>
                <w:szCs w:val="20"/>
                <w:color w:val="auto"/>
              </w:rPr>
            </w:pPr>
            <w:r>
              <w:rPr>
                <w:rFonts w:ascii="Arial" w:cs="Arial" w:eastAsia="Arial" w:hAnsi="Arial"/>
                <w:sz w:val="20"/>
                <w:szCs w:val="20"/>
                <w:b w:val="1"/>
                <w:bCs w:val="1"/>
                <w:color w:val="auto"/>
              </w:rPr>
              <w:t>WASHINGTON STATE UNIVERSITY</w:t>
            </w:r>
          </w:p>
        </w:tc>
        <w:tc>
          <w:tcPr>
            <w:tcW w:w="2180" w:type="dxa"/>
            <w:vAlign w:val="bottom"/>
          </w:tcPr>
          <w:p>
            <w:pPr>
              <w:spacing w:after="0"/>
              <w:rPr>
                <w:sz w:val="22"/>
                <w:szCs w:val="22"/>
                <w:color w:val="auto"/>
              </w:rPr>
            </w:pPr>
          </w:p>
        </w:tc>
        <w:tc>
          <w:tcPr>
            <w:tcW w:w="4520" w:type="dxa"/>
            <w:vAlign w:val="bottom"/>
            <w:gridSpan w:val="2"/>
          </w:tcPr>
          <w:p>
            <w:pPr>
              <w:spacing w:after="0"/>
              <w:rPr>
                <w:sz w:val="20"/>
                <w:szCs w:val="20"/>
                <w:color w:val="auto"/>
              </w:rPr>
            </w:pPr>
            <w:r>
              <w:rPr>
                <w:rFonts w:ascii="Arial" w:cs="Arial" w:eastAsia="Arial" w:hAnsi="Arial"/>
                <w:sz w:val="20"/>
                <w:szCs w:val="20"/>
                <w:b w:val="1"/>
                <w:bCs w:val="1"/>
                <w:color w:val="auto"/>
              </w:rPr>
              <w:t>M</w:t>
            </w:r>
            <w:r>
              <w:rPr>
                <w:rFonts w:ascii="Arial" w:cs="Arial" w:eastAsia="Arial" w:hAnsi="Arial"/>
                <w:sz w:val="16"/>
                <w:szCs w:val="16"/>
                <w:b w:val="1"/>
                <w:bCs w:val="1"/>
                <w:color w:val="auto"/>
              </w:rPr>
              <w:t>3</w:t>
            </w:r>
            <w:r>
              <w:rPr>
                <w:rFonts w:ascii="Arial" w:cs="Arial" w:eastAsia="Arial" w:hAnsi="Arial"/>
                <w:sz w:val="20"/>
                <w:szCs w:val="20"/>
                <w:b w:val="1"/>
                <w:bCs w:val="1"/>
                <w:color w:val="auto"/>
              </w:rPr>
              <w:t xml:space="preserve"> BIOTECHNOLOGY, INC.</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1"/>
        </w:trPr>
        <w:tc>
          <w:tcPr>
            <w:tcW w:w="454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rPr>
              <w:t>/s/ Sita S. Pappu</w:t>
            </w:r>
          </w:p>
        </w:tc>
        <w:tc>
          <w:tcPr>
            <w:tcW w:w="2180" w:type="dxa"/>
            <w:vAlign w:val="bottom"/>
          </w:tcPr>
          <w:p>
            <w:pPr>
              <w:spacing w:after="0"/>
              <w:rPr>
                <w:sz w:val="24"/>
                <w:szCs w:val="24"/>
                <w:color w:val="auto"/>
              </w:rPr>
            </w:pP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Leen Kawas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540" w:type="dxa"/>
            <w:vAlign w:val="bottom"/>
            <w:gridSpan w:val="3"/>
          </w:tcPr>
          <w:p>
            <w:pPr>
              <w:spacing w:after="0" w:line="193" w:lineRule="exact"/>
              <w:rPr>
                <w:sz w:val="20"/>
                <w:szCs w:val="20"/>
                <w:color w:val="auto"/>
              </w:rPr>
            </w:pPr>
            <w:r>
              <w:rPr>
                <w:rFonts w:ascii="Arial" w:cs="Arial" w:eastAsia="Arial" w:hAnsi="Arial"/>
                <w:sz w:val="20"/>
                <w:szCs w:val="20"/>
                <w:color w:val="auto"/>
              </w:rPr>
              <w:t>Sita S. Pappu</w:t>
            </w:r>
          </w:p>
        </w:tc>
        <w:tc>
          <w:tcPr>
            <w:tcW w:w="2180" w:type="dxa"/>
            <w:vAlign w:val="bottom"/>
          </w:tcPr>
          <w:p>
            <w:pPr>
              <w:spacing w:after="0"/>
              <w:rPr>
                <w:sz w:val="16"/>
                <w:szCs w:val="16"/>
                <w:color w:val="auto"/>
              </w:rPr>
            </w:pPr>
          </w:p>
        </w:tc>
        <w:tc>
          <w:tcPr>
            <w:tcW w:w="4520" w:type="dxa"/>
            <w:vAlign w:val="bottom"/>
            <w:gridSpan w:val="2"/>
          </w:tcPr>
          <w:p>
            <w:pPr>
              <w:spacing w:after="0" w:line="193" w:lineRule="exact"/>
              <w:rPr>
                <w:sz w:val="20"/>
                <w:szCs w:val="20"/>
                <w:color w:val="auto"/>
              </w:rPr>
            </w:pPr>
            <w:r>
              <w:rPr>
                <w:rFonts w:ascii="Arial" w:cs="Arial" w:eastAsia="Arial" w:hAnsi="Arial"/>
                <w:sz w:val="20"/>
                <w:szCs w:val="20"/>
                <w:color w:val="auto"/>
              </w:rPr>
              <w:t>Leen Kawas, Ph.D.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gridSpan w:val="3"/>
          </w:tcPr>
          <w:p>
            <w:pPr>
              <w:spacing w:after="0"/>
              <w:rPr>
                <w:sz w:val="20"/>
                <w:szCs w:val="20"/>
                <w:color w:val="auto"/>
              </w:rPr>
            </w:pPr>
            <w:r>
              <w:rPr>
                <w:rFonts w:ascii="Arial" w:cs="Arial" w:eastAsia="Arial" w:hAnsi="Arial"/>
                <w:sz w:val="20"/>
                <w:szCs w:val="20"/>
                <w:color w:val="auto"/>
              </w:rPr>
              <w:t>Director, Office of Commercialization</w:t>
            </w:r>
          </w:p>
        </w:tc>
        <w:tc>
          <w:tcPr>
            <w:tcW w:w="2180" w:type="dxa"/>
            <w:vAlign w:val="bottom"/>
          </w:tcPr>
          <w:p>
            <w:pPr>
              <w:spacing w:after="0"/>
              <w:rPr>
                <w:sz w:val="21"/>
                <w:szCs w:val="21"/>
                <w:color w:val="auto"/>
              </w:rPr>
            </w:pPr>
          </w:p>
        </w:tc>
        <w:tc>
          <w:tcPr>
            <w:tcW w:w="4520" w:type="dxa"/>
            <w:vAlign w:val="bottom"/>
            <w:gridSpan w:val="2"/>
          </w:tcPr>
          <w:p>
            <w:pPr>
              <w:spacing w:after="0"/>
              <w:rPr>
                <w:sz w:val="20"/>
                <w:szCs w:val="20"/>
                <w:color w:val="auto"/>
              </w:rPr>
            </w:pPr>
            <w:r>
              <w:rPr>
                <w:rFonts w:ascii="Arial" w:cs="Arial" w:eastAsia="Arial" w:hAnsi="Arial"/>
                <w:sz w:val="20"/>
                <w:szCs w:val="20"/>
                <w:color w:val="auto"/>
              </w:rPr>
              <w:t>Chief Executive Officer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1"/>
        </w:trPr>
        <w:tc>
          <w:tcPr>
            <w:tcW w:w="4540" w:type="dxa"/>
            <w:vAlign w:val="bottom"/>
            <w:gridSpan w:val="3"/>
          </w:tcPr>
          <w:p>
            <w:pPr>
              <w:spacing w:after="0"/>
              <w:rPr>
                <w:sz w:val="20"/>
                <w:szCs w:val="20"/>
                <w:color w:val="auto"/>
              </w:rPr>
            </w:pPr>
            <w:r>
              <w:rPr>
                <w:rFonts w:ascii="Arial" w:cs="Arial" w:eastAsia="Arial" w:hAnsi="Arial"/>
                <w:sz w:val="20"/>
                <w:szCs w:val="20"/>
                <w:color w:val="auto"/>
              </w:rPr>
              <w:t>Date  10/28/2015</w:t>
            </w:r>
          </w:p>
        </w:tc>
        <w:tc>
          <w:tcPr>
            <w:tcW w:w="2180" w:type="dxa"/>
            <w:vAlign w:val="bottom"/>
          </w:tcPr>
          <w:p>
            <w:pPr>
              <w:spacing w:after="0"/>
              <w:rPr>
                <w:sz w:val="24"/>
                <w:szCs w:val="24"/>
                <w:color w:val="auto"/>
              </w:rPr>
            </w:pPr>
          </w:p>
        </w:tc>
        <w:tc>
          <w:tcPr>
            <w:tcW w:w="4520" w:type="dxa"/>
            <w:vAlign w:val="bottom"/>
            <w:gridSpan w:val="2"/>
          </w:tcPr>
          <w:p>
            <w:pPr>
              <w:ind w:left="40"/>
              <w:spacing w:after="0"/>
              <w:rPr>
                <w:sz w:val="20"/>
                <w:szCs w:val="20"/>
                <w:color w:val="auto"/>
              </w:rPr>
            </w:pPr>
            <w:r>
              <w:rPr>
                <w:rFonts w:ascii="Arial" w:cs="Arial" w:eastAsia="Arial" w:hAnsi="Arial"/>
                <w:sz w:val="20"/>
                <w:szCs w:val="20"/>
                <w:color w:val="auto"/>
              </w:rPr>
              <w:t>Date:  10/28/2015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9"/>
        </w:trPr>
        <w:tc>
          <w:tcPr>
            <w:tcW w:w="580" w:type="dxa"/>
            <w:vAlign w:val="bottom"/>
          </w:tcPr>
          <w:p>
            <w:pPr>
              <w:spacing w:after="0"/>
              <w:rPr>
                <w:sz w:val="24"/>
                <w:szCs w:val="24"/>
                <w:color w:val="auto"/>
              </w:rPr>
            </w:pPr>
          </w:p>
        </w:tc>
        <w:tc>
          <w:tcPr>
            <w:tcW w:w="39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20"/>
                <w:szCs w:val="20"/>
                <w:color w:val="auto"/>
              </w:rPr>
              <w:t>******</w:t>
            </w:r>
          </w:p>
        </w:tc>
        <w:tc>
          <w:tcPr>
            <w:tcW w:w="600" w:type="dxa"/>
            <w:vAlign w:val="bottom"/>
          </w:tcPr>
          <w:p>
            <w:pPr>
              <w:spacing w:after="0"/>
              <w:rPr>
                <w:sz w:val="24"/>
                <w:szCs w:val="24"/>
                <w:color w:val="auto"/>
              </w:rPr>
            </w:pPr>
          </w:p>
        </w:tc>
        <w:tc>
          <w:tcPr>
            <w:tcW w:w="3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00" w:type="dxa"/>
            <w:vAlign w:val="bottom"/>
            <w:gridSpan w:val="3"/>
          </w:tcPr>
          <w:p>
            <w:pPr>
              <w:jc w:val="center"/>
              <w:ind w:right="4520"/>
              <w:spacing w:after="0"/>
              <w:rPr>
                <w:sz w:val="20"/>
                <w:szCs w:val="20"/>
                <w:color w:val="auto"/>
              </w:rPr>
            </w:pPr>
            <w:r>
              <w:rPr>
                <w:rFonts w:ascii="Arial" w:cs="Arial" w:eastAsia="Arial" w:hAnsi="Arial"/>
                <w:sz w:val="20"/>
                <w:szCs w:val="20"/>
                <w:color w:val="auto"/>
                <w:w w:val="94"/>
              </w:rPr>
              <w:t xml:space="preserve">WSU Ref #: </w:t>
            </w:r>
            <w:r>
              <w:rPr>
                <w:rFonts w:ascii="Arial" w:cs="Arial" w:eastAsia="Arial" w:hAnsi="Arial"/>
                <w:sz w:val="20"/>
                <w:szCs w:val="20"/>
                <w:color w:val="333333"/>
                <w:w w:val="94"/>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1"/>
        </w:trPr>
        <w:tc>
          <w:tcPr>
            <w:tcW w:w="4540" w:type="dxa"/>
            <w:vAlign w:val="bottom"/>
            <w:gridSpan w:val="3"/>
            <w:vMerge w:val="restart"/>
          </w:tcPr>
          <w:p>
            <w:pPr>
              <w:spacing w:after="0"/>
              <w:rPr>
                <w:sz w:val="20"/>
                <w:szCs w:val="20"/>
                <w:color w:val="auto"/>
              </w:rPr>
            </w:pPr>
            <w:r>
              <w:rPr>
                <w:rFonts w:ascii="Arial" w:cs="Arial" w:eastAsia="Arial" w:hAnsi="Arial"/>
                <w:sz w:val="15"/>
                <w:szCs w:val="15"/>
                <w:color w:val="auto"/>
              </w:rPr>
              <w:t xml:space="preserve">WSU AGR# </w:t>
            </w:r>
            <w:r>
              <w:rPr>
                <w:rFonts w:ascii="Arial" w:cs="Arial" w:eastAsia="Arial" w:hAnsi="Arial"/>
                <w:sz w:val="19"/>
                <w:szCs w:val="19"/>
                <w:color w:val="333333"/>
              </w:rPr>
              <w:t>[†].</w:t>
            </w:r>
          </w:p>
        </w:tc>
        <w:tc>
          <w:tcPr>
            <w:tcW w:w="6700" w:type="dxa"/>
            <w:vAlign w:val="bottom"/>
            <w:gridSpan w:val="3"/>
          </w:tcPr>
          <w:p>
            <w:pPr>
              <w:jc w:val="center"/>
              <w:ind w:right="4540"/>
              <w:spacing w:after="0"/>
              <w:rPr>
                <w:sz w:val="20"/>
                <w:szCs w:val="20"/>
                <w:color w:val="auto"/>
              </w:rPr>
            </w:pPr>
            <w:r>
              <w:rPr>
                <w:rFonts w:ascii="Arial" w:cs="Arial" w:eastAsia="Arial" w:hAnsi="Arial"/>
                <w:sz w:val="20"/>
                <w:szCs w:val="20"/>
                <w:color w:val="auto"/>
                <w:w w:val="89"/>
              </w:rPr>
              <w:t xml:space="preserve">Page </w:t>
            </w:r>
            <w:r>
              <w:rPr>
                <w:rFonts w:ascii="Arial" w:cs="Arial" w:eastAsia="Arial" w:hAnsi="Arial"/>
                <w:sz w:val="21"/>
                <w:szCs w:val="21"/>
                <w:color w:val="auto"/>
                <w:w w:val="89"/>
              </w:rPr>
              <w:t>18</w:t>
            </w:r>
            <w:r>
              <w:rPr>
                <w:rFonts w:ascii="Arial" w:cs="Arial" w:eastAsia="Arial" w:hAnsi="Arial"/>
                <w:sz w:val="20"/>
                <w:szCs w:val="20"/>
                <w:color w:val="auto"/>
                <w:w w:val="89"/>
              </w:rPr>
              <w:t xml:space="preserve"> of 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40" w:type="dxa"/>
            <w:vAlign w:val="bottom"/>
            <w:gridSpan w:val="3"/>
            <w:vMerge w:val="continue"/>
          </w:tcPr>
          <w:p>
            <w:pPr>
              <w:spacing w:after="0"/>
              <w:rPr>
                <w:sz w:val="13"/>
                <w:szCs w:val="13"/>
                <w:color w:val="auto"/>
              </w:rPr>
            </w:pPr>
          </w:p>
        </w:tc>
        <w:tc>
          <w:tcPr>
            <w:tcW w:w="2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520" w:type="dxa"/>
            <w:vAlign w:val="bottom"/>
            <w:gridSpan w:val="2"/>
          </w:tcPr>
          <w:p>
            <w:pPr>
              <w:spacing w:after="0"/>
              <w:rPr>
                <w:sz w:val="20"/>
                <w:szCs w:val="20"/>
                <w:color w:val="auto"/>
              </w:rPr>
            </w:pPr>
            <w:r>
              <w:rPr>
                <w:rFonts w:ascii="Arial" w:cs="Arial" w:eastAsia="Arial" w:hAnsi="Arial"/>
                <w:sz w:val="15"/>
                <w:szCs w:val="15"/>
                <w:color w:val="auto"/>
              </w:rPr>
              <w:t>116252875</w:t>
            </w:r>
          </w:p>
        </w:tc>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80" w:type="dxa"/>
            <w:vAlign w:val="bottom"/>
            <w:tcBorders>
              <w:bottom w:val="single" w:sz="8" w:color="9A9A9A"/>
            </w:tcBorders>
          </w:tcPr>
          <w:p>
            <w:pPr>
              <w:spacing w:after="0"/>
              <w:rPr>
                <w:sz w:val="21"/>
                <w:szCs w:val="21"/>
                <w:color w:val="auto"/>
              </w:rPr>
            </w:pPr>
          </w:p>
        </w:tc>
        <w:tc>
          <w:tcPr>
            <w:tcW w:w="394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2180" w:type="dxa"/>
            <w:vAlign w:val="bottom"/>
            <w:tcBorders>
              <w:bottom w:val="single" w:sz="8" w:color="9A9A9A"/>
            </w:tcBorders>
          </w:tcPr>
          <w:p>
            <w:pPr>
              <w:spacing w:after="0"/>
              <w:rPr>
                <w:sz w:val="21"/>
                <w:szCs w:val="21"/>
                <w:color w:val="auto"/>
              </w:rPr>
            </w:pPr>
          </w:p>
        </w:tc>
        <w:tc>
          <w:tcPr>
            <w:tcW w:w="600" w:type="dxa"/>
            <w:vAlign w:val="bottom"/>
            <w:tcBorders>
              <w:bottom w:val="single" w:sz="8" w:color="9A9A9A"/>
            </w:tcBorders>
          </w:tcPr>
          <w:p>
            <w:pPr>
              <w:spacing w:after="0"/>
              <w:rPr>
                <w:sz w:val="21"/>
                <w:szCs w:val="21"/>
                <w:color w:val="auto"/>
              </w:rPr>
            </w:pPr>
          </w:p>
        </w:tc>
        <w:tc>
          <w:tcPr>
            <w:tcW w:w="392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5" w:right="319" w:bottom="1440" w:gutter="0" w:footer="0" w:header="0"/>
        </w:sectPr>
      </w:pPr>
    </w:p>
    <w:bookmarkStart w:id="334" w:name="page335"/>
    <w:bookmarkEnd w:id="334"/>
    <w:p>
      <w:pPr>
        <w:jc w:val="center"/>
        <w:ind w:right="-1120"/>
        <w:spacing w:after="0"/>
        <w:rPr>
          <w:sz w:val="20"/>
          <w:szCs w:val="20"/>
          <w:color w:val="auto"/>
        </w:rPr>
      </w:pPr>
      <w:r>
        <w:rPr>
          <w:rFonts w:ascii="Arial" w:cs="Arial" w:eastAsia="Arial" w:hAnsi="Arial"/>
          <w:sz w:val="20"/>
          <w:szCs w:val="20"/>
          <w:b w:val="1"/>
          <w:bCs w:val="1"/>
          <w:color w:val="auto"/>
        </w:rPr>
        <w:t>APPENDIX A</w:t>
      </w: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u w:val="single" w:color="auto"/>
          <w:color w:val="auto"/>
        </w:rPr>
        <w:t>DEVELOPMENT REPORT</w:t>
      </w:r>
    </w:p>
    <w:p>
      <w:pPr>
        <w:spacing w:after="0" w:line="222" w:lineRule="exact"/>
        <w:rPr>
          <w:sz w:val="20"/>
          <w:szCs w:val="20"/>
          <w:color w:val="auto"/>
        </w:rPr>
      </w:pPr>
    </w:p>
    <w:p>
      <w:pPr>
        <w:ind w:left="5500"/>
        <w:spacing w:after="0"/>
        <w:rPr>
          <w:sz w:val="20"/>
          <w:szCs w:val="20"/>
          <w:color w:val="auto"/>
        </w:rPr>
      </w:pPr>
      <w:r>
        <w:rPr>
          <w:rFonts w:ascii="Arial" w:cs="Arial" w:eastAsia="Arial" w:hAnsi="Arial"/>
          <w:sz w:val="20"/>
          <w:szCs w:val="20"/>
          <w:color w:val="333333"/>
        </w:rPr>
        <w:t>[†]</w:t>
      </w:r>
    </w:p>
    <w:p>
      <w:pPr>
        <w:spacing w:after="0" w:line="200" w:lineRule="exact"/>
        <w:rPr>
          <w:sz w:val="20"/>
          <w:szCs w:val="20"/>
          <w:color w:val="auto"/>
        </w:rPr>
      </w:pPr>
    </w:p>
    <w:p>
      <w:pPr>
        <w:spacing w:after="0" w:line="222"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1"/>
          <w:szCs w:val="21"/>
          <w:color w:val="auto"/>
        </w:rPr>
        <w:t>19</w:t>
      </w:r>
      <w:r>
        <w:rPr>
          <w:rFonts w:ascii="Arial" w:cs="Arial" w:eastAsia="Arial" w:hAnsi="Arial"/>
          <w:sz w:val="20"/>
          <w:szCs w:val="20"/>
          <w:color w:val="auto"/>
        </w:rPr>
        <w:t xml:space="preserve"> of 27</w:t>
      </w:r>
    </w:p>
    <w:p>
      <w:pPr>
        <w:spacing w:after="0" w:line="221" w:lineRule="auto"/>
        <w:rPr>
          <w:sz w:val="20"/>
          <w:szCs w:val="20"/>
          <w:color w:val="auto"/>
        </w:rPr>
      </w:pPr>
      <w:r>
        <w:rPr>
          <w:rFonts w:ascii="Arial" w:cs="Arial" w:eastAsia="Arial" w:hAnsi="Arial"/>
          <w:sz w:val="15"/>
          <w:szCs w:val="15"/>
          <w:color w:val="auto"/>
        </w:rPr>
        <w:t xml:space="preserve">WSU AGR# </w:t>
      </w:r>
      <w:r>
        <w:rPr>
          <w:rFonts w:ascii="Arial" w:cs="Arial" w:eastAsia="Arial" w:hAnsi="Arial"/>
          <w:sz w:val="19"/>
          <w:szCs w:val="19"/>
          <w:color w:val="333333"/>
        </w:rPr>
        <w: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116252875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49465"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335" w:name="page336"/>
    <w:bookmarkEnd w:id="335"/>
    <w:tbl>
      <w:tblPr>
        <w:tblLayout w:type="fixed"/>
        <w:tblInd w:w="0" w:type="dxa"/>
        <w:tblCellMar>
          <w:top w:w="0" w:type="dxa"/>
          <w:left w:w="0" w:type="dxa"/>
          <w:bottom w:w="0" w:type="dxa"/>
          <w:right w:w="0" w:type="dxa"/>
        </w:tblCellMar>
      </w:tblPr>
      <w:tr>
        <w:trPr>
          <w:trHeight w:val="256"/>
        </w:trPr>
        <w:tc>
          <w:tcPr>
            <w:tcW w:w="20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180" w:type="dxa"/>
            <w:vAlign w:val="bottom"/>
          </w:tcPr>
          <w:p>
            <w:pPr>
              <w:ind w:left="1160"/>
              <w:spacing w:after="0"/>
              <w:rPr>
                <w:sz w:val="20"/>
                <w:szCs w:val="20"/>
                <w:color w:val="auto"/>
              </w:rPr>
            </w:pPr>
            <w:r>
              <w:rPr>
                <w:rFonts w:ascii="Arial" w:cs="Arial" w:eastAsia="Arial" w:hAnsi="Arial"/>
                <w:sz w:val="20"/>
                <w:szCs w:val="20"/>
                <w:b w:val="1"/>
                <w:bCs w:val="1"/>
                <w:color w:val="auto"/>
                <w:w w:val="89"/>
              </w:rPr>
              <w:t>Exhibit 10.9</w:t>
            </w:r>
          </w:p>
        </w:tc>
      </w:tr>
      <w:tr>
        <w:trPr>
          <w:trHeight w:val="445"/>
        </w:trPr>
        <w:tc>
          <w:tcPr>
            <w:tcW w:w="2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60" w:type="dxa"/>
            <w:vAlign w:val="bottom"/>
            <w:gridSpan w:val="3"/>
          </w:tcPr>
          <w:p>
            <w:pPr>
              <w:jc w:val="center"/>
              <w:ind w:left="161"/>
              <w:spacing w:after="0"/>
              <w:rPr>
                <w:sz w:val="20"/>
                <w:szCs w:val="20"/>
                <w:color w:val="auto"/>
              </w:rPr>
            </w:pPr>
            <w:r>
              <w:rPr>
                <w:rFonts w:ascii="Arial" w:cs="Arial" w:eastAsia="Arial" w:hAnsi="Arial"/>
                <w:sz w:val="20"/>
                <w:szCs w:val="20"/>
                <w:b w:val="1"/>
                <w:bCs w:val="1"/>
                <w:color w:val="auto"/>
                <w:w w:val="98"/>
              </w:rPr>
              <w:t>APPENDIX B</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401"/>
        </w:trPr>
        <w:tc>
          <w:tcPr>
            <w:tcW w:w="2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780" w:type="dxa"/>
            <w:vAlign w:val="bottom"/>
            <w:gridSpan w:val="9"/>
          </w:tcPr>
          <w:p>
            <w:pPr>
              <w:jc w:val="center"/>
              <w:ind w:right="4361"/>
              <w:spacing w:after="0"/>
              <w:rPr>
                <w:sz w:val="20"/>
                <w:szCs w:val="20"/>
                <w:color w:val="auto"/>
              </w:rPr>
            </w:pPr>
            <w:r>
              <w:rPr>
                <w:rFonts w:ascii="Arial" w:cs="Arial" w:eastAsia="Arial" w:hAnsi="Arial"/>
                <w:sz w:val="20"/>
                <w:szCs w:val="20"/>
                <w:b w:val="1"/>
                <w:bCs w:val="1"/>
                <w:color w:val="auto"/>
                <w:w w:val="98"/>
              </w:rPr>
              <w:t>WSU ROYALTY REPORT</w:t>
            </w:r>
          </w:p>
        </w:tc>
      </w:tr>
      <w:tr>
        <w:trPr>
          <w:trHeight w:val="20"/>
        </w:trPr>
        <w:tc>
          <w:tcPr>
            <w:tcW w:w="2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93"/>
        </w:trPr>
        <w:tc>
          <w:tcPr>
            <w:tcW w:w="2060" w:type="dxa"/>
            <w:vAlign w:val="bottom"/>
          </w:tcPr>
          <w:p>
            <w:pPr>
              <w:spacing w:after="0"/>
              <w:rPr>
                <w:sz w:val="20"/>
                <w:szCs w:val="20"/>
                <w:color w:val="auto"/>
              </w:rPr>
            </w:pPr>
            <w:r>
              <w:rPr>
                <w:rFonts w:ascii="Arial" w:cs="Arial" w:eastAsia="Arial" w:hAnsi="Arial"/>
                <w:sz w:val="20"/>
                <w:szCs w:val="20"/>
                <w:b w:val="1"/>
                <w:bCs w:val="1"/>
                <w:color w:val="auto"/>
              </w:rPr>
              <w:t>Licensee</w:t>
            </w:r>
            <w:r>
              <w:rPr>
                <w:rFonts w:ascii="Arial" w:cs="Arial" w:eastAsia="Arial" w:hAnsi="Arial"/>
                <w:sz w:val="20"/>
                <w:szCs w:val="20"/>
                <w:color w:val="auto"/>
              </w:rPr>
              <w:t>:</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720" w:type="dxa"/>
            <w:vAlign w:val="bottom"/>
            <w:gridSpan w:val="7"/>
          </w:tcPr>
          <w:p>
            <w:pPr>
              <w:ind w:left="100"/>
              <w:spacing w:after="0"/>
              <w:rPr>
                <w:sz w:val="20"/>
                <w:szCs w:val="20"/>
                <w:color w:val="auto"/>
              </w:rPr>
            </w:pPr>
            <w:r>
              <w:rPr>
                <w:rFonts w:ascii="Arial" w:cs="Arial" w:eastAsia="Arial" w:hAnsi="Arial"/>
                <w:sz w:val="20"/>
                <w:szCs w:val="20"/>
                <w:b w:val="1"/>
                <w:bCs w:val="1"/>
                <w:color w:val="auto"/>
              </w:rPr>
              <w:t>Agreement No</w:t>
            </w:r>
            <w:r>
              <w:rPr>
                <w:rFonts w:ascii="Arial" w:cs="Arial" w:eastAsia="Arial" w:hAnsi="Arial"/>
                <w:sz w:val="20"/>
                <w:szCs w:val="20"/>
                <w:color w:val="auto"/>
              </w:rPr>
              <w:t>.:</w:t>
            </w:r>
          </w:p>
        </w:tc>
      </w:tr>
      <w:tr>
        <w:trPr>
          <w:trHeight w:val="223"/>
        </w:trPr>
        <w:tc>
          <w:tcPr>
            <w:tcW w:w="2060" w:type="dxa"/>
            <w:vAlign w:val="bottom"/>
          </w:tcPr>
          <w:p>
            <w:pPr>
              <w:spacing w:after="0" w:line="223" w:lineRule="exact"/>
              <w:rPr>
                <w:sz w:val="20"/>
                <w:szCs w:val="20"/>
                <w:color w:val="auto"/>
              </w:rPr>
            </w:pPr>
            <w:r>
              <w:rPr>
                <w:rFonts w:ascii="Arial" w:cs="Arial" w:eastAsia="Arial" w:hAnsi="Arial"/>
                <w:sz w:val="20"/>
                <w:szCs w:val="20"/>
                <w:b w:val="1"/>
                <w:bCs w:val="1"/>
                <w:color w:val="auto"/>
              </w:rPr>
              <w:t>Inventor</w:t>
            </w:r>
            <w:r>
              <w:rPr>
                <w:rFonts w:ascii="Arial" w:cs="Arial" w:eastAsia="Arial" w:hAnsi="Arial"/>
                <w:sz w:val="20"/>
                <w:szCs w:val="20"/>
                <w:color w:val="auto"/>
              </w:rPr>
              <w:t>:</w:t>
            </w:r>
          </w:p>
        </w:tc>
        <w:tc>
          <w:tcPr>
            <w:tcW w:w="7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00" w:type="dxa"/>
            <w:vAlign w:val="bottom"/>
          </w:tcPr>
          <w:p>
            <w:pPr>
              <w:ind w:left="100"/>
              <w:spacing w:after="0" w:line="223" w:lineRule="exact"/>
              <w:rPr>
                <w:sz w:val="20"/>
                <w:szCs w:val="20"/>
                <w:color w:val="auto"/>
              </w:rPr>
            </w:pPr>
            <w:r>
              <w:rPr>
                <w:rFonts w:ascii="Arial" w:cs="Arial" w:eastAsia="Arial" w:hAnsi="Arial"/>
                <w:sz w:val="20"/>
                <w:szCs w:val="20"/>
                <w:b w:val="1"/>
                <w:bCs w:val="1"/>
                <w:color w:val="auto"/>
              </w:rPr>
              <w:t>P#</w:t>
            </w:r>
            <w:r>
              <w:rPr>
                <w:rFonts w:ascii="Arial" w:cs="Arial" w:eastAsia="Arial" w:hAnsi="Arial"/>
                <w:sz w:val="20"/>
                <w:szCs w:val="20"/>
                <w:color w:val="auto"/>
              </w:rPr>
              <w:t>:</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180" w:type="dxa"/>
            <w:vAlign w:val="bottom"/>
            <w:tcBorders>
              <w:top w:val="single" w:sz="8" w:color="auto"/>
              <w:bottom w:val="single" w:sz="8" w:color="auto"/>
            </w:tcBorders>
          </w:tcPr>
          <w:p>
            <w:pPr>
              <w:spacing w:after="0"/>
              <w:rPr>
                <w:sz w:val="19"/>
                <w:szCs w:val="19"/>
                <w:color w:val="auto"/>
              </w:rPr>
            </w:pPr>
          </w:p>
        </w:tc>
      </w:tr>
      <w:tr>
        <w:trPr>
          <w:trHeight w:val="183"/>
        </w:trPr>
        <w:tc>
          <w:tcPr>
            <w:tcW w:w="2060" w:type="dxa"/>
            <w:vAlign w:val="bottom"/>
          </w:tcPr>
          <w:p>
            <w:pPr>
              <w:spacing w:after="0" w:line="183" w:lineRule="exact"/>
              <w:rPr>
                <w:sz w:val="20"/>
                <w:szCs w:val="20"/>
                <w:color w:val="auto"/>
              </w:rPr>
            </w:pPr>
            <w:r>
              <w:rPr>
                <w:rFonts w:ascii="Arial" w:cs="Arial" w:eastAsia="Arial" w:hAnsi="Arial"/>
                <w:sz w:val="20"/>
                <w:szCs w:val="20"/>
                <w:b w:val="1"/>
                <w:bCs w:val="1"/>
                <w:color w:val="auto"/>
              </w:rPr>
              <w:t>Period Covered:</w:t>
            </w:r>
          </w:p>
        </w:tc>
        <w:tc>
          <w:tcPr>
            <w:tcW w:w="1820" w:type="dxa"/>
            <w:vAlign w:val="bottom"/>
            <w:gridSpan w:val="3"/>
          </w:tcPr>
          <w:p>
            <w:pPr>
              <w:spacing w:after="0" w:line="183" w:lineRule="exact"/>
              <w:rPr>
                <w:sz w:val="20"/>
                <w:szCs w:val="20"/>
                <w:color w:val="auto"/>
              </w:rPr>
            </w:pPr>
            <w:r>
              <w:rPr>
                <w:rFonts w:ascii="Arial" w:cs="Arial" w:eastAsia="Arial" w:hAnsi="Arial"/>
                <w:sz w:val="20"/>
                <w:szCs w:val="20"/>
                <w:color w:val="auto"/>
              </w:rPr>
              <w:t xml:space="preserve">From: </w:t>
            </w:r>
            <w:r>
              <w:rPr>
                <w:rFonts w:ascii="Arial" w:cs="Arial" w:eastAsia="Arial" w:hAnsi="Arial"/>
                <w:sz w:val="20"/>
                <w:szCs w:val="20"/>
                <w:u w:val="single" w:color="auto"/>
                <w:color w:val="auto"/>
              </w:rPr>
              <w:t>/</w:t>
            </w:r>
            <w:r>
              <w:rPr>
                <w:rFonts w:ascii="Arial" w:cs="Arial" w:eastAsia="Arial" w:hAnsi="Arial"/>
                <w:sz w:val="20"/>
                <w:szCs w:val="20"/>
                <w:color w:val="auto"/>
              </w:rPr>
              <w:t xml:space="preserve">  /201*</w:t>
            </w: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ind w:left="100"/>
              <w:spacing w:after="0" w:line="183" w:lineRule="exact"/>
              <w:rPr>
                <w:sz w:val="20"/>
                <w:szCs w:val="20"/>
                <w:color w:val="auto"/>
              </w:rPr>
            </w:pPr>
            <w:r>
              <w:rPr>
                <w:rFonts w:ascii="Arial" w:cs="Arial" w:eastAsia="Arial" w:hAnsi="Arial"/>
                <w:sz w:val="20"/>
                <w:szCs w:val="20"/>
                <w:b w:val="1"/>
                <w:bCs w:val="1"/>
                <w:color w:val="auto"/>
              </w:rPr>
              <w:t>Through:</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20" w:type="dxa"/>
            <w:vAlign w:val="bottom"/>
            <w:gridSpan w:val="3"/>
          </w:tcPr>
          <w:p>
            <w:pPr>
              <w:jc w:val="right"/>
              <w:ind w:right="900"/>
              <w:spacing w:after="0" w:line="183" w:lineRule="exact"/>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 xml:space="preserve">  /201*</w:t>
            </w:r>
          </w:p>
        </w:tc>
        <w:tc>
          <w:tcPr>
            <w:tcW w:w="2180" w:type="dxa"/>
            <w:vAlign w:val="bottom"/>
          </w:tcPr>
          <w:p>
            <w:pPr>
              <w:spacing w:after="0"/>
              <w:rPr>
                <w:sz w:val="15"/>
                <w:szCs w:val="15"/>
                <w:color w:val="auto"/>
              </w:rPr>
            </w:pPr>
          </w:p>
        </w:tc>
      </w:tr>
      <w:tr>
        <w:trPr>
          <w:trHeight w:val="250"/>
        </w:trPr>
        <w:tc>
          <w:tcPr>
            <w:tcW w:w="2060" w:type="dxa"/>
            <w:vAlign w:val="bottom"/>
          </w:tcPr>
          <w:p>
            <w:pPr>
              <w:spacing w:after="0"/>
              <w:rPr>
                <w:sz w:val="20"/>
                <w:szCs w:val="20"/>
                <w:color w:val="auto"/>
              </w:rPr>
            </w:pPr>
            <w:r>
              <w:rPr>
                <w:rFonts w:ascii="Arial" w:cs="Arial" w:eastAsia="Arial" w:hAnsi="Arial"/>
                <w:sz w:val="20"/>
                <w:szCs w:val="20"/>
                <w:b w:val="1"/>
                <w:bCs w:val="1"/>
                <w:color w:val="auto"/>
              </w:rPr>
              <w:t>Prepared By:</w:t>
            </w:r>
          </w:p>
        </w:tc>
        <w:tc>
          <w:tcPr>
            <w:tcW w:w="780" w:type="dxa"/>
            <w:vAlign w:val="bottom"/>
            <w:tcBorders>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0" w:type="dxa"/>
            <w:vAlign w:val="bottom"/>
          </w:tcPr>
          <w:p>
            <w:pPr>
              <w:ind w:left="100"/>
              <w:spacing w:after="0"/>
              <w:rPr>
                <w:sz w:val="20"/>
                <w:szCs w:val="20"/>
                <w:color w:val="auto"/>
              </w:rPr>
            </w:pPr>
            <w:r>
              <w:rPr>
                <w:rFonts w:ascii="Arial" w:cs="Arial" w:eastAsia="Arial" w:hAnsi="Arial"/>
                <w:sz w:val="20"/>
                <w:szCs w:val="20"/>
                <w:b w:val="1"/>
                <w:bCs w:val="1"/>
                <w:color w:val="auto"/>
              </w:rPr>
              <w:t>Date:</w:t>
            </w: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spacing w:after="0"/>
              <w:rPr>
                <w:sz w:val="21"/>
                <w:szCs w:val="21"/>
                <w:color w:val="auto"/>
              </w:rPr>
            </w:pPr>
          </w:p>
        </w:tc>
      </w:tr>
      <w:tr>
        <w:trPr>
          <w:trHeight w:val="223"/>
        </w:trPr>
        <w:tc>
          <w:tcPr>
            <w:tcW w:w="2060" w:type="dxa"/>
            <w:vAlign w:val="bottom"/>
          </w:tcPr>
          <w:p>
            <w:pPr>
              <w:spacing w:after="0" w:line="223" w:lineRule="exact"/>
              <w:rPr>
                <w:sz w:val="20"/>
                <w:szCs w:val="20"/>
                <w:color w:val="auto"/>
              </w:rPr>
            </w:pPr>
            <w:r>
              <w:rPr>
                <w:rFonts w:ascii="Arial" w:cs="Arial" w:eastAsia="Arial" w:hAnsi="Arial"/>
                <w:sz w:val="20"/>
                <w:szCs w:val="20"/>
                <w:b w:val="1"/>
                <w:bCs w:val="1"/>
                <w:color w:val="auto"/>
              </w:rPr>
              <w:t>Approved By:</w:t>
            </w: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Pr>
          <w:p>
            <w:pPr>
              <w:ind w:left="100"/>
              <w:spacing w:after="0" w:line="223" w:lineRule="exact"/>
              <w:rPr>
                <w:sz w:val="20"/>
                <w:szCs w:val="20"/>
                <w:color w:val="auto"/>
              </w:rPr>
            </w:pPr>
            <w:r>
              <w:rPr>
                <w:rFonts w:ascii="Arial" w:cs="Arial" w:eastAsia="Arial" w:hAnsi="Arial"/>
                <w:sz w:val="20"/>
                <w:szCs w:val="20"/>
                <w:b w:val="1"/>
                <w:bCs w:val="1"/>
                <w:color w:val="auto"/>
              </w:rPr>
              <w:t>Date:</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r>
      <w:tr>
        <w:trPr>
          <w:trHeight w:val="503"/>
        </w:trPr>
        <w:tc>
          <w:tcPr>
            <w:tcW w:w="2060" w:type="dxa"/>
            <w:vAlign w:val="bottom"/>
          </w:tcPr>
          <w:p>
            <w:pPr>
              <w:spacing w:after="0"/>
              <w:rPr>
                <w:sz w:val="24"/>
                <w:szCs w:val="24"/>
                <w:color w:val="auto"/>
              </w:rPr>
            </w:pPr>
          </w:p>
        </w:tc>
        <w:tc>
          <w:tcPr>
            <w:tcW w:w="9180" w:type="dxa"/>
            <w:vAlign w:val="bottom"/>
            <w:gridSpan w:val="13"/>
          </w:tcPr>
          <w:p>
            <w:pPr>
              <w:jc w:val="center"/>
              <w:ind w:right="2001"/>
              <w:spacing w:after="0"/>
              <w:rPr>
                <w:sz w:val="20"/>
                <w:szCs w:val="20"/>
                <w:color w:val="auto"/>
              </w:rPr>
            </w:pPr>
            <w:r>
              <w:rPr>
                <w:rFonts w:ascii="Arial" w:cs="Arial" w:eastAsia="Arial" w:hAnsi="Arial"/>
                <w:sz w:val="20"/>
                <w:szCs w:val="20"/>
                <w:color w:val="auto"/>
                <w:w w:val="88"/>
              </w:rPr>
              <w:t>If license covers several major Licensed Product lines, please prepare a separate report</w:t>
            </w:r>
          </w:p>
        </w:tc>
      </w:tr>
      <w:tr>
        <w:trPr>
          <w:trHeight w:val="250"/>
        </w:trPr>
        <w:tc>
          <w:tcPr>
            <w:tcW w:w="2060" w:type="dxa"/>
            <w:vAlign w:val="bottom"/>
          </w:tcPr>
          <w:p>
            <w:pPr>
              <w:spacing w:after="0"/>
              <w:rPr>
                <w:sz w:val="21"/>
                <w:szCs w:val="21"/>
                <w:color w:val="auto"/>
              </w:rPr>
            </w:pPr>
          </w:p>
        </w:tc>
        <w:tc>
          <w:tcPr>
            <w:tcW w:w="9180" w:type="dxa"/>
            <w:vAlign w:val="bottom"/>
            <w:gridSpan w:val="13"/>
          </w:tcPr>
          <w:p>
            <w:pPr>
              <w:jc w:val="center"/>
              <w:ind w:right="1941"/>
              <w:spacing w:after="0"/>
              <w:rPr>
                <w:sz w:val="20"/>
                <w:szCs w:val="20"/>
                <w:color w:val="auto"/>
              </w:rPr>
            </w:pPr>
            <w:r>
              <w:rPr>
                <w:rFonts w:ascii="Arial" w:cs="Arial" w:eastAsia="Arial" w:hAnsi="Arial"/>
                <w:sz w:val="20"/>
                <w:szCs w:val="20"/>
                <w:color w:val="auto"/>
                <w:w w:val="89"/>
              </w:rPr>
              <w:t>for each such line. Then combine all Licensed Product lines into a summary report.</w:t>
            </w:r>
          </w:p>
        </w:tc>
      </w:tr>
      <w:tr>
        <w:trPr>
          <w:trHeight w:val="253"/>
        </w:trPr>
        <w:tc>
          <w:tcPr>
            <w:tcW w:w="2060" w:type="dxa"/>
            <w:vAlign w:val="bottom"/>
          </w:tcPr>
          <w:p>
            <w:pPr>
              <w:ind w:left="840"/>
              <w:spacing w:after="0"/>
              <w:rPr>
                <w:sz w:val="20"/>
                <w:szCs w:val="20"/>
                <w:color w:val="auto"/>
              </w:rPr>
            </w:pPr>
            <w:r>
              <w:rPr>
                <w:rFonts w:ascii="Arial" w:cs="Arial" w:eastAsia="Arial" w:hAnsi="Arial"/>
                <w:sz w:val="20"/>
                <w:szCs w:val="20"/>
                <w:b w:val="1"/>
                <w:bCs w:val="1"/>
                <w:color w:val="auto"/>
                <w:w w:val="97"/>
              </w:rPr>
              <w:t>Report Type:</w:t>
            </w:r>
          </w:p>
        </w:tc>
        <w:tc>
          <w:tcPr>
            <w:tcW w:w="3060" w:type="dxa"/>
            <w:vAlign w:val="bottom"/>
            <w:gridSpan w:val="5"/>
          </w:tcPr>
          <w:p>
            <w:pPr>
              <w:ind w:left="580"/>
              <w:spacing w:after="0"/>
              <w:rPr>
                <w:sz w:val="20"/>
                <w:szCs w:val="20"/>
                <w:color w:val="auto"/>
              </w:rPr>
            </w:pPr>
            <w:r>
              <w:rPr>
                <w:rFonts w:ascii="Arial" w:cs="Arial" w:eastAsia="Arial" w:hAnsi="Arial"/>
                <w:sz w:val="20"/>
                <w:szCs w:val="20"/>
                <w:b w:val="1"/>
                <w:bCs w:val="1"/>
                <w:color w:val="auto"/>
                <w:w w:val="92"/>
              </w:rPr>
              <w:t>Single Product Line Report:</w:t>
            </w:r>
          </w:p>
        </w:tc>
        <w:tc>
          <w:tcPr>
            <w:tcW w:w="1400" w:type="dxa"/>
            <w:vAlign w:val="bottom"/>
            <w:tcBorders>
              <w:bottom w:val="single" w:sz="8" w:color="auto"/>
            </w:tcBorders>
            <w:gridSpan w:val="2"/>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180" w:type="dxa"/>
            <w:vAlign w:val="bottom"/>
          </w:tcPr>
          <w:p>
            <w:pPr>
              <w:spacing w:after="0"/>
              <w:rPr>
                <w:sz w:val="21"/>
                <w:szCs w:val="21"/>
                <w:color w:val="auto"/>
              </w:rPr>
            </w:pPr>
          </w:p>
        </w:tc>
      </w:tr>
      <w:tr>
        <w:trPr>
          <w:trHeight w:val="227"/>
        </w:trPr>
        <w:tc>
          <w:tcPr>
            <w:tcW w:w="2060" w:type="dxa"/>
            <w:vAlign w:val="bottom"/>
          </w:tcPr>
          <w:p>
            <w:pPr>
              <w:spacing w:after="0"/>
              <w:rPr>
                <w:sz w:val="19"/>
                <w:szCs w:val="19"/>
                <w:color w:val="auto"/>
              </w:rPr>
            </w:pPr>
          </w:p>
        </w:tc>
        <w:tc>
          <w:tcPr>
            <w:tcW w:w="9180" w:type="dxa"/>
            <w:vAlign w:val="bottom"/>
            <w:gridSpan w:val="13"/>
          </w:tcPr>
          <w:p>
            <w:pPr>
              <w:ind w:left="440"/>
              <w:spacing w:after="0" w:line="228" w:lineRule="exact"/>
              <w:rPr>
                <w:sz w:val="20"/>
                <w:szCs w:val="20"/>
                <w:color w:val="auto"/>
              </w:rPr>
            </w:pPr>
            <w:r>
              <w:rPr>
                <w:rFonts w:ascii="Arial" w:cs="Arial" w:eastAsia="Arial" w:hAnsi="Arial"/>
                <w:sz w:val="20"/>
                <w:szCs w:val="20"/>
                <w:b w:val="1"/>
                <w:bCs w:val="1"/>
                <w:color w:val="auto"/>
              </w:rPr>
              <w:t xml:space="preserve">Multiproduct Summary Report. </w:t>
            </w:r>
            <w:r>
              <w:rPr>
                <w:rFonts w:ascii="Arial" w:cs="Arial" w:eastAsia="Arial" w:hAnsi="Arial"/>
                <w:sz w:val="20"/>
                <w:szCs w:val="20"/>
                <w:color w:val="auto"/>
              </w:rPr>
              <w:t>Page 1 of ____ Pages</w:t>
            </w:r>
          </w:p>
        </w:tc>
      </w:tr>
      <w:tr>
        <w:trPr>
          <w:trHeight w:val="256"/>
        </w:trPr>
        <w:tc>
          <w:tcPr>
            <w:tcW w:w="2060" w:type="dxa"/>
            <w:vAlign w:val="bottom"/>
          </w:tcPr>
          <w:p>
            <w:pPr>
              <w:spacing w:after="0"/>
              <w:rPr>
                <w:sz w:val="22"/>
                <w:szCs w:val="22"/>
                <w:color w:val="auto"/>
              </w:rPr>
            </w:pPr>
          </w:p>
        </w:tc>
        <w:tc>
          <w:tcPr>
            <w:tcW w:w="4460" w:type="dxa"/>
            <w:vAlign w:val="bottom"/>
            <w:gridSpan w:val="7"/>
          </w:tcPr>
          <w:p>
            <w:pPr>
              <w:ind w:left="440"/>
              <w:spacing w:after="0"/>
              <w:rPr>
                <w:sz w:val="20"/>
                <w:szCs w:val="20"/>
                <w:color w:val="auto"/>
              </w:rPr>
            </w:pPr>
            <w:r>
              <w:rPr>
                <w:rFonts w:ascii="Arial" w:cs="Arial" w:eastAsia="Arial" w:hAnsi="Arial"/>
                <w:sz w:val="20"/>
                <w:szCs w:val="20"/>
                <w:b w:val="1"/>
                <w:bCs w:val="1"/>
                <w:color w:val="auto"/>
              </w:rPr>
              <w:t>Licensed Product Line Detail.</w:t>
            </w: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180" w:type="dxa"/>
            <w:vAlign w:val="bottom"/>
          </w:tcPr>
          <w:p>
            <w:pPr>
              <w:spacing w:after="0"/>
              <w:rPr>
                <w:sz w:val="22"/>
                <w:szCs w:val="22"/>
                <w:color w:val="auto"/>
              </w:rPr>
            </w:pPr>
          </w:p>
        </w:tc>
      </w:tr>
      <w:tr>
        <w:trPr>
          <w:trHeight w:val="346"/>
        </w:trPr>
        <w:tc>
          <w:tcPr>
            <w:tcW w:w="2060" w:type="dxa"/>
            <w:vAlign w:val="bottom"/>
          </w:tcPr>
          <w:p>
            <w:pPr>
              <w:spacing w:after="0"/>
              <w:rPr>
                <w:sz w:val="24"/>
                <w:szCs w:val="24"/>
                <w:color w:val="auto"/>
              </w:rPr>
            </w:pPr>
          </w:p>
        </w:tc>
        <w:tc>
          <w:tcPr>
            <w:tcW w:w="1820" w:type="dxa"/>
            <w:vAlign w:val="bottom"/>
            <w:gridSpan w:val="3"/>
          </w:tcPr>
          <w:p>
            <w:pPr>
              <w:ind w:left="440"/>
              <w:spacing w:after="0"/>
              <w:rPr>
                <w:sz w:val="20"/>
                <w:szCs w:val="20"/>
                <w:color w:val="auto"/>
              </w:rPr>
            </w:pPr>
            <w:r>
              <w:rPr>
                <w:rFonts w:ascii="Arial" w:cs="Arial" w:eastAsia="Arial" w:hAnsi="Arial"/>
                <w:sz w:val="20"/>
                <w:szCs w:val="20"/>
                <w:color w:val="auto"/>
              </w:rPr>
              <w:t>Line:</w:t>
            </w:r>
          </w:p>
        </w:tc>
        <w:tc>
          <w:tcPr>
            <w:tcW w:w="580" w:type="dxa"/>
            <w:vAlign w:val="bottom"/>
          </w:tcPr>
          <w:p>
            <w:pPr>
              <w:spacing w:after="0"/>
              <w:rPr>
                <w:sz w:val="24"/>
                <w:szCs w:val="24"/>
                <w:color w:val="auto"/>
              </w:rPr>
            </w:pPr>
          </w:p>
        </w:tc>
        <w:tc>
          <w:tcPr>
            <w:tcW w:w="2060" w:type="dxa"/>
            <w:vAlign w:val="bottom"/>
            <w:gridSpan w:val="3"/>
          </w:tcPr>
          <w:p>
            <w:pPr>
              <w:ind w:left="200"/>
              <w:spacing w:after="0"/>
              <w:rPr>
                <w:sz w:val="20"/>
                <w:szCs w:val="20"/>
                <w:color w:val="auto"/>
              </w:rPr>
            </w:pPr>
            <w:r>
              <w:rPr>
                <w:rFonts w:ascii="Arial" w:cs="Arial" w:eastAsia="Arial" w:hAnsi="Arial"/>
                <w:sz w:val="20"/>
                <w:szCs w:val="20"/>
                <w:color w:val="auto"/>
              </w:rPr>
              <w:t>Trade</w:t>
            </w:r>
          </w:p>
        </w:tc>
        <w:tc>
          <w:tcPr>
            <w:tcW w:w="4720" w:type="dxa"/>
            <w:vAlign w:val="bottom"/>
            <w:gridSpan w:val="6"/>
          </w:tcPr>
          <w:p>
            <w:pPr>
              <w:ind w:left="100"/>
              <w:spacing w:after="0"/>
              <w:rPr>
                <w:sz w:val="20"/>
                <w:szCs w:val="20"/>
                <w:color w:val="auto"/>
              </w:rPr>
            </w:pPr>
            <w:r>
              <w:rPr>
                <w:rFonts w:ascii="Arial" w:cs="Arial" w:eastAsia="Arial" w:hAnsi="Arial"/>
                <w:sz w:val="20"/>
                <w:szCs w:val="20"/>
                <w:color w:val="auto"/>
              </w:rPr>
              <w:t>Page: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80" w:type="dxa"/>
            <w:vAlign w:val="bottom"/>
            <w:gridSpan w:val="3"/>
          </w:tcPr>
          <w:p>
            <w:pPr>
              <w:ind w:left="20"/>
              <w:spacing w:after="0"/>
              <w:rPr>
                <w:sz w:val="20"/>
                <w:szCs w:val="20"/>
                <w:color w:val="auto"/>
              </w:rPr>
            </w:pPr>
            <w:r>
              <w:rPr>
                <w:rFonts w:ascii="Arial" w:cs="Arial" w:eastAsia="Arial" w:hAnsi="Arial"/>
                <w:sz w:val="20"/>
                <w:szCs w:val="20"/>
                <w:color w:val="auto"/>
              </w:rPr>
              <w:t>name:</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2940" w:type="dxa"/>
            <w:vAlign w:val="bottom"/>
            <w:gridSpan w:val="3"/>
          </w:tcPr>
          <w:p>
            <w:pPr>
              <w:jc w:val="right"/>
              <w:ind w:right="201"/>
              <w:spacing w:after="0"/>
              <w:rPr>
                <w:sz w:val="20"/>
                <w:szCs w:val="20"/>
                <w:color w:val="auto"/>
              </w:rPr>
            </w:pPr>
            <w:r>
              <w:rPr>
                <w:rFonts w:ascii="Arial" w:cs="Arial" w:eastAsia="Arial" w:hAnsi="Arial"/>
                <w:sz w:val="20"/>
                <w:szCs w:val="20"/>
                <w:b w:val="1"/>
                <w:bCs w:val="1"/>
                <w:color w:val="auto"/>
                <w:w w:val="91"/>
              </w:rPr>
              <w:t>Report Currency: U. S. Dollars</w:t>
            </w:r>
          </w:p>
        </w:tc>
        <w:tc>
          <w:tcPr>
            <w:tcW w:w="1600" w:type="dxa"/>
            <w:vAlign w:val="bottom"/>
            <w:tcBorders>
              <w:top w:val="single" w:sz="8" w:color="auto"/>
            </w:tcBorders>
            <w:gridSpan w:val="2"/>
          </w:tcPr>
          <w:p>
            <w:pPr>
              <w:ind w:left="360"/>
              <w:spacing w:after="0"/>
              <w:rPr>
                <w:sz w:val="20"/>
                <w:szCs w:val="20"/>
                <w:color w:val="auto"/>
              </w:rPr>
            </w:pPr>
            <w:r>
              <w:rPr>
                <w:rFonts w:ascii="Arial" w:cs="Arial" w:eastAsia="Arial" w:hAnsi="Arial"/>
                <w:sz w:val="20"/>
                <w:szCs w:val="20"/>
                <w:b w:val="1"/>
                <w:bCs w:val="1"/>
                <w:color w:val="auto"/>
              </w:rPr>
              <w:t>Other</w:t>
            </w:r>
          </w:p>
        </w:tc>
        <w:tc>
          <w:tcPr>
            <w:tcW w:w="2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40" w:type="dxa"/>
            <w:vAlign w:val="bottom"/>
          </w:tcPr>
          <w:p>
            <w:pPr>
              <w:jc w:val="right"/>
              <w:ind w:right="161"/>
              <w:spacing w:after="0"/>
              <w:rPr>
                <w:sz w:val="20"/>
                <w:szCs w:val="20"/>
                <w:color w:val="auto"/>
              </w:rPr>
            </w:pPr>
            <w:r>
              <w:rPr>
                <w:rFonts w:ascii="Arial" w:cs="Arial" w:eastAsia="Arial" w:hAnsi="Arial"/>
                <w:sz w:val="20"/>
                <w:szCs w:val="20"/>
                <w:b w:val="1"/>
                <w:bCs w:val="1"/>
                <w:color w:val="auto"/>
              </w:rPr>
              <w:t>Gross</w:t>
            </w:r>
          </w:p>
        </w:tc>
        <w:tc>
          <w:tcPr>
            <w:tcW w:w="1600" w:type="dxa"/>
            <w:vAlign w:val="bottom"/>
            <w:gridSpan w:val="2"/>
          </w:tcPr>
          <w:p>
            <w:pPr>
              <w:jc w:val="center"/>
              <w:ind w:left="481"/>
              <w:spacing w:after="0"/>
              <w:rPr>
                <w:sz w:val="20"/>
                <w:szCs w:val="20"/>
                <w:color w:val="auto"/>
              </w:rPr>
            </w:pPr>
            <w:r>
              <w:rPr>
                <w:rFonts w:ascii="Arial" w:cs="Arial" w:eastAsia="Arial" w:hAnsi="Arial"/>
                <w:sz w:val="20"/>
                <w:szCs w:val="20"/>
                <w:b w:val="1"/>
                <w:bCs w:val="1"/>
                <w:color w:val="auto"/>
                <w:w w:val="88"/>
              </w:rPr>
              <w:t>* Less:</w:t>
            </w:r>
          </w:p>
        </w:tc>
        <w:tc>
          <w:tcPr>
            <w:tcW w:w="20" w:type="dxa"/>
            <w:vAlign w:val="bottom"/>
          </w:tcPr>
          <w:p>
            <w:pPr>
              <w:spacing w:after="0"/>
              <w:rPr>
                <w:sz w:val="23"/>
                <w:szCs w:val="23"/>
                <w:color w:val="auto"/>
              </w:rPr>
            </w:pPr>
          </w:p>
        </w:tc>
        <w:tc>
          <w:tcPr>
            <w:tcW w:w="1960" w:type="dxa"/>
            <w:vAlign w:val="bottom"/>
            <w:gridSpan w:val="2"/>
          </w:tcPr>
          <w:p>
            <w:pPr>
              <w:jc w:val="center"/>
              <w:ind w:left="41"/>
              <w:spacing w:after="0"/>
              <w:rPr>
                <w:sz w:val="20"/>
                <w:szCs w:val="20"/>
                <w:color w:val="auto"/>
              </w:rPr>
            </w:pPr>
            <w:r>
              <w:rPr>
                <w:rFonts w:ascii="Arial" w:cs="Arial" w:eastAsia="Arial" w:hAnsi="Arial"/>
                <w:sz w:val="20"/>
                <w:szCs w:val="20"/>
                <w:b w:val="1"/>
                <w:bCs w:val="1"/>
                <w:color w:val="auto"/>
                <w:w w:val="92"/>
              </w:rPr>
              <w:t>Net</w:t>
            </w:r>
          </w:p>
        </w:tc>
        <w:tc>
          <w:tcPr>
            <w:tcW w:w="1500" w:type="dxa"/>
            <w:vAlign w:val="bottom"/>
            <w:gridSpan w:val="2"/>
          </w:tcPr>
          <w:p>
            <w:pPr>
              <w:jc w:val="center"/>
              <w:ind w:right="160"/>
              <w:spacing w:after="0"/>
              <w:rPr>
                <w:sz w:val="20"/>
                <w:szCs w:val="20"/>
                <w:color w:val="auto"/>
              </w:rPr>
            </w:pPr>
            <w:r>
              <w:rPr>
                <w:rFonts w:ascii="Arial" w:cs="Arial" w:eastAsia="Arial" w:hAnsi="Arial"/>
                <w:sz w:val="20"/>
                <w:szCs w:val="20"/>
                <w:b w:val="1"/>
                <w:bCs w:val="1"/>
                <w:color w:val="auto"/>
                <w:w w:val="91"/>
              </w:rPr>
              <w:t>Royalty</w:t>
            </w:r>
          </w:p>
        </w:tc>
        <w:tc>
          <w:tcPr>
            <w:tcW w:w="180" w:type="dxa"/>
            <w:vAlign w:val="bottom"/>
          </w:tcPr>
          <w:p>
            <w:pPr>
              <w:spacing w:after="0"/>
              <w:rPr>
                <w:sz w:val="23"/>
                <w:szCs w:val="23"/>
                <w:color w:val="auto"/>
              </w:rPr>
            </w:pPr>
          </w:p>
        </w:tc>
        <w:tc>
          <w:tcPr>
            <w:tcW w:w="3040" w:type="dxa"/>
            <w:vAlign w:val="bottom"/>
            <w:gridSpan w:val="3"/>
          </w:tcPr>
          <w:p>
            <w:pPr>
              <w:ind w:left="420"/>
              <w:spacing w:after="0"/>
              <w:rPr>
                <w:sz w:val="20"/>
                <w:szCs w:val="20"/>
                <w:color w:val="auto"/>
              </w:rPr>
            </w:pPr>
            <w:r>
              <w:rPr>
                <w:rFonts w:ascii="Arial" w:cs="Arial" w:eastAsia="Arial" w:hAnsi="Arial"/>
                <w:sz w:val="20"/>
                <w:szCs w:val="20"/>
                <w:b w:val="1"/>
                <w:bCs w:val="1"/>
                <w:color w:val="auto"/>
              </w:rPr>
              <w:t>Period Royalty Amount</w:t>
            </w: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40" w:type="dxa"/>
            <w:vAlign w:val="bottom"/>
            <w:vMerge w:val="restart"/>
          </w:tcPr>
          <w:p>
            <w:pPr>
              <w:jc w:val="right"/>
              <w:ind w:right="161"/>
              <w:spacing w:after="0"/>
              <w:rPr>
                <w:sz w:val="20"/>
                <w:szCs w:val="20"/>
                <w:color w:val="auto"/>
              </w:rPr>
            </w:pPr>
            <w:r>
              <w:rPr>
                <w:rFonts w:ascii="Arial" w:cs="Arial" w:eastAsia="Arial" w:hAnsi="Arial"/>
                <w:sz w:val="20"/>
                <w:szCs w:val="20"/>
                <w:b w:val="1"/>
                <w:bCs w:val="1"/>
                <w:color w:val="auto"/>
              </w:rPr>
              <w:t>Sales</w:t>
            </w:r>
          </w:p>
        </w:tc>
        <w:tc>
          <w:tcPr>
            <w:tcW w:w="1600" w:type="dxa"/>
            <w:vAlign w:val="bottom"/>
            <w:gridSpan w:val="2"/>
            <w:vMerge w:val="restart"/>
          </w:tcPr>
          <w:p>
            <w:pPr>
              <w:jc w:val="center"/>
              <w:ind w:left="541"/>
              <w:spacing w:after="0"/>
              <w:rPr>
                <w:sz w:val="20"/>
                <w:szCs w:val="20"/>
                <w:color w:val="auto"/>
              </w:rPr>
            </w:pPr>
            <w:r>
              <w:rPr>
                <w:rFonts w:ascii="Arial" w:cs="Arial" w:eastAsia="Arial" w:hAnsi="Arial"/>
                <w:sz w:val="20"/>
                <w:szCs w:val="20"/>
                <w:b w:val="1"/>
                <w:bCs w:val="1"/>
                <w:color w:val="auto"/>
                <w:w w:val="87"/>
              </w:rPr>
              <w:t>Allowances</w:t>
            </w:r>
          </w:p>
        </w:tc>
        <w:tc>
          <w:tcPr>
            <w:tcW w:w="20" w:type="dxa"/>
            <w:vAlign w:val="bottom"/>
          </w:tcPr>
          <w:p>
            <w:pPr>
              <w:spacing w:after="0"/>
              <w:rPr>
                <w:sz w:val="9"/>
                <w:szCs w:val="9"/>
                <w:color w:val="auto"/>
              </w:rPr>
            </w:pPr>
          </w:p>
        </w:tc>
        <w:tc>
          <w:tcPr>
            <w:tcW w:w="1960" w:type="dxa"/>
            <w:vAlign w:val="bottom"/>
            <w:gridSpan w:val="2"/>
            <w:vMerge w:val="restart"/>
          </w:tcPr>
          <w:p>
            <w:pPr>
              <w:jc w:val="center"/>
              <w:ind w:left="101"/>
              <w:spacing w:after="0"/>
              <w:rPr>
                <w:sz w:val="20"/>
                <w:szCs w:val="20"/>
                <w:color w:val="auto"/>
              </w:rPr>
            </w:pPr>
            <w:r>
              <w:rPr>
                <w:rFonts w:ascii="Arial" w:cs="Arial" w:eastAsia="Arial" w:hAnsi="Arial"/>
                <w:sz w:val="20"/>
                <w:szCs w:val="20"/>
                <w:b w:val="1"/>
                <w:bCs w:val="1"/>
                <w:color w:val="auto"/>
                <w:w w:val="84"/>
              </w:rPr>
              <w:t>Sales</w:t>
            </w: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20"/>
                <w:szCs w:val="20"/>
                <w:b w:val="1"/>
                <w:bCs w:val="1"/>
                <w:color w:val="auto"/>
                <w:w w:val="92"/>
              </w:rPr>
              <w:t>Rate</w:t>
            </w:r>
          </w:p>
        </w:tc>
        <w:tc>
          <w:tcPr>
            <w:tcW w:w="1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gridSpan w:val="2"/>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1660" w:type="dxa"/>
            <w:vAlign w:val="bottom"/>
          </w:tcPr>
          <w:p>
            <w:pPr>
              <w:ind w:left="460"/>
              <w:spacing w:after="0"/>
              <w:rPr>
                <w:sz w:val="20"/>
                <w:szCs w:val="20"/>
                <w:color w:val="auto"/>
              </w:rPr>
            </w:pPr>
            <w:r>
              <w:rPr>
                <w:rFonts w:ascii="Arial" w:cs="Arial" w:eastAsia="Arial" w:hAnsi="Arial"/>
                <w:sz w:val="20"/>
                <w:szCs w:val="20"/>
                <w:b w:val="1"/>
                <w:bCs w:val="1"/>
                <w:color w:val="auto"/>
              </w:rPr>
              <w:t>Country</w:t>
            </w:r>
          </w:p>
        </w:tc>
        <w:tc>
          <w:tcPr>
            <w:tcW w:w="1240" w:type="dxa"/>
            <w:vAlign w:val="bottom"/>
            <w:vMerge w:val="continue"/>
          </w:tcPr>
          <w:p>
            <w:pPr>
              <w:spacing w:after="0"/>
              <w:rPr>
                <w:sz w:val="24"/>
                <w:szCs w:val="24"/>
                <w:color w:val="auto"/>
              </w:rPr>
            </w:pPr>
          </w:p>
        </w:tc>
        <w:tc>
          <w:tcPr>
            <w:tcW w:w="16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2"/>
            <w:vMerge w:val="continue"/>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20"/>
                <w:szCs w:val="20"/>
                <w:b w:val="1"/>
                <w:bCs w:val="1"/>
                <w:color w:val="auto"/>
              </w:rPr>
              <w:t>This Year</w:t>
            </w:r>
          </w:p>
        </w:tc>
        <w:tc>
          <w:tcPr>
            <w:tcW w:w="1620" w:type="dxa"/>
            <w:vAlign w:val="bottom"/>
          </w:tcPr>
          <w:p>
            <w:pPr>
              <w:ind w:left="380"/>
              <w:spacing w:after="0"/>
              <w:rPr>
                <w:sz w:val="20"/>
                <w:szCs w:val="20"/>
                <w:color w:val="auto"/>
              </w:rPr>
            </w:pPr>
            <w:r>
              <w:rPr>
                <w:rFonts w:ascii="Arial" w:cs="Arial" w:eastAsia="Arial" w:hAnsi="Arial"/>
                <w:sz w:val="20"/>
                <w:szCs w:val="20"/>
                <w:b w:val="1"/>
                <w:bCs w:val="1"/>
                <w:color w:val="auto"/>
              </w:rPr>
              <w:t>Last Year</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660" w:type="dxa"/>
            <w:vAlign w:val="bottom"/>
          </w:tcPr>
          <w:p>
            <w:pPr>
              <w:ind w:left="140"/>
              <w:spacing w:after="0"/>
              <w:rPr>
                <w:sz w:val="20"/>
                <w:szCs w:val="20"/>
                <w:color w:val="auto"/>
              </w:rPr>
            </w:pPr>
            <w:r>
              <w:rPr>
                <w:rFonts w:ascii="Arial" w:cs="Arial" w:eastAsia="Arial" w:hAnsi="Arial"/>
                <w:sz w:val="20"/>
                <w:szCs w:val="20"/>
                <w:color w:val="auto"/>
              </w:rPr>
              <w:t>U.S.A.</w:t>
            </w:r>
          </w:p>
        </w:tc>
        <w:tc>
          <w:tcPr>
            <w:tcW w:w="1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660" w:type="dxa"/>
            <w:vAlign w:val="bottom"/>
          </w:tcPr>
          <w:p>
            <w:pPr>
              <w:ind w:left="140"/>
              <w:spacing w:after="0"/>
              <w:rPr>
                <w:sz w:val="20"/>
                <w:szCs w:val="20"/>
                <w:color w:val="auto"/>
              </w:rPr>
            </w:pPr>
            <w:r>
              <w:rPr>
                <w:rFonts w:ascii="Arial" w:cs="Arial" w:eastAsia="Arial" w:hAnsi="Arial"/>
                <w:sz w:val="20"/>
                <w:szCs w:val="20"/>
                <w:color w:val="auto"/>
              </w:rPr>
              <w:t>Canada</w:t>
            </w:r>
          </w:p>
        </w:tc>
        <w:tc>
          <w:tcPr>
            <w:tcW w:w="1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660" w:type="dxa"/>
            <w:vAlign w:val="bottom"/>
          </w:tcPr>
          <w:p>
            <w:pPr>
              <w:ind w:left="140"/>
              <w:spacing w:after="0"/>
              <w:rPr>
                <w:sz w:val="20"/>
                <w:szCs w:val="20"/>
                <w:color w:val="auto"/>
              </w:rPr>
            </w:pPr>
            <w:r>
              <w:rPr>
                <w:rFonts w:ascii="Arial" w:cs="Arial" w:eastAsia="Arial" w:hAnsi="Arial"/>
                <w:sz w:val="20"/>
                <w:szCs w:val="20"/>
                <w:color w:val="auto"/>
              </w:rPr>
              <w:t>Europe:</w:t>
            </w:r>
          </w:p>
        </w:tc>
        <w:tc>
          <w:tcPr>
            <w:tcW w:w="1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-1144270</wp:posOffset>
            </wp:positionV>
            <wp:extent cx="7132320" cy="339471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32320"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Arial" w:cs="Arial" w:eastAsia="Arial" w:hAnsi="Arial"/>
          <w:sz w:val="20"/>
          <w:szCs w:val="20"/>
          <w:color w:val="auto"/>
        </w:rPr>
        <w:t>Japan</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20"/>
          <w:szCs w:val="20"/>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TOTAL:</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480" w:type="dxa"/>
            <w:vAlign w:val="bottom"/>
          </w:tcPr>
          <w:p>
            <w:pPr>
              <w:spacing w:after="0"/>
              <w:rPr>
                <w:sz w:val="20"/>
                <w:szCs w:val="20"/>
                <w:color w:val="auto"/>
              </w:rPr>
            </w:pPr>
            <w:r>
              <w:rPr>
                <w:rFonts w:ascii="Arial" w:cs="Arial" w:eastAsia="Arial" w:hAnsi="Arial"/>
                <w:sz w:val="20"/>
                <w:szCs w:val="20"/>
                <w:color w:val="auto"/>
              </w:rPr>
              <w:t>Total Earned Royalty:</w:t>
            </w:r>
          </w:p>
        </w:tc>
        <w:tc>
          <w:tcPr>
            <w:tcW w:w="1980" w:type="dxa"/>
            <w:vAlign w:val="bottom"/>
            <w:gridSpan w:val="3"/>
          </w:tcPr>
          <w:p>
            <w:pPr>
              <w:ind w:left="220"/>
              <w:spacing w:after="0"/>
              <w:rPr>
                <w:sz w:val="20"/>
                <w:szCs w:val="20"/>
                <w:color w:val="auto"/>
              </w:rPr>
            </w:pPr>
            <w:r>
              <w:rPr>
                <w:rFonts w:ascii="Arial" w:cs="Arial" w:eastAsia="Arial" w:hAnsi="Arial"/>
                <w:sz w:val="20"/>
                <w:szCs w:val="20"/>
                <w:color w:val="auto"/>
              </w:rPr>
              <w:t>Conversion Rate:</w:t>
            </w: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80" w:type="dxa"/>
            <w:vAlign w:val="bottom"/>
            <w:gridSpan w:val="2"/>
          </w:tcPr>
          <w:p>
            <w:pPr>
              <w:ind w:left="100"/>
              <w:spacing w:after="0"/>
              <w:rPr>
                <w:sz w:val="20"/>
                <w:szCs w:val="20"/>
                <w:color w:val="auto"/>
              </w:rPr>
            </w:pPr>
            <w:r>
              <w:rPr>
                <w:rFonts w:ascii="Arial" w:cs="Arial" w:eastAsia="Arial" w:hAnsi="Arial"/>
                <w:sz w:val="20"/>
                <w:szCs w:val="20"/>
                <w:color w:val="auto"/>
                <w:w w:val="94"/>
              </w:rPr>
              <w:t>Royalty in U.S. Dollars:  $</w:t>
            </w:r>
          </w:p>
        </w:tc>
      </w:tr>
      <w:tr>
        <w:trPr>
          <w:trHeight w:val="454"/>
        </w:trPr>
        <w:tc>
          <w:tcPr>
            <w:tcW w:w="10800" w:type="dxa"/>
            <w:vAlign w:val="bottom"/>
            <w:gridSpan w:val="9"/>
          </w:tcPr>
          <w:p>
            <w:pPr>
              <w:ind w:left="840"/>
              <w:spacing w:after="0"/>
              <w:rPr>
                <w:sz w:val="20"/>
                <w:szCs w:val="20"/>
                <w:color w:val="auto"/>
              </w:rPr>
            </w:pPr>
            <w:r>
              <w:rPr>
                <w:rFonts w:ascii="Arial" w:cs="Arial" w:eastAsia="Arial" w:hAnsi="Arial"/>
                <w:sz w:val="20"/>
                <w:szCs w:val="20"/>
                <w:color w:val="auto"/>
              </w:rPr>
              <w:t>The following earned royalty forecast is non-binding and for WSU’s internal planning purposes only:</w:t>
            </w:r>
          </w:p>
        </w:tc>
        <w:tc>
          <w:tcPr>
            <w:tcW w:w="100" w:type="dxa"/>
            <w:vAlign w:val="bottom"/>
            <w:tcBorders>
              <w:top w:val="single" w:sz="8" w:color="auto"/>
            </w:tcBorders>
          </w:tcPr>
          <w:p>
            <w:pPr>
              <w:spacing w:after="0"/>
              <w:rPr>
                <w:sz w:val="24"/>
                <w:szCs w:val="24"/>
                <w:color w:val="auto"/>
              </w:rPr>
            </w:pPr>
          </w:p>
        </w:tc>
      </w:tr>
      <w:tr>
        <w:trPr>
          <w:trHeight w:val="206"/>
        </w:trPr>
        <w:tc>
          <w:tcPr>
            <w:tcW w:w="4480" w:type="dxa"/>
            <w:vAlign w:val="bottom"/>
          </w:tcPr>
          <w:p>
            <w:pPr>
              <w:spacing w:after="0" w:line="206" w:lineRule="exact"/>
              <w:rPr>
                <w:sz w:val="20"/>
                <w:szCs w:val="20"/>
                <w:color w:val="auto"/>
              </w:rPr>
            </w:pPr>
            <w:r>
              <w:rPr>
                <w:rFonts w:ascii="Arial" w:cs="Arial" w:eastAsia="Arial" w:hAnsi="Arial"/>
                <w:sz w:val="20"/>
                <w:szCs w:val="20"/>
                <w:color w:val="auto"/>
                <w:w w:val="91"/>
              </w:rPr>
              <w:t>Royalty Forecast Under This Agreement: Next Quarter:</w:t>
            </w:r>
          </w:p>
        </w:tc>
        <w:tc>
          <w:tcPr>
            <w:tcW w:w="640" w:type="dxa"/>
            <w:vAlign w:val="bottom"/>
            <w:tcBorders>
              <w:bottom w:val="single" w:sz="8" w:color="auto"/>
            </w:tcBorders>
          </w:tcPr>
          <w:p>
            <w:pPr>
              <w:spacing w:after="0"/>
              <w:rPr>
                <w:sz w:val="17"/>
                <w:szCs w:val="17"/>
                <w:color w:val="auto"/>
              </w:rPr>
            </w:pPr>
          </w:p>
        </w:tc>
        <w:tc>
          <w:tcPr>
            <w:tcW w:w="400" w:type="dxa"/>
            <w:vAlign w:val="bottom"/>
          </w:tcPr>
          <w:p>
            <w:pPr>
              <w:ind w:left="40"/>
              <w:spacing w:after="0" w:line="206" w:lineRule="exact"/>
              <w:rPr>
                <w:sz w:val="20"/>
                <w:szCs w:val="20"/>
                <w:color w:val="auto"/>
              </w:rPr>
            </w:pPr>
            <w:r>
              <w:rPr>
                <w:rFonts w:ascii="Arial" w:cs="Arial" w:eastAsia="Arial" w:hAnsi="Arial"/>
                <w:sz w:val="20"/>
                <w:szCs w:val="20"/>
                <w:color w:val="auto"/>
              </w:rPr>
              <w:t>Q2:</w:t>
            </w:r>
          </w:p>
        </w:tc>
        <w:tc>
          <w:tcPr>
            <w:tcW w:w="940" w:type="dxa"/>
            <w:vAlign w:val="bottom"/>
            <w:tcBorders>
              <w:bottom w:val="single" w:sz="8" w:color="auto"/>
            </w:tcBorders>
          </w:tcPr>
          <w:p>
            <w:pPr>
              <w:spacing w:after="0"/>
              <w:rPr>
                <w:sz w:val="17"/>
                <w:szCs w:val="17"/>
                <w:color w:val="auto"/>
              </w:rPr>
            </w:pPr>
          </w:p>
        </w:tc>
        <w:tc>
          <w:tcPr>
            <w:tcW w:w="380" w:type="dxa"/>
            <w:vAlign w:val="bottom"/>
          </w:tcPr>
          <w:p>
            <w:pPr>
              <w:ind w:left="40"/>
              <w:spacing w:after="0" w:line="206" w:lineRule="exact"/>
              <w:rPr>
                <w:sz w:val="20"/>
                <w:szCs w:val="20"/>
                <w:color w:val="auto"/>
              </w:rPr>
            </w:pPr>
            <w:r>
              <w:rPr>
                <w:rFonts w:ascii="Arial" w:cs="Arial" w:eastAsia="Arial" w:hAnsi="Arial"/>
                <w:sz w:val="20"/>
                <w:szCs w:val="20"/>
                <w:color w:val="auto"/>
                <w:w w:val="99"/>
              </w:rPr>
              <w:t>Q3:</w:t>
            </w:r>
          </w:p>
        </w:tc>
        <w:tc>
          <w:tcPr>
            <w:tcW w:w="560" w:type="dxa"/>
            <w:vAlign w:val="bottom"/>
            <w:tcBorders>
              <w:bottom w:val="single" w:sz="8" w:color="auto"/>
            </w:tcBorders>
          </w:tcPr>
          <w:p>
            <w:pPr>
              <w:spacing w:after="0"/>
              <w:rPr>
                <w:sz w:val="17"/>
                <w:szCs w:val="17"/>
                <w:color w:val="auto"/>
              </w:rPr>
            </w:pPr>
          </w:p>
        </w:tc>
        <w:tc>
          <w:tcPr>
            <w:tcW w:w="480" w:type="dxa"/>
            <w:vAlign w:val="bottom"/>
          </w:tcPr>
          <w:p>
            <w:pPr>
              <w:ind w:left="40"/>
              <w:spacing w:after="0" w:line="206" w:lineRule="exact"/>
              <w:rPr>
                <w:sz w:val="20"/>
                <w:szCs w:val="20"/>
                <w:color w:val="auto"/>
              </w:rPr>
            </w:pPr>
            <w:r>
              <w:rPr>
                <w:rFonts w:ascii="Arial" w:cs="Arial" w:eastAsia="Arial" w:hAnsi="Arial"/>
                <w:sz w:val="20"/>
                <w:szCs w:val="20"/>
                <w:color w:val="auto"/>
              </w:rPr>
              <w:t>Q4:</w:t>
            </w:r>
          </w:p>
        </w:tc>
        <w:tc>
          <w:tcPr>
            <w:tcW w:w="740" w:type="dxa"/>
            <w:vAlign w:val="bottom"/>
            <w:tcBorders>
              <w:bottom w:val="single" w:sz="8" w:color="auto"/>
            </w:tcBorders>
          </w:tcPr>
          <w:p>
            <w:pPr>
              <w:spacing w:after="0"/>
              <w:rPr>
                <w:sz w:val="17"/>
                <w:szCs w:val="17"/>
                <w:color w:val="auto"/>
              </w:rPr>
            </w:pPr>
          </w:p>
        </w:tc>
        <w:tc>
          <w:tcPr>
            <w:tcW w:w="2280" w:type="dxa"/>
            <w:vAlign w:val="bottom"/>
            <w:gridSpan w:val="2"/>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6991350</wp:posOffset>
            </wp:positionH>
            <wp:positionV relativeFrom="paragraph">
              <wp:posOffset>-436245</wp:posOffset>
            </wp:positionV>
            <wp:extent cx="14541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20 of 27</w:t>
      </w:r>
    </w:p>
    <w:p>
      <w:pPr>
        <w:spacing w:after="0"/>
        <w:rPr>
          <w:sz w:val="20"/>
          <w:szCs w:val="20"/>
          <w:color w:val="auto"/>
        </w:rPr>
      </w:pPr>
      <w:r>
        <w:rPr>
          <w:rFonts w:ascii="Arial" w:cs="Arial" w:eastAsia="Arial" w:hAnsi="Arial"/>
          <w:sz w:val="15"/>
          <w:szCs w:val="15"/>
          <w:color w:val="auto"/>
        </w:rPr>
        <w:t>WSU AGR# 10232</w:t>
      </w:r>
    </w:p>
    <w:p>
      <w:pPr>
        <w:spacing w:after="0"/>
        <w:rPr>
          <w:sz w:val="20"/>
          <w:szCs w:val="20"/>
          <w:color w:val="auto"/>
        </w:rPr>
      </w:pPr>
      <w:r>
        <w:rPr>
          <w:rFonts w:ascii="Arial" w:cs="Arial" w:eastAsia="Arial" w:hAnsi="Arial"/>
          <w:sz w:val="15"/>
          <w:szCs w:val="15"/>
          <w:color w:val="auto"/>
        </w:rPr>
        <w:t>116252875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49465"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6" w:name="page337"/>
    <w:bookmarkEnd w:id="336"/>
    <w:p>
      <w:pPr>
        <w:jc w:val="center"/>
        <w:ind w:right="-1120"/>
        <w:spacing w:after="0"/>
        <w:rPr>
          <w:sz w:val="20"/>
          <w:szCs w:val="20"/>
          <w:color w:val="auto"/>
        </w:rPr>
      </w:pPr>
      <w:r>
        <w:rPr>
          <w:rFonts w:ascii="Arial" w:cs="Arial" w:eastAsia="Arial" w:hAnsi="Arial"/>
          <w:sz w:val="20"/>
          <w:szCs w:val="20"/>
          <w:b w:val="1"/>
          <w:bCs w:val="1"/>
          <w:color w:val="auto"/>
        </w:rPr>
        <w:t>APPENDIX C</w:t>
      </w: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u w:val="single" w:color="auto"/>
          <w:color w:val="auto"/>
        </w:rPr>
        <w:t>LICENSED PATENTS</w:t>
      </w:r>
    </w:p>
    <w:p>
      <w:pPr>
        <w:spacing w:after="0" w:line="233" w:lineRule="exact"/>
        <w:rPr>
          <w:sz w:val="20"/>
          <w:szCs w:val="20"/>
          <w:color w:val="auto"/>
        </w:rPr>
      </w:pPr>
    </w:p>
    <w:p>
      <w:pPr>
        <w:ind w:left="5500"/>
        <w:spacing w:after="0"/>
        <w:rPr>
          <w:sz w:val="20"/>
          <w:szCs w:val="20"/>
          <w:color w:val="auto"/>
        </w:rPr>
      </w:pPr>
      <w:r>
        <w:rPr>
          <w:rFonts w:ascii="Arial" w:cs="Arial" w:eastAsia="Arial" w:hAnsi="Arial"/>
          <w:sz w:val="20"/>
          <w:szCs w:val="20"/>
          <w:color w:val="333333"/>
        </w:rPr>
        <w:t>[†]</w:t>
      </w:r>
    </w:p>
    <w:p>
      <w:pPr>
        <w:spacing w:after="0" w:line="200" w:lineRule="exact"/>
        <w:rPr>
          <w:sz w:val="20"/>
          <w:szCs w:val="20"/>
          <w:color w:val="auto"/>
        </w:rPr>
      </w:pPr>
    </w:p>
    <w:p>
      <w:pPr>
        <w:spacing w:after="0" w:line="23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1"/>
          <w:szCs w:val="21"/>
          <w:color w:val="auto"/>
        </w:rPr>
        <w:t>21</w:t>
      </w:r>
      <w:r>
        <w:rPr>
          <w:rFonts w:ascii="Arial" w:cs="Arial" w:eastAsia="Arial" w:hAnsi="Arial"/>
          <w:sz w:val="20"/>
          <w:szCs w:val="20"/>
          <w:color w:val="auto"/>
        </w:rPr>
        <w:t xml:space="preserve"> of 27</w:t>
      </w:r>
    </w:p>
    <w:p>
      <w:pPr>
        <w:spacing w:after="0" w:line="221" w:lineRule="auto"/>
        <w:rPr>
          <w:sz w:val="20"/>
          <w:szCs w:val="20"/>
          <w:color w:val="auto"/>
        </w:rPr>
      </w:pPr>
      <w:r>
        <w:rPr>
          <w:rFonts w:ascii="Arial" w:cs="Arial" w:eastAsia="Arial" w:hAnsi="Arial"/>
          <w:sz w:val="15"/>
          <w:szCs w:val="15"/>
          <w:color w:val="auto"/>
        </w:rPr>
        <w:t xml:space="preserve">WSU AGR# </w:t>
      </w:r>
      <w:r>
        <w:rPr>
          <w:rFonts w:ascii="Arial" w:cs="Arial" w:eastAsia="Arial" w:hAnsi="Arial"/>
          <w:sz w:val="19"/>
          <w:szCs w:val="19"/>
          <w:color w:val="333333"/>
        </w:rPr>
        <w: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116252875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49465"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337" w:name="page338"/>
    <w:bookmarkEnd w:id="337"/>
    <w:p>
      <w:pPr>
        <w:spacing w:after="0" w:line="200" w:lineRule="exact"/>
        <w:rPr>
          <w:sz w:val="20"/>
          <w:szCs w:val="20"/>
          <w:color w:val="auto"/>
        </w:rPr>
      </w:pPr>
    </w:p>
    <w:p>
      <w:pPr>
        <w:spacing w:after="0" w:line="211" w:lineRule="exact"/>
        <w:rPr>
          <w:sz w:val="20"/>
          <w:szCs w:val="20"/>
          <w:color w:val="auto"/>
        </w:rPr>
      </w:pPr>
    </w:p>
    <w:p>
      <w:pPr>
        <w:ind w:left="5500"/>
        <w:spacing w:after="0"/>
        <w:rPr>
          <w:sz w:val="20"/>
          <w:szCs w:val="20"/>
          <w:color w:val="auto"/>
        </w:rPr>
      </w:pPr>
      <w:r>
        <w:rPr>
          <w:rFonts w:ascii="Arial" w:cs="Arial" w:eastAsia="Arial" w:hAnsi="Arial"/>
          <w:sz w:val="20"/>
          <w:szCs w:val="20"/>
          <w:color w:val="333333"/>
        </w:rPr>
        <w:t>[†]</w:t>
      </w:r>
    </w:p>
    <w:p>
      <w:pPr>
        <w:spacing w:after="0" w:line="200" w:lineRule="exact"/>
        <w:rPr>
          <w:sz w:val="20"/>
          <w:szCs w:val="20"/>
          <w:color w:val="auto"/>
        </w:rPr>
      </w:pPr>
    </w:p>
    <w:p>
      <w:pPr>
        <w:spacing w:after="0" w:line="236" w:lineRule="exact"/>
        <w:rPr>
          <w:sz w:val="20"/>
          <w:szCs w:val="20"/>
          <w:color w:val="auto"/>
        </w:rPr>
      </w:pPr>
    </w:p>
    <w:p>
      <w:pPr>
        <w:jc w:val="right"/>
        <w:ind w:right="3959"/>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1"/>
          <w:szCs w:val="21"/>
          <w:color w:val="auto"/>
        </w:rPr>
        <w:t>22</w:t>
      </w:r>
      <w:r>
        <w:rPr>
          <w:rFonts w:ascii="Arial" w:cs="Arial" w:eastAsia="Arial" w:hAnsi="Arial"/>
          <w:sz w:val="20"/>
          <w:szCs w:val="20"/>
          <w:color w:val="auto"/>
        </w:rPr>
        <w:t xml:space="preserve"> of 27</w:t>
      </w:r>
    </w:p>
    <w:p>
      <w:pPr>
        <w:spacing w:after="0" w:line="221" w:lineRule="auto"/>
        <w:rPr>
          <w:sz w:val="20"/>
          <w:szCs w:val="20"/>
          <w:color w:val="auto"/>
        </w:rPr>
      </w:pPr>
      <w:r>
        <w:rPr>
          <w:rFonts w:ascii="Arial" w:cs="Arial" w:eastAsia="Arial" w:hAnsi="Arial"/>
          <w:sz w:val="15"/>
          <w:szCs w:val="15"/>
          <w:color w:val="auto"/>
        </w:rPr>
        <w:t xml:space="preserve">WSU AGR# </w:t>
      </w:r>
      <w:r>
        <w:rPr>
          <w:rFonts w:ascii="Arial" w:cs="Arial" w:eastAsia="Arial" w:hAnsi="Arial"/>
          <w:sz w:val="19"/>
          <w:szCs w:val="19"/>
          <w:color w:val="333333"/>
        </w:rPr>
        <w: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116252875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49465"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38" w:name="page339"/>
    <w:bookmarkEnd w:id="338"/>
    <w:p>
      <w:pPr>
        <w:spacing w:after="0" w:line="200" w:lineRule="exact"/>
        <w:rPr>
          <w:sz w:val="20"/>
          <w:szCs w:val="20"/>
          <w:color w:val="auto"/>
        </w:rPr>
      </w:pPr>
    </w:p>
    <w:p>
      <w:pPr>
        <w:spacing w:after="0" w:line="211" w:lineRule="exact"/>
        <w:rPr>
          <w:sz w:val="20"/>
          <w:szCs w:val="20"/>
          <w:color w:val="auto"/>
        </w:rPr>
      </w:pPr>
    </w:p>
    <w:p>
      <w:pPr>
        <w:ind w:left="5500"/>
        <w:spacing w:after="0"/>
        <w:rPr>
          <w:sz w:val="20"/>
          <w:szCs w:val="20"/>
          <w:color w:val="auto"/>
        </w:rPr>
      </w:pPr>
      <w:r>
        <w:rPr>
          <w:rFonts w:ascii="Arial" w:cs="Arial" w:eastAsia="Arial" w:hAnsi="Arial"/>
          <w:sz w:val="20"/>
          <w:szCs w:val="20"/>
          <w:color w:val="333333"/>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ind w:right="3959"/>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1"/>
          <w:szCs w:val="21"/>
          <w:color w:val="auto"/>
        </w:rPr>
        <w:t>23</w:t>
      </w:r>
      <w:r>
        <w:rPr>
          <w:rFonts w:ascii="Arial" w:cs="Arial" w:eastAsia="Arial" w:hAnsi="Arial"/>
          <w:sz w:val="20"/>
          <w:szCs w:val="20"/>
          <w:color w:val="auto"/>
        </w:rPr>
        <w:t xml:space="preserve"> of 27</w:t>
      </w:r>
    </w:p>
    <w:p>
      <w:pPr>
        <w:spacing w:after="0" w:line="221" w:lineRule="auto"/>
        <w:rPr>
          <w:sz w:val="20"/>
          <w:szCs w:val="20"/>
          <w:color w:val="auto"/>
        </w:rPr>
      </w:pPr>
      <w:r>
        <w:rPr>
          <w:rFonts w:ascii="Arial" w:cs="Arial" w:eastAsia="Arial" w:hAnsi="Arial"/>
          <w:sz w:val="15"/>
          <w:szCs w:val="15"/>
          <w:color w:val="auto"/>
        </w:rPr>
        <w:t xml:space="preserve">WSU AGR# </w:t>
      </w:r>
      <w:r>
        <w:rPr>
          <w:rFonts w:ascii="Arial" w:cs="Arial" w:eastAsia="Arial" w:hAnsi="Arial"/>
          <w:sz w:val="19"/>
          <w:szCs w:val="19"/>
          <w:color w:val="333333"/>
        </w:rPr>
        <w: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116252875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49465"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39" w:name="page340"/>
    <w:bookmarkEnd w:id="339"/>
    <w:p>
      <w:pPr>
        <w:spacing w:after="0" w:line="303"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333333"/>
        </w:rPr>
        <w:t>[†]</w:t>
      </w:r>
    </w:p>
    <w:p>
      <w:pPr>
        <w:spacing w:after="0" w:line="206" w:lineRule="exact"/>
        <w:rPr>
          <w:sz w:val="20"/>
          <w:szCs w:val="20"/>
          <w:color w:val="auto"/>
        </w:rPr>
      </w:pPr>
    </w:p>
    <w:p>
      <w:pPr>
        <w:jc w:val="right"/>
        <w:ind w:right="3959"/>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1"/>
          <w:szCs w:val="21"/>
          <w:color w:val="auto"/>
        </w:rPr>
        <w:t>24</w:t>
      </w:r>
      <w:r>
        <w:rPr>
          <w:rFonts w:ascii="Arial" w:cs="Arial" w:eastAsia="Arial" w:hAnsi="Arial"/>
          <w:sz w:val="20"/>
          <w:szCs w:val="20"/>
          <w:color w:val="auto"/>
        </w:rPr>
        <w:t xml:space="preserve"> of 27</w:t>
      </w:r>
    </w:p>
    <w:p>
      <w:pPr>
        <w:spacing w:after="0" w:line="221" w:lineRule="auto"/>
        <w:rPr>
          <w:sz w:val="20"/>
          <w:szCs w:val="20"/>
          <w:color w:val="auto"/>
        </w:rPr>
      </w:pPr>
      <w:r>
        <w:rPr>
          <w:rFonts w:ascii="Arial" w:cs="Arial" w:eastAsia="Arial" w:hAnsi="Arial"/>
          <w:sz w:val="15"/>
          <w:szCs w:val="15"/>
          <w:color w:val="auto"/>
        </w:rPr>
        <w:t xml:space="preserve">WSU AGR# </w:t>
      </w:r>
      <w:r>
        <w:rPr>
          <w:rFonts w:ascii="Arial" w:cs="Arial" w:eastAsia="Arial" w:hAnsi="Arial"/>
          <w:sz w:val="19"/>
          <w:szCs w:val="19"/>
          <w:color w:val="333333"/>
        </w:rPr>
        <w: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116252875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49465"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40" w:name="page341"/>
    <w:bookmarkEnd w:id="340"/>
    <w:p>
      <w:pPr>
        <w:spacing w:after="0" w:line="200" w:lineRule="exact"/>
        <w:rPr>
          <w:sz w:val="20"/>
          <w:szCs w:val="20"/>
          <w:color w:val="auto"/>
        </w:rPr>
      </w:pPr>
    </w:p>
    <w:p>
      <w:pPr>
        <w:spacing w:after="0" w:line="211" w:lineRule="exact"/>
        <w:rPr>
          <w:sz w:val="20"/>
          <w:szCs w:val="20"/>
          <w:color w:val="auto"/>
        </w:rPr>
      </w:pPr>
    </w:p>
    <w:p>
      <w:pPr>
        <w:ind w:left="5500"/>
        <w:spacing w:after="0"/>
        <w:rPr>
          <w:sz w:val="20"/>
          <w:szCs w:val="20"/>
          <w:color w:val="auto"/>
        </w:rPr>
      </w:pPr>
      <w:r>
        <w:rPr>
          <w:rFonts w:ascii="Arial" w:cs="Arial" w:eastAsia="Arial" w:hAnsi="Arial"/>
          <w:sz w:val="20"/>
          <w:szCs w:val="20"/>
          <w:color w:val="333333"/>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3959"/>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1"/>
          <w:szCs w:val="21"/>
          <w:color w:val="auto"/>
        </w:rPr>
        <w:t>25</w:t>
      </w:r>
      <w:r>
        <w:rPr>
          <w:rFonts w:ascii="Arial" w:cs="Arial" w:eastAsia="Arial" w:hAnsi="Arial"/>
          <w:sz w:val="20"/>
          <w:szCs w:val="20"/>
          <w:color w:val="auto"/>
        </w:rPr>
        <w:t xml:space="preserve"> of 27</w:t>
      </w:r>
    </w:p>
    <w:p>
      <w:pPr>
        <w:spacing w:after="0" w:line="221" w:lineRule="auto"/>
        <w:rPr>
          <w:sz w:val="20"/>
          <w:szCs w:val="20"/>
          <w:color w:val="auto"/>
        </w:rPr>
      </w:pPr>
      <w:r>
        <w:rPr>
          <w:rFonts w:ascii="Arial" w:cs="Arial" w:eastAsia="Arial" w:hAnsi="Arial"/>
          <w:sz w:val="15"/>
          <w:szCs w:val="15"/>
          <w:color w:val="auto"/>
        </w:rPr>
        <w:t xml:space="preserve">WSU AGR# </w:t>
      </w:r>
      <w:r>
        <w:rPr>
          <w:rFonts w:ascii="Arial" w:cs="Arial" w:eastAsia="Arial" w:hAnsi="Arial"/>
          <w:sz w:val="19"/>
          <w:szCs w:val="19"/>
          <w:color w:val="333333"/>
        </w:rPr>
        <w: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116252875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49465"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41" w:name="page342"/>
    <w:bookmarkEnd w:id="341"/>
    <w:p>
      <w:pPr>
        <w:jc w:val="right"/>
        <w:spacing w:after="0"/>
        <w:rPr>
          <w:sz w:val="20"/>
          <w:szCs w:val="20"/>
          <w:color w:val="auto"/>
        </w:rPr>
      </w:pPr>
      <w:r>
        <w:rPr>
          <w:rFonts w:ascii="Arial" w:cs="Arial" w:eastAsia="Arial" w:hAnsi="Arial"/>
          <w:sz w:val="20"/>
          <w:szCs w:val="20"/>
          <w:b w:val="1"/>
          <w:bCs w:val="1"/>
          <w:color w:val="auto"/>
        </w:rPr>
        <w:t>Exhibit 10.9</w:t>
      </w:r>
    </w:p>
    <w:p>
      <w:pPr>
        <w:spacing w:after="0" w:line="191" w:lineRule="exact"/>
        <w:rPr>
          <w:sz w:val="20"/>
          <w:szCs w:val="20"/>
          <w:color w:val="auto"/>
        </w:rPr>
      </w:pPr>
    </w:p>
    <w:p>
      <w:pPr>
        <w:ind w:left="3720"/>
        <w:spacing w:after="0"/>
        <w:rPr>
          <w:sz w:val="20"/>
          <w:szCs w:val="20"/>
          <w:color w:val="auto"/>
        </w:rPr>
      </w:pPr>
      <w:r>
        <w:rPr>
          <w:rFonts w:ascii="Arial" w:cs="Arial" w:eastAsia="Arial" w:hAnsi="Arial"/>
          <w:sz w:val="37"/>
          <w:szCs w:val="37"/>
          <w:b w:val="1"/>
          <w:bCs w:val="1"/>
          <w:color w:val="auto"/>
        </w:rPr>
        <w:t>WASHINGTON STATE</w:t>
      </w:r>
    </w:p>
    <w:p>
      <w:pPr>
        <w:ind w:left="4320"/>
        <w:spacing w:after="0"/>
        <w:rPr>
          <w:sz w:val="20"/>
          <w:szCs w:val="20"/>
          <w:color w:val="auto"/>
        </w:rPr>
      </w:pPr>
      <w:r>
        <w:rPr>
          <w:sz w:val="1"/>
          <w:szCs w:val="1"/>
          <w:color w:val="auto"/>
        </w:rPr>
        <w:drawing>
          <wp:inline distT="0" distB="0" distL="0" distR="0">
            <wp:extent cx="300355" cy="323850"/>
            <wp:effectExtent l="0" t="0" r="0" b="0"/>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00355" cy="323850"/>
                    </a:xfrm>
                    <a:prstGeom prst="rect">
                      <a:avLst/>
                    </a:prstGeom>
                    <a:noFill/>
                    <a:ln>
                      <a:noFill/>
                    </a:ln>
                  </pic:spPr>
                </pic:pic>
              </a:graphicData>
            </a:graphic>
          </wp:inline>
        </w:drawing>
      </w:r>
      <w:r>
        <w:rPr>
          <w:rFonts w:ascii="Arial" w:cs="Arial" w:eastAsia="Arial" w:hAnsi="Arial"/>
          <w:sz w:val="37"/>
          <w:szCs w:val="37"/>
          <w:b w:val="1"/>
          <w:bCs w:val="1"/>
          <w:color w:val="auto"/>
        </w:rPr>
        <w:t>UNIVERSITY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TO STANDARD EXCLUSIVE LICENSE AGREEMENT WITH</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SUBLICENSING TERMS</w:t>
      </w:r>
    </w:p>
    <w:p>
      <w:pPr>
        <w:jc w:val="center"/>
        <w:spacing w:after="0"/>
        <w:rPr>
          <w:sz w:val="20"/>
          <w:szCs w:val="20"/>
          <w:color w:val="auto"/>
        </w:rPr>
      </w:pPr>
      <w:r>
        <w:rPr>
          <w:rFonts w:ascii="Arial" w:cs="Arial" w:eastAsia="Arial" w:hAnsi="Arial"/>
          <w:sz w:val="15"/>
          <w:szCs w:val="15"/>
          <w:b w:val="1"/>
          <w:bCs w:val="1"/>
          <w:color w:val="auto"/>
        </w:rPr>
        <w:t>Amendment I</w:t>
      </w:r>
    </w:p>
    <w:p>
      <w:pPr>
        <w:spacing w:after="0" w:line="184" w:lineRule="exact"/>
        <w:rPr>
          <w:sz w:val="20"/>
          <w:szCs w:val="20"/>
          <w:color w:val="auto"/>
        </w:rPr>
      </w:pPr>
    </w:p>
    <w:p>
      <w:pPr>
        <w:ind w:left="5140"/>
        <w:spacing w:after="0"/>
        <w:rPr>
          <w:sz w:val="20"/>
          <w:szCs w:val="20"/>
          <w:color w:val="auto"/>
        </w:rPr>
      </w:pPr>
      <w:r>
        <w:rPr>
          <w:rFonts w:ascii="Arial" w:cs="Arial" w:eastAsia="Arial" w:hAnsi="Arial"/>
          <w:sz w:val="15"/>
          <w:szCs w:val="15"/>
          <w:b w:val="1"/>
          <w:bCs w:val="1"/>
          <w:color w:val="auto"/>
        </w:rPr>
        <w:t xml:space="preserve">WSU OC# </w:t>
      </w:r>
      <w:r>
        <w:rPr>
          <w:rFonts w:ascii="Arial" w:cs="Arial" w:eastAsia="Arial" w:hAnsi="Arial"/>
          <w:sz w:val="19"/>
          <w:szCs w:val="19"/>
          <w:b w:val="1"/>
          <w:bCs w:val="1"/>
          <w:color w:val="333333"/>
        </w:rPr>
        <w:t>[†]</w:t>
      </w:r>
    </w:p>
    <w:p>
      <w:pPr>
        <w:spacing w:after="0" w:line="33" w:lineRule="exact"/>
        <w:rPr>
          <w:sz w:val="20"/>
          <w:szCs w:val="20"/>
          <w:color w:val="auto"/>
        </w:rPr>
      </w:pPr>
    </w:p>
    <w:p>
      <w:pPr>
        <w:ind w:left="5240"/>
        <w:spacing w:after="0"/>
        <w:rPr>
          <w:sz w:val="20"/>
          <w:szCs w:val="20"/>
          <w:color w:val="auto"/>
        </w:rPr>
      </w:pPr>
      <w:r>
        <w:rPr>
          <w:rFonts w:ascii="Arial" w:cs="Arial" w:eastAsia="Arial" w:hAnsi="Arial"/>
          <w:sz w:val="15"/>
          <w:szCs w:val="15"/>
          <w:b w:val="1"/>
          <w:bCs w:val="1"/>
          <w:i w:val="1"/>
          <w:iCs w:val="1"/>
          <w:color w:val="auto"/>
        </w:rPr>
        <w:t xml:space="preserve">AGR#: </w:t>
      </w:r>
      <w:r>
        <w:rPr>
          <w:rFonts w:ascii="Arial" w:cs="Arial" w:eastAsia="Arial" w:hAnsi="Arial"/>
          <w:sz w:val="19"/>
          <w:szCs w:val="19"/>
          <w:b w:val="1"/>
          <w:bCs w:val="1"/>
          <w:color w:val="333333"/>
        </w:rPr>
        <w: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Dated 1/18/2018</w:t>
      </w:r>
    </w:p>
    <w:p>
      <w:pPr>
        <w:spacing w:after="0" w:line="184" w:lineRule="exact"/>
        <w:rPr>
          <w:sz w:val="20"/>
          <w:szCs w:val="20"/>
          <w:color w:val="auto"/>
        </w:rPr>
      </w:pPr>
    </w:p>
    <w:p>
      <w:pPr>
        <w:jc w:val="both"/>
        <w:ind w:right="20"/>
        <w:spacing w:after="0" w:line="262" w:lineRule="auto"/>
        <w:rPr>
          <w:sz w:val="20"/>
          <w:szCs w:val="20"/>
          <w:color w:val="auto"/>
        </w:rPr>
      </w:pPr>
      <w:r>
        <w:rPr>
          <w:rFonts w:ascii="Arial" w:cs="Arial" w:eastAsia="Arial" w:hAnsi="Arial"/>
          <w:sz w:val="19"/>
          <w:szCs w:val="19"/>
          <w:b w:val="1"/>
          <w:bCs w:val="1"/>
          <w:color w:val="auto"/>
        </w:rPr>
        <w:t xml:space="preserve">THIS AMENDMENT </w:t>
      </w:r>
      <w:r>
        <w:rPr>
          <w:rFonts w:ascii="Arial" w:cs="Arial" w:eastAsia="Arial" w:hAnsi="Arial"/>
          <w:sz w:val="19"/>
          <w:szCs w:val="19"/>
          <w:color w:val="auto"/>
        </w:rPr>
        <w:t>(“Amendment 1”) to the Amended and Restated Standard Exclusive License Agreement with Sublicensing</w:t>
      </w:r>
      <w:r>
        <w:rPr>
          <w:rFonts w:ascii="Arial" w:cs="Arial" w:eastAsia="Arial" w:hAnsi="Arial"/>
          <w:sz w:val="19"/>
          <w:szCs w:val="19"/>
          <w:b w:val="1"/>
          <w:bCs w:val="1"/>
          <w:color w:val="auto"/>
        </w:rPr>
        <w:t xml:space="preserve"> </w:t>
      </w:r>
      <w:r>
        <w:rPr>
          <w:rFonts w:ascii="Arial" w:cs="Arial" w:eastAsia="Arial" w:hAnsi="Arial"/>
          <w:sz w:val="19"/>
          <w:szCs w:val="19"/>
          <w:color w:val="auto"/>
        </w:rPr>
        <w:t>Terms. (“Agreement”) made effective the 1</w:t>
      </w:r>
      <w:r>
        <w:rPr>
          <w:rFonts w:ascii="Arial" w:cs="Arial" w:eastAsia="Arial" w:hAnsi="Arial"/>
          <w:sz w:val="15"/>
          <w:szCs w:val="15"/>
          <w:color w:val="auto"/>
        </w:rPr>
        <w:t>st</w:t>
      </w:r>
      <w:r>
        <w:rPr>
          <w:rFonts w:ascii="Arial" w:cs="Arial" w:eastAsia="Arial" w:hAnsi="Arial"/>
          <w:sz w:val="19"/>
          <w:szCs w:val="19"/>
          <w:color w:val="auto"/>
        </w:rPr>
        <w:t xml:space="preserve"> day of September, 2015 by and between Washington State University (hereinafter “WSU”) and M3 Biotechnology (hereinafter “Licensee</w:t>
      </w:r>
      <w:r>
        <w:rPr>
          <w:rFonts w:ascii="Arial" w:cs="Arial" w:eastAsia="Arial" w:hAnsi="Arial"/>
          <w:sz w:val="19"/>
          <w:szCs w:val="19"/>
          <w:i w:val="1"/>
          <w:iCs w:val="1"/>
          <w:color w:val="auto"/>
        </w:rPr>
        <w:t>”)</w:t>
      </w:r>
      <w:r>
        <w:rPr>
          <w:rFonts w:ascii="Arial" w:cs="Arial" w:eastAsia="Arial" w:hAnsi="Arial"/>
          <w:sz w:val="19"/>
          <w:szCs w:val="19"/>
          <w:color w:val="auto"/>
        </w:rPr>
        <w:t xml:space="preserve"> a corporation organized and existing under the laws of Delaware and having a principle office at 4000 Mason Rd. Suite 300, Box 353141, Seattle, WA 98195 (each of WSU and Licensee may be referred to individually as a “party” or together as the “Parties” hereafter). and is effective on January 18. 2018 (“Effective Date”).</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Parties desire to extend time lines as specified in section 3.1.2, which are described in this</w:t>
      </w:r>
      <w:r>
        <w:rPr>
          <w:rFonts w:ascii="Arial" w:cs="Arial" w:eastAsia="Arial" w:hAnsi="Arial"/>
          <w:sz w:val="20"/>
          <w:szCs w:val="20"/>
          <w:b w:val="1"/>
          <w:bCs w:val="1"/>
          <w:color w:val="auto"/>
        </w:rPr>
        <w:t xml:space="preserve"> </w:t>
      </w:r>
      <w:r>
        <w:rPr>
          <w:rFonts w:ascii="Arial" w:cs="Arial" w:eastAsia="Arial" w:hAnsi="Arial"/>
          <w:sz w:val="20"/>
          <w:szCs w:val="20"/>
          <w:color w:val="333333"/>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to the original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Effective Date of December 22, 2011.</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mutual covenants contained herein. the parties hereto agree as follows: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Section 3.1.2.1</w:t>
      </w:r>
      <w:r>
        <w:rPr>
          <w:rFonts w:ascii="Arial" w:cs="Arial" w:eastAsia="Arial" w:hAnsi="Arial"/>
          <w:sz w:val="20"/>
          <w:szCs w:val="20"/>
          <w:color w:val="auto"/>
        </w:rPr>
        <w:t xml:space="preserve"> is hereby deleted and replaced in its entirety as follows:</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 xml:space="preserve">3.1.2.1 Licensee shall have completed </w:t>
      </w:r>
      <w:r>
        <w:rPr>
          <w:rFonts w:ascii="Arial" w:cs="Arial" w:eastAsia="Arial" w:hAnsi="Arial"/>
          <w:sz w:val="20"/>
          <w:szCs w:val="20"/>
          <w:color w:val="333333"/>
        </w:rPr>
        <w:t>[†]</w:t>
      </w: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Section 3.1.2.2</w:t>
      </w:r>
      <w:r>
        <w:rPr>
          <w:rFonts w:ascii="Arial" w:cs="Arial" w:eastAsia="Arial" w:hAnsi="Arial"/>
          <w:sz w:val="20"/>
          <w:szCs w:val="20"/>
          <w:color w:val="auto"/>
        </w:rPr>
        <w:t xml:space="preserve"> is hereby deleted and replaced in its entirety as follows:</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 xml:space="preserve">3.1.2.2 Licensee shall have initiated </w:t>
      </w:r>
      <w:r>
        <w:rPr>
          <w:rFonts w:ascii="Arial" w:cs="Arial" w:eastAsia="Arial" w:hAnsi="Arial"/>
          <w:sz w:val="20"/>
          <w:szCs w:val="20"/>
          <w:color w:val="333333"/>
        </w:rPr>
        <w:t>[†]</w:t>
      </w:r>
      <w:r>
        <w:rPr>
          <w:rFonts w:ascii="Arial" w:cs="Arial" w:eastAsia="Arial" w:hAnsi="Arial"/>
          <w:sz w:val="20"/>
          <w:szCs w:val="20"/>
          <w:color w:val="auto"/>
        </w:rPr>
        <w:t>; and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Section 3.1.2.3 is hereby deleted and replaced in its entirety as follows:</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 xml:space="preserve">3.1.2.3 Licensee shall achieve </w:t>
      </w:r>
      <w:r>
        <w:rPr>
          <w:rFonts w:ascii="Arial" w:cs="Arial" w:eastAsia="Arial" w:hAnsi="Arial"/>
          <w:sz w:val="20"/>
          <w:szCs w:val="20"/>
          <w:color w:val="333333"/>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All other terms and conditions remain effective as defined in the original Agreement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Amendment to Exclusive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2" w:name="page343"/>
    <w:bookmarkEnd w:id="342"/>
    <w:p>
      <w:pPr>
        <w:ind w:left="10220"/>
        <w:spacing w:after="0"/>
        <w:rPr>
          <w:sz w:val="20"/>
          <w:szCs w:val="20"/>
          <w:color w:val="auto"/>
        </w:rPr>
      </w:pPr>
      <w:r>
        <w:rPr>
          <w:rFonts w:ascii="Arial" w:cs="Arial" w:eastAsia="Arial" w:hAnsi="Arial"/>
          <w:sz w:val="18"/>
          <w:szCs w:val="18"/>
          <w:b w:val="1"/>
          <w:bCs w:val="1"/>
          <w:color w:val="auto"/>
        </w:rPr>
        <w:t>Exhibit 10.9</w:t>
      </w:r>
    </w:p>
    <w:p>
      <w:pPr>
        <w:spacing w:after="0" w:line="24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Amendment I may be executed in two or more counterparts, all of which shall be considered one and the same instrument and shall become effective when one or more counterparts have been signed by each of the parties and delivered to the other. Signatures to this Agreement transmitted by facsimile transmission, by electronic mail in PDF form, or by any other electronic means designed to preserve the original graphic and pictorial appearance of a document, will be deemed to have the same effect as physical delivery of the paper document bearing the original signatures.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duly executed this Amendment It on the Amendment Effective Date.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520" w:type="dxa"/>
            <w:vAlign w:val="bottom"/>
            <w:gridSpan w:val="2"/>
          </w:tcPr>
          <w:p>
            <w:pPr>
              <w:spacing w:after="0"/>
              <w:rPr>
                <w:sz w:val="20"/>
                <w:szCs w:val="20"/>
                <w:color w:val="auto"/>
              </w:rPr>
            </w:pPr>
            <w:r>
              <w:rPr>
                <w:rFonts w:ascii="Arial" w:cs="Arial" w:eastAsia="Arial" w:hAnsi="Arial"/>
                <w:sz w:val="20"/>
                <w:szCs w:val="20"/>
                <w:b w:val="1"/>
                <w:bCs w:val="1"/>
                <w:color w:val="auto"/>
              </w:rPr>
              <w:t>WASHINGTON STATE UNIVERSITY</w:t>
            </w:r>
          </w:p>
        </w:tc>
        <w:tc>
          <w:tcPr>
            <w:tcW w:w="5720" w:type="dxa"/>
            <w:vAlign w:val="bottom"/>
            <w:gridSpan w:val="2"/>
          </w:tcPr>
          <w:p>
            <w:pPr>
              <w:ind w:left="120"/>
              <w:spacing w:after="0"/>
              <w:rPr>
                <w:sz w:val="20"/>
                <w:szCs w:val="20"/>
                <w:color w:val="auto"/>
              </w:rPr>
            </w:pPr>
            <w:r>
              <w:rPr>
                <w:rFonts w:ascii="Arial" w:cs="Arial" w:eastAsia="Arial" w:hAnsi="Arial"/>
                <w:sz w:val="20"/>
                <w:szCs w:val="20"/>
                <w:b w:val="1"/>
                <w:bCs w:val="1"/>
                <w:color w:val="auto"/>
              </w:rPr>
              <w:t>M3 BIOTECHNOLOGY INC.</w:t>
            </w:r>
          </w:p>
        </w:tc>
      </w:tr>
      <w:tr>
        <w:trPr>
          <w:trHeight w:val="442"/>
        </w:trPr>
        <w:tc>
          <w:tcPr>
            <w:tcW w:w="920" w:type="dxa"/>
            <w:vAlign w:val="bottom"/>
          </w:tcPr>
          <w:p>
            <w:pPr>
              <w:spacing w:after="0"/>
              <w:rPr>
                <w:sz w:val="20"/>
                <w:szCs w:val="20"/>
                <w:color w:val="auto"/>
              </w:rPr>
            </w:pPr>
            <w:r>
              <w:rPr>
                <w:rFonts w:ascii="Arial" w:cs="Arial" w:eastAsia="Arial" w:hAnsi="Arial"/>
                <w:sz w:val="20"/>
                <w:szCs w:val="20"/>
                <w:color w:val="auto"/>
              </w:rPr>
              <w:t>Name:</w:t>
            </w:r>
          </w:p>
        </w:tc>
        <w:tc>
          <w:tcPr>
            <w:tcW w:w="46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Sita Pappu</w:t>
            </w:r>
          </w:p>
        </w:tc>
        <w:tc>
          <w:tcPr>
            <w:tcW w:w="1040" w:type="dxa"/>
            <w:vAlign w:val="bottom"/>
          </w:tcPr>
          <w:p>
            <w:pPr>
              <w:ind w:left="120"/>
              <w:spacing w:after="0"/>
              <w:rPr>
                <w:sz w:val="20"/>
                <w:szCs w:val="20"/>
                <w:color w:val="auto"/>
              </w:rPr>
            </w:pPr>
            <w:r>
              <w:rPr>
                <w:rFonts w:ascii="Arial" w:cs="Arial" w:eastAsia="Arial" w:hAnsi="Arial"/>
                <w:sz w:val="20"/>
                <w:szCs w:val="20"/>
                <w:color w:val="auto"/>
              </w:rPr>
              <w:t>Name:</w:t>
            </w:r>
          </w:p>
        </w:tc>
        <w:tc>
          <w:tcPr>
            <w:tcW w:w="4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Leen Kawas</w:t>
            </w:r>
          </w:p>
        </w:tc>
      </w:tr>
      <w:tr>
        <w:trPr>
          <w:trHeight w:val="223"/>
        </w:trPr>
        <w:tc>
          <w:tcPr>
            <w:tcW w:w="920" w:type="dxa"/>
            <w:vAlign w:val="bottom"/>
          </w:tcPr>
          <w:p>
            <w:pPr>
              <w:spacing w:after="0" w:line="223" w:lineRule="exact"/>
              <w:rPr>
                <w:sz w:val="20"/>
                <w:szCs w:val="20"/>
                <w:color w:val="auto"/>
              </w:rPr>
            </w:pPr>
            <w:r>
              <w:rPr>
                <w:rFonts w:ascii="Arial" w:cs="Arial" w:eastAsia="Arial" w:hAnsi="Arial"/>
                <w:sz w:val="20"/>
                <w:szCs w:val="20"/>
                <w:color w:val="auto"/>
                <w:w w:val="98"/>
              </w:rPr>
              <w:t>Signature:</w:t>
            </w:r>
          </w:p>
        </w:tc>
        <w:tc>
          <w:tcPr>
            <w:tcW w:w="460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/s/ Sita Pappu</w:t>
            </w:r>
          </w:p>
        </w:tc>
        <w:tc>
          <w:tcPr>
            <w:tcW w:w="1040" w:type="dxa"/>
            <w:vAlign w:val="bottom"/>
          </w:tcPr>
          <w:p>
            <w:pPr>
              <w:ind w:left="120"/>
              <w:spacing w:after="0" w:line="223" w:lineRule="exact"/>
              <w:rPr>
                <w:sz w:val="20"/>
                <w:szCs w:val="20"/>
                <w:color w:val="auto"/>
              </w:rPr>
            </w:pPr>
            <w:r>
              <w:rPr>
                <w:rFonts w:ascii="Arial" w:cs="Arial" w:eastAsia="Arial" w:hAnsi="Arial"/>
                <w:sz w:val="20"/>
                <w:szCs w:val="20"/>
                <w:color w:val="auto"/>
                <w:w w:val="98"/>
              </w:rPr>
              <w:t>Signature:</w:t>
            </w:r>
          </w:p>
        </w:tc>
        <w:tc>
          <w:tcPr>
            <w:tcW w:w="468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/s/ Leen Kawas</w:t>
            </w:r>
          </w:p>
        </w:tc>
      </w:tr>
      <w:tr>
        <w:trPr>
          <w:trHeight w:val="223"/>
        </w:trPr>
        <w:tc>
          <w:tcPr>
            <w:tcW w:w="920" w:type="dxa"/>
            <w:vAlign w:val="bottom"/>
          </w:tcPr>
          <w:p>
            <w:pPr>
              <w:spacing w:after="0" w:line="223" w:lineRule="exact"/>
              <w:rPr>
                <w:sz w:val="20"/>
                <w:szCs w:val="20"/>
                <w:color w:val="auto"/>
              </w:rPr>
            </w:pPr>
            <w:r>
              <w:rPr>
                <w:rFonts w:ascii="Arial" w:cs="Arial" w:eastAsia="Arial" w:hAnsi="Arial"/>
                <w:sz w:val="20"/>
                <w:szCs w:val="20"/>
                <w:color w:val="auto"/>
              </w:rPr>
              <w:t>Title:</w:t>
            </w:r>
          </w:p>
        </w:tc>
        <w:tc>
          <w:tcPr>
            <w:tcW w:w="460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Assistant VP of Office of Commercialization</w:t>
            </w:r>
          </w:p>
        </w:tc>
        <w:tc>
          <w:tcPr>
            <w:tcW w:w="1040" w:type="dxa"/>
            <w:vAlign w:val="bottom"/>
          </w:tcPr>
          <w:p>
            <w:pPr>
              <w:ind w:left="120"/>
              <w:spacing w:after="0" w:line="223" w:lineRule="exact"/>
              <w:rPr>
                <w:sz w:val="20"/>
                <w:szCs w:val="20"/>
                <w:color w:val="auto"/>
              </w:rPr>
            </w:pPr>
            <w:r>
              <w:rPr>
                <w:rFonts w:ascii="Arial" w:cs="Arial" w:eastAsia="Arial" w:hAnsi="Arial"/>
                <w:sz w:val="20"/>
                <w:szCs w:val="20"/>
                <w:color w:val="auto"/>
              </w:rPr>
              <w:t>Title:</w:t>
            </w:r>
          </w:p>
        </w:tc>
        <w:tc>
          <w:tcPr>
            <w:tcW w:w="468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CEO &amp; President</w:t>
            </w:r>
          </w:p>
        </w:tc>
      </w:tr>
      <w:tr>
        <w:trPr>
          <w:trHeight w:val="439"/>
        </w:trPr>
        <w:tc>
          <w:tcPr>
            <w:tcW w:w="920" w:type="dxa"/>
            <w:vAlign w:val="bottom"/>
          </w:tcPr>
          <w:p>
            <w:pPr>
              <w:spacing w:after="0"/>
              <w:rPr>
                <w:sz w:val="20"/>
                <w:szCs w:val="20"/>
                <w:color w:val="auto"/>
              </w:rPr>
            </w:pPr>
            <w:r>
              <w:rPr>
                <w:rFonts w:ascii="Arial" w:cs="Arial" w:eastAsia="Arial" w:hAnsi="Arial"/>
                <w:sz w:val="20"/>
                <w:szCs w:val="20"/>
                <w:color w:val="auto"/>
              </w:rPr>
              <w:t>Date:</w:t>
            </w:r>
          </w:p>
        </w:tc>
        <w:tc>
          <w:tcPr>
            <w:tcW w:w="46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02.02.18</w:t>
            </w:r>
          </w:p>
        </w:tc>
        <w:tc>
          <w:tcPr>
            <w:tcW w:w="1040" w:type="dxa"/>
            <w:vAlign w:val="bottom"/>
          </w:tcPr>
          <w:p>
            <w:pPr>
              <w:ind w:left="120"/>
              <w:spacing w:after="0"/>
              <w:rPr>
                <w:sz w:val="20"/>
                <w:szCs w:val="20"/>
                <w:color w:val="auto"/>
              </w:rPr>
            </w:pPr>
            <w:r>
              <w:rPr>
                <w:rFonts w:ascii="Arial" w:cs="Arial" w:eastAsia="Arial" w:hAnsi="Arial"/>
                <w:sz w:val="20"/>
                <w:szCs w:val="20"/>
                <w:color w:val="auto"/>
              </w:rPr>
              <w:t>Date:</w:t>
            </w:r>
          </w:p>
        </w:tc>
        <w:tc>
          <w:tcPr>
            <w:tcW w:w="4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02.02.2018</w:t>
            </w:r>
          </w:p>
        </w:tc>
      </w:tr>
    </w:tbl>
    <w:p>
      <w:pPr>
        <w:spacing w:after="0" w:line="200" w:lineRule="exact"/>
        <w:rPr>
          <w:sz w:val="20"/>
          <w:szCs w:val="20"/>
          <w:color w:val="auto"/>
        </w:rPr>
      </w:pPr>
    </w:p>
    <w:p>
      <w:pPr>
        <w:spacing w:after="0" w:line="21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WSU-OC Ref #:</w:t>
      </w:r>
      <w:r>
        <w:rPr>
          <w:rFonts w:ascii="Arial" w:cs="Arial" w:eastAsia="Arial" w:hAnsi="Arial"/>
          <w:sz w:val="19"/>
          <w:szCs w:val="19"/>
          <w:color w:val="333333"/>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Amendment to Exclusive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3" w:name="page344"/>
    <w:bookmarkEnd w:id="343"/>
    <w:p>
      <w:pPr>
        <w:jc w:val="right"/>
        <w:spacing w:after="0"/>
        <w:rPr>
          <w:sz w:val="20"/>
          <w:szCs w:val="20"/>
          <w:color w:val="auto"/>
        </w:rPr>
      </w:pPr>
      <w:r>
        <w:rPr>
          <w:rFonts w:ascii="Arial" w:cs="Arial" w:eastAsia="Arial" w:hAnsi="Arial"/>
          <w:sz w:val="20"/>
          <w:szCs w:val="20"/>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151130</wp:posOffset>
            </wp:positionV>
            <wp:extent cx="3257550" cy="99441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25755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TO THE EXCLUSIVE LICENSE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III</w:t>
      </w:r>
    </w:p>
    <w:p>
      <w:pPr>
        <w:jc w:val="center"/>
        <w:spacing w:after="0"/>
        <w:rPr>
          <w:sz w:val="20"/>
          <w:szCs w:val="20"/>
          <w:color w:val="auto"/>
        </w:rPr>
      </w:pPr>
      <w:r>
        <w:rPr>
          <w:rFonts w:ascii="Arial" w:cs="Arial" w:eastAsia="Arial" w:hAnsi="Arial"/>
          <w:sz w:val="20"/>
          <w:szCs w:val="20"/>
          <w:b w:val="1"/>
          <w:bCs w:val="1"/>
          <w:color w:val="auto"/>
        </w:rPr>
        <w:t xml:space="preserve">WSU OC#: </w:t>
      </w:r>
      <w:r>
        <w:rPr>
          <w:rFonts w:ascii="Arial" w:cs="Arial" w:eastAsia="Arial" w:hAnsi="Arial"/>
          <w:sz w:val="20"/>
          <w:szCs w:val="20"/>
          <w:b w:val="1"/>
          <w:bCs w:val="1"/>
          <w:color w:val="333333"/>
        </w:rPr>
        <w:t>[†]</w:t>
      </w:r>
    </w:p>
    <w:p>
      <w:pPr>
        <w:jc w:val="center"/>
        <w:spacing w:after="0"/>
        <w:rPr>
          <w:sz w:val="20"/>
          <w:szCs w:val="20"/>
          <w:color w:val="auto"/>
        </w:rPr>
      </w:pPr>
      <w:r>
        <w:rPr>
          <w:rFonts w:ascii="Arial" w:cs="Arial" w:eastAsia="Arial" w:hAnsi="Arial"/>
          <w:sz w:val="20"/>
          <w:szCs w:val="20"/>
          <w:b w:val="1"/>
          <w:bCs w:val="1"/>
          <w:color w:val="auto"/>
        </w:rPr>
        <w:t xml:space="preserve">AGR#: </w:t>
      </w:r>
      <w:r>
        <w:rPr>
          <w:rFonts w:ascii="Arial" w:cs="Arial" w:eastAsia="Arial" w:hAnsi="Arial"/>
          <w:sz w:val="20"/>
          <w:szCs w:val="20"/>
          <w:b w:val="1"/>
          <w:bCs w:val="1"/>
          <w:color w:val="333333"/>
        </w:rPr>
        <w:t>[†]</w:t>
      </w:r>
    </w:p>
    <w:p>
      <w:pPr>
        <w:jc w:val="center"/>
        <w:spacing w:after="0"/>
        <w:rPr>
          <w:sz w:val="20"/>
          <w:szCs w:val="20"/>
          <w:color w:val="auto"/>
        </w:rPr>
      </w:pPr>
      <w:r>
        <w:rPr>
          <w:rFonts w:ascii="Arial" w:cs="Arial" w:eastAsia="Arial" w:hAnsi="Arial"/>
          <w:sz w:val="20"/>
          <w:szCs w:val="20"/>
          <w:b w:val="1"/>
          <w:bCs w:val="1"/>
          <w:color w:val="auto"/>
        </w:rPr>
        <w:t>Dated 2/8/2019</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THIS AMENDMENT </w:t>
      </w:r>
      <w:r>
        <w:rPr>
          <w:rFonts w:ascii="Arial" w:cs="Arial" w:eastAsia="Arial" w:hAnsi="Arial"/>
          <w:sz w:val="20"/>
          <w:szCs w:val="20"/>
          <w:color w:val="auto"/>
        </w:rPr>
        <w:t>(“Amendment III”) to the Amended and Restated Standard Exclusive License Agreement, (the “Agreement”) with</w:t>
      </w:r>
      <w:r>
        <w:rPr>
          <w:rFonts w:ascii="Arial" w:cs="Arial" w:eastAsia="Arial" w:hAnsi="Arial"/>
          <w:sz w:val="20"/>
          <w:szCs w:val="20"/>
          <w:b w:val="1"/>
          <w:bCs w:val="1"/>
          <w:color w:val="auto"/>
        </w:rPr>
        <w:t xml:space="preserve"> </w:t>
      </w:r>
      <w:r>
        <w:rPr>
          <w:rFonts w:ascii="Arial" w:cs="Arial" w:eastAsia="Arial" w:hAnsi="Arial"/>
          <w:sz w:val="20"/>
          <w:szCs w:val="20"/>
          <w:color w:val="auto"/>
        </w:rPr>
        <w:t>Sublicensing Terms, originally dated 1</w:t>
      </w:r>
      <w:r>
        <w:rPr>
          <w:rFonts w:ascii="Arial" w:cs="Arial" w:eastAsia="Arial" w:hAnsi="Arial"/>
          <w:sz w:val="16"/>
          <w:szCs w:val="16"/>
          <w:color w:val="auto"/>
        </w:rPr>
        <w:t>st</w:t>
      </w:r>
      <w:r>
        <w:rPr>
          <w:rFonts w:ascii="Arial" w:cs="Arial" w:eastAsia="Arial" w:hAnsi="Arial"/>
          <w:sz w:val="20"/>
          <w:szCs w:val="20"/>
          <w:color w:val="auto"/>
        </w:rPr>
        <w:t xml:space="preserve"> September, 2015 and amended twice on September 1</w:t>
      </w:r>
      <w:r>
        <w:rPr>
          <w:rFonts w:ascii="Arial" w:cs="Arial" w:eastAsia="Arial" w:hAnsi="Arial"/>
          <w:sz w:val="16"/>
          <w:szCs w:val="16"/>
          <w:color w:val="auto"/>
        </w:rPr>
        <w:t>st</w:t>
      </w:r>
      <w:r>
        <w:rPr>
          <w:rFonts w:ascii="Arial" w:cs="Arial" w:eastAsia="Arial" w:hAnsi="Arial"/>
          <w:sz w:val="20"/>
          <w:szCs w:val="20"/>
          <w:color w:val="auto"/>
        </w:rPr>
        <w:t>, 2015 and January 18</w:t>
      </w:r>
      <w:r>
        <w:rPr>
          <w:rFonts w:ascii="Arial" w:cs="Arial" w:eastAsia="Arial" w:hAnsi="Arial"/>
          <w:sz w:val="16"/>
          <w:szCs w:val="16"/>
          <w:color w:val="auto"/>
        </w:rPr>
        <w:t>th</w:t>
      </w:r>
      <w:r>
        <w:rPr>
          <w:rFonts w:ascii="Arial" w:cs="Arial" w:eastAsia="Arial" w:hAnsi="Arial"/>
          <w:sz w:val="20"/>
          <w:szCs w:val="20"/>
          <w:color w:val="auto"/>
        </w:rPr>
        <w:t>, 2018 is by and between Washington State University (hereinafter “WSU”) and M3 Biotechnology, Inc. (hereinafter “Licensee” and collectively as Parties) having a principle office at 4000 Mason Rd., Suite 300 Seattle WA, 98195 USA is effective on February 8th, 2019 (“Amendment III Effective Date”).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Parties desire to make certain modifications, which are described in this Amendment III to the Agreement.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mutual covenants contained herein, the parties hereto agree as follows:</w:t>
      </w:r>
    </w:p>
    <w:p>
      <w:pPr>
        <w:spacing w:after="0" w:line="222" w:lineRule="exact"/>
        <w:rPr>
          <w:sz w:val="20"/>
          <w:szCs w:val="20"/>
          <w:color w:val="auto"/>
        </w:rPr>
      </w:pPr>
    </w:p>
    <w:p>
      <w:pPr>
        <w:ind w:left="1680" w:right="3260" w:hanging="849"/>
        <w:spacing w:after="0" w:line="464" w:lineRule="auto"/>
        <w:tabs>
          <w:tab w:leader="none" w:pos="1664" w:val="left"/>
        </w:tabs>
        <w:numPr>
          <w:ilvl w:val="0"/>
          <w:numId w:val="268"/>
        </w:numPr>
        <w:rPr>
          <w:rFonts w:ascii="Arial" w:cs="Arial" w:eastAsia="Arial" w:hAnsi="Arial"/>
          <w:sz w:val="20"/>
          <w:szCs w:val="20"/>
          <w:color w:val="auto"/>
        </w:rPr>
      </w:pPr>
      <w:r>
        <w:rPr>
          <w:rFonts w:ascii="Arial" w:cs="Arial" w:eastAsia="Arial" w:hAnsi="Arial"/>
          <w:sz w:val="20"/>
          <w:szCs w:val="20"/>
          <w:color w:val="auto"/>
        </w:rPr>
        <w:t xml:space="preserve">The following clause will replace the existing Section 3.1.2.2 in the Agreement: Licensee shall have initiated </w:t>
      </w:r>
      <w:r>
        <w:rPr>
          <w:rFonts w:ascii="Arial" w:cs="Arial" w:eastAsia="Arial" w:hAnsi="Arial"/>
          <w:sz w:val="20"/>
          <w:szCs w:val="20"/>
          <w:color w:val="333333"/>
        </w:rPr>
        <w:t>[†]</w:t>
      </w:r>
      <w:r>
        <w:rPr>
          <w:rFonts w:ascii="Arial" w:cs="Arial" w:eastAsia="Arial" w:hAnsi="Arial"/>
          <w:sz w:val="20"/>
          <w:szCs w:val="20"/>
          <w:color w:val="auto"/>
        </w:rPr>
        <w:t>;</w:t>
      </w:r>
    </w:p>
    <w:p>
      <w:pPr>
        <w:spacing w:after="0" w:line="2" w:lineRule="exact"/>
        <w:rPr>
          <w:sz w:val="20"/>
          <w:szCs w:val="20"/>
          <w:color w:val="auto"/>
        </w:rPr>
      </w:pPr>
    </w:p>
    <w:p>
      <w:pPr>
        <w:ind w:left="840" w:right="3240"/>
        <w:spacing w:after="0" w:line="309" w:lineRule="auto"/>
        <w:rPr>
          <w:sz w:val="20"/>
          <w:szCs w:val="20"/>
          <w:color w:val="auto"/>
        </w:rPr>
      </w:pPr>
      <w:r>
        <w:rPr>
          <w:rFonts w:ascii="Arial" w:cs="Arial" w:eastAsia="Arial" w:hAnsi="Arial"/>
          <w:sz w:val="16"/>
          <w:szCs w:val="16"/>
          <w:color w:val="auto"/>
        </w:rPr>
        <w:t>****All other terms and conditions remain effective as defined in the Agreement dated September 1</w:t>
      </w:r>
      <w:r>
        <w:rPr>
          <w:rFonts w:ascii="Arial" w:cs="Arial" w:eastAsia="Arial" w:hAnsi="Arial"/>
          <w:sz w:val="13"/>
          <w:szCs w:val="13"/>
          <w:color w:val="auto"/>
        </w:rPr>
        <w:t>st</w:t>
      </w:r>
      <w:r>
        <w:rPr>
          <w:rFonts w:ascii="Arial" w:cs="Arial" w:eastAsia="Arial" w:hAnsi="Arial"/>
          <w:sz w:val="16"/>
          <w:szCs w:val="16"/>
          <w:color w:val="auto"/>
        </w:rPr>
        <w:t>, 2015 and as amended twice on September 1</w:t>
      </w:r>
      <w:r>
        <w:rPr>
          <w:rFonts w:ascii="Arial" w:cs="Arial" w:eastAsia="Arial" w:hAnsi="Arial"/>
          <w:sz w:val="13"/>
          <w:szCs w:val="13"/>
          <w:color w:val="auto"/>
        </w:rPr>
        <w:t>st</w:t>
      </w:r>
      <w:r>
        <w:rPr>
          <w:rFonts w:ascii="Arial" w:cs="Arial" w:eastAsia="Arial" w:hAnsi="Arial"/>
          <w:sz w:val="16"/>
          <w:szCs w:val="16"/>
          <w:color w:val="auto"/>
        </w:rPr>
        <w:t>, 2015 and January 18</w:t>
      </w:r>
      <w:r>
        <w:rPr>
          <w:rFonts w:ascii="Arial" w:cs="Arial" w:eastAsia="Arial" w:hAnsi="Arial"/>
          <w:sz w:val="13"/>
          <w:szCs w:val="13"/>
          <w:color w:val="auto"/>
        </w:rPr>
        <w:t>th</w:t>
      </w:r>
      <w:r>
        <w:rPr>
          <w:rFonts w:ascii="Arial" w:cs="Arial" w:eastAsia="Arial" w:hAnsi="Arial"/>
          <w:sz w:val="16"/>
          <w:szCs w:val="16"/>
          <w:color w:val="auto"/>
        </w:rPr>
        <w:t>, 2018</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respectively.. ***</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Amendment III may be executed in two or more counterparts, all of which shall be considered one and the same instrument and shall become effective when one or more counterparts have been signed by each of the parties and delivered to the other. Signatures to this Agreement transmitted by facsimile transmission, by electronic mail in PDF form, or by any other electronic means designed to preserve the original graphic and pictorial appearance of a document, will be deemed to have the same effect as physical delivery of the paper document bearing the original signatures.</w:t>
      </w:r>
    </w:p>
    <w:p>
      <w:pPr>
        <w:spacing w:after="0" w:line="200" w:lineRule="exact"/>
        <w:rPr>
          <w:sz w:val="20"/>
          <w:szCs w:val="20"/>
          <w:color w:val="auto"/>
        </w:rPr>
      </w:pPr>
    </w:p>
    <w:p>
      <w:pPr>
        <w:spacing w:after="0" w:line="318"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[SIGNATURE PAGE FOLLOWS]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Amendment to Exclusive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4" w:name="page345"/>
    <w:bookmarkEnd w:id="344"/>
    <w:p>
      <w:pPr>
        <w:jc w:val="right"/>
        <w:spacing w:after="0"/>
        <w:rPr>
          <w:sz w:val="20"/>
          <w:szCs w:val="20"/>
          <w:color w:val="auto"/>
        </w:rPr>
      </w:pPr>
      <w:r>
        <w:rPr>
          <w:rFonts w:ascii="Arial" w:cs="Arial" w:eastAsia="Arial" w:hAnsi="Arial"/>
          <w:sz w:val="20"/>
          <w:szCs w:val="20"/>
          <w:b w:val="1"/>
          <w:bCs w:val="1"/>
          <w:color w:val="auto"/>
        </w:rPr>
        <w:t>Exhibit 10.9</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have duly executed this Amendment III on the Amendment III Effective 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560" w:type="dxa"/>
            <w:vAlign w:val="bottom"/>
            <w:gridSpan w:val="3"/>
          </w:tcPr>
          <w:p>
            <w:pPr>
              <w:spacing w:after="0"/>
              <w:rPr>
                <w:sz w:val="20"/>
                <w:szCs w:val="20"/>
                <w:color w:val="auto"/>
              </w:rPr>
            </w:pPr>
            <w:r>
              <w:rPr>
                <w:rFonts w:ascii="Arial" w:cs="Arial" w:eastAsia="Arial" w:hAnsi="Arial"/>
                <w:sz w:val="20"/>
                <w:szCs w:val="20"/>
                <w:color w:val="auto"/>
              </w:rPr>
              <w:t>WASHINGTON STATE UNIVERSITY</w:t>
            </w:r>
          </w:p>
        </w:tc>
        <w:tc>
          <w:tcPr>
            <w:tcW w:w="5680" w:type="dxa"/>
            <w:vAlign w:val="bottom"/>
            <w:gridSpan w:val="2"/>
          </w:tcPr>
          <w:p>
            <w:pPr>
              <w:ind w:left="100"/>
              <w:spacing w:after="0"/>
              <w:rPr>
                <w:sz w:val="20"/>
                <w:szCs w:val="20"/>
                <w:color w:val="auto"/>
              </w:rPr>
            </w:pPr>
            <w:r>
              <w:rPr>
                <w:rFonts w:ascii="Arial" w:cs="Arial" w:eastAsia="Arial" w:hAnsi="Arial"/>
                <w:sz w:val="20"/>
                <w:szCs w:val="20"/>
                <w:color w:val="auto"/>
              </w:rPr>
              <w:t>M3 BIOTECHNOLOGY INC.</w:t>
            </w:r>
          </w:p>
        </w:tc>
      </w:tr>
      <w:tr>
        <w:trPr>
          <w:trHeight w:val="441"/>
        </w:trPr>
        <w:tc>
          <w:tcPr>
            <w:tcW w:w="900" w:type="dxa"/>
            <w:vAlign w:val="bottom"/>
          </w:tcPr>
          <w:p>
            <w:pPr>
              <w:spacing w:after="0"/>
              <w:rPr>
                <w:sz w:val="20"/>
                <w:szCs w:val="20"/>
                <w:color w:val="auto"/>
              </w:rPr>
            </w:pPr>
            <w:r>
              <w:rPr>
                <w:rFonts w:ascii="Arial" w:cs="Arial" w:eastAsia="Arial" w:hAnsi="Arial"/>
                <w:sz w:val="20"/>
                <w:szCs w:val="20"/>
                <w:color w:val="auto"/>
                <w:w w:val="96"/>
              </w:rPr>
              <w:t>Signature:</w:t>
            </w:r>
          </w:p>
        </w:tc>
        <w:tc>
          <w:tcPr>
            <w:tcW w:w="4660" w:type="dxa"/>
            <w:vAlign w:val="bottom"/>
            <w:gridSpan w:val="2"/>
          </w:tcPr>
          <w:p>
            <w:pPr>
              <w:ind w:left="60"/>
              <w:spacing w:after="0"/>
              <w:rPr>
                <w:sz w:val="20"/>
                <w:szCs w:val="20"/>
                <w:color w:val="auto"/>
              </w:rPr>
            </w:pPr>
            <w:r>
              <w:rPr>
                <w:rFonts w:ascii="Arial" w:cs="Arial" w:eastAsia="Arial" w:hAnsi="Arial"/>
                <w:sz w:val="20"/>
                <w:szCs w:val="20"/>
                <w:color w:val="auto"/>
              </w:rPr>
              <w:t>/s/ Sita S. Pappu</w:t>
            </w:r>
          </w:p>
        </w:tc>
        <w:tc>
          <w:tcPr>
            <w:tcW w:w="5680" w:type="dxa"/>
            <w:vAlign w:val="bottom"/>
            <w:gridSpan w:val="2"/>
          </w:tcPr>
          <w:p>
            <w:pPr>
              <w:ind w:left="100"/>
              <w:spacing w:after="0"/>
              <w:rPr>
                <w:sz w:val="20"/>
                <w:szCs w:val="20"/>
                <w:color w:val="auto"/>
              </w:rPr>
            </w:pPr>
            <w:r>
              <w:rPr>
                <w:rFonts w:ascii="Arial" w:cs="Arial" w:eastAsia="Arial" w:hAnsi="Arial"/>
                <w:sz w:val="20"/>
                <w:szCs w:val="20"/>
                <w:color w:val="auto"/>
              </w:rPr>
              <w:t>Signature: /s/ Leen Kawas</w:t>
            </w:r>
          </w:p>
        </w:tc>
      </w:tr>
      <w:tr>
        <w:trPr>
          <w:trHeight w:val="223"/>
        </w:trPr>
        <w:tc>
          <w:tcPr>
            <w:tcW w:w="900" w:type="dxa"/>
            <w:vAlign w:val="bottom"/>
          </w:tcPr>
          <w:p>
            <w:pPr>
              <w:spacing w:after="0" w:line="223" w:lineRule="exact"/>
              <w:rPr>
                <w:sz w:val="20"/>
                <w:szCs w:val="20"/>
                <w:color w:val="auto"/>
              </w:rPr>
            </w:pPr>
            <w:r>
              <w:rPr>
                <w:rFonts w:ascii="Arial" w:cs="Arial" w:eastAsia="Arial" w:hAnsi="Arial"/>
                <w:sz w:val="20"/>
                <w:szCs w:val="20"/>
                <w:color w:val="auto"/>
              </w:rPr>
              <w:t>Name:</w:t>
            </w:r>
          </w:p>
        </w:tc>
        <w:tc>
          <w:tcPr>
            <w:tcW w:w="60" w:type="dxa"/>
            <w:vAlign w:val="bottom"/>
          </w:tcPr>
          <w:p>
            <w:pPr>
              <w:spacing w:after="0"/>
              <w:rPr>
                <w:sz w:val="19"/>
                <w:szCs w:val="19"/>
                <w:color w:val="auto"/>
              </w:rPr>
            </w:pPr>
          </w:p>
        </w:tc>
        <w:tc>
          <w:tcPr>
            <w:tcW w:w="460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0"/>
                <w:szCs w:val="20"/>
                <w:color w:val="auto"/>
              </w:rPr>
              <w:t>Sita Pappu</w:t>
            </w:r>
          </w:p>
        </w:tc>
        <w:tc>
          <w:tcPr>
            <w:tcW w:w="1040" w:type="dxa"/>
            <w:vAlign w:val="bottom"/>
          </w:tcPr>
          <w:p>
            <w:pPr>
              <w:ind w:left="100"/>
              <w:spacing w:after="0" w:line="223" w:lineRule="exact"/>
              <w:rPr>
                <w:sz w:val="20"/>
                <w:szCs w:val="20"/>
                <w:color w:val="auto"/>
              </w:rPr>
            </w:pPr>
            <w:r>
              <w:rPr>
                <w:rFonts w:ascii="Arial" w:cs="Arial" w:eastAsia="Arial" w:hAnsi="Arial"/>
                <w:sz w:val="20"/>
                <w:szCs w:val="20"/>
                <w:color w:val="auto"/>
              </w:rPr>
              <w:t>Name:</w:t>
            </w:r>
          </w:p>
        </w:tc>
        <w:tc>
          <w:tcPr>
            <w:tcW w:w="464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0"/>
                <w:szCs w:val="20"/>
                <w:color w:val="auto"/>
              </w:rPr>
              <w:t>Leen Kawas</w:t>
            </w:r>
          </w:p>
        </w:tc>
      </w:tr>
      <w:tr>
        <w:trPr>
          <w:trHeight w:val="223"/>
        </w:trPr>
        <w:tc>
          <w:tcPr>
            <w:tcW w:w="900" w:type="dxa"/>
            <w:vAlign w:val="bottom"/>
          </w:tcPr>
          <w:p>
            <w:pPr>
              <w:spacing w:after="0" w:line="223" w:lineRule="exact"/>
              <w:rPr>
                <w:sz w:val="20"/>
                <w:szCs w:val="20"/>
                <w:color w:val="auto"/>
              </w:rPr>
            </w:pPr>
            <w:r>
              <w:rPr>
                <w:rFonts w:ascii="Arial" w:cs="Arial" w:eastAsia="Arial" w:hAnsi="Arial"/>
                <w:sz w:val="20"/>
                <w:szCs w:val="20"/>
                <w:color w:val="auto"/>
              </w:rPr>
              <w:t>Title:</w:t>
            </w:r>
          </w:p>
        </w:tc>
        <w:tc>
          <w:tcPr>
            <w:tcW w:w="60" w:type="dxa"/>
            <w:vAlign w:val="bottom"/>
          </w:tcPr>
          <w:p>
            <w:pPr>
              <w:spacing w:after="0"/>
              <w:rPr>
                <w:sz w:val="19"/>
                <w:szCs w:val="19"/>
                <w:color w:val="auto"/>
              </w:rPr>
            </w:pPr>
          </w:p>
        </w:tc>
        <w:tc>
          <w:tcPr>
            <w:tcW w:w="460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Assistant Vice President, Commercialization</w:t>
            </w:r>
          </w:p>
        </w:tc>
        <w:tc>
          <w:tcPr>
            <w:tcW w:w="1040" w:type="dxa"/>
            <w:vAlign w:val="bottom"/>
          </w:tcPr>
          <w:p>
            <w:pPr>
              <w:ind w:left="100"/>
              <w:spacing w:after="0" w:line="223" w:lineRule="exact"/>
              <w:rPr>
                <w:sz w:val="20"/>
                <w:szCs w:val="20"/>
                <w:color w:val="auto"/>
              </w:rPr>
            </w:pPr>
            <w:r>
              <w:rPr>
                <w:rFonts w:ascii="Arial" w:cs="Arial" w:eastAsia="Arial" w:hAnsi="Arial"/>
                <w:sz w:val="20"/>
                <w:szCs w:val="20"/>
                <w:color w:val="auto"/>
              </w:rPr>
              <w:t>Title:</w:t>
            </w:r>
          </w:p>
        </w:tc>
        <w:tc>
          <w:tcPr>
            <w:tcW w:w="464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CEO &amp; President</w:t>
            </w:r>
          </w:p>
        </w:tc>
      </w:tr>
      <w:tr>
        <w:trPr>
          <w:trHeight w:val="439"/>
        </w:trPr>
        <w:tc>
          <w:tcPr>
            <w:tcW w:w="900" w:type="dxa"/>
            <w:vAlign w:val="bottom"/>
          </w:tcPr>
          <w:p>
            <w:pPr>
              <w:spacing w:after="0"/>
              <w:rPr>
                <w:sz w:val="20"/>
                <w:szCs w:val="20"/>
                <w:color w:val="auto"/>
              </w:rPr>
            </w:pPr>
            <w:r>
              <w:rPr>
                <w:rFonts w:ascii="Arial" w:cs="Arial" w:eastAsia="Arial" w:hAnsi="Arial"/>
                <w:sz w:val="20"/>
                <w:szCs w:val="20"/>
                <w:color w:val="auto"/>
              </w:rPr>
              <w:t>Date:</w:t>
            </w:r>
          </w:p>
        </w:tc>
        <w:tc>
          <w:tcPr>
            <w:tcW w:w="60" w:type="dxa"/>
            <w:vAlign w:val="bottom"/>
          </w:tcPr>
          <w:p>
            <w:pPr>
              <w:spacing w:after="0"/>
              <w:rPr>
                <w:sz w:val="24"/>
                <w:szCs w:val="24"/>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February 15, 2019</w:t>
            </w:r>
          </w:p>
        </w:tc>
        <w:tc>
          <w:tcPr>
            <w:tcW w:w="1040" w:type="dxa"/>
            <w:vAlign w:val="bottom"/>
          </w:tcPr>
          <w:p>
            <w:pPr>
              <w:ind w:left="100"/>
              <w:spacing w:after="0"/>
              <w:rPr>
                <w:sz w:val="20"/>
                <w:szCs w:val="20"/>
                <w:color w:val="auto"/>
              </w:rPr>
            </w:pPr>
            <w:r>
              <w:rPr>
                <w:rFonts w:ascii="Arial" w:cs="Arial" w:eastAsia="Arial" w:hAnsi="Arial"/>
                <w:sz w:val="20"/>
                <w:szCs w:val="20"/>
                <w:color w:val="auto"/>
              </w:rPr>
              <w:t>Date:</w:t>
            </w:r>
          </w:p>
        </w:tc>
        <w:tc>
          <w:tcPr>
            <w:tcW w:w="46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2/14/2019</w:t>
            </w: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w:t>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WSU-OC Ref #:</w:t>
      </w:r>
      <w:r>
        <w:rPr>
          <w:rFonts w:ascii="Arial" w:cs="Arial" w:eastAsia="Arial" w:hAnsi="Arial"/>
          <w:sz w:val="20"/>
          <w:szCs w:val="20"/>
          <w:color w:val="333333"/>
        </w:rPr>
        <w: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Amendment to Exclusive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5" w:name="page346"/>
    <w:bookmarkEnd w:id="345"/>
    <w:p>
      <w:pPr>
        <w:ind w:left="3720"/>
        <w:spacing w:after="0"/>
        <w:rPr>
          <w:sz w:val="20"/>
          <w:szCs w:val="20"/>
          <w:color w:val="auto"/>
        </w:rPr>
      </w:pPr>
      <w:r>
        <w:rPr>
          <w:rFonts w:ascii="Arial" w:cs="Arial" w:eastAsia="Arial" w:hAnsi="Arial"/>
          <w:sz w:val="37"/>
          <w:szCs w:val="37"/>
          <w:b w:val="1"/>
          <w:bCs w:val="1"/>
          <w:color w:val="auto"/>
        </w:rPr>
        <w:t>WASHINGTON STATE</w:t>
      </w:r>
    </w:p>
    <w:p>
      <w:pPr>
        <w:ind w:left="4360"/>
        <w:spacing w:after="0"/>
        <w:rPr>
          <w:sz w:val="20"/>
          <w:szCs w:val="20"/>
          <w:color w:val="auto"/>
        </w:rPr>
      </w:pPr>
      <w:r>
        <w:rPr>
          <w:sz w:val="1"/>
          <w:szCs w:val="1"/>
          <w:color w:val="auto"/>
        </w:rPr>
        <w:drawing>
          <wp:inline distT="0" distB="0" distL="0" distR="0">
            <wp:extent cx="274320" cy="314325"/>
            <wp:effectExtent l="0" t="0" r="0" b="0"/>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74320" cy="314325"/>
                    </a:xfrm>
                    <a:prstGeom prst="rect">
                      <a:avLst/>
                    </a:prstGeom>
                    <a:noFill/>
                    <a:ln>
                      <a:noFill/>
                    </a:ln>
                  </pic:spPr>
                </pic:pic>
              </a:graphicData>
            </a:graphic>
          </wp:inline>
        </w:drawing>
      </w:r>
      <w:r>
        <w:rPr>
          <w:rFonts w:ascii="Arial" w:cs="Arial" w:eastAsia="Arial" w:hAnsi="Arial"/>
          <w:sz w:val="37"/>
          <w:szCs w:val="37"/>
          <w:b w:val="1"/>
          <w:bCs w:val="1"/>
          <w:color w:val="auto"/>
        </w:rPr>
        <w:t>UNIVERSITY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3780"/>
        <w:spacing w:after="0"/>
        <w:rPr>
          <w:sz w:val="20"/>
          <w:szCs w:val="20"/>
          <w:color w:val="auto"/>
        </w:rPr>
      </w:pPr>
      <w:r>
        <w:rPr>
          <w:rFonts w:ascii="Arial" w:cs="Arial" w:eastAsia="Arial" w:hAnsi="Arial"/>
          <w:sz w:val="22"/>
          <w:szCs w:val="22"/>
          <w:color w:val="auto"/>
        </w:rPr>
        <w:t>AMENDMENT TO THE AMENDED AND RESTATED STANDARD EXCLUSIVE LICENSE AGREEMENT WITH SUBLICENSING TERMS Amendment III</w:t>
      </w:r>
    </w:p>
    <w:p>
      <w:pPr>
        <w:spacing w:after="0" w:line="185"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 xml:space="preserve">WSU OC#: </w:t>
      </w:r>
      <w:r>
        <w:rPr>
          <w:rFonts w:ascii="Arial" w:cs="Arial" w:eastAsia="Arial" w:hAnsi="Arial"/>
          <w:sz w:val="20"/>
          <w:szCs w:val="20"/>
          <w:color w:val="333333"/>
        </w:rPr>
        <w:t>[†]</w:t>
      </w:r>
    </w:p>
    <w:p>
      <w:pPr>
        <w:spacing w:after="0" w:line="21"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 xml:space="preserve">AGR#: </w:t>
      </w:r>
      <w:r>
        <w:rPr>
          <w:rFonts w:ascii="Arial" w:cs="Arial" w:eastAsia="Arial" w:hAnsi="Arial"/>
          <w:sz w:val="20"/>
          <w:szCs w:val="20"/>
          <w:color w:val="333333"/>
        </w:rPr>
        <w:t>[†]</w:t>
      </w:r>
    </w:p>
    <w:p>
      <w:pPr>
        <w:ind w:left="4940"/>
        <w:spacing w:after="0"/>
        <w:rPr>
          <w:sz w:val="20"/>
          <w:szCs w:val="20"/>
          <w:color w:val="auto"/>
        </w:rPr>
      </w:pPr>
      <w:r>
        <w:rPr>
          <w:rFonts w:ascii="Arial" w:cs="Arial" w:eastAsia="Arial" w:hAnsi="Arial"/>
          <w:sz w:val="20"/>
          <w:szCs w:val="20"/>
          <w:b w:val="1"/>
          <w:bCs w:val="1"/>
          <w:color w:val="auto"/>
        </w:rPr>
        <w:t>Dated 7/23/2020</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THIS THIRD AMENDMENT </w:t>
      </w:r>
      <w:r>
        <w:rPr>
          <w:rFonts w:ascii="Arial" w:cs="Arial" w:eastAsia="Arial" w:hAnsi="Arial"/>
          <w:sz w:val="20"/>
          <w:szCs w:val="20"/>
          <w:color w:val="auto"/>
        </w:rPr>
        <w:t>(“Amendment III”) to the Amended and Restated Standard Exclusive License Agreement with Sublicensing</w:t>
      </w:r>
      <w:r>
        <w:rPr>
          <w:rFonts w:ascii="Arial" w:cs="Arial" w:eastAsia="Arial" w:hAnsi="Arial"/>
          <w:sz w:val="20"/>
          <w:szCs w:val="20"/>
          <w:b w:val="1"/>
          <w:bCs w:val="1"/>
          <w:color w:val="auto"/>
        </w:rPr>
        <w:t xml:space="preserve"> </w:t>
      </w:r>
      <w:r>
        <w:rPr>
          <w:rFonts w:ascii="Arial" w:cs="Arial" w:eastAsia="Arial" w:hAnsi="Arial"/>
          <w:sz w:val="20"/>
          <w:szCs w:val="20"/>
          <w:color w:val="auto"/>
        </w:rPr>
        <w:t>Terms, (the original “Agreement”) dated September 1, 2015 by and is between Washington State University (hereinafter “WSU”) and Athira Pharma, Inc. (hereinafter “Licensee” and collectively as “Parties”) having a principal office at 4000 Mason Rd Suite 300, Seattle WA 98195 is effective on July 23, 2020 (“Amendment III Effective Date”).</w:t>
      </w:r>
    </w:p>
    <w:p>
      <w:pPr>
        <w:spacing w:after="0" w:line="183"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Washington State University Research Foundation (“WSURF”) and Licensee previously entered into a Standard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Agreement with Sublicensing Terms with an effective date of December 22, 2011 and amended the agreement on October 29, 2012.</w:t>
      </w:r>
    </w:p>
    <w:p>
      <w:pPr>
        <w:spacing w:after="0" w:line="11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WSU and Licensee entered in the original Agreement on September 1, 2015 and amended the original Agreement twice on</w:t>
      </w:r>
      <w:r>
        <w:rPr>
          <w:rFonts w:ascii="Arial" w:cs="Arial" w:eastAsia="Arial" w:hAnsi="Arial"/>
          <w:sz w:val="20"/>
          <w:szCs w:val="20"/>
          <w:b w:val="1"/>
          <w:bCs w:val="1"/>
          <w:color w:val="auto"/>
        </w:rPr>
        <w:t xml:space="preserve"> </w:t>
      </w:r>
      <w:r>
        <w:rPr>
          <w:rFonts w:ascii="Arial" w:cs="Arial" w:eastAsia="Arial" w:hAnsi="Arial"/>
          <w:sz w:val="20"/>
          <w:szCs w:val="20"/>
          <w:color w:val="auto"/>
        </w:rPr>
        <w:t>January 18, 2018 (“Amendment I”) and on February 8, 2019 (“Amendment II”).</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Parties desire to make certain modifications, which are described in this Amendment III to the original Agreement.</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NOW</w:t>
      </w:r>
      <w:r>
        <w:rPr>
          <w:rFonts w:ascii="Arial" w:cs="Arial" w:eastAsia="Arial" w:hAnsi="Arial"/>
          <w:sz w:val="20"/>
          <w:szCs w:val="20"/>
          <w:color w:val="auto"/>
        </w:rPr>
        <w:t>,</w:t>
      </w:r>
      <w:r>
        <w:rPr>
          <w:rFonts w:ascii="Arial" w:cs="Arial" w:eastAsia="Arial" w:hAnsi="Arial"/>
          <w:sz w:val="20"/>
          <w:szCs w:val="20"/>
          <w:b w:val="1"/>
          <w:bCs w:val="1"/>
          <w:color w:val="auto"/>
        </w:rPr>
        <w:t xml:space="preserve"> THEREFORE</w:t>
      </w:r>
      <w:r>
        <w:rPr>
          <w:rFonts w:ascii="Arial" w:cs="Arial" w:eastAsia="Arial" w:hAnsi="Arial"/>
          <w:sz w:val="20"/>
          <w:szCs w:val="20"/>
          <w:color w:val="auto"/>
        </w:rPr>
        <w:t>, in consideration of the mutual covenants contained herein, the parties hereto agree as follows:</w:t>
      </w:r>
    </w:p>
    <w:p>
      <w:pPr>
        <w:spacing w:after="0" w:line="222" w:lineRule="exact"/>
        <w:rPr>
          <w:sz w:val="20"/>
          <w:szCs w:val="20"/>
          <w:color w:val="auto"/>
        </w:rPr>
      </w:pPr>
    </w:p>
    <w:p>
      <w:pPr>
        <w:ind w:left="980" w:hanging="486"/>
        <w:spacing w:after="0"/>
        <w:tabs>
          <w:tab w:leader="none" w:pos="98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The following clause will replace the existing second WHEREAS section as seen below:</w:t>
      </w:r>
    </w:p>
    <w:p>
      <w:pPr>
        <w:spacing w:after="0" w:line="215" w:lineRule="exact"/>
        <w:rPr>
          <w:rFonts w:ascii="Arial" w:cs="Arial" w:eastAsia="Arial" w:hAnsi="Arial"/>
          <w:sz w:val="20"/>
          <w:szCs w:val="20"/>
          <w:color w:val="auto"/>
        </w:rPr>
      </w:pPr>
    </w:p>
    <w:p>
      <w:pPr>
        <w:ind w:left="980"/>
        <w:spacing w:after="0" w:line="260" w:lineRule="auto"/>
        <w:rPr>
          <w:rFonts w:ascii="Arial" w:cs="Arial" w:eastAsia="Arial" w:hAnsi="Arial"/>
          <w:sz w:val="20"/>
          <w:szCs w:val="20"/>
          <w:color w:val="auto"/>
        </w:rPr>
      </w:pPr>
      <w:r>
        <w:rPr>
          <w:rFonts w:ascii="Arial" w:cs="Arial" w:eastAsia="Arial" w:hAnsi="Arial"/>
          <w:sz w:val="20"/>
          <w:szCs w:val="20"/>
          <w:color w:val="auto"/>
        </w:rPr>
        <w:t>WHEREAS, WSURF no longer exists, the common stock of Licensee that was issued to WSURF in connection with the Original License Agreement has been transferred to the Washington Research Foundation (“WRF”).</w:t>
      </w:r>
    </w:p>
    <w:p>
      <w:pPr>
        <w:spacing w:after="0" w:line="176" w:lineRule="exact"/>
        <w:rPr>
          <w:rFonts w:ascii="Arial" w:cs="Arial" w:eastAsia="Arial" w:hAnsi="Arial"/>
          <w:sz w:val="20"/>
          <w:szCs w:val="20"/>
          <w:color w:val="auto"/>
        </w:rPr>
      </w:pPr>
    </w:p>
    <w:p>
      <w:pPr>
        <w:ind w:left="980"/>
        <w:spacing w:after="0"/>
        <w:rPr>
          <w:rFonts w:ascii="Arial" w:cs="Arial" w:eastAsia="Arial" w:hAnsi="Arial"/>
          <w:sz w:val="20"/>
          <w:szCs w:val="20"/>
          <w:color w:val="auto"/>
        </w:rPr>
      </w:pPr>
      <w:r>
        <w:rPr>
          <w:rFonts w:ascii="Arial" w:cs="Arial" w:eastAsia="Arial" w:hAnsi="Arial"/>
          <w:sz w:val="20"/>
          <w:szCs w:val="20"/>
          <w:color w:val="auto"/>
        </w:rPr>
        <w:t>WHEREAS, WRF is currently in the process of transferring the said common stock ownership to WSU.</w:t>
      </w:r>
    </w:p>
    <w:p>
      <w:pPr>
        <w:spacing w:after="0" w:line="215" w:lineRule="exact"/>
        <w:rPr>
          <w:rFonts w:ascii="Arial" w:cs="Arial" w:eastAsia="Arial" w:hAnsi="Arial"/>
          <w:sz w:val="20"/>
          <w:szCs w:val="20"/>
          <w:color w:val="auto"/>
        </w:rPr>
      </w:pPr>
    </w:p>
    <w:p>
      <w:pPr>
        <w:ind w:left="980" w:hanging="486"/>
        <w:spacing w:after="0"/>
        <w:tabs>
          <w:tab w:leader="none" w:pos="98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The following clause will be added to the existing Section 15 as 15.2 as seen below:</w:t>
      </w:r>
    </w:p>
    <w:p>
      <w:pPr>
        <w:spacing w:after="0" w:line="215" w:lineRule="exact"/>
        <w:rPr>
          <w:rFonts w:ascii="Arial" w:cs="Arial" w:eastAsia="Arial" w:hAnsi="Arial"/>
          <w:sz w:val="20"/>
          <w:szCs w:val="20"/>
          <w:color w:val="auto"/>
        </w:rPr>
      </w:pPr>
    </w:p>
    <w:p>
      <w:pPr>
        <w:ind w:left="1960" w:hanging="972"/>
        <w:spacing w:after="0" w:line="282" w:lineRule="auto"/>
        <w:rPr>
          <w:rFonts w:ascii="Arial" w:cs="Arial" w:eastAsia="Arial" w:hAnsi="Arial"/>
          <w:sz w:val="20"/>
          <w:szCs w:val="20"/>
          <w:color w:val="auto"/>
        </w:rPr>
      </w:pPr>
      <w:r>
        <w:rPr>
          <w:rFonts w:ascii="Arial" w:cs="Arial" w:eastAsia="Arial" w:hAnsi="Arial"/>
          <w:sz w:val="20"/>
          <w:szCs w:val="20"/>
          <w:color w:val="auto"/>
        </w:rPr>
        <w:t>15.2</w:t>
      </w:r>
      <w:r>
        <w:rPr>
          <w:rFonts w:ascii="Arial" w:cs="Arial" w:eastAsia="Arial" w:hAnsi="Arial"/>
          <w:sz w:val="18"/>
          <w:szCs w:val="18"/>
          <w:color w:val="auto"/>
        </w:rPr>
        <w:t xml:space="preserve">As an educational institution of the state of Washington, WSU is subject to Washington State laws and regulations including the Washington Public Disclosure Act, RCW 42.56 et seq. </w:t>
      </w:r>
      <w:r>
        <w:rPr>
          <w:rFonts w:ascii="Arial" w:cs="Arial" w:eastAsia="Arial" w:hAnsi="Arial"/>
          <w:sz w:val="18"/>
          <w:szCs w:val="18"/>
          <w:u w:val="single" w:color="auto"/>
          <w:color w:val="auto"/>
        </w:rPr>
        <w:t>(http://apps.leg.wa.gov/RCW/default.aspx?</w:t>
      </w:r>
      <w:r>
        <w:rPr>
          <w:rFonts w:ascii="Arial" w:cs="Arial" w:eastAsia="Arial" w:hAnsi="Arial"/>
          <w:sz w:val="18"/>
          <w:szCs w:val="18"/>
          <w:color w:val="auto"/>
        </w:rPr>
        <w:t xml:space="preserve"> </w:t>
      </w:r>
      <w:r>
        <w:rPr>
          <w:rFonts w:ascii="Arial" w:cs="Arial" w:eastAsia="Arial" w:hAnsi="Arial"/>
          <w:sz w:val="18"/>
          <w:szCs w:val="18"/>
          <w:u w:val="single" w:color="auto"/>
          <w:color w:val="auto"/>
        </w:rPr>
        <w:t>cite=42.56)</w:t>
      </w:r>
      <w:r>
        <w:rPr>
          <w:rFonts w:ascii="Arial" w:cs="Arial" w:eastAsia="Arial" w:hAnsi="Arial"/>
          <w:sz w:val="18"/>
          <w:szCs w:val="18"/>
          <w:color w:val="auto"/>
        </w:rPr>
        <w:t>. If a Public Disclosure Act request is made to view Licensee's confidential information, and the WSU's Public Records Officer (PRO) either determines that no exemption to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Amendment III to Amended and Restated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9" w:right="339" w:bottom="1440" w:gutter="0" w:footer="0" w:header="0"/>
        </w:sectPr>
      </w:pPr>
    </w:p>
    <w:bookmarkStart w:id="346" w:name="page347"/>
    <w:bookmarkEnd w:id="346"/>
    <w:p>
      <w:pPr>
        <w:jc w:val="both"/>
        <w:ind w:left="1960"/>
        <w:spacing w:after="0" w:line="255" w:lineRule="auto"/>
        <w:rPr>
          <w:sz w:val="20"/>
          <w:szCs w:val="20"/>
          <w:color w:val="auto"/>
        </w:rPr>
      </w:pPr>
      <w:r>
        <w:rPr>
          <w:rFonts w:ascii="Arial" w:cs="Arial" w:eastAsia="Arial" w:hAnsi="Arial"/>
          <w:sz w:val="19"/>
          <w:szCs w:val="19"/>
          <w:color w:val="auto"/>
        </w:rPr>
        <w:t>disclosure applies or is unable to determine whether an exemption to disclosure applies, WSU will promptly notify Licensee of the request and the date that such records will be released to the requester unless Licensee obtains a court order enjoining that disclosure by or before that date. For the avoidance of doubt, Licensee acknowledges and agrees that while WSU PRO agrees to give reasonable notice to the Licensee as promptly as practicable, the PRO may give short notice of such a request depending on the urgency faced by the WSU PRO in fulfilling the public records request. If requested by Licensee, WSU agrees to cooperate and provide reasonable assistance tin connection with any injunctive or other relief sought by Licensee in connection with the release of such records. If Licensee fails to obtain a court order enjoining disclosure, WSU will release the requested confidential information on the date specified. WSU's PRO reserves the right to change the date of such release as the PRO deems necessary and in the public interest.</w:t>
      </w:r>
    </w:p>
    <w:p>
      <w:pPr>
        <w:spacing w:after="0" w:line="190" w:lineRule="exact"/>
        <w:rPr>
          <w:sz w:val="20"/>
          <w:szCs w:val="20"/>
          <w:color w:val="auto"/>
        </w:rPr>
      </w:pPr>
    </w:p>
    <w:p>
      <w:pPr>
        <w:ind w:left="980" w:hanging="486"/>
        <w:spacing w:after="0"/>
        <w:tabs>
          <w:tab w:leader="none" w:pos="98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The following clause will be added to the existing Section 3.2.3 as 3.2.3.1 as seen below:</w:t>
      </w:r>
    </w:p>
    <w:p>
      <w:pPr>
        <w:spacing w:after="0" w:line="215" w:lineRule="exact"/>
        <w:rPr>
          <w:rFonts w:ascii="Arial" w:cs="Arial" w:eastAsia="Arial" w:hAnsi="Arial"/>
          <w:sz w:val="20"/>
          <w:szCs w:val="20"/>
          <w:color w:val="auto"/>
        </w:rPr>
      </w:pPr>
    </w:p>
    <w:p>
      <w:pPr>
        <w:ind w:left="1960" w:hanging="972"/>
        <w:spacing w:after="0" w:line="260" w:lineRule="auto"/>
        <w:rPr>
          <w:rFonts w:ascii="Arial" w:cs="Arial" w:eastAsia="Arial" w:hAnsi="Arial"/>
          <w:sz w:val="20"/>
          <w:szCs w:val="20"/>
          <w:color w:val="auto"/>
        </w:rPr>
      </w:pPr>
      <w:r>
        <w:rPr>
          <w:rFonts w:ascii="Arial" w:cs="Arial" w:eastAsia="Arial" w:hAnsi="Arial"/>
          <w:sz w:val="20"/>
          <w:szCs w:val="20"/>
          <w:color w:val="auto"/>
        </w:rPr>
        <w:t>3.2.3.1Both Parties agree that the Right under Section 3.2.3 will not be applicable to, and will be terminated automatically in connection with, an initial public offering of Licensee's stock.</w:t>
      </w:r>
    </w:p>
    <w:p>
      <w:pPr>
        <w:spacing w:after="0" w:line="176" w:lineRule="exact"/>
        <w:rPr>
          <w:rFonts w:ascii="Arial" w:cs="Arial" w:eastAsia="Arial" w:hAnsi="Arial"/>
          <w:sz w:val="20"/>
          <w:szCs w:val="20"/>
          <w:color w:val="auto"/>
        </w:rPr>
      </w:pPr>
    </w:p>
    <w:p>
      <w:pPr>
        <w:ind w:left="980" w:hanging="486"/>
        <w:spacing w:after="0"/>
        <w:tabs>
          <w:tab w:leader="none" w:pos="98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The following clause will be added to the existing Section 3.2.4 as 3.2.4.3 as seen below:</w:t>
      </w:r>
    </w:p>
    <w:p>
      <w:pPr>
        <w:spacing w:after="0" w:line="216" w:lineRule="exact"/>
        <w:rPr>
          <w:sz w:val="20"/>
          <w:szCs w:val="20"/>
          <w:color w:val="auto"/>
        </w:rPr>
      </w:pPr>
    </w:p>
    <w:p>
      <w:pPr>
        <w:ind w:left="1960" w:hanging="806"/>
        <w:spacing w:after="0" w:line="260" w:lineRule="auto"/>
        <w:rPr>
          <w:sz w:val="20"/>
          <w:szCs w:val="20"/>
          <w:color w:val="auto"/>
        </w:rPr>
      </w:pPr>
      <w:r>
        <w:rPr>
          <w:rFonts w:ascii="Arial" w:cs="Arial" w:eastAsia="Arial" w:hAnsi="Arial"/>
          <w:sz w:val="20"/>
          <w:szCs w:val="20"/>
          <w:color w:val="auto"/>
        </w:rPr>
        <w:t>3.2.4.3 Both Parties agree that the Observer Rights under Section 3.2.4 will not be applicable to, and will be terminated automatically in connection with, an initial public offering of Licensee's stock.</w:t>
      </w:r>
    </w:p>
    <w:p>
      <w:pPr>
        <w:spacing w:after="0" w:line="177" w:lineRule="exact"/>
        <w:rPr>
          <w:sz w:val="20"/>
          <w:szCs w:val="20"/>
          <w:color w:val="auto"/>
        </w:rPr>
      </w:pPr>
    </w:p>
    <w:p>
      <w:pPr>
        <w:ind w:left="980" w:hanging="486"/>
        <w:spacing w:after="0"/>
        <w:tabs>
          <w:tab w:leader="none" w:pos="98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The following clause will replace the existing Section 3.2.4.1 (ii) as below:</w:t>
      </w:r>
    </w:p>
    <w:p>
      <w:pPr>
        <w:spacing w:after="0" w:line="215" w:lineRule="exact"/>
        <w:rPr>
          <w:rFonts w:ascii="Arial" w:cs="Arial" w:eastAsia="Arial" w:hAnsi="Arial"/>
          <w:sz w:val="20"/>
          <w:szCs w:val="20"/>
          <w:color w:val="auto"/>
        </w:rPr>
      </w:pPr>
    </w:p>
    <w:p>
      <w:pPr>
        <w:ind w:left="980"/>
        <w:spacing w:after="0"/>
        <w:rPr>
          <w:rFonts w:ascii="Arial" w:cs="Arial" w:eastAsia="Arial" w:hAnsi="Arial"/>
          <w:sz w:val="20"/>
          <w:szCs w:val="20"/>
          <w:color w:val="auto"/>
        </w:rPr>
      </w:pPr>
      <w:r>
        <w:rPr>
          <w:rFonts w:ascii="Arial" w:cs="Arial" w:eastAsia="Arial" w:hAnsi="Arial"/>
          <w:sz w:val="20"/>
          <w:szCs w:val="20"/>
          <w:color w:val="auto"/>
        </w:rPr>
        <w:t>(ii) provided that WSU will not have voting rights, and understands that such rights will not be granted.</w:t>
      </w:r>
    </w:p>
    <w:p>
      <w:pPr>
        <w:spacing w:after="0" w:line="215" w:lineRule="exact"/>
        <w:rPr>
          <w:rFonts w:ascii="Arial" w:cs="Arial" w:eastAsia="Arial" w:hAnsi="Arial"/>
          <w:sz w:val="20"/>
          <w:szCs w:val="20"/>
          <w:color w:val="auto"/>
        </w:rPr>
      </w:pPr>
    </w:p>
    <w:p>
      <w:pPr>
        <w:ind w:left="980" w:right="300" w:hanging="486"/>
        <w:spacing w:after="0" w:line="287" w:lineRule="auto"/>
        <w:tabs>
          <w:tab w:leader="none" w:pos="98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Amendment I contained certain erroneous references to “Amendment II” and “Amendment III” which are hereby amended to reference “Amendment I,” and the first recital of Amendment I is hereby amended and restated as follows:</w:t>
      </w:r>
    </w:p>
    <w:p>
      <w:pPr>
        <w:spacing w:after="0" w:line="152" w:lineRule="exact"/>
        <w:rPr>
          <w:rFonts w:ascii="Arial" w:cs="Arial" w:eastAsia="Arial" w:hAnsi="Arial"/>
          <w:sz w:val="19"/>
          <w:szCs w:val="19"/>
          <w:color w:val="auto"/>
        </w:rPr>
      </w:pPr>
    </w:p>
    <w:p>
      <w:pPr>
        <w:ind w:left="980"/>
        <w:spacing w:after="0"/>
        <w:rPr>
          <w:rFonts w:ascii="Arial" w:cs="Arial" w:eastAsia="Arial" w:hAnsi="Arial"/>
          <w:sz w:val="19"/>
          <w:szCs w:val="19"/>
          <w:color w:val="auto"/>
        </w:rPr>
      </w:pPr>
      <w:r>
        <w:rPr>
          <w:rFonts w:ascii="Arial" w:cs="Arial" w:eastAsia="Arial" w:hAnsi="Arial"/>
          <w:sz w:val="18"/>
          <w:szCs w:val="18"/>
          <w:color w:val="auto"/>
        </w:rPr>
        <w:t>“WHEREAS, the Parties desire to extend time lines as specified in section 3.1.2, which are described in this Amendment I.”</w:t>
      </w:r>
    </w:p>
    <w:p>
      <w:pPr>
        <w:spacing w:after="0" w:line="238" w:lineRule="exact"/>
        <w:rPr>
          <w:rFonts w:ascii="Arial" w:cs="Arial" w:eastAsia="Arial" w:hAnsi="Arial"/>
          <w:sz w:val="19"/>
          <w:szCs w:val="19"/>
          <w:color w:val="auto"/>
        </w:rPr>
      </w:pPr>
    </w:p>
    <w:p>
      <w:pPr>
        <w:ind w:left="980" w:right="200" w:hanging="486"/>
        <w:spacing w:after="0" w:line="342" w:lineRule="auto"/>
        <w:tabs>
          <w:tab w:leader="none" w:pos="98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Amendment II was erroneously titled “Amendment III” and made certain references to a September 1, 2015 amendment to the original Agreement which was never effected; accordingly, all references therein to “Amendment III” are hereby amended to reference “Amendment II” and all references to a September 1, 2015 amendment to the original Agreement are hereby deleted.</w:t>
      </w:r>
    </w:p>
    <w:p>
      <w:pPr>
        <w:spacing w:after="0" w:line="11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****All other terms and conditions remain effective as defined in the original Agreement dated September 1, 2015 which was amended twice on January 18, 2018 and February 8, 2019.***</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Amendment III to Amended and Restated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47" w:name="page348"/>
    <w:bookmarkEnd w:id="347"/>
    <w:p>
      <w:pPr>
        <w:jc w:val="both"/>
        <w:spacing w:after="0" w:line="244" w:lineRule="auto"/>
        <w:rPr>
          <w:sz w:val="20"/>
          <w:szCs w:val="20"/>
          <w:color w:val="auto"/>
        </w:rPr>
      </w:pPr>
      <w:r>
        <w:rPr>
          <w:rFonts w:ascii="Arial" w:cs="Arial" w:eastAsia="Arial" w:hAnsi="Arial"/>
          <w:sz w:val="20"/>
          <w:szCs w:val="20"/>
          <w:color w:val="auto"/>
        </w:rPr>
        <w:t>This Amendment III may be executed in two or more counterparts, all of which shall be considered one and the same instrument and shall become effective when one or more counterparts have been signed by each of the parties and delivered to the other. Signatures to this Amendment III transmitted by facsimile transmission, by electronic mail in PDF form, or by any other electronic means designed to preserve the original graphic and pictorial appearance of a document, will be deemed to have the same effect as physical delivery of the paper document bearing the original signatures.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ectPr>
          <w:pgSz w:w="11900" w:h="16838" w:orient="portrait"/>
          <w:cols w:equalWidth="0" w:num="1">
            <w:col w:w="11240"/>
          </w:cols>
          <w:pgMar w:left="320" w:top="555" w:right="339" w:bottom="1440" w:gutter="0" w:footer="0" w:header="0"/>
        </w:sectPr>
      </w:pPr>
    </w:p>
    <w:bookmarkStart w:id="348" w:name="page349"/>
    <w:bookmarkEnd w:id="348"/>
    <w:p>
      <w:pPr>
        <w:jc w:val="center"/>
        <w:spacing w:after="0"/>
        <w:rPr>
          <w:sz w:val="20"/>
          <w:szCs w:val="20"/>
          <w:color w:val="auto"/>
        </w:rPr>
      </w:pPr>
      <w:r>
        <w:rPr>
          <w:rFonts w:ascii="Arial" w:cs="Arial" w:eastAsia="Arial" w:hAnsi="Arial"/>
          <w:sz w:val="16"/>
          <w:szCs w:val="16"/>
          <w:color w:val="auto"/>
        </w:rPr>
        <w:t>Amendment III to Amended and Restated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109220</wp:posOffset>
            </wp:positionV>
            <wp:extent cx="7149465" cy="171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49" w:name="page350"/>
    <w:bookmarkEnd w:id="349"/>
    <w:p>
      <w:pPr>
        <w:spacing w:after="0"/>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have duly executed this Amendment III on the Amendment III Effective Date.</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560" w:type="dxa"/>
            <w:vAlign w:val="bottom"/>
            <w:gridSpan w:val="3"/>
          </w:tcPr>
          <w:p>
            <w:pPr>
              <w:spacing w:after="0"/>
              <w:rPr>
                <w:sz w:val="20"/>
                <w:szCs w:val="20"/>
                <w:color w:val="auto"/>
              </w:rPr>
            </w:pPr>
            <w:r>
              <w:rPr>
                <w:rFonts w:ascii="Arial" w:cs="Arial" w:eastAsia="Arial" w:hAnsi="Arial"/>
                <w:sz w:val="22"/>
                <w:szCs w:val="22"/>
                <w:color w:val="auto"/>
              </w:rPr>
              <w:t>WASHINGTON STATE UNIVERSITY</w:t>
            </w:r>
          </w:p>
        </w:tc>
        <w:tc>
          <w:tcPr>
            <w:tcW w:w="5680" w:type="dxa"/>
            <w:vAlign w:val="bottom"/>
            <w:gridSpan w:val="2"/>
          </w:tcPr>
          <w:p>
            <w:pPr>
              <w:ind w:left="100"/>
              <w:spacing w:after="0"/>
              <w:rPr>
                <w:sz w:val="20"/>
                <w:szCs w:val="20"/>
                <w:color w:val="auto"/>
              </w:rPr>
            </w:pPr>
            <w:r>
              <w:rPr>
                <w:rFonts w:ascii="Arial" w:cs="Arial" w:eastAsia="Arial" w:hAnsi="Arial"/>
                <w:sz w:val="22"/>
                <w:szCs w:val="22"/>
                <w:color w:val="auto"/>
              </w:rPr>
              <w:t>ATHIRA PHARMA, INC.</w:t>
            </w:r>
          </w:p>
        </w:tc>
      </w:tr>
      <w:tr>
        <w:trPr>
          <w:trHeight w:val="449"/>
        </w:trPr>
        <w:tc>
          <w:tcPr>
            <w:tcW w:w="5560" w:type="dxa"/>
            <w:vAlign w:val="bottom"/>
            <w:gridSpan w:val="3"/>
          </w:tcPr>
          <w:p>
            <w:pPr>
              <w:spacing w:after="0"/>
              <w:rPr>
                <w:sz w:val="20"/>
                <w:szCs w:val="20"/>
                <w:color w:val="auto"/>
              </w:rPr>
            </w:pPr>
            <w:r>
              <w:rPr>
                <w:rFonts w:ascii="Arial" w:cs="Arial" w:eastAsia="Arial" w:hAnsi="Arial"/>
                <w:sz w:val="22"/>
                <w:szCs w:val="22"/>
                <w:color w:val="auto"/>
              </w:rPr>
              <w:t>Signature: /s/ Sita S. Pappu</w:t>
            </w:r>
          </w:p>
        </w:tc>
        <w:tc>
          <w:tcPr>
            <w:tcW w:w="5680" w:type="dxa"/>
            <w:vAlign w:val="bottom"/>
            <w:gridSpan w:val="2"/>
          </w:tcPr>
          <w:p>
            <w:pPr>
              <w:ind w:left="100"/>
              <w:spacing w:after="0"/>
              <w:rPr>
                <w:sz w:val="20"/>
                <w:szCs w:val="20"/>
                <w:color w:val="auto"/>
              </w:rPr>
            </w:pPr>
            <w:r>
              <w:rPr>
                <w:rFonts w:ascii="Arial" w:cs="Arial" w:eastAsia="Arial" w:hAnsi="Arial"/>
                <w:sz w:val="22"/>
                <w:szCs w:val="22"/>
                <w:color w:val="auto"/>
              </w:rPr>
              <w:t>Signature: /s/ Leen Kawas, Ph. D.</w:t>
            </w:r>
          </w:p>
        </w:tc>
      </w:tr>
      <w:tr>
        <w:trPr>
          <w:trHeight w:val="237"/>
        </w:trPr>
        <w:tc>
          <w:tcPr>
            <w:tcW w:w="78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220" w:type="dxa"/>
            <w:vAlign w:val="bottom"/>
          </w:tcPr>
          <w:p>
            <w:pPr>
              <w:spacing w:after="0"/>
              <w:rPr>
                <w:sz w:val="20"/>
                <w:szCs w:val="20"/>
                <w:color w:val="auto"/>
              </w:rPr>
            </w:pPr>
          </w:p>
        </w:tc>
        <w:tc>
          <w:tcPr>
            <w:tcW w:w="4560" w:type="dxa"/>
            <w:vAlign w:val="bottom"/>
            <w:tcBorders>
              <w:top w:val="single" w:sz="8" w:color="auto"/>
              <w:bottom w:val="single" w:sz="8" w:color="auto"/>
            </w:tcBorders>
          </w:tcPr>
          <w:p>
            <w:pPr>
              <w:spacing w:after="0" w:line="237" w:lineRule="exact"/>
              <w:rPr>
                <w:sz w:val="20"/>
                <w:szCs w:val="20"/>
                <w:color w:val="auto"/>
              </w:rPr>
            </w:pPr>
            <w:r>
              <w:rPr>
                <w:rFonts w:ascii="Arial" w:cs="Arial" w:eastAsia="Arial" w:hAnsi="Arial"/>
                <w:sz w:val="22"/>
                <w:szCs w:val="22"/>
                <w:color w:val="auto"/>
              </w:rPr>
              <w:t>Sita Pappu</w:t>
            </w:r>
          </w:p>
        </w:tc>
        <w:tc>
          <w:tcPr>
            <w:tcW w:w="1100" w:type="dxa"/>
            <w:vAlign w:val="bottom"/>
          </w:tcPr>
          <w:p>
            <w:pPr>
              <w:ind w:left="100"/>
              <w:spacing w:after="0" w:line="237" w:lineRule="exact"/>
              <w:rPr>
                <w:sz w:val="20"/>
                <w:szCs w:val="20"/>
                <w:color w:val="auto"/>
              </w:rPr>
            </w:pPr>
            <w:r>
              <w:rPr>
                <w:rFonts w:ascii="Arial" w:cs="Arial" w:eastAsia="Arial" w:hAnsi="Arial"/>
                <w:sz w:val="22"/>
                <w:szCs w:val="22"/>
                <w:color w:val="auto"/>
              </w:rPr>
              <w:t>Name:</w:t>
            </w:r>
          </w:p>
        </w:tc>
        <w:tc>
          <w:tcPr>
            <w:tcW w:w="4580" w:type="dxa"/>
            <w:vAlign w:val="bottom"/>
            <w:tcBorders>
              <w:top w:val="single" w:sz="8" w:color="auto"/>
              <w:bottom w:val="single" w:sz="8" w:color="auto"/>
            </w:tcBorders>
          </w:tcPr>
          <w:p>
            <w:pPr>
              <w:spacing w:after="0" w:line="237" w:lineRule="exact"/>
              <w:rPr>
                <w:sz w:val="20"/>
                <w:szCs w:val="20"/>
                <w:color w:val="auto"/>
              </w:rPr>
            </w:pPr>
            <w:r>
              <w:rPr>
                <w:rFonts w:ascii="Arial" w:cs="Arial" w:eastAsia="Arial" w:hAnsi="Arial"/>
                <w:sz w:val="22"/>
                <w:szCs w:val="22"/>
                <w:color w:val="auto"/>
              </w:rPr>
              <w:t>Leen Kawas, Ph.D</w:t>
            </w:r>
          </w:p>
        </w:tc>
      </w:tr>
      <w:tr>
        <w:trPr>
          <w:trHeight w:val="237"/>
        </w:trPr>
        <w:tc>
          <w:tcPr>
            <w:tcW w:w="78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220" w:type="dxa"/>
            <w:vAlign w:val="bottom"/>
          </w:tcPr>
          <w:p>
            <w:pPr>
              <w:spacing w:after="0"/>
              <w:rPr>
                <w:sz w:val="20"/>
                <w:szCs w:val="20"/>
                <w:color w:val="auto"/>
              </w:rPr>
            </w:pPr>
          </w:p>
        </w:tc>
        <w:tc>
          <w:tcPr>
            <w:tcW w:w="456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Assistant Vice President, Commercialization</w:t>
            </w:r>
          </w:p>
        </w:tc>
        <w:tc>
          <w:tcPr>
            <w:tcW w:w="1100" w:type="dxa"/>
            <w:vAlign w:val="bottom"/>
          </w:tcPr>
          <w:p>
            <w:pPr>
              <w:ind w:left="100"/>
              <w:spacing w:after="0" w:line="237" w:lineRule="exact"/>
              <w:rPr>
                <w:sz w:val="20"/>
                <w:szCs w:val="20"/>
                <w:color w:val="auto"/>
              </w:rPr>
            </w:pPr>
            <w:r>
              <w:rPr>
                <w:rFonts w:ascii="Arial" w:cs="Arial" w:eastAsia="Arial" w:hAnsi="Arial"/>
                <w:sz w:val="22"/>
                <w:szCs w:val="22"/>
                <w:color w:val="auto"/>
              </w:rPr>
              <w:t>Title:</w:t>
            </w:r>
          </w:p>
        </w:tc>
        <w:tc>
          <w:tcPr>
            <w:tcW w:w="45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Chief Executive Officer</w:t>
            </w:r>
          </w:p>
        </w:tc>
      </w:tr>
      <w:tr>
        <w:trPr>
          <w:trHeight w:val="453"/>
        </w:trPr>
        <w:tc>
          <w:tcPr>
            <w:tcW w:w="780" w:type="dxa"/>
            <w:vAlign w:val="bottom"/>
          </w:tcPr>
          <w:p>
            <w:pPr>
              <w:spacing w:after="0"/>
              <w:rPr>
                <w:sz w:val="20"/>
                <w:szCs w:val="20"/>
                <w:color w:val="auto"/>
              </w:rPr>
            </w:pPr>
            <w:r>
              <w:rPr>
                <w:rFonts w:ascii="Arial" w:cs="Arial" w:eastAsia="Arial" w:hAnsi="Arial"/>
                <w:sz w:val="22"/>
                <w:szCs w:val="22"/>
                <w:color w:val="auto"/>
              </w:rPr>
              <w:t>Date:</w:t>
            </w:r>
          </w:p>
        </w:tc>
        <w:tc>
          <w:tcPr>
            <w:tcW w:w="4780" w:type="dxa"/>
            <w:vAlign w:val="bottom"/>
            <w:gridSpan w:val="2"/>
          </w:tcPr>
          <w:p>
            <w:pPr>
              <w:ind w:left="220"/>
              <w:spacing w:after="0"/>
              <w:rPr>
                <w:sz w:val="20"/>
                <w:szCs w:val="20"/>
                <w:color w:val="auto"/>
              </w:rPr>
            </w:pPr>
            <w:r>
              <w:rPr>
                <w:rFonts w:ascii="Arial" w:cs="Arial" w:eastAsia="Arial" w:hAnsi="Arial"/>
                <w:sz w:val="22"/>
                <w:szCs w:val="22"/>
                <w:color w:val="auto"/>
              </w:rPr>
              <w:t>July 24, 2020</w:t>
            </w:r>
          </w:p>
        </w:tc>
        <w:tc>
          <w:tcPr>
            <w:tcW w:w="1100" w:type="dxa"/>
            <w:vAlign w:val="bottom"/>
          </w:tcPr>
          <w:p>
            <w:pPr>
              <w:ind w:left="100"/>
              <w:spacing w:after="0"/>
              <w:rPr>
                <w:sz w:val="20"/>
                <w:szCs w:val="20"/>
                <w:color w:val="auto"/>
              </w:rPr>
            </w:pPr>
            <w:r>
              <w:rPr>
                <w:rFonts w:ascii="Arial" w:cs="Arial" w:eastAsia="Arial" w:hAnsi="Arial"/>
                <w:sz w:val="22"/>
                <w:szCs w:val="22"/>
                <w:color w:val="auto"/>
              </w:rPr>
              <w:t>Date:</w:t>
            </w:r>
          </w:p>
        </w:tc>
        <w:tc>
          <w:tcPr>
            <w:tcW w:w="4580" w:type="dxa"/>
            <w:vAlign w:val="bottom"/>
          </w:tcPr>
          <w:p>
            <w:pPr>
              <w:spacing w:after="0"/>
              <w:rPr>
                <w:sz w:val="20"/>
                <w:szCs w:val="20"/>
                <w:color w:val="auto"/>
              </w:rPr>
            </w:pPr>
            <w:r>
              <w:rPr>
                <w:rFonts w:ascii="Arial" w:cs="Arial" w:eastAsia="Arial" w:hAnsi="Arial"/>
                <w:sz w:val="22"/>
                <w:szCs w:val="22"/>
                <w:color w:val="auto"/>
              </w:rPr>
              <w:t>7/23/2020</w:t>
            </w: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WSU-OC Ref #:</w:t>
      </w:r>
      <w:r>
        <w:rPr>
          <w:rFonts w:ascii="Arial" w:cs="Arial" w:eastAsia="Arial" w:hAnsi="Arial"/>
          <w:sz w:val="19"/>
          <w:szCs w:val="19"/>
          <w:color w:val="333333"/>
        </w:rPr>
        <w:t>[†]</w:t>
      </w:r>
    </w:p>
    <w:p>
      <w:pPr>
        <w:ind w:left="840"/>
        <w:spacing w:after="0"/>
        <w:rPr>
          <w:sz w:val="20"/>
          <w:szCs w:val="20"/>
          <w:color w:val="auto"/>
        </w:rPr>
      </w:pPr>
      <w:r>
        <w:rPr>
          <w:rFonts w:ascii="Arial" w:cs="Arial" w:eastAsia="Arial" w:hAnsi="Arial"/>
          <w:sz w:val="18"/>
          <w:szCs w:val="18"/>
          <w:color w:val="auto"/>
        </w:rPr>
        <w:t>I have read and understand my obligations as an employee of Washington State University, pursuant to the above agreement.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2280" w:type="dxa"/>
            <w:vAlign w:val="bottom"/>
            <w:gridSpan w:val="2"/>
          </w:tcPr>
          <w:p>
            <w:pPr>
              <w:ind w:left="200"/>
              <w:spacing w:after="0"/>
              <w:rPr>
                <w:sz w:val="20"/>
                <w:szCs w:val="20"/>
                <w:color w:val="auto"/>
              </w:rPr>
            </w:pPr>
            <w:r>
              <w:rPr>
                <w:rFonts w:ascii="Arial" w:cs="Arial" w:eastAsia="Arial" w:hAnsi="Arial"/>
                <w:sz w:val="20"/>
                <w:szCs w:val="20"/>
                <w:color w:val="auto"/>
              </w:rPr>
              <w:t>/s/ Joseph W Harding</w:t>
            </w:r>
          </w:p>
        </w:tc>
        <w:tc>
          <w:tcPr>
            <w:tcW w:w="2780" w:type="dxa"/>
            <w:vAlign w:val="bottom"/>
          </w:tcPr>
          <w:p>
            <w:pPr>
              <w:spacing w:after="0"/>
              <w:rPr>
                <w:sz w:val="21"/>
                <w:szCs w:val="21"/>
                <w:color w:val="auto"/>
              </w:rPr>
            </w:pPr>
          </w:p>
        </w:tc>
        <w:tc>
          <w:tcPr>
            <w:tcW w:w="5680" w:type="dxa"/>
            <w:vAlign w:val="bottom"/>
            <w:gridSpan w:val="2"/>
          </w:tcPr>
          <w:p>
            <w:pPr>
              <w:ind w:left="120"/>
              <w:spacing w:after="0"/>
              <w:rPr>
                <w:sz w:val="20"/>
                <w:szCs w:val="20"/>
                <w:color w:val="auto"/>
              </w:rPr>
            </w:pPr>
            <w:r>
              <w:rPr>
                <w:rFonts w:ascii="Arial" w:cs="Arial" w:eastAsia="Arial" w:hAnsi="Arial"/>
                <w:sz w:val="20"/>
                <w:szCs w:val="20"/>
                <w:color w:val="auto"/>
              </w:rPr>
              <w:t>Date:   7/23/2020</w:t>
            </w:r>
          </w:p>
        </w:tc>
      </w:tr>
      <w:tr>
        <w:trPr>
          <w:trHeight w:val="244"/>
        </w:trPr>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Joe Harding</w:t>
            </w:r>
          </w:p>
        </w:tc>
        <w:tc>
          <w:tcPr>
            <w:tcW w:w="2780" w:type="dxa"/>
            <w:vAlign w:val="bottom"/>
            <w:tcBorders>
              <w:top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4900" w:type="dxa"/>
            <w:vAlign w:val="bottom"/>
            <w:tcBorders>
              <w:top w:val="single" w:sz="8" w:color="auto"/>
            </w:tcBorders>
          </w:tcPr>
          <w:p>
            <w:pPr>
              <w:spacing w:after="0"/>
              <w:rPr>
                <w:sz w:val="21"/>
                <w:szCs w:val="21"/>
                <w:color w:val="auto"/>
              </w:rPr>
            </w:pPr>
          </w:p>
        </w:tc>
      </w:tr>
      <w:tr>
        <w:trPr>
          <w:trHeight w:val="672"/>
        </w:trPr>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460" w:type="dxa"/>
            <w:vAlign w:val="bottom"/>
            <w:gridSpan w:val="3"/>
          </w:tcPr>
          <w:p>
            <w:pPr>
              <w:ind w:left="400"/>
              <w:spacing w:after="0"/>
              <w:rPr>
                <w:sz w:val="20"/>
                <w:szCs w:val="20"/>
                <w:color w:val="auto"/>
              </w:rPr>
            </w:pPr>
            <w:r>
              <w:rPr>
                <w:rFonts w:ascii="Arial" w:cs="Arial" w:eastAsia="Arial" w:hAnsi="Arial"/>
                <w:sz w:val="20"/>
                <w:szCs w:val="20"/>
                <w:color w:val="auto"/>
              </w:rPr>
              <w:t>Amendment III to Amended and Restated License Agreement</w:t>
            </w:r>
          </w:p>
        </w:tc>
      </w:tr>
    </w:tbl>
    <w:p>
      <w:pPr>
        <w:sectPr>
          <w:pgSz w:w="11900" w:h="16838" w:orient="portrait"/>
          <w:cols w:equalWidth="0" w:num="1">
            <w:col w:w="11240"/>
          </w:cols>
          <w:pgMar w:left="320" w:top="549" w:right="339" w:bottom="1440" w:gutter="0" w:footer="0" w:header="0"/>
        </w:sectPr>
      </w:pPr>
    </w:p>
    <w:bookmarkStart w:id="350" w:name="page351"/>
    <w:bookmarkEnd w:id="35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and Young, LLP,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reference to our firm under the caption “Experts” and to the use of our report dated July 24, 2020, in the Registration Statement (Form S-</w:t>
      </w:r>
    </w:p>
    <w:p>
      <w:pPr>
        <w:spacing w:after="0" w:line="46" w:lineRule="exact"/>
        <w:rPr>
          <w:sz w:val="20"/>
          <w:szCs w:val="20"/>
          <w:color w:val="auto"/>
        </w:rPr>
      </w:pPr>
    </w:p>
    <w:p>
      <w:pPr>
        <w:ind w:right="4820" w:firstLine="8"/>
        <w:spacing w:after="0" w:line="492" w:lineRule="auto"/>
        <w:tabs>
          <w:tab w:leader="none" w:pos="19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and related Prospectus of Athira Pharma, Inc. for the registration of its common stock. /s/ Ernst &amp; Young LLP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26, 2020</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0FEAC"/>
    <w:multiLevelType w:val="hybridMultilevel"/>
    <w:lvl w:ilvl="0">
      <w:lvlJc w:val="left"/>
      <w:lvlText w:val="(%1)"/>
      <w:numFmt w:val="decimal"/>
      <w:start w:val="1"/>
    </w:lvl>
  </w:abstractNum>
  <w:abstractNum w:abstractNumId="1">
    <w:nsid w:val="4BEE5A5B"/>
    <w:multiLevelType w:val="hybridMultilevel"/>
    <w:lvl w:ilvl="0">
      <w:lvlJc w:val="left"/>
      <w:lvlText w:val="(%1)"/>
      <w:numFmt w:val="decimal"/>
      <w:start w:val="1"/>
    </w:lvl>
  </w:abstractNum>
  <w:abstractNum w:abstractNumId="2">
    <w:nsid w:val="5551B9F3"/>
    <w:multiLevelType w:val="hybridMultilevel"/>
    <w:lvl w:ilvl="0">
      <w:lvlJc w:val="left"/>
      <w:lvlText w:val="(%1)"/>
      <w:numFmt w:val="decimal"/>
      <w:start w:val="1"/>
    </w:lvl>
  </w:abstractNum>
  <w:abstractNum w:abstractNumId="3">
    <w:nsid w:val="24F6AB8E"/>
    <w:multiLevelType w:val="hybridMultilevel"/>
    <w:lvl w:ilvl="0">
      <w:lvlJc w:val="left"/>
      <w:lvlText w:val="•"/>
      <w:numFmt w:val="bullet"/>
      <w:start w:val="1"/>
    </w:lvl>
  </w:abstractNum>
  <w:abstractNum w:abstractNumId="4">
    <w:nsid w:val="634C574C"/>
    <w:multiLevelType w:val="hybridMultilevel"/>
    <w:lvl w:ilvl="0">
      <w:lvlJc w:val="left"/>
      <w:lvlText w:val="•"/>
      <w:numFmt w:val="bullet"/>
      <w:start w:val="1"/>
    </w:lvl>
  </w:abstractNum>
  <w:abstractNum w:abstractNumId="5">
    <w:nsid w:val="24E99DD7"/>
    <w:multiLevelType w:val="hybridMultilevel"/>
    <w:lvl w:ilvl="0">
      <w:lvlJc w:val="left"/>
      <w:lvlText w:val="•"/>
      <w:numFmt w:val="bullet"/>
      <w:start w:val="1"/>
    </w:lvl>
  </w:abstractNum>
  <w:abstractNum w:abstractNumId="6">
    <w:nsid w:val="2A31B62D"/>
    <w:multiLevelType w:val="hybridMultilevel"/>
    <w:lvl w:ilvl="0">
      <w:lvlJc w:val="left"/>
      <w:lvlText w:val="•"/>
      <w:numFmt w:val="bullet"/>
      <w:start w:val="1"/>
    </w:lvl>
  </w:abstractNum>
  <w:abstractNum w:abstractNumId="7">
    <w:nsid w:val="1849C29B"/>
    <w:multiLevelType w:val="hybridMultilevel"/>
    <w:lvl w:ilvl="0">
      <w:lvlJc w:val="left"/>
      <w:lvlText w:val="•"/>
      <w:numFmt w:val="bullet"/>
      <w:start w:val="1"/>
    </w:lvl>
  </w:abstractNum>
  <w:abstractNum w:abstractNumId="8">
    <w:nsid w:val="7DFF9D09"/>
    <w:multiLevelType w:val="hybridMultilevel"/>
    <w:lvl w:ilvl="0">
      <w:lvlJc w:val="left"/>
      <w:lvlText w:val="•"/>
      <w:numFmt w:val="bullet"/>
      <w:start w:val="1"/>
    </w:lvl>
  </w:abstractNum>
  <w:abstractNum w:abstractNumId="9">
    <w:nsid w:val="754342"/>
    <w:multiLevelType w:val="hybridMultilevel"/>
    <w:lvl w:ilvl="0">
      <w:lvlJc w:val="left"/>
      <w:lvlText w:val="•"/>
      <w:numFmt w:val="bullet"/>
      <w:start w:val="1"/>
    </w:lvl>
  </w:abstractNum>
  <w:abstractNum w:abstractNumId="10">
    <w:nsid w:val="69E7F3E5"/>
    <w:multiLevelType w:val="hybridMultilevel"/>
    <w:lvl w:ilvl="0">
      <w:lvlJc w:val="left"/>
      <w:lvlText w:val="•"/>
      <w:numFmt w:val="bullet"/>
      <w:start w:val="1"/>
    </w:lvl>
  </w:abstractNum>
  <w:abstractNum w:abstractNumId="11">
    <w:nsid w:val="2A6DE806"/>
    <w:multiLevelType w:val="hybridMultilevel"/>
    <w:lvl w:ilvl="0">
      <w:lvlJc w:val="left"/>
      <w:lvlText w:val="•"/>
      <w:numFmt w:val="bullet"/>
      <w:start w:val="1"/>
    </w:lvl>
  </w:abstractNum>
  <w:abstractNum w:abstractNumId="12">
    <w:nsid w:val="1816F8C4"/>
    <w:multiLevelType w:val="hybridMultilevel"/>
    <w:lvl w:ilvl="0">
      <w:lvlJc w:val="left"/>
      <w:lvlText w:val="•"/>
      <w:numFmt w:val="bullet"/>
      <w:start w:val="1"/>
    </w:lvl>
  </w:abstractNum>
  <w:abstractNum w:abstractNumId="13">
    <w:nsid w:val="37DF2233"/>
    <w:multiLevelType w:val="hybridMultilevel"/>
    <w:lvl w:ilvl="0">
      <w:lvlJc w:val="left"/>
      <w:lvlText w:val="$"/>
      <w:numFmt w:val="bullet"/>
      <w:start w:val="1"/>
    </w:lvl>
  </w:abstractNum>
  <w:abstractNum w:abstractNumId="14">
    <w:nsid w:val="7AB49DAF"/>
    <w:multiLevelType w:val="hybridMultilevel"/>
    <w:lvl w:ilvl="0">
      <w:lvlJc w:val="left"/>
      <w:lvlText w:val="•"/>
      <w:numFmt w:val="bullet"/>
      <w:start w:val="1"/>
    </w:lvl>
  </w:abstractNum>
  <w:abstractNum w:abstractNumId="15">
    <w:nsid w:val="759F82CD"/>
    <w:multiLevelType w:val="hybridMultilevel"/>
    <w:lvl w:ilvl="0">
      <w:lvlJc w:val="left"/>
      <w:lvlText w:val="•"/>
      <w:numFmt w:val="bullet"/>
      <w:start w:val="1"/>
    </w:lvl>
  </w:abstractNum>
  <w:abstractNum w:abstractNumId="16">
    <w:nsid w:val="61E74EA3"/>
    <w:multiLevelType w:val="hybridMultilevel"/>
    <w:lvl w:ilvl="0">
      <w:lvlJc w:val="left"/>
      <w:lvlText w:val="•"/>
      <w:numFmt w:val="bullet"/>
      <w:start w:val="1"/>
    </w:lvl>
  </w:abstractNum>
  <w:abstractNum w:abstractNumId="17">
    <w:nsid w:val="597B4D84"/>
    <w:multiLevelType w:val="hybridMultilevel"/>
    <w:lvl w:ilvl="0">
      <w:lvlJc w:val="left"/>
      <w:lvlText w:val="(%1)"/>
      <w:numFmt w:val="decimal"/>
      <w:start w:val="1"/>
    </w:lvl>
  </w:abstractNum>
  <w:abstractNum w:abstractNumId="18">
    <w:nsid w:val="F819E7F"/>
    <w:multiLevelType w:val="hybridMultilevel"/>
    <w:lvl w:ilvl="0">
      <w:lvlJc w:val="left"/>
      <w:lvlText w:val="(%1)"/>
      <w:numFmt w:val="decimal"/>
      <w:start w:val="1"/>
    </w:lvl>
  </w:abstractNum>
  <w:abstractNum w:abstractNumId="19">
    <w:nsid w:val="57C7D42D"/>
    <w:multiLevelType w:val="hybridMultilevel"/>
    <w:lvl w:ilvl="0">
      <w:lvlJc w:val="left"/>
      <w:lvlText w:val="(%1)"/>
      <w:numFmt w:val="decimal"/>
      <w:start w:val="2"/>
    </w:lvl>
  </w:abstractNum>
  <w:abstractNum w:abstractNumId="20">
    <w:nsid w:val="312167AD"/>
    <w:multiLevelType w:val="hybridMultilevel"/>
    <w:lvl w:ilvl="0">
      <w:lvlJc w:val="left"/>
      <w:lvlText w:val="(%1)"/>
      <w:numFmt w:val="decimal"/>
      <w:start w:val="3"/>
    </w:lvl>
  </w:abstractNum>
  <w:abstractNum w:abstractNumId="21">
    <w:nsid w:val="631B64D4"/>
    <w:multiLevelType w:val="hybridMultilevel"/>
    <w:lvl w:ilvl="0">
      <w:lvlJc w:val="left"/>
      <w:lvlText w:val="•"/>
      <w:numFmt w:val="bullet"/>
      <w:start w:val="1"/>
    </w:lvl>
  </w:abstractNum>
  <w:abstractNum w:abstractNumId="22">
    <w:nsid w:val="78B5E776"/>
    <w:multiLevelType w:val="hybridMultilevel"/>
    <w:lvl w:ilvl="0">
      <w:lvlJc w:val="left"/>
      <w:lvlText w:val="•"/>
      <w:numFmt w:val="bullet"/>
      <w:start w:val="1"/>
    </w:lvl>
  </w:abstractNum>
  <w:abstractNum w:abstractNumId="23">
    <w:nsid w:val="75486E47"/>
    <w:multiLevelType w:val="hybridMultilevel"/>
    <w:lvl w:ilvl="0">
      <w:lvlJc w:val="left"/>
      <w:lvlText w:val="•"/>
      <w:numFmt w:val="bullet"/>
      <w:start w:val="1"/>
    </w:lvl>
  </w:abstractNum>
  <w:abstractNum w:abstractNumId="24">
    <w:nsid w:val="6E534CDE"/>
    <w:multiLevelType w:val="hybridMultilevel"/>
    <w:lvl w:ilvl="0">
      <w:lvlJc w:val="left"/>
      <w:lvlText w:val="•"/>
      <w:numFmt w:val="bullet"/>
      <w:start w:val="1"/>
    </w:lvl>
  </w:abstractNum>
  <w:abstractNum w:abstractNumId="25">
    <w:nsid w:val="1A0DDE32"/>
    <w:multiLevelType w:val="hybridMultilevel"/>
    <w:lvl w:ilvl="0">
      <w:lvlJc w:val="left"/>
      <w:lvlText w:val="•"/>
      <w:numFmt w:val="bullet"/>
      <w:start w:val="1"/>
    </w:lvl>
  </w:abstractNum>
  <w:abstractNum w:abstractNumId="26">
    <w:nsid w:val="65968C1C"/>
    <w:multiLevelType w:val="hybridMultilevel"/>
    <w:lvl w:ilvl="0">
      <w:lvlJc w:val="left"/>
      <w:lvlText w:val="•"/>
      <w:numFmt w:val="bullet"/>
      <w:start w:val="1"/>
    </w:lvl>
  </w:abstractNum>
  <w:abstractNum w:abstractNumId="27">
    <w:nsid w:val="46263DEC"/>
    <w:multiLevelType w:val="hybridMultilevel"/>
    <w:lvl w:ilvl="0">
      <w:lvlJc w:val="left"/>
      <w:lvlText w:val="•"/>
      <w:numFmt w:val="bullet"/>
      <w:start w:val="1"/>
    </w:lvl>
  </w:abstractNum>
  <w:abstractNum w:abstractNumId="28">
    <w:nsid w:val="260D8C4A"/>
    <w:multiLevelType w:val="hybridMultilevel"/>
    <w:lvl w:ilvl="0">
      <w:lvlJc w:val="left"/>
      <w:lvlText w:val="•"/>
      <w:numFmt w:val="bullet"/>
      <w:start w:val="1"/>
    </w:lvl>
  </w:abstractNum>
  <w:abstractNum w:abstractNumId="29">
    <w:nsid w:val="73D4D3C4"/>
    <w:multiLevelType w:val="hybridMultilevel"/>
    <w:lvl w:ilvl="0">
      <w:lvlJc w:val="left"/>
      <w:lvlText w:val="•"/>
      <w:numFmt w:val="bullet"/>
      <w:start w:val="1"/>
    </w:lvl>
  </w:abstractNum>
  <w:abstractNum w:abstractNumId="30">
    <w:nsid w:val="746F2E30"/>
    <w:multiLevelType w:val="hybridMultilevel"/>
    <w:lvl w:ilvl="0">
      <w:lvlJc w:val="left"/>
      <w:lvlText w:val="•"/>
      <w:numFmt w:val="bullet"/>
      <w:start w:val="1"/>
    </w:lvl>
  </w:abstractNum>
  <w:abstractNum w:abstractNumId="31">
    <w:nsid w:val="6FDE8AF6"/>
    <w:multiLevelType w:val="hybridMultilevel"/>
    <w:lvl w:ilvl="0">
      <w:lvlJc w:val="left"/>
      <w:lvlText w:val="•"/>
      <w:numFmt w:val="bullet"/>
      <w:start w:val="1"/>
    </w:lvl>
  </w:abstractNum>
  <w:abstractNum w:abstractNumId="32">
    <w:nsid w:val="3FC32E20"/>
    <w:multiLevelType w:val="hybridMultilevel"/>
    <w:lvl w:ilvl="0">
      <w:lvlJc w:val="left"/>
      <w:lvlText w:val="•"/>
      <w:numFmt w:val="bullet"/>
      <w:start w:val="1"/>
    </w:lvl>
  </w:abstractNum>
  <w:abstractNum w:abstractNumId="33">
    <w:nsid w:val="49C0E823"/>
    <w:multiLevelType w:val="hybridMultilevel"/>
    <w:lvl w:ilvl="0">
      <w:lvlJc w:val="left"/>
      <w:lvlText w:val="•"/>
      <w:numFmt w:val="bullet"/>
      <w:start w:val="1"/>
    </w:lvl>
  </w:abstractNum>
  <w:abstractNum w:abstractNumId="34">
    <w:nsid w:val="14D53685"/>
    <w:multiLevelType w:val="hybridMultilevel"/>
    <w:lvl w:ilvl="0">
      <w:lvlJc w:val="left"/>
      <w:lvlText w:val="•"/>
      <w:numFmt w:val="bullet"/>
      <w:start w:val="1"/>
    </w:lvl>
  </w:abstractNum>
  <w:abstractNum w:abstractNumId="35">
    <w:nsid w:val="230F856C"/>
    <w:multiLevelType w:val="hybridMultilevel"/>
    <w:lvl w:ilvl="0">
      <w:lvlJc w:val="left"/>
      <w:lvlText w:val="•"/>
      <w:numFmt w:val="bullet"/>
      <w:start w:val="1"/>
    </w:lvl>
  </w:abstractNum>
  <w:abstractNum w:abstractNumId="36">
    <w:nsid w:val="6EAA85FB"/>
    <w:multiLevelType w:val="hybridMultilevel"/>
    <w:lvl w:ilvl="0">
      <w:lvlJc w:val="left"/>
      <w:lvlText w:val="•"/>
      <w:numFmt w:val="bullet"/>
      <w:start w:val="1"/>
    </w:lvl>
  </w:abstractNum>
  <w:abstractNum w:abstractNumId="37">
    <w:nsid w:val="3F06ECB2"/>
    <w:multiLevelType w:val="hybridMultilevel"/>
    <w:lvl w:ilvl="0">
      <w:lvlJc w:val="left"/>
      <w:lvlText w:val="•"/>
      <w:numFmt w:val="bullet"/>
      <w:start w:val="1"/>
    </w:lvl>
  </w:abstractNum>
  <w:abstractNum w:abstractNumId="38">
    <w:nsid w:val="3B594807"/>
    <w:multiLevelType w:val="hybridMultilevel"/>
    <w:lvl w:ilvl="0">
      <w:lvlJc w:val="left"/>
      <w:lvlText w:val="•"/>
      <w:numFmt w:val="bullet"/>
      <w:start w:val="1"/>
    </w:lvl>
  </w:abstractNum>
  <w:abstractNum w:abstractNumId="39">
    <w:nsid w:val="6CAA2304"/>
    <w:multiLevelType w:val="hybridMultilevel"/>
    <w:lvl w:ilvl="0">
      <w:lvlJc w:val="left"/>
      <w:lvlText w:val="•"/>
      <w:numFmt w:val="bullet"/>
      <w:start w:val="1"/>
    </w:lvl>
  </w:abstractNum>
  <w:abstractNum w:abstractNumId="40">
    <w:nsid w:val="3F7C2FF4"/>
    <w:multiLevelType w:val="hybridMultilevel"/>
    <w:lvl w:ilvl="0">
      <w:lvlJc w:val="left"/>
      <w:lvlText w:val="•"/>
      <w:numFmt w:val="bullet"/>
      <w:start w:val="1"/>
    </w:lvl>
  </w:abstractNum>
  <w:abstractNum w:abstractNumId="41">
    <w:nsid w:val="25413BEC"/>
    <w:multiLevelType w:val="hybridMultilevel"/>
    <w:lvl w:ilvl="0">
      <w:lvlJc w:val="left"/>
      <w:lvlText w:val="•"/>
      <w:numFmt w:val="bullet"/>
      <w:start w:val="1"/>
    </w:lvl>
  </w:abstractNum>
  <w:abstractNum w:abstractNumId="42">
    <w:nsid w:val="17180B0B"/>
    <w:multiLevelType w:val="hybridMultilevel"/>
    <w:lvl w:ilvl="0">
      <w:lvlJc w:val="left"/>
      <w:lvlText w:val="•"/>
      <w:numFmt w:val="bullet"/>
      <w:start w:val="1"/>
    </w:lvl>
  </w:abstractNum>
  <w:abstractNum w:abstractNumId="43">
    <w:nsid w:val="579328B9"/>
    <w:multiLevelType w:val="hybridMultilevel"/>
    <w:lvl w:ilvl="0">
      <w:lvlJc w:val="left"/>
      <w:lvlText w:val="•"/>
      <w:numFmt w:val="bullet"/>
      <w:start w:val="1"/>
    </w:lvl>
  </w:abstractNum>
  <w:abstractNum w:abstractNumId="44">
    <w:nsid w:val="5D205E20"/>
    <w:multiLevelType w:val="hybridMultilevel"/>
    <w:lvl w:ilvl="0">
      <w:lvlJc w:val="left"/>
      <w:lvlText w:val="•"/>
      <w:numFmt w:val="bullet"/>
      <w:start w:val="1"/>
    </w:lvl>
  </w:abstractNum>
  <w:abstractNum w:abstractNumId="45">
    <w:nsid w:val="11CCA8BA"/>
    <w:multiLevelType w:val="hybridMultilevel"/>
    <w:lvl w:ilvl="0">
      <w:lvlJc w:val="left"/>
      <w:lvlText w:val="•"/>
      <w:numFmt w:val="bullet"/>
      <w:start w:val="1"/>
    </w:lvl>
  </w:abstractNum>
  <w:abstractNum w:abstractNumId="46">
    <w:nsid w:val="4D32AB86"/>
    <w:multiLevelType w:val="hybridMultilevel"/>
    <w:lvl w:ilvl="0">
      <w:lvlJc w:val="left"/>
      <w:lvlText w:val="•"/>
      <w:numFmt w:val="bullet"/>
      <w:start w:val="1"/>
    </w:lvl>
  </w:abstractNum>
  <w:abstractNum w:abstractNumId="47">
    <w:nsid w:val="3F07ACC3"/>
    <w:multiLevelType w:val="hybridMultilevel"/>
    <w:lvl w:ilvl="0">
      <w:lvlJc w:val="left"/>
      <w:lvlText w:val="•"/>
      <w:numFmt w:val="bullet"/>
      <w:start w:val="1"/>
    </w:lvl>
  </w:abstractNum>
  <w:abstractNum w:abstractNumId="48">
    <w:nsid w:val="6B47F63E"/>
    <w:multiLevelType w:val="hybridMultilevel"/>
    <w:lvl w:ilvl="0">
      <w:lvlJc w:val="left"/>
      <w:lvlText w:val="•"/>
      <w:numFmt w:val="bullet"/>
      <w:start w:val="1"/>
    </w:lvl>
  </w:abstractNum>
  <w:abstractNum w:abstractNumId="49">
    <w:nsid w:val="5CB44A05"/>
    <w:multiLevelType w:val="hybridMultilevel"/>
    <w:lvl w:ilvl="0">
      <w:lvlJc w:val="left"/>
      <w:lvlText w:val="•"/>
      <w:numFmt w:val="bullet"/>
      <w:start w:val="1"/>
    </w:lvl>
  </w:abstractNum>
  <w:abstractNum w:abstractNumId="50">
    <w:nsid w:val="16CF80F1"/>
    <w:multiLevelType w:val="hybridMultilevel"/>
    <w:lvl w:ilvl="0">
      <w:lvlJc w:val="left"/>
      <w:lvlText w:val="•"/>
      <w:numFmt w:val="bullet"/>
      <w:start w:val="1"/>
    </w:lvl>
  </w:abstractNum>
  <w:abstractNum w:abstractNumId="51">
    <w:nsid w:val="1C695DEC"/>
    <w:multiLevelType w:val="hybridMultilevel"/>
    <w:lvl w:ilvl="0">
      <w:lvlJc w:val="left"/>
      <w:lvlText w:val="•"/>
      <w:numFmt w:val="bullet"/>
      <w:start w:val="1"/>
    </w:lvl>
  </w:abstractNum>
  <w:abstractNum w:abstractNumId="52">
    <w:nsid w:val="3FCFAED9"/>
    <w:multiLevelType w:val="hybridMultilevel"/>
    <w:lvl w:ilvl="0">
      <w:lvlJc w:val="left"/>
      <w:lvlText w:val="•"/>
      <w:numFmt w:val="bullet"/>
      <w:start w:val="1"/>
    </w:lvl>
  </w:abstractNum>
  <w:abstractNum w:abstractNumId="53">
    <w:nsid w:val="F856867"/>
    <w:multiLevelType w:val="hybridMultilevel"/>
    <w:lvl w:ilvl="0">
      <w:lvlJc w:val="left"/>
      <w:lvlText w:val="•"/>
      <w:numFmt w:val="bullet"/>
      <w:start w:val="1"/>
    </w:lvl>
  </w:abstractNum>
  <w:abstractNum w:abstractNumId="54">
    <w:nsid w:val="11B1CC33"/>
    <w:multiLevelType w:val="hybridMultilevel"/>
    <w:lvl w:ilvl="0">
      <w:lvlJc w:val="left"/>
      <w:lvlText w:val="•"/>
      <w:numFmt w:val="bullet"/>
      <w:start w:val="1"/>
    </w:lvl>
  </w:abstractNum>
  <w:abstractNum w:abstractNumId="55">
    <w:nsid w:val="2E22FBB7"/>
    <w:multiLevelType w:val="hybridMultilevel"/>
    <w:lvl w:ilvl="0">
      <w:lvlJc w:val="left"/>
      <w:lvlText w:val="•"/>
      <w:numFmt w:val="bullet"/>
      <w:start w:val="1"/>
    </w:lvl>
  </w:abstractNum>
  <w:abstractNum w:abstractNumId="56">
    <w:nsid w:val="29934699"/>
    <w:multiLevelType w:val="hybridMultilevel"/>
    <w:lvl w:ilvl="0">
      <w:lvlJc w:val="left"/>
      <w:lvlText w:val="•"/>
      <w:numFmt w:val="bullet"/>
      <w:start w:val="1"/>
    </w:lvl>
  </w:abstractNum>
  <w:abstractNum w:abstractNumId="57">
    <w:nsid w:val="77485850"/>
    <w:multiLevelType w:val="hybridMultilevel"/>
    <w:lvl w:ilvl="0">
      <w:lvlJc w:val="left"/>
      <w:lvlText w:val="$"/>
      <w:numFmt w:val="bullet"/>
      <w:start w:val="1"/>
    </w:lvl>
  </w:abstractNum>
  <w:abstractNum w:abstractNumId="58">
    <w:nsid w:val="744939A3"/>
    <w:multiLevelType w:val="hybridMultilevel"/>
    <w:lvl w:ilvl="0">
      <w:lvlJc w:val="left"/>
      <w:lvlText w:val="•"/>
      <w:numFmt w:val="bullet"/>
      <w:start w:val="1"/>
    </w:lvl>
  </w:abstractNum>
  <w:abstractNum w:abstractNumId="59">
    <w:nsid w:val="4FA0D2E3"/>
    <w:multiLevelType w:val="hybridMultilevel"/>
    <w:lvl w:ilvl="0">
      <w:lvlJc w:val="left"/>
      <w:lvlText w:val="•"/>
      <w:numFmt w:val="bullet"/>
      <w:start w:val="1"/>
    </w:lvl>
  </w:abstractNum>
  <w:abstractNum w:abstractNumId="60">
    <w:nsid w:val="6B1D2C14"/>
    <w:multiLevelType w:val="hybridMultilevel"/>
    <w:lvl w:ilvl="0">
      <w:lvlJc w:val="left"/>
      <w:lvlText w:val="•"/>
      <w:numFmt w:val="bullet"/>
      <w:start w:val="1"/>
    </w:lvl>
  </w:abstractNum>
  <w:abstractNum w:abstractNumId="61">
    <w:nsid w:val="68B867D3"/>
    <w:multiLevelType w:val="hybridMultilevel"/>
    <w:lvl w:ilvl="0">
      <w:lvlJc w:val="left"/>
      <w:lvlText w:val="•"/>
      <w:numFmt w:val="bullet"/>
      <w:start w:val="1"/>
    </w:lvl>
  </w:abstractNum>
  <w:abstractNum w:abstractNumId="62">
    <w:nsid w:val="3F7F5DD9"/>
    <w:multiLevelType w:val="hybridMultilevel"/>
    <w:lvl w:ilvl="0">
      <w:lvlJc w:val="left"/>
      <w:lvlText w:val="•"/>
      <w:numFmt w:val="bullet"/>
      <w:start w:val="1"/>
    </w:lvl>
  </w:abstractNum>
  <w:abstractNum w:abstractNumId="63">
    <w:nsid w:val="2AE05A34"/>
    <w:multiLevelType w:val="hybridMultilevel"/>
    <w:lvl w:ilvl="0">
      <w:lvlJc w:val="left"/>
      <w:lvlText w:val="(%1)"/>
      <w:numFmt w:val="decimal"/>
      <w:start w:val="1"/>
    </w:lvl>
  </w:abstractNum>
  <w:abstractNum w:abstractNumId="64">
    <w:nsid w:val="32794FF7"/>
    <w:multiLevelType w:val="hybridMultilevel"/>
    <w:lvl w:ilvl="0">
      <w:lvlJc w:val="left"/>
      <w:lvlText w:val="(%1)"/>
      <w:numFmt w:val="decimal"/>
      <w:start w:val="1"/>
    </w:lvl>
  </w:abstractNum>
  <w:abstractNum w:abstractNumId="65">
    <w:nsid w:val="5454945E"/>
    <w:multiLevelType w:val="hybridMultilevel"/>
    <w:lvl w:ilvl="0">
      <w:lvlJc w:val="left"/>
      <w:lvlText w:val="•"/>
      <w:numFmt w:val="bullet"/>
      <w:start w:val="1"/>
    </w:lvl>
  </w:abstractNum>
  <w:abstractNum w:abstractNumId="66">
    <w:nsid w:val="4DEFDFA0"/>
    <w:multiLevelType w:val="hybridMultilevel"/>
    <w:lvl w:ilvl="0">
      <w:lvlJc w:val="left"/>
      <w:lvlText w:val="•"/>
      <w:numFmt w:val="bullet"/>
      <w:start w:val="1"/>
    </w:lvl>
  </w:abstractNum>
  <w:abstractNum w:abstractNumId="67">
    <w:nsid w:val="2123D5F2"/>
    <w:multiLevelType w:val="hybridMultilevel"/>
    <w:lvl w:ilvl="0">
      <w:lvlJc w:val="left"/>
      <w:lvlText w:val="•"/>
      <w:numFmt w:val="bullet"/>
      <w:start w:val="1"/>
    </w:lvl>
  </w:abstractNum>
  <w:abstractNum w:abstractNumId="68">
    <w:nsid w:val="135B8110"/>
    <w:multiLevelType w:val="hybridMultilevel"/>
    <w:lvl w:ilvl="0">
      <w:lvlJc w:val="left"/>
      <w:lvlText w:val="•"/>
      <w:numFmt w:val="bullet"/>
      <w:start w:val="1"/>
    </w:lvl>
  </w:abstractNum>
  <w:abstractNum w:abstractNumId="69">
    <w:nsid w:val="94927A8"/>
    <w:multiLevelType w:val="hybridMultilevel"/>
    <w:lvl w:ilvl="0">
      <w:lvlJc w:val="left"/>
      <w:lvlText w:val="•"/>
      <w:numFmt w:val="bullet"/>
      <w:start w:val="1"/>
    </w:lvl>
  </w:abstractNum>
  <w:abstractNum w:abstractNumId="70">
    <w:nsid w:val="DCDF8F6"/>
    <w:multiLevelType w:val="hybridMultilevel"/>
    <w:lvl w:ilvl="0">
      <w:lvlJc w:val="left"/>
      <w:lvlText w:val="•"/>
      <w:numFmt w:val="bullet"/>
      <w:start w:val="1"/>
    </w:lvl>
  </w:abstractNum>
  <w:abstractNum w:abstractNumId="71">
    <w:nsid w:val="52D7B105"/>
    <w:multiLevelType w:val="hybridMultilevel"/>
    <w:lvl w:ilvl="0">
      <w:lvlJc w:val="left"/>
      <w:lvlText w:val="•"/>
      <w:numFmt w:val="bullet"/>
      <w:start w:val="1"/>
    </w:lvl>
  </w:abstractNum>
  <w:abstractNum w:abstractNumId="72">
    <w:nsid w:val="2E8A6394"/>
    <w:multiLevelType w:val="hybridMultilevel"/>
    <w:lvl w:ilvl="0">
      <w:lvlJc w:val="left"/>
      <w:lvlText w:val="(%1)"/>
      <w:numFmt w:val="decimal"/>
      <w:start w:val="1"/>
    </w:lvl>
  </w:abstractNum>
  <w:abstractNum w:abstractNumId="73">
    <w:nsid w:val="24E60401"/>
    <w:multiLevelType w:val="hybridMultilevel"/>
    <w:lvl w:ilvl="0">
      <w:lvlJc w:val="left"/>
      <w:lvlText w:val="•"/>
      <w:numFmt w:val="bullet"/>
      <w:start w:val="1"/>
    </w:lvl>
  </w:abstractNum>
  <w:abstractNum w:abstractNumId="74">
    <w:nsid w:val="2A6AD9BE"/>
    <w:multiLevelType w:val="hybridMultilevel"/>
    <w:lvl w:ilvl="0">
      <w:lvlJc w:val="left"/>
      <w:lvlText w:val="•"/>
      <w:numFmt w:val="bullet"/>
      <w:start w:val="1"/>
    </w:lvl>
  </w:abstractNum>
  <w:abstractNum w:abstractNumId="75">
    <w:nsid w:val="BAAC1B4"/>
    <w:multiLevelType w:val="hybridMultilevel"/>
    <w:lvl w:ilvl="0">
      <w:lvlJc w:val="left"/>
      <w:lvlText w:val="•"/>
      <w:numFmt w:val="bullet"/>
      <w:start w:val="1"/>
    </w:lvl>
  </w:abstractNum>
  <w:abstractNum w:abstractNumId="76">
    <w:nsid w:val="36B2ACBC"/>
    <w:multiLevelType w:val="hybridMultilevel"/>
    <w:lvl w:ilvl="0">
      <w:lvlJc w:val="left"/>
      <w:lvlText w:val="•"/>
      <w:numFmt w:val="bullet"/>
      <w:start w:val="1"/>
    </w:lvl>
  </w:abstractNum>
  <w:abstractNum w:abstractNumId="77">
    <w:nsid w:val="779D8544"/>
    <w:multiLevelType w:val="hybridMultilevel"/>
    <w:lvl w:ilvl="0">
      <w:lvlJc w:val="left"/>
      <w:lvlText w:val="•"/>
      <w:numFmt w:val="bullet"/>
      <w:start w:val="1"/>
    </w:lvl>
  </w:abstractNum>
  <w:abstractNum w:abstractNumId="78">
    <w:nsid w:val="4AB26E78"/>
    <w:multiLevelType w:val="hybridMultilevel"/>
    <w:lvl w:ilvl="0">
      <w:lvlJc w:val="left"/>
      <w:lvlText w:val="•"/>
      <w:numFmt w:val="bullet"/>
      <w:start w:val="1"/>
    </w:lvl>
  </w:abstractNum>
  <w:abstractNum w:abstractNumId="79">
    <w:nsid w:val="21FAA2FA"/>
    <w:multiLevelType w:val="hybridMultilevel"/>
    <w:lvl w:ilvl="0">
      <w:lvlJc w:val="left"/>
      <w:lvlText w:val="•"/>
      <w:numFmt w:val="bullet"/>
      <w:start w:val="1"/>
    </w:lvl>
  </w:abstractNum>
  <w:abstractNum w:abstractNumId="80">
    <w:nsid w:val="5451CF49"/>
    <w:multiLevelType w:val="hybridMultilevel"/>
    <w:lvl w:ilvl="0">
      <w:lvlJc w:val="left"/>
      <w:lvlText w:val="•"/>
      <w:numFmt w:val="bullet"/>
      <w:start w:val="1"/>
    </w:lvl>
  </w:abstractNum>
  <w:abstractNum w:abstractNumId="81">
    <w:nsid w:val="6181EF69"/>
    <w:multiLevelType w:val="hybridMultilevel"/>
    <w:lvl w:ilvl="0">
      <w:lvlJc w:val="left"/>
      <w:lvlText w:val="•"/>
      <w:numFmt w:val="bullet"/>
      <w:start w:val="1"/>
    </w:lvl>
  </w:abstractNum>
  <w:abstractNum w:abstractNumId="82">
    <w:nsid w:val="3E6400E6"/>
    <w:multiLevelType w:val="hybridMultilevel"/>
    <w:lvl w:ilvl="0">
      <w:lvlJc w:val="left"/>
      <w:lvlText w:val="•"/>
      <w:numFmt w:val="bullet"/>
      <w:start w:val="1"/>
    </w:lvl>
  </w:abstractNum>
  <w:abstractNum w:abstractNumId="83">
    <w:nsid w:val="14217E23"/>
    <w:multiLevelType w:val="hybridMultilevel"/>
    <w:lvl w:ilvl="0">
      <w:lvlJc w:val="left"/>
      <w:lvlText w:val="•"/>
      <w:numFmt w:val="bullet"/>
      <w:start w:val="1"/>
    </w:lvl>
  </w:abstractNum>
  <w:abstractNum w:abstractNumId="84">
    <w:nsid w:val="710757D0"/>
    <w:multiLevelType w:val="hybridMultilevel"/>
    <w:lvl w:ilvl="0">
      <w:lvlJc w:val="left"/>
      <w:lvlText w:val="•"/>
      <w:numFmt w:val="bullet"/>
      <w:start w:val="1"/>
    </w:lvl>
  </w:abstractNum>
  <w:abstractNum w:abstractNumId="85">
    <w:nsid w:val="5015CD1A"/>
    <w:multiLevelType w:val="hybridMultilevel"/>
    <w:lvl w:ilvl="0">
      <w:lvlJc w:val="left"/>
      <w:lvlText w:val="•"/>
      <w:numFmt w:val="bullet"/>
      <w:start w:val="1"/>
    </w:lvl>
  </w:abstractNum>
  <w:abstractNum w:abstractNumId="86">
    <w:nsid w:val="424479DA"/>
    <w:multiLevelType w:val="hybridMultilevel"/>
    <w:lvl w:ilvl="0">
      <w:lvlJc w:val="left"/>
      <w:lvlText w:val="•"/>
      <w:numFmt w:val="bullet"/>
      <w:start w:val="1"/>
    </w:lvl>
  </w:abstractNum>
  <w:abstractNum w:abstractNumId="87">
    <w:nsid w:val="1A9A9E69"/>
    <w:multiLevelType w:val="hybridMultilevel"/>
    <w:lvl w:ilvl="0">
      <w:lvlJc w:val="left"/>
      <w:lvlText w:val="•"/>
      <w:numFmt w:val="bullet"/>
      <w:start w:val="1"/>
    </w:lvl>
  </w:abstractNum>
  <w:abstractNum w:abstractNumId="88">
    <w:nsid w:val="475E256A"/>
    <w:multiLevelType w:val="hybridMultilevel"/>
    <w:lvl w:ilvl="0">
      <w:lvlJc w:val="left"/>
      <w:lvlText w:val="•"/>
      <w:numFmt w:val="bullet"/>
      <w:start w:val="1"/>
    </w:lvl>
  </w:abstractNum>
  <w:abstractNum w:abstractNumId="89">
    <w:nsid w:val="368DB37E"/>
    <w:multiLevelType w:val="hybridMultilevel"/>
    <w:lvl w:ilvl="0">
      <w:lvlJc w:val="left"/>
      <w:lvlText w:val="(%1)"/>
      <w:numFmt w:val="decimal"/>
      <w:start w:val="1"/>
    </w:lvl>
  </w:abstractNum>
  <w:abstractNum w:abstractNumId="90">
    <w:nsid w:val="6A3B714C"/>
    <w:multiLevelType w:val="hybridMultilevel"/>
    <w:lvl w:ilvl="0">
      <w:lvlJc w:val="left"/>
      <w:lvlText w:val="•"/>
      <w:numFmt w:val="bullet"/>
      <w:start w:val="1"/>
    </w:lvl>
  </w:abstractNum>
  <w:abstractNum w:abstractNumId="91">
    <w:nsid w:val="327B517E"/>
    <w:multiLevelType w:val="hybridMultilevel"/>
    <w:lvl w:ilvl="0">
      <w:lvlJc w:val="left"/>
      <w:lvlText w:val="•"/>
      <w:numFmt w:val="bullet"/>
      <w:start w:val="1"/>
    </w:lvl>
  </w:abstractNum>
  <w:abstractNum w:abstractNumId="92">
    <w:nsid w:val="1F461B51"/>
    <w:multiLevelType w:val="hybridMultilevel"/>
    <w:lvl w:ilvl="0">
      <w:lvlJc w:val="left"/>
      <w:lvlText w:val="•"/>
      <w:numFmt w:val="bullet"/>
      <w:start w:val="1"/>
    </w:lvl>
  </w:abstractNum>
  <w:abstractNum w:abstractNumId="93">
    <w:nsid w:val="29BACF25"/>
    <w:multiLevelType w:val="hybridMultilevel"/>
    <w:lvl w:ilvl="0">
      <w:lvlJc w:val="left"/>
      <w:lvlText w:val="•"/>
      <w:numFmt w:val="bullet"/>
      <w:start w:val="1"/>
    </w:lvl>
  </w:abstractNum>
  <w:abstractNum w:abstractNumId="94">
    <w:nsid w:val="5D5BABB3"/>
    <w:multiLevelType w:val="hybridMultilevel"/>
    <w:lvl w:ilvl="0">
      <w:lvlJc w:val="left"/>
      <w:lvlText w:val="•"/>
      <w:numFmt w:val="bullet"/>
      <w:start w:val="1"/>
    </w:lvl>
  </w:abstractNum>
  <w:abstractNum w:abstractNumId="95">
    <w:nsid w:val="51BF6B48"/>
    <w:multiLevelType w:val="hybridMultilevel"/>
    <w:lvl w:ilvl="0">
      <w:lvlJc w:val="left"/>
      <w:lvlText w:val="•"/>
      <w:numFmt w:val="bullet"/>
      <w:start w:val="1"/>
    </w:lvl>
  </w:abstractNum>
  <w:abstractNum w:abstractNumId="96">
    <w:nsid w:val="7E0F6384"/>
    <w:multiLevelType w:val="hybridMultilevel"/>
    <w:lvl w:ilvl="0">
      <w:lvlJc w:val="left"/>
      <w:lvlText w:val="•"/>
      <w:numFmt w:val="bullet"/>
      <w:start w:val="1"/>
    </w:lvl>
  </w:abstractNum>
  <w:abstractNum w:abstractNumId="97">
    <w:nsid w:val="2B4B8B53"/>
    <w:multiLevelType w:val="hybridMultilevel"/>
    <w:lvl w:ilvl="0">
      <w:lvlJc w:val="left"/>
      <w:lvlText w:val="(%1)"/>
      <w:numFmt w:val="decimal"/>
      <w:start w:val="1"/>
    </w:lvl>
  </w:abstractNum>
  <w:abstractNum w:abstractNumId="98">
    <w:nsid w:val="72E3413A"/>
    <w:multiLevelType w:val="hybridMultilevel"/>
    <w:lvl w:ilvl="0">
      <w:lvlJc w:val="left"/>
      <w:lvlText w:val="(%1)"/>
      <w:numFmt w:val="decimal"/>
      <w:start w:val="1"/>
    </w:lvl>
  </w:abstractNum>
  <w:abstractNum w:abstractNumId="99">
    <w:nsid w:val="116AE494"/>
    <w:multiLevelType w:val="hybridMultilevel"/>
    <w:lvl w:ilvl="0">
      <w:lvlJc w:val="left"/>
      <w:lvlText w:val="•"/>
      <w:numFmt w:val="bullet"/>
      <w:start w:val="1"/>
    </w:lvl>
  </w:abstractNum>
  <w:abstractNum w:abstractNumId="100">
    <w:nsid w:val="3494B2FB"/>
    <w:multiLevelType w:val="hybridMultilevel"/>
    <w:lvl w:ilvl="0">
      <w:lvlJc w:val="left"/>
      <w:lvlText w:val="•"/>
      <w:numFmt w:val="bullet"/>
      <w:start w:val="1"/>
    </w:lvl>
  </w:abstractNum>
  <w:abstractNum w:abstractNumId="101">
    <w:nsid w:val="B13A31"/>
    <w:multiLevelType w:val="hybridMultilevel"/>
    <w:lvl w:ilvl="0">
      <w:lvlJc w:val="left"/>
      <w:lvlText w:val="•"/>
      <w:numFmt w:val="bullet"/>
      <w:start w:val="1"/>
    </w:lvl>
  </w:abstractNum>
  <w:abstractNum w:abstractNumId="102">
    <w:nsid w:val="64429599"/>
    <w:multiLevelType w:val="hybridMultilevel"/>
    <w:lvl w:ilvl="0">
      <w:lvlJc w:val="left"/>
      <w:lvlText w:val="•"/>
      <w:numFmt w:val="bullet"/>
      <w:start w:val="1"/>
    </w:lvl>
  </w:abstractNum>
  <w:abstractNum w:abstractNumId="103">
    <w:nsid w:val="631F1690"/>
    <w:multiLevelType w:val="hybridMultilevel"/>
    <w:lvl w:ilvl="0">
      <w:lvlJc w:val="left"/>
      <w:lvlText w:val="•"/>
      <w:numFmt w:val="bullet"/>
      <w:start w:val="1"/>
    </w:lvl>
  </w:abstractNum>
  <w:abstractNum w:abstractNumId="104">
    <w:nsid w:val="25973E32"/>
    <w:multiLevelType w:val="hybridMultilevel"/>
    <w:lvl w:ilvl="0">
      <w:lvlJc w:val="left"/>
      <w:lvlText w:val="(%1)"/>
      <w:numFmt w:val="decimal"/>
      <w:start w:val="2"/>
    </w:lvl>
  </w:abstractNum>
  <w:abstractNum w:abstractNumId="105">
    <w:nsid w:val="EAD6F57"/>
    <w:multiLevelType w:val="hybridMultilevel"/>
    <w:lvl w:ilvl="0">
      <w:lvlJc w:val="left"/>
      <w:lvlText w:val="•"/>
      <w:numFmt w:val="bullet"/>
      <w:start w:val="1"/>
    </w:lvl>
  </w:abstractNum>
  <w:abstractNum w:abstractNumId="106">
    <w:nsid w:val="6EC9D844"/>
    <w:multiLevelType w:val="hybridMultilevel"/>
    <w:lvl w:ilvl="0">
      <w:lvlJc w:val="left"/>
      <w:lvlText w:val="•"/>
      <w:numFmt w:val="bullet"/>
      <w:start w:val="1"/>
    </w:lvl>
  </w:abstractNum>
  <w:abstractNum w:abstractNumId="107">
    <w:nsid w:val="5C49EAEE"/>
    <w:multiLevelType w:val="hybridMultilevel"/>
    <w:lvl w:ilvl="0">
      <w:lvlJc w:val="left"/>
      <w:lvlText w:val="•"/>
      <w:numFmt w:val="bullet"/>
      <w:start w:val="1"/>
    </w:lvl>
  </w:abstractNum>
  <w:abstractNum w:abstractNumId="108">
    <w:nsid w:val="64AF49B"/>
    <w:multiLevelType w:val="hybridMultilevel"/>
    <w:lvl w:ilvl="0">
      <w:lvlJc w:val="left"/>
      <w:lvlText w:val="(%1)"/>
      <w:numFmt w:val="decimal"/>
      <w:start w:val="1"/>
    </w:lvl>
  </w:abstractNum>
  <w:abstractNum w:abstractNumId="109">
    <w:nsid w:val="397C46BC"/>
    <w:multiLevelType w:val="hybridMultilevel"/>
    <w:lvl w:ilvl="0">
      <w:lvlJc w:val="left"/>
      <w:lvlText w:val="•"/>
      <w:numFmt w:val="bullet"/>
      <w:start w:val="1"/>
    </w:lvl>
  </w:abstractNum>
  <w:abstractNum w:abstractNumId="110">
    <w:nsid w:val="7E448DE9"/>
    <w:multiLevelType w:val="hybridMultilevel"/>
    <w:lvl w:ilvl="0">
      <w:lvlJc w:val="left"/>
      <w:lvlText w:val="•"/>
      <w:numFmt w:val="bullet"/>
      <w:start w:val="1"/>
    </w:lvl>
  </w:abstractNum>
  <w:abstractNum w:abstractNumId="111">
    <w:nsid w:val="5A9CC3E5"/>
    <w:multiLevelType w:val="hybridMultilevel"/>
    <w:lvl w:ilvl="0">
      <w:lvlJc w:val="left"/>
      <w:lvlText w:val="*"/>
      <w:numFmt w:val="bullet"/>
      <w:start w:val="1"/>
    </w:lvl>
  </w:abstractNum>
  <w:abstractNum w:abstractNumId="112">
    <w:nsid w:val="1AFE3625"/>
    <w:multiLevelType w:val="hybridMultilevel"/>
    <w:lvl w:ilvl="0">
      <w:lvlJc w:val="left"/>
      <w:lvlText w:val="(%1)"/>
      <w:numFmt w:val="decimal"/>
      <w:start w:val="1"/>
    </w:lvl>
  </w:abstractNum>
  <w:abstractNum w:abstractNumId="113">
    <w:nsid w:val="3CA88ECF"/>
    <w:multiLevelType w:val="hybridMultilevel"/>
    <w:lvl w:ilvl="0">
      <w:lvlJc w:val="left"/>
      <w:lvlText w:val="(%1)"/>
      <w:numFmt w:val="decimal"/>
      <w:start w:val="8"/>
    </w:lvl>
  </w:abstractNum>
  <w:abstractNum w:abstractNumId="114">
    <w:nsid w:val="6EBE4208"/>
    <w:multiLevelType w:val="hybridMultilevel"/>
    <w:lvl w:ilvl="0">
      <w:lvlJc w:val="left"/>
      <w:lvlText w:val="•"/>
      <w:numFmt w:val="bullet"/>
      <w:start w:val="1"/>
    </w:lvl>
  </w:abstractNum>
  <w:abstractNum w:abstractNumId="115">
    <w:nsid w:val="C058DF5"/>
    <w:multiLevelType w:val="hybridMultilevel"/>
    <w:lvl w:ilvl="0">
      <w:lvlJc w:val="left"/>
      <w:lvlText w:val="•"/>
      <w:numFmt w:val="bullet"/>
      <w:start w:val="1"/>
    </w:lvl>
  </w:abstractNum>
  <w:abstractNum w:abstractNumId="116">
    <w:nsid w:val="CBE5BE9"/>
    <w:multiLevelType w:val="hybridMultilevel"/>
    <w:lvl w:ilvl="0">
      <w:lvlJc w:val="left"/>
      <w:lvlText w:val="•"/>
      <w:numFmt w:val="bullet"/>
      <w:start w:val="1"/>
    </w:lvl>
  </w:abstractNum>
  <w:abstractNum w:abstractNumId="117">
    <w:nsid w:val="3102BBE2"/>
    <w:multiLevelType w:val="hybridMultilevel"/>
    <w:lvl w:ilvl="0">
      <w:lvlJc w:val="left"/>
      <w:lvlText w:val="•"/>
      <w:numFmt w:val="bullet"/>
      <w:start w:val="1"/>
    </w:lvl>
  </w:abstractNum>
  <w:abstractNum w:abstractNumId="118">
    <w:nsid w:val="26A02C5E"/>
    <w:multiLevelType w:val="hybridMultilevel"/>
    <w:lvl w:ilvl="0">
      <w:lvlJc w:val="left"/>
      <w:lvlText w:val="•"/>
      <w:numFmt w:val="bullet"/>
      <w:start w:val="1"/>
    </w:lvl>
  </w:abstractNum>
  <w:abstractNum w:abstractNumId="119">
    <w:nsid w:val="541C8153"/>
    <w:multiLevelType w:val="hybridMultilevel"/>
    <w:lvl w:ilvl="0">
      <w:lvlJc w:val="left"/>
      <w:lvlText w:val="•"/>
      <w:numFmt w:val="bullet"/>
      <w:start w:val="1"/>
    </w:lvl>
  </w:abstractNum>
  <w:abstractNum w:abstractNumId="120">
    <w:nsid w:val="67906F60"/>
    <w:multiLevelType w:val="hybridMultilevel"/>
    <w:lvl w:ilvl="0">
      <w:lvlJc w:val="left"/>
      <w:lvlText w:val="•"/>
      <w:numFmt w:val="bullet"/>
      <w:start w:val="1"/>
    </w:lvl>
  </w:abstractNum>
  <w:abstractNum w:abstractNumId="121">
    <w:nsid w:val="10DB9DAA"/>
    <w:multiLevelType w:val="hybridMultilevel"/>
    <w:lvl w:ilvl="0">
      <w:lvlJc w:val="left"/>
      <w:lvlText w:val="•"/>
      <w:numFmt w:val="bullet"/>
      <w:start w:val="1"/>
    </w:lvl>
  </w:abstractNum>
  <w:abstractNum w:abstractNumId="122">
    <w:nsid w:val="697D2D2"/>
    <w:multiLevelType w:val="hybridMultilevel"/>
    <w:lvl w:ilvl="0">
      <w:lvlJc w:val="left"/>
      <w:lvlText w:val="•"/>
      <w:numFmt w:val="bullet"/>
      <w:start w:val="1"/>
    </w:lvl>
  </w:abstractNum>
  <w:abstractNum w:abstractNumId="123">
    <w:nsid w:val="6D68AB2"/>
    <w:multiLevelType w:val="hybridMultilevel"/>
    <w:lvl w:ilvl="0">
      <w:lvlJc w:val="left"/>
      <w:lvlText w:val="•"/>
      <w:numFmt w:val="bullet"/>
      <w:start w:val="1"/>
    </w:lvl>
  </w:abstractNum>
  <w:abstractNum w:abstractNumId="124">
    <w:nsid w:val="3A966CD0"/>
    <w:multiLevelType w:val="hybridMultilevel"/>
    <w:lvl w:ilvl="0">
      <w:lvlJc w:val="left"/>
      <w:lvlText w:val="•"/>
      <w:numFmt w:val="bullet"/>
      <w:start w:val="1"/>
    </w:lvl>
  </w:abstractNum>
  <w:abstractNum w:abstractNumId="125">
    <w:nsid w:val="63F37E85"/>
    <w:multiLevelType w:val="hybridMultilevel"/>
    <w:lvl w:ilvl="0">
      <w:lvlJc w:val="left"/>
      <w:lvlText w:val="•"/>
      <w:numFmt w:val="bullet"/>
      <w:start w:val="1"/>
    </w:lvl>
  </w:abstractNum>
  <w:abstractNum w:abstractNumId="126">
    <w:nsid w:val="5895F5FA"/>
    <w:multiLevelType w:val="hybridMultilevel"/>
    <w:lvl w:ilvl="0">
      <w:lvlJc w:val="left"/>
      <w:lvlText w:val="•"/>
      <w:numFmt w:val="bullet"/>
      <w:start w:val="1"/>
    </w:lvl>
  </w:abstractNum>
  <w:abstractNum w:abstractNumId="127">
    <w:nsid w:val="38A5D054"/>
    <w:multiLevelType w:val="hybridMultilevel"/>
    <w:lvl w:ilvl="0">
      <w:lvlJc w:val="left"/>
      <w:lvlText w:val="%1."/>
      <w:numFmt w:val="decimal"/>
      <w:start w:val="1"/>
    </w:lvl>
  </w:abstractNum>
  <w:abstractNum w:abstractNumId="128">
    <w:nsid w:val="F3F09D8"/>
    <w:multiLevelType w:val="hybridMultilevel"/>
    <w:lvl w:ilvl="0">
      <w:lvlJc w:val="left"/>
      <w:lvlText w:val="%1."/>
      <w:numFmt w:val="decimal"/>
      <w:start w:val="2"/>
    </w:lvl>
  </w:abstractNum>
  <w:abstractNum w:abstractNumId="129">
    <w:nsid w:val="4B793735"/>
    <w:multiLevelType w:val="hybridMultilevel"/>
    <w:lvl w:ilvl="0">
      <w:lvlJc w:val="left"/>
      <w:lvlText w:val="%1."/>
      <w:numFmt w:val="decimal"/>
      <w:start w:val="3"/>
    </w:lvl>
  </w:abstractNum>
  <w:abstractNum w:abstractNumId="130">
    <w:nsid w:val="4A10B4E8"/>
    <w:multiLevelType w:val="hybridMultilevel"/>
    <w:lvl w:ilvl="0">
      <w:lvlJc w:val="left"/>
      <w:lvlText w:val="%1."/>
      <w:numFmt w:val="decimal"/>
      <w:start w:val="4"/>
    </w:lvl>
  </w:abstractNum>
  <w:abstractNum w:abstractNumId="131">
    <w:nsid w:val="43D3BCD4"/>
    <w:multiLevelType w:val="hybridMultilevel"/>
    <w:lvl w:ilvl="0">
      <w:lvlJc w:val="left"/>
      <w:lvlText w:val="%1."/>
      <w:numFmt w:val="decimal"/>
      <w:start w:val="5"/>
    </w:lvl>
  </w:abstractNum>
  <w:abstractNum w:abstractNumId="132">
    <w:nsid w:val="4C2A7166"/>
    <w:multiLevelType w:val="hybridMultilevel"/>
    <w:lvl w:ilvl="0">
      <w:lvlJc w:val="left"/>
      <w:lvlText w:val="%1."/>
      <w:numFmt w:val="decimal"/>
      <w:start w:val="6"/>
    </w:lvl>
  </w:abstractNum>
  <w:abstractNum w:abstractNumId="133">
    <w:nsid w:val="2E534A82"/>
    <w:multiLevelType w:val="hybridMultilevel"/>
    <w:lvl w:ilvl="0">
      <w:lvlJc w:val="left"/>
      <w:lvlText w:val="%1."/>
      <w:numFmt w:val="decimal"/>
      <w:start w:val="7"/>
    </w:lvl>
  </w:abstractNum>
  <w:abstractNum w:abstractNumId="134">
    <w:nsid w:val="26F2D364"/>
    <w:multiLevelType w:val="hybridMultilevel"/>
    <w:lvl w:ilvl="0">
      <w:lvlJc w:val="left"/>
      <w:lvlText w:val="•"/>
      <w:numFmt w:val="bullet"/>
      <w:start w:val="1"/>
    </w:lvl>
  </w:abstractNum>
  <w:abstractNum w:abstractNumId="135">
    <w:nsid w:val="71C1AF98"/>
    <w:multiLevelType w:val="hybridMultilevel"/>
    <w:lvl w:ilvl="0">
      <w:lvlJc w:val="left"/>
      <w:lvlText w:val="•"/>
      <w:numFmt w:val="bullet"/>
      <w:start w:val="1"/>
    </w:lvl>
  </w:abstractNum>
  <w:abstractNum w:abstractNumId="136">
    <w:nsid w:val="3D00B9D9"/>
    <w:multiLevelType w:val="hybridMultilevel"/>
    <w:lvl w:ilvl="0">
      <w:lvlJc w:val="left"/>
      <w:lvlText w:val="%1."/>
      <w:numFmt w:val="decimal"/>
      <w:start w:val="8"/>
    </w:lvl>
  </w:abstractNum>
  <w:abstractNum w:abstractNumId="137">
    <w:nsid w:val="15BCABA8"/>
    <w:multiLevelType w:val="hybridMultilevel"/>
    <w:lvl w:ilvl="0">
      <w:lvlJc w:val="left"/>
      <w:lvlText w:val="%1."/>
      <w:numFmt w:val="decimal"/>
      <w:start w:val="9"/>
    </w:lvl>
  </w:abstractNum>
  <w:abstractNum w:abstractNumId="138">
    <w:nsid w:val="4E0B9A87"/>
    <w:multiLevelType w:val="hybridMultilevel"/>
    <w:lvl w:ilvl="0">
      <w:lvlJc w:val="left"/>
      <w:lvlText w:val="%1."/>
      <w:numFmt w:val="decimal"/>
      <w:start w:val="10"/>
    </w:lvl>
  </w:abstractNum>
  <w:abstractNum w:abstractNumId="139">
    <w:nsid w:val="434BAE75"/>
    <w:multiLevelType w:val="hybridMultilevel"/>
    <w:lvl w:ilvl="0">
      <w:lvlJc w:val="left"/>
      <w:lvlText w:val="%1."/>
      <w:numFmt w:val="decimal"/>
      <w:start w:val="11"/>
    </w:lvl>
  </w:abstractNum>
  <w:abstractNum w:abstractNumId="140">
    <w:nsid w:val="4F38F265"/>
    <w:multiLevelType w:val="hybridMultilevel"/>
    <w:lvl w:ilvl="0">
      <w:lvlJc w:val="left"/>
      <w:lvlText w:val="%1."/>
      <w:numFmt w:val="decimal"/>
      <w:start w:val="12"/>
    </w:lvl>
  </w:abstractNum>
  <w:abstractNum w:abstractNumId="141">
    <w:nsid w:val="4C502870"/>
    <w:multiLevelType w:val="hybridMultilevel"/>
    <w:lvl w:ilvl="0">
      <w:lvlJc w:val="left"/>
      <w:lvlText w:val="•"/>
      <w:numFmt w:val="bullet"/>
      <w:start w:val="1"/>
    </w:lvl>
  </w:abstractNum>
  <w:abstractNum w:abstractNumId="142">
    <w:nsid w:val="1DE8725A"/>
    <w:multiLevelType w:val="hybridMultilevel"/>
    <w:lvl w:ilvl="0">
      <w:lvlJc w:val="left"/>
      <w:lvlText w:val="%1."/>
      <w:numFmt w:val="decimal"/>
      <w:start w:val="13"/>
    </w:lvl>
  </w:abstractNum>
  <w:abstractNum w:abstractNumId="143">
    <w:nsid w:val="6A37288A"/>
    <w:multiLevelType w:val="hybridMultilevel"/>
    <w:lvl w:ilvl="0">
      <w:lvlJc w:val="left"/>
      <w:lvlText w:val="%1."/>
      <w:numFmt w:val="decimal"/>
      <w:start w:val="14"/>
    </w:lvl>
  </w:abstractNum>
  <w:abstractNum w:abstractNumId="144">
    <w:nsid w:val="8F8B73F"/>
    <w:multiLevelType w:val="hybridMultilevel"/>
    <w:lvl w:ilvl="0">
      <w:lvlJc w:val="left"/>
      <w:lvlText w:val="%1."/>
      <w:numFmt w:val="decimal"/>
      <w:start w:val="15"/>
    </w:lvl>
  </w:abstractNum>
  <w:abstractNum w:abstractNumId="145">
    <w:nsid w:val="CA6B462"/>
    <w:multiLevelType w:val="hybridMultilevel"/>
    <w:lvl w:ilvl="0">
      <w:lvlJc w:val="left"/>
      <w:lvlText w:val="%1."/>
      <w:numFmt w:val="decimal"/>
      <w:start w:val="16"/>
    </w:lvl>
  </w:abstractNum>
  <w:abstractNum w:abstractNumId="146">
    <w:nsid w:val="763CB680"/>
    <w:multiLevelType w:val="hybridMultilevel"/>
    <w:lvl w:ilvl="0">
      <w:lvlJc w:val="left"/>
      <w:lvlText w:val="%1."/>
      <w:numFmt w:val="decimal"/>
      <w:start w:val="17"/>
    </w:lvl>
  </w:abstractNum>
  <w:abstractNum w:abstractNumId="147">
    <w:nsid w:val="15B71329"/>
    <w:multiLevelType w:val="hybridMultilevel"/>
    <w:lvl w:ilvl="0">
      <w:lvlJc w:val="left"/>
      <w:lvlText w:val="%1."/>
      <w:numFmt w:val="decimal"/>
      <w:start w:val="1"/>
    </w:lvl>
  </w:abstractNum>
  <w:abstractNum w:abstractNumId="148">
    <w:nsid w:val="3DA97044"/>
    <w:multiLevelType w:val="hybridMultilevel"/>
    <w:lvl w:ilvl="0">
      <w:lvlJc w:val="left"/>
      <w:lvlText w:val="%1."/>
      <w:numFmt w:val="decimal"/>
      <w:start w:val="2"/>
    </w:lvl>
  </w:abstractNum>
  <w:abstractNum w:abstractNumId="149">
    <w:nsid w:val="1CDCE2DE"/>
    <w:multiLevelType w:val="hybridMultilevel"/>
    <w:lvl w:ilvl="0">
      <w:lvlJc w:val="left"/>
      <w:lvlText w:val="%1."/>
      <w:numFmt w:val="decimal"/>
      <w:start w:val="3"/>
    </w:lvl>
  </w:abstractNum>
  <w:abstractNum w:abstractNumId="150">
    <w:nsid w:val="69D3947C"/>
    <w:multiLevelType w:val="hybridMultilevel"/>
    <w:lvl w:ilvl="0">
      <w:lvlJc w:val="left"/>
      <w:lvlText w:val="%1."/>
      <w:numFmt w:val="decimal"/>
      <w:start w:val="4"/>
    </w:lvl>
  </w:abstractNum>
  <w:abstractNum w:abstractNumId="151">
    <w:nsid w:val="2539DFA5"/>
    <w:multiLevelType w:val="hybridMultilevel"/>
    <w:lvl w:ilvl="0">
      <w:lvlJc w:val="left"/>
      <w:lvlText w:val="%1."/>
      <w:numFmt w:val="decimal"/>
      <w:start w:val="5"/>
    </w:lvl>
  </w:abstractNum>
  <w:abstractNum w:abstractNumId="152">
    <w:nsid w:val="2DB88089"/>
    <w:multiLevelType w:val="hybridMultilevel"/>
    <w:lvl w:ilvl="0">
      <w:lvlJc w:val="left"/>
      <w:lvlText w:val="%1."/>
      <w:numFmt w:val="decimal"/>
      <w:start w:val="6"/>
    </w:lvl>
  </w:abstractNum>
  <w:abstractNum w:abstractNumId="153">
    <w:nsid w:val="706B674E"/>
    <w:multiLevelType w:val="hybridMultilevel"/>
    <w:lvl w:ilvl="0">
      <w:lvlJc w:val="left"/>
      <w:lvlText w:val="•"/>
      <w:numFmt w:val="bullet"/>
      <w:start w:val="1"/>
    </w:lvl>
  </w:abstractNum>
  <w:abstractNum w:abstractNumId="154">
    <w:nsid w:val="2C106A57"/>
    <w:multiLevelType w:val="hybridMultilevel"/>
    <w:lvl w:ilvl="0">
      <w:lvlJc w:val="left"/>
      <w:lvlText w:val="•"/>
      <w:numFmt w:val="bullet"/>
      <w:start w:val="1"/>
    </w:lvl>
  </w:abstractNum>
  <w:abstractNum w:abstractNumId="155">
    <w:nsid w:val="684EED59"/>
    <w:multiLevelType w:val="hybridMultilevel"/>
    <w:lvl w:ilvl="0">
      <w:lvlJc w:val="left"/>
      <w:lvlText w:val="%1."/>
      <w:numFmt w:val="decimal"/>
      <w:start w:val="7"/>
    </w:lvl>
  </w:abstractNum>
  <w:abstractNum w:abstractNumId="156">
    <w:nsid w:val="545EE5D3"/>
    <w:multiLevelType w:val="hybridMultilevel"/>
    <w:lvl w:ilvl="0">
      <w:lvlJc w:val="left"/>
      <w:lvlText w:val="%1."/>
      <w:numFmt w:val="decimal"/>
      <w:start w:val="8"/>
    </w:lvl>
  </w:abstractNum>
  <w:abstractNum w:abstractNumId="157">
    <w:nsid w:val="4A66051"/>
    <w:multiLevelType w:val="hybridMultilevel"/>
    <w:lvl w:ilvl="0">
      <w:lvlJc w:val="left"/>
      <w:lvlText w:val="%1."/>
      <w:numFmt w:val="decimal"/>
      <w:start w:val="9"/>
    </w:lvl>
  </w:abstractNum>
  <w:abstractNum w:abstractNumId="158">
    <w:nsid w:val="20F4BDAD"/>
    <w:multiLevelType w:val="hybridMultilevel"/>
    <w:lvl w:ilvl="0">
      <w:lvlJc w:val="left"/>
      <w:lvlText w:val="%1."/>
      <w:numFmt w:val="decimal"/>
      <w:start w:val="10"/>
    </w:lvl>
  </w:abstractNum>
  <w:abstractNum w:abstractNumId="159">
    <w:nsid w:val="639DEFAC"/>
    <w:multiLevelType w:val="hybridMultilevel"/>
    <w:lvl w:ilvl="0">
      <w:lvlJc w:val="left"/>
      <w:lvlText w:val="%1."/>
      <w:numFmt w:val="decimal"/>
      <w:start w:val="11"/>
    </w:lvl>
  </w:abstractNum>
  <w:abstractNum w:abstractNumId="160">
    <w:nsid w:val="501F9786"/>
    <w:multiLevelType w:val="hybridMultilevel"/>
    <w:lvl w:ilvl="0">
      <w:lvlJc w:val="left"/>
      <w:lvlText w:val="•"/>
      <w:numFmt w:val="bullet"/>
      <w:start w:val="1"/>
    </w:lvl>
  </w:abstractNum>
  <w:abstractNum w:abstractNumId="161">
    <w:nsid w:val="6B057295"/>
    <w:multiLevelType w:val="hybridMultilevel"/>
    <w:lvl w:ilvl="0">
      <w:lvlJc w:val="left"/>
      <w:lvlText w:val="•"/>
      <w:numFmt w:val="bullet"/>
      <w:start w:val="1"/>
    </w:lvl>
  </w:abstractNum>
  <w:abstractNum w:abstractNumId="162">
    <w:nsid w:val="2771AC80"/>
    <w:multiLevelType w:val="hybridMultilevel"/>
    <w:lvl w:ilvl="0">
      <w:lvlJc w:val="left"/>
      <w:lvlText w:val="%1."/>
      <w:numFmt w:val="decimal"/>
      <w:start w:val="12"/>
    </w:lvl>
  </w:abstractNum>
  <w:abstractNum w:abstractNumId="163">
    <w:nsid w:val="1C4A08EC"/>
    <w:multiLevelType w:val="hybridMultilevel"/>
    <w:lvl w:ilvl="0">
      <w:lvlJc w:val="left"/>
      <w:lvlText w:val="%1."/>
      <w:numFmt w:val="decimal"/>
      <w:start w:val="13"/>
    </w:lvl>
  </w:abstractNum>
  <w:abstractNum w:abstractNumId="164">
    <w:nsid w:val="1958BD17"/>
    <w:multiLevelType w:val="hybridMultilevel"/>
    <w:lvl w:ilvl="0">
      <w:lvlJc w:val="left"/>
      <w:lvlText w:val="%1."/>
      <w:numFmt w:val="decimal"/>
      <w:start w:val="14"/>
    </w:lvl>
  </w:abstractNum>
  <w:abstractNum w:abstractNumId="165">
    <w:nsid w:val="4E647FE4"/>
    <w:multiLevelType w:val="hybridMultilevel"/>
    <w:lvl w:ilvl="0">
      <w:lvlJc w:val="left"/>
      <w:lvlText w:val="*"/>
      <w:numFmt w:val="bullet"/>
      <w:start w:val="1"/>
    </w:lvl>
  </w:abstractNum>
  <w:abstractNum w:abstractNumId="166">
    <w:nsid w:val="E0BB885"/>
    <w:multiLevelType w:val="hybridMultilevel"/>
    <w:lvl w:ilvl="0">
      <w:lvlJc w:val="left"/>
      <w:lvlText w:val="(%1)"/>
      <w:numFmt w:val="lowerLetter"/>
      <w:start w:val="1"/>
    </w:lvl>
  </w:abstractNum>
  <w:abstractNum w:abstractNumId="167">
    <w:nsid w:val="565976F1"/>
    <w:multiLevelType w:val="hybridMultilevel"/>
    <w:lvl w:ilvl="0">
      <w:lvlJc w:val="left"/>
      <w:lvlText w:val="(%1)"/>
      <w:numFmt w:val="lowerLetter"/>
      <w:start w:val="5"/>
    </w:lvl>
  </w:abstractNum>
  <w:abstractNum w:abstractNumId="168">
    <w:nsid w:val="64212B8C"/>
    <w:multiLevelType w:val="hybridMultilevel"/>
    <w:lvl w:ilvl="0">
      <w:lvlJc w:val="left"/>
      <w:lvlText w:val="+"/>
      <w:numFmt w:val="bullet"/>
      <w:start w:val="1"/>
    </w:lvl>
  </w:abstractNum>
  <w:abstractNum w:abstractNumId="169">
    <w:nsid w:val="5C17530C"/>
    <w:multiLevelType w:val="hybridMultilevel"/>
    <w:lvl w:ilvl="0">
      <w:lvlJc w:val="left"/>
      <w:lvlText w:val="†"/>
      <w:numFmt w:val="bullet"/>
      <w:start w:val="1"/>
    </w:lvl>
  </w:abstractNum>
  <w:abstractNum w:abstractNumId="170">
    <w:nsid w:val="19A52566"/>
    <w:multiLevelType w:val="hybridMultilevel"/>
    <w:lvl w:ilvl="0">
      <w:lvlJc w:val="left"/>
      <w:lvlText w:val="*"/>
      <w:numFmt w:val="bullet"/>
      <w:start w:val="1"/>
    </w:lvl>
  </w:abstractNum>
  <w:abstractNum w:abstractNumId="171">
    <w:nsid w:val="335A1DF1"/>
    <w:multiLevelType w:val="hybridMultilevel"/>
    <w:lvl w:ilvl="0">
      <w:lvlJc w:val="left"/>
      <w:lvlText w:val="(%1)"/>
      <w:numFmt w:val="decimal"/>
      <w:start w:val="1"/>
    </w:lvl>
  </w:abstractNum>
  <w:abstractNum w:abstractNumId="172">
    <w:nsid w:val="28677B7C"/>
    <w:multiLevelType w:val="hybridMultilevel"/>
    <w:lvl w:ilvl="0">
      <w:lvlJc w:val="left"/>
      <w:lvlText w:val="%1."/>
      <w:numFmt w:val="decimal"/>
      <w:start w:val="1"/>
    </w:lvl>
    <w:lvl w:ilvl="1">
      <w:lvlJc w:val="left"/>
      <w:lvlText w:val="(%2)"/>
      <w:numFmt w:val="lowerLetter"/>
      <w:start w:val="1"/>
    </w:lvl>
  </w:abstractNum>
  <w:abstractNum w:abstractNumId="173">
    <w:nsid w:val="378D97C0"/>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174">
    <w:nsid w:val="1D91467C"/>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75">
    <w:nsid w:val="316032BB"/>
    <w:multiLevelType w:val="hybridMultilevel"/>
    <w:lvl w:ilvl="0">
      <w:lvlJc w:val="left"/>
      <w:lvlText w:val="(%1)"/>
      <w:numFmt w:val="lowerLetter"/>
      <w:start w:val="2"/>
    </w:lvl>
  </w:abstractNum>
  <w:abstractNum w:abstractNumId="176">
    <w:nsid w:val="44344C22"/>
    <w:multiLevelType w:val="hybridMultilevel"/>
    <w:lvl w:ilvl="0">
      <w:lvlJc w:val="left"/>
      <w:lvlText w:val="X"/>
      <w:numFmt w:val="bullet"/>
      <w:start w:val="1"/>
    </w:lvl>
  </w:abstractNum>
  <w:abstractNum w:abstractNumId="177">
    <w:nsid w:val="13CDFCFC"/>
    <w:multiLevelType w:val="hybridMultilevel"/>
    <w:lvl w:ilvl="0">
      <w:lvlJc w:val="left"/>
      <w:lvlText w:val="Y"/>
      <w:numFmt w:val="bullet"/>
      <w:start w:val="1"/>
    </w:lvl>
  </w:abstractNum>
  <w:abstractNum w:abstractNumId="178">
    <w:nsid w:val="471745E4"/>
    <w:multiLevelType w:val="hybridMultilevel"/>
    <w:lvl w:ilvl="0">
      <w:lvlJc w:val="left"/>
      <w:lvlText w:val="A"/>
      <w:numFmt w:val="bullet"/>
      <w:start w:val="1"/>
    </w:lvl>
  </w:abstractNum>
  <w:abstractNum w:abstractNumId="179">
    <w:nsid w:val="1DDBC66"/>
    <w:multiLevelType w:val="hybridMultilevel"/>
    <w:lvl w:ilvl="0">
      <w:lvlJc w:val="left"/>
      <w:lvlText w:val="B"/>
      <w:numFmt w:val="bullet"/>
      <w:start w:val="1"/>
    </w:lvl>
    <w:lvl w:ilvl="1">
      <w:lvlJc w:val="left"/>
      <w:lvlText w:val="-"/>
      <w:numFmt w:val="bullet"/>
      <w:start w:val="1"/>
    </w:lvl>
  </w:abstractNum>
  <w:abstractNum w:abstractNumId="180">
    <w:nsid w:val="30AADFDA"/>
    <w:multiLevelType w:val="hybridMultilevel"/>
    <w:lvl w:ilvl="0">
      <w:lvlJc w:val="left"/>
      <w:lvlText w:val="(%1)"/>
      <w:numFmt w:val="lowerLetter"/>
      <w:start w:val="3"/>
    </w:lvl>
    <w:lvl w:ilvl="1">
      <w:lvlJc w:val="left"/>
      <w:lvlText w:val="-"/>
      <w:numFmt w:val="bullet"/>
      <w:start w:val="1"/>
    </w:lvl>
  </w:abstractNum>
  <w:abstractNum w:abstractNumId="181">
    <w:nsid w:val="30EADA61"/>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82">
    <w:nsid w:val="27179C0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83">
    <w:nsid w:val="5E636063"/>
    <w:multiLevelType w:val="hybridMultilevel"/>
    <w:lvl w:ilvl="0">
      <w:lvlJc w:val="left"/>
      <w:lvlText w:val="(%1)"/>
      <w:numFmt w:val="lowerLetter"/>
      <w:start w:val="4"/>
    </w:lvl>
  </w:abstractNum>
  <w:abstractNum w:abstractNumId="184">
    <w:nsid w:val="215641AF"/>
    <w:multiLevelType w:val="hybridMultilevel"/>
    <w:lvl w:ilvl="0">
      <w:lvlJc w:val="left"/>
      <w:lvlText w:val="(%1)"/>
      <w:numFmt w:val="lowerLetter"/>
      <w:start w:val="5"/>
    </w:lvl>
  </w:abstractNum>
  <w:abstractNum w:abstractNumId="185">
    <w:nsid w:val="53280662"/>
    <w:multiLevelType w:val="hybridMultilevel"/>
    <w:lvl w:ilvl="0">
      <w:lvlJc w:val="left"/>
      <w:lvlText w:val="(%1)"/>
      <w:numFmt w:val="lowerLetter"/>
      <w:start w:val="6"/>
    </w:lvl>
    <w:lvl w:ilvl="1">
      <w:lvlJc w:val="left"/>
      <w:lvlText w:val="-"/>
      <w:numFmt w:val="bullet"/>
      <w:start w:val="1"/>
    </w:lvl>
  </w:abstractNum>
  <w:abstractNum w:abstractNumId="186">
    <w:nsid w:val="46B24DBC"/>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187">
    <w:nsid w:val="75B52783"/>
    <w:multiLevelType w:val="hybridMultilevel"/>
    <w:lvl w:ilvl="0">
      <w:lvlJc w:val="left"/>
      <w:lvlText w:val="(%1)"/>
      <w:numFmt w:val="lowerRoman"/>
      <w:start w:val="1"/>
    </w:lvl>
    <w:lvl w:ilvl="1">
      <w:lvlJc w:val="left"/>
      <w:lvlText w:val="%2"/>
      <w:numFmt w:val="lowerLetter"/>
      <w:start w:val="1"/>
    </w:lvl>
  </w:abstractNum>
  <w:abstractNum w:abstractNumId="188">
    <w:nsid w:val="57CE66B4"/>
    <w:multiLevelType w:val="hybridMultilevel"/>
    <w:lvl w:ilvl="0">
      <w:lvlJc w:val="left"/>
      <w:lvlText w:val="(%1)"/>
      <w:numFmt w:val="lowerRoman"/>
      <w:start w:val="4"/>
    </w:lvl>
    <w:lvl w:ilvl="1">
      <w:lvlJc w:val="left"/>
      <w:lvlText w:val="(%2)"/>
      <w:numFmt w:val="lowerLetter"/>
      <w:start w:val="2"/>
    </w:lvl>
  </w:abstractNum>
  <w:abstractNum w:abstractNumId="189">
    <w:nsid w:val="67A70B69"/>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190">
    <w:nsid w:val="5953172F"/>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191">
    <w:nsid w:val="27EDFE3A"/>
    <w:multiLevelType w:val="hybridMultilevel"/>
    <w:lvl w:ilvl="0">
      <w:lvlJc w:val="left"/>
      <w:lvlText w:val="(%1)"/>
      <w:numFmt w:val="lowerLetter"/>
      <w:start w:val="8"/>
    </w:lvl>
    <w:lvl w:ilvl="1">
      <w:lvlJc w:val="left"/>
      <w:lvlText w:val="-"/>
      <w:numFmt w:val="bullet"/>
      <w:start w:val="1"/>
    </w:lvl>
  </w:abstractNum>
  <w:abstractNum w:abstractNumId="192">
    <w:nsid w:val="52AC7DFF"/>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193">
    <w:nsid w:val="C4C3AF"/>
    <w:multiLevelType w:val="hybridMultilevel"/>
    <w:lvl w:ilvl="0">
      <w:lvlJc w:val="left"/>
      <w:lvlText w:val="(%1)"/>
      <w:numFmt w:val="lowerLetter"/>
      <w:start w:val="4"/>
    </w:lvl>
    <w:lvl w:ilvl="1">
      <w:lvlJc w:val="left"/>
      <w:lvlText w:val="-"/>
      <w:numFmt w:val="bullet"/>
      <w:start w:val="1"/>
    </w:lvl>
  </w:abstractNum>
  <w:abstractNum w:abstractNumId="194">
    <w:nsid w:val="44380727"/>
    <w:multiLevelType w:val="hybridMultilevel"/>
    <w:lvl w:ilvl="0">
      <w:lvlJc w:val="left"/>
      <w:lvlText w:val="(%1)"/>
      <w:numFmt w:val="lowerLetter"/>
      <w:start w:val="7"/>
    </w:lvl>
  </w:abstractNum>
  <w:abstractNum w:abstractNumId="195">
    <w:nsid w:val="6C053B16"/>
    <w:multiLevelType w:val="hybridMultilevel"/>
    <w:lvl w:ilvl="0">
      <w:lvlJc w:val="left"/>
      <w:lvlText w:val="(%1)"/>
      <w:numFmt w:val="decimal"/>
      <w:start w:val="1"/>
    </w:lvl>
    <w:lvl w:ilvl="1">
      <w:lvlJc w:val="left"/>
      <w:lvlText w:val="☐"/>
      <w:numFmt w:val="bullet"/>
      <w:start w:val="1"/>
    </w:lvl>
  </w:abstractNum>
  <w:abstractNum w:abstractNumId="196">
    <w:nsid w:val="4F294393"/>
    <w:multiLevelType w:val="hybridMultilevel"/>
    <w:lvl w:ilvl="0">
      <w:lvlJc w:val="left"/>
      <w:lvlText w:val="(%1)"/>
      <w:numFmt w:val="decimal"/>
      <w:start w:val="4"/>
    </w:lvl>
    <w:lvl w:ilvl="1">
      <w:lvlJc w:val="left"/>
      <w:lvlText w:val="☐"/>
      <w:numFmt w:val="bullet"/>
      <w:start w:val="1"/>
    </w:lvl>
  </w:abstractNum>
  <w:abstractNum w:abstractNumId="197">
    <w:nsid w:val="5243BFAC"/>
    <w:multiLevelType w:val="hybridMultilevel"/>
    <w:lvl w:ilvl="0">
      <w:lvlJc w:val="left"/>
      <w:lvlText w:val="(%1)"/>
      <w:numFmt w:val="decimal"/>
      <w:start w:val="5"/>
    </w:lvl>
    <w:lvl w:ilvl="1">
      <w:lvlJc w:val="left"/>
      <w:lvlText w:val="☐"/>
      <w:numFmt w:val="bullet"/>
      <w:start w:val="1"/>
    </w:lvl>
  </w:abstractNum>
  <w:abstractNum w:abstractNumId="198">
    <w:nsid w:val="425EB207"/>
    <w:multiLevelType w:val="hybridMultilevel"/>
    <w:lvl w:ilvl="0">
      <w:lvlJc w:val="left"/>
      <w:lvlText w:val="☐"/>
      <w:numFmt w:val="bullet"/>
      <w:start w:val="1"/>
    </w:lvl>
  </w:abstractNum>
  <w:abstractNum w:abstractNumId="199">
    <w:nsid w:val="334A6F1F"/>
    <w:multiLevelType w:val="hybridMultilevel"/>
    <w:lvl w:ilvl="0">
      <w:lvlJc w:val="left"/>
      <w:lvlText w:val="(%1)"/>
      <w:numFmt w:val="decimal"/>
      <w:start w:val="6"/>
    </w:lvl>
  </w:abstractNum>
  <w:abstractNum w:abstractNumId="200">
    <w:nsid w:val="2E5B12B8"/>
    <w:multiLevelType w:val="hybridMultilevel"/>
    <w:lvl w:ilvl="0">
      <w:lvlJc w:val="left"/>
      <w:lvlText w:val="%1."/>
      <w:numFmt w:val="decimal"/>
      <w:start w:val="1"/>
    </w:lvl>
  </w:abstractNum>
  <w:abstractNum w:abstractNumId="201">
    <w:nsid w:val="5C03D76D"/>
    <w:multiLevelType w:val="hybridMultilevel"/>
    <w:lvl w:ilvl="0">
      <w:lvlJc w:val="left"/>
      <w:lvlText w:val="%1."/>
      <w:numFmt w:val="decimal"/>
      <w:start w:val="6"/>
    </w:lvl>
  </w:abstractNum>
  <w:abstractNum w:abstractNumId="202">
    <w:nsid w:val="66A48D11"/>
    <w:multiLevelType w:val="hybridMultilevel"/>
    <w:lvl w:ilvl="0">
      <w:lvlJc w:val="left"/>
      <w:lvlText w:val="%1."/>
      <w:numFmt w:val="decimal"/>
      <w:start w:val="13"/>
    </w:lvl>
  </w:abstractNum>
  <w:abstractNum w:abstractNumId="203">
    <w:nsid w:val="56C28E34"/>
    <w:multiLevelType w:val="hybridMultilevel"/>
    <w:lvl w:ilvl="0">
      <w:lvlJc w:val="left"/>
      <w:lvlText w:val="(%1)"/>
      <w:numFmt w:val="decimal"/>
      <w:start w:val="1"/>
    </w:lvl>
  </w:abstractNum>
  <w:abstractNum w:abstractNumId="204">
    <w:nsid w:val="13916F2D"/>
    <w:multiLevelType w:val="hybridMultilevel"/>
    <w:lvl w:ilvl="0">
      <w:lvlJc w:val="left"/>
      <w:lvlText w:val="(%1)"/>
      <w:numFmt w:val="decimal"/>
      <w:start w:val="2"/>
    </w:lvl>
    <w:lvl w:ilvl="1">
      <w:lvlJc w:val="left"/>
      <w:lvlText w:val="-"/>
      <w:numFmt w:val="bullet"/>
      <w:start w:val="1"/>
    </w:lvl>
  </w:abstractNum>
  <w:abstractNum w:abstractNumId="205">
    <w:nsid w:val="435D38D"/>
    <w:multiLevelType w:val="hybridMultilevel"/>
    <w:lvl w:ilvl="0">
      <w:lvlJc w:val="left"/>
      <w:lvlText w:val="%1."/>
      <w:numFmt w:val="decimal"/>
      <w:start w:val="1"/>
    </w:lvl>
    <w:lvl w:ilvl="1">
      <w:lvlJc w:val="left"/>
      <w:lvlText w:val="(%2)"/>
      <w:numFmt w:val="lowerLetter"/>
      <w:start w:val="1"/>
    </w:lvl>
  </w:abstractNum>
  <w:abstractNum w:abstractNumId="206">
    <w:nsid w:val="822C0E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207">
    <w:nsid w:val="57C5BB4F"/>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208">
    <w:nsid w:val="1803D089"/>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209">
    <w:nsid w:val="4F3A06D4"/>
    <w:multiLevelType w:val="hybridMultilevel"/>
    <w:lvl w:ilvl="0">
      <w:lvlJc w:val="left"/>
      <w:lvlText w:val="X"/>
      <w:numFmt w:val="bullet"/>
      <w:start w:val="1"/>
    </w:lvl>
  </w:abstractNum>
  <w:abstractNum w:abstractNumId="210">
    <w:nsid w:val="59A377B6"/>
    <w:multiLevelType w:val="hybridMultilevel"/>
    <w:lvl w:ilvl="0">
      <w:lvlJc w:val="left"/>
      <w:lvlText w:val="Y"/>
      <w:numFmt w:val="bullet"/>
      <w:start w:val="1"/>
    </w:lvl>
  </w:abstractNum>
  <w:abstractNum w:abstractNumId="211">
    <w:nsid w:val="48AEB063"/>
    <w:multiLevelType w:val="hybridMultilevel"/>
    <w:lvl w:ilvl="0">
      <w:lvlJc w:val="left"/>
      <w:lvlText w:val="A"/>
      <w:numFmt w:val="bullet"/>
      <w:start w:val="1"/>
    </w:lvl>
  </w:abstractNum>
  <w:abstractNum w:abstractNumId="212">
    <w:nsid w:val="24E135"/>
    <w:multiLevelType w:val="hybridMultilevel"/>
    <w:lvl w:ilvl="0">
      <w:lvlJc w:val="left"/>
      <w:lvlText w:val="B"/>
      <w:numFmt w:val="bullet"/>
      <w:start w:val="1"/>
    </w:lvl>
    <w:lvl w:ilvl="1">
      <w:lvlJc w:val="left"/>
      <w:lvlText w:val="-"/>
      <w:numFmt w:val="bullet"/>
      <w:start w:val="1"/>
    </w:lvl>
  </w:abstractNum>
  <w:abstractNum w:abstractNumId="213">
    <w:nsid w:val="BB13C1"/>
    <w:multiLevelType w:val="hybridMultilevel"/>
    <w:lvl w:ilvl="0">
      <w:lvlJc w:val="left"/>
      <w:lvlText w:val="(%1)"/>
      <w:numFmt w:val="lowerLetter"/>
      <w:start w:val="3"/>
    </w:lvl>
    <w:lvl w:ilvl="1">
      <w:lvlJc w:val="left"/>
      <w:lvlText w:val="-"/>
      <w:numFmt w:val="bullet"/>
      <w:start w:val="1"/>
    </w:lvl>
  </w:abstractNum>
  <w:abstractNum w:abstractNumId="214">
    <w:nsid w:val="271210C7"/>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215">
    <w:nsid w:val="217B22E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16">
    <w:nsid w:val="53E31A24"/>
    <w:multiLevelType w:val="hybridMultilevel"/>
    <w:lvl w:ilvl="0">
      <w:lvlJc w:val="left"/>
      <w:lvlText w:val="(%1)"/>
      <w:numFmt w:val="lowerLetter"/>
      <w:start w:val="4"/>
    </w:lvl>
  </w:abstractNum>
  <w:abstractNum w:abstractNumId="217">
    <w:nsid w:val="6DC45E83"/>
    <w:multiLevelType w:val="hybridMultilevel"/>
    <w:lvl w:ilvl="0">
      <w:lvlJc w:val="left"/>
      <w:lvlText w:val="(%1)"/>
      <w:numFmt w:val="lowerLetter"/>
      <w:start w:val="5"/>
    </w:lvl>
  </w:abstractNum>
  <w:abstractNum w:abstractNumId="218">
    <w:nsid w:val="17304A67"/>
    <w:multiLevelType w:val="hybridMultilevel"/>
    <w:lvl w:ilvl="0">
      <w:lvlJc w:val="left"/>
      <w:lvlText w:val="(%1)"/>
      <w:numFmt w:val="lowerLetter"/>
      <w:start w:val="6"/>
    </w:lvl>
    <w:lvl w:ilvl="1">
      <w:lvlJc w:val="left"/>
      <w:lvlText w:val="-"/>
      <w:numFmt w:val="bullet"/>
      <w:start w:val="1"/>
    </w:lvl>
  </w:abstractNum>
  <w:abstractNum w:abstractNumId="219">
    <w:nsid w:val="2BB180D8"/>
    <w:multiLevelType w:val="hybridMultilevel"/>
    <w:lvl w:ilvl="0">
      <w:lvlJc w:val="left"/>
      <w:lvlText w:val="(%1)"/>
      <w:numFmt w:val="lowerLetter"/>
      <w:start w:val="9"/>
    </w:lvl>
    <w:lvl w:ilvl="1">
      <w:lvlJc w:val="left"/>
      <w:lvlText w:val="%2."/>
      <w:numFmt w:val="decimal"/>
      <w:start w:val="6"/>
    </w:lvl>
    <w:lvl w:ilvl="2">
      <w:lvlJc w:val="left"/>
      <w:lvlText w:val="(%3)"/>
      <w:numFmt w:val="lowerLetter"/>
      <w:start w:val="1"/>
    </w:lvl>
    <w:lvl w:ilvl="3">
      <w:lvlJc w:val="left"/>
      <w:lvlText w:val="-"/>
      <w:numFmt w:val="bullet"/>
      <w:start w:val="1"/>
    </w:lvl>
  </w:abstractNum>
  <w:abstractNum w:abstractNumId="220">
    <w:nsid w:val="556B69ED"/>
    <w:multiLevelType w:val="hybridMultilevel"/>
    <w:lvl w:ilvl="0">
      <w:lvlJc w:val="left"/>
      <w:lvlText w:val="%1"/>
      <w:numFmt w:val="decimal"/>
      <w:start w:val="1"/>
    </w:lvl>
    <w:lvl w:ilvl="1">
      <w:lvlJc w:val="left"/>
      <w:lvlText w:val="(%2)"/>
      <w:numFmt w:val="lowerLetter"/>
      <w:start w:val="4"/>
    </w:lvl>
  </w:abstractNum>
  <w:abstractNum w:abstractNumId="221">
    <w:nsid w:val="70836196"/>
    <w:multiLevelType w:val="hybridMultilevel"/>
    <w:lvl w:ilvl="0">
      <w:lvlJc w:val="left"/>
      <w:lvlText w:val="%1."/>
      <w:numFmt w:val="decimal"/>
      <w:start w:val="7"/>
    </w:lvl>
    <w:lvl w:ilvl="1">
      <w:lvlJc w:val="left"/>
      <w:lvlText w:val="%2"/>
      <w:numFmt w:val="lowerLetter"/>
      <w:start w:val="1"/>
    </w:lvl>
  </w:abstractNum>
  <w:abstractNum w:abstractNumId="222">
    <w:nsid w:val="539F7F12"/>
    <w:multiLevelType w:val="hybridMultilevel"/>
    <w:lvl w:ilvl="0">
      <w:lvlJc w:val="left"/>
      <w:lvlText w:val="(%1)"/>
      <w:numFmt w:val="lowerRoman"/>
      <w:start w:val="1"/>
    </w:lvl>
    <w:lvl w:ilvl="1">
      <w:lvlJc w:val="left"/>
      <w:lvlText w:val="%2"/>
      <w:numFmt w:val="lowerLetter"/>
      <w:start w:val="1"/>
    </w:lvl>
  </w:abstractNum>
  <w:abstractNum w:abstractNumId="223">
    <w:nsid w:val="2817E7EC"/>
    <w:multiLevelType w:val="hybridMultilevel"/>
    <w:lvl w:ilvl="0">
      <w:lvlJc w:val="left"/>
      <w:lvlText w:val="(%1)"/>
      <w:numFmt w:val="lowerRoman"/>
      <w:start w:val="4"/>
    </w:lvl>
    <w:lvl w:ilvl="1">
      <w:lvlJc w:val="left"/>
      <w:lvlText w:val="(%2)"/>
      <w:numFmt w:val="lowerLetter"/>
      <w:start w:val="2"/>
    </w:lvl>
  </w:abstractNum>
  <w:abstractNum w:abstractNumId="224">
    <w:nsid w:val="71482545"/>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225">
    <w:nsid w:val="17D78639"/>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226">
    <w:nsid w:val="141D2302"/>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227">
    <w:nsid w:val="407168D8"/>
    <w:multiLevelType w:val="hybridMultilevel"/>
    <w:lvl w:ilvl="0">
      <w:lvlJc w:val="left"/>
      <w:lvlText w:val="(%1)"/>
      <w:numFmt w:val="lowerLetter"/>
      <w:start w:val="6"/>
    </w:lvl>
    <w:lvl w:ilvl="1">
      <w:lvlJc w:val="left"/>
      <w:lvlText w:val="-"/>
      <w:numFmt w:val="bullet"/>
      <w:start w:val="1"/>
    </w:lvl>
  </w:abstractNum>
  <w:abstractNum w:abstractNumId="228">
    <w:nsid w:val="6A1B45E5"/>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229">
    <w:nsid w:val="567BD50A"/>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230">
    <w:nsid w:val="73BBD7F8"/>
    <w:multiLevelType w:val="hybridMultilevel"/>
    <w:lvl w:ilvl="0">
      <w:lvlJc w:val="left"/>
      <w:lvlText w:val="(%1)"/>
      <w:numFmt w:val="lowerLetter"/>
      <w:start w:val="4"/>
    </w:lvl>
    <w:lvl w:ilvl="1">
      <w:lvlJc w:val="left"/>
      <w:lvlText w:val="-"/>
      <w:numFmt w:val="bullet"/>
      <w:start w:val="1"/>
    </w:lvl>
  </w:abstractNum>
  <w:abstractNum w:abstractNumId="231">
    <w:nsid w:val="1876589D"/>
    <w:multiLevelType w:val="hybridMultilevel"/>
    <w:lvl w:ilvl="0">
      <w:lvlJc w:val="left"/>
      <w:lvlText w:val="(%1)"/>
      <w:numFmt w:val="lowerLetter"/>
      <w:start w:val="11"/>
    </w:lvl>
  </w:abstractNum>
  <w:abstractNum w:abstractNumId="232">
    <w:nsid w:val="327FAC77"/>
    <w:multiLevelType w:val="hybridMultilevel"/>
    <w:lvl w:ilvl="0">
      <w:lvlJc w:val="left"/>
      <w:lvlText w:val="(%1)"/>
      <w:numFmt w:val="decimal"/>
      <w:start w:val="1"/>
    </w:lvl>
    <w:lvl w:ilvl="1">
      <w:lvlJc w:val="left"/>
      <w:lvlText w:val="☐"/>
      <w:numFmt w:val="bullet"/>
      <w:start w:val="1"/>
    </w:lvl>
  </w:abstractNum>
  <w:abstractNum w:abstractNumId="233">
    <w:nsid w:val="5A606509"/>
    <w:multiLevelType w:val="hybridMultilevel"/>
    <w:lvl w:ilvl="0">
      <w:lvlJc w:val="left"/>
      <w:lvlText w:val="(%1)"/>
      <w:numFmt w:val="decimal"/>
      <w:start w:val="4"/>
    </w:lvl>
    <w:lvl w:ilvl="1">
      <w:lvlJc w:val="left"/>
      <w:lvlText w:val="☐"/>
      <w:numFmt w:val="bullet"/>
      <w:start w:val="1"/>
    </w:lvl>
  </w:abstractNum>
  <w:abstractNum w:abstractNumId="234">
    <w:nsid w:val="6F38E6D1"/>
    <w:multiLevelType w:val="hybridMultilevel"/>
    <w:lvl w:ilvl="0">
      <w:lvlJc w:val="left"/>
      <w:lvlText w:val="(%1)"/>
      <w:numFmt w:val="decimal"/>
      <w:start w:val="5"/>
    </w:lvl>
    <w:lvl w:ilvl="1">
      <w:lvlJc w:val="left"/>
      <w:lvlText w:val="☐"/>
      <w:numFmt w:val="bullet"/>
      <w:start w:val="1"/>
    </w:lvl>
  </w:abstractNum>
  <w:abstractNum w:abstractNumId="235">
    <w:nsid w:val="46111BA5"/>
    <w:multiLevelType w:val="hybridMultilevel"/>
    <w:lvl w:ilvl="0">
      <w:lvlJc w:val="left"/>
      <w:lvlText w:val="(%1)"/>
      <w:numFmt w:val="decimal"/>
      <w:start w:val="6"/>
    </w:lvl>
  </w:abstractNum>
  <w:abstractNum w:abstractNumId="236">
    <w:nsid w:val="5E963896"/>
    <w:multiLevelType w:val="hybridMultilevel"/>
    <w:lvl w:ilvl="0">
      <w:lvlJc w:val="left"/>
      <w:lvlText w:val="%1."/>
      <w:numFmt w:val="decimal"/>
      <w:start w:val="1"/>
    </w:lvl>
  </w:abstractNum>
  <w:abstractNum w:abstractNumId="237">
    <w:nsid w:val="775BA7C1"/>
    <w:multiLevelType w:val="hybridMultilevel"/>
    <w:lvl w:ilvl="0">
      <w:lvlJc w:val="left"/>
      <w:lvlText w:val="%1."/>
      <w:numFmt w:val="decimal"/>
      <w:start w:val="6"/>
    </w:lvl>
  </w:abstractNum>
  <w:abstractNum w:abstractNumId="238">
    <w:nsid w:val="1DD6D6F4"/>
    <w:multiLevelType w:val="hybridMultilevel"/>
    <w:lvl w:ilvl="0">
      <w:lvlJc w:val="left"/>
      <w:lvlText w:val="%1."/>
      <w:numFmt w:val="decimal"/>
      <w:start w:val="12"/>
    </w:lvl>
  </w:abstractNum>
  <w:abstractNum w:abstractNumId="239">
    <w:nsid w:val="769A091F"/>
    <w:multiLevelType w:val="hybridMultilevel"/>
    <w:lvl w:ilvl="0">
      <w:lvlJc w:val="left"/>
      <w:lvlText w:val="(%1)"/>
      <w:numFmt w:val="decimal"/>
      <w:start w:val="1"/>
    </w:lvl>
  </w:abstractNum>
  <w:abstractNum w:abstractNumId="240">
    <w:nsid w:val="4695AE95"/>
    <w:multiLevelType w:val="hybridMultilevel"/>
    <w:lvl w:ilvl="0">
      <w:lvlJc w:val="left"/>
      <w:lvlText w:val="(%1)"/>
      <w:numFmt w:val="decimal"/>
      <w:start w:val="2"/>
    </w:lvl>
    <w:lvl w:ilvl="1">
      <w:lvlJc w:val="left"/>
      <w:lvlText w:val="-"/>
      <w:numFmt w:val="bullet"/>
      <w:start w:val="1"/>
    </w:lvl>
  </w:abstractNum>
  <w:abstractNum w:abstractNumId="241">
    <w:nsid w:val="777A4EAA"/>
    <w:multiLevelType w:val="hybridMultilevel"/>
    <w:lvl w:ilvl="0">
      <w:lvlJc w:val="left"/>
      <w:lvlText w:val="%1."/>
      <w:numFmt w:val="upperLetter"/>
      <w:start w:val="1"/>
    </w:lvl>
  </w:abstractNum>
  <w:abstractNum w:abstractNumId="242">
    <w:nsid w:val="3F48B98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3">
    <w:nsid w:val="46BA8FCA"/>
    <w:multiLevelType w:val="hybridMultilevel"/>
    <w:lvl w:ilvl="0">
      <w:lvlJc w:val="left"/>
      <w:lvlText w:val="(%1)"/>
      <w:numFmt w:val="lowerRoman"/>
      <w:start w:val="3"/>
    </w:lvl>
  </w:abstractNum>
  <w:abstractNum w:abstractNumId="244">
    <w:nsid w:val="7835626C"/>
    <w:multiLevelType w:val="hybridMultilevel"/>
    <w:lvl w:ilvl="0">
      <w:lvlJc w:val="left"/>
      <w:lvlText w:val="%1"/>
      <w:numFmt w:val="lowerLetter"/>
      <w:start w:val="1"/>
    </w:lvl>
    <w:lvl w:ilvl="1">
      <w:lvlJc w:val="left"/>
      <w:lvlText w:val="(%2)"/>
      <w:numFmt w:val="decimal"/>
      <w:start w:val="1"/>
    </w:lvl>
  </w:abstractNum>
  <w:abstractNum w:abstractNumId="245">
    <w:nsid w:val="665ACA49"/>
    <w:multiLevelType w:val="hybridMultilevel"/>
    <w:lvl w:ilvl="0">
      <w:lvlJc w:val="left"/>
      <w:lvlText w:val="(%1)"/>
      <w:numFmt w:val="lowerLetter"/>
      <w:start w:val="2"/>
    </w:lvl>
    <w:lvl w:ilvl="1">
      <w:lvlJc w:val="left"/>
      <w:lvlText w:val="%2"/>
      <w:numFmt w:val="decimal"/>
      <w:start w:val="1"/>
    </w:lvl>
  </w:abstractNum>
  <w:abstractNum w:abstractNumId="246">
    <w:nsid w:val="6835B2AE"/>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7"/>
    </w:lvl>
  </w:abstractNum>
  <w:abstractNum w:abstractNumId="247">
    <w:nsid w:val="4C187C90"/>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48">
    <w:nsid w:val="541F28CD"/>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9"/>
    </w:lvl>
  </w:abstractNum>
  <w:abstractNum w:abstractNumId="249">
    <w:nsid w:val="7F65FD1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50">
    <w:nsid w:val="77C9FD68"/>
    <w:multiLevelType w:val="hybridMultilevel"/>
    <w:lvl w:ilvl="0">
      <w:lvlJc w:val="left"/>
      <w:lvlText w:val="%1"/>
      <w:numFmt w:val="decimal"/>
      <w:start w:val="1"/>
    </w:lvl>
    <w:lvl w:ilvl="1">
      <w:lvlJc w:val="left"/>
      <w:lvlText w:val="(%2)"/>
      <w:numFmt w:val="lowerLetter"/>
      <w:start w:val="1"/>
    </w:lvl>
  </w:abstractNum>
  <w:abstractNum w:abstractNumId="251">
    <w:nsid w:val="298A92BA"/>
    <w:multiLevelType w:val="hybridMultilevel"/>
    <w:lvl w:ilvl="0">
      <w:lvlJc w:val="left"/>
      <w:lvlText w:val="%1."/>
      <w:numFmt w:val="decimal"/>
      <w:start w:val="8"/>
    </w:lvl>
    <w:lvl w:ilvl="1">
      <w:lvlJc w:val="left"/>
      <w:lvlText w:val="(%2)"/>
      <w:numFmt w:val="lowerLetter"/>
      <w:start w:val="1"/>
    </w:lvl>
  </w:abstractNum>
  <w:abstractNum w:abstractNumId="252">
    <w:nsid w:val="6FE95EAC"/>
    <w:multiLevelType w:val="hybridMultilevel"/>
    <w:lvl w:ilvl="0">
      <w:lvlJc w:val="left"/>
      <w:lvlText w:val="%1"/>
      <w:numFmt w:val="decimal"/>
      <w:start w:val="1"/>
    </w:lvl>
    <w:lvl w:ilvl="1">
      <w:lvlJc w:val="left"/>
      <w:lvlText w:val="(%2)"/>
      <w:numFmt w:val="lowerLetter"/>
      <w:start w:val="2"/>
    </w:lvl>
  </w:abstractNum>
  <w:abstractNum w:abstractNumId="253">
    <w:nsid w:val="4B697C7A"/>
    <w:multiLevelType w:val="hybridMultilevel"/>
    <w:lvl w:ilvl="0">
      <w:lvlJc w:val="left"/>
      <w:lvlText w:val="%1."/>
      <w:numFmt w:val="decimal"/>
      <w:start w:val="10"/>
    </w:lvl>
    <w:lvl w:ilvl="1">
      <w:lvlJc w:val="left"/>
      <w:lvlText w:val="(%2)"/>
      <w:numFmt w:val="lowerLetter"/>
      <w:start w:val="1"/>
    </w:lvl>
  </w:abstractNum>
  <w:abstractNum w:abstractNumId="254">
    <w:nsid w:val="51A27AA6"/>
    <w:multiLevelType w:val="hybridMultilevel"/>
    <w:lvl w:ilvl="0">
      <w:lvlJc w:val="left"/>
      <w:lvlText w:val="(%1)"/>
      <w:numFmt w:val="upperLetter"/>
      <w:start w:val="3"/>
    </w:lvl>
    <w:lvl w:ilvl="1">
      <w:lvlJc w:val="left"/>
      <w:lvlText w:val="%2."/>
      <w:numFmt w:val="decimal"/>
      <w:start w:val="10"/>
    </w:lvl>
    <w:lvl w:ilvl="2">
      <w:lvlJc w:val="left"/>
      <w:lvlText w:val="(%3)"/>
      <w:numFmt w:val="lowerLetter"/>
      <w:start w:val="3"/>
    </w:lvl>
  </w:abstractNum>
  <w:abstractNum w:abstractNumId="255">
    <w:nsid w:val="613183F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56">
    <w:nsid w:val="634102B4"/>
    <w:multiLevelType w:val="hybridMultilevel"/>
    <w:lvl w:ilvl="0">
      <w:lvlJc w:val="left"/>
      <w:lvlText w:val="%1"/>
      <w:numFmt w:val="decimal"/>
      <w:start w:val="1"/>
    </w:lvl>
    <w:lvl w:ilvl="1">
      <w:lvlJc w:val="left"/>
      <w:lvlText w:val="(%2)"/>
      <w:numFmt w:val="lowerLetter"/>
      <w:start w:val="2"/>
    </w:lvl>
  </w:abstractNum>
  <w:abstractNum w:abstractNumId="257">
    <w:nsid w:val="65BF9DA8"/>
    <w:multiLevelType w:val="hybridMultilevel"/>
    <w:lvl w:ilvl="0">
      <w:lvlJc w:val="left"/>
      <w:lvlText w:val="%1."/>
      <w:numFmt w:val="decimal"/>
      <w:start w:val="12"/>
    </w:lvl>
    <w:lvl w:ilvl="1">
      <w:lvlJc w:val="left"/>
      <w:lvlText w:val="(%2)"/>
      <w:numFmt w:val="lowerLetter"/>
      <w:start w:val="1"/>
    </w:lvl>
  </w:abstractNum>
  <w:abstractNum w:abstractNumId="258">
    <w:nsid w:val="21A2ECCA"/>
    <w:multiLevelType w:val="hybridMultilevel"/>
    <w:lvl w:ilvl="0">
      <w:lvlJc w:val="left"/>
      <w:lvlText w:val="%1"/>
      <w:numFmt w:val="decimal"/>
      <w:start w:val="1"/>
    </w:lvl>
    <w:lvl w:ilvl="1">
      <w:lvlJc w:val="left"/>
      <w:lvlText w:val="(%2)"/>
      <w:numFmt w:val="lowerLetter"/>
      <w:start w:val="3"/>
    </w:lvl>
  </w:abstractNum>
  <w:abstractNum w:abstractNumId="259">
    <w:nsid w:val="4D5C4899"/>
    <w:multiLevelType w:val="hybridMultilevel"/>
    <w:lvl w:ilvl="0">
      <w:lvlJc w:val="left"/>
      <w:lvlText w:val="%1."/>
      <w:numFmt w:val="decimal"/>
      <w:start w:val="13"/>
    </w:lvl>
    <w:lvl w:ilvl="1">
      <w:lvlJc w:val="left"/>
      <w:lvlText w:val="%2"/>
      <w:numFmt w:val="lowerLetter"/>
      <w:start w:val="1"/>
    </w:lvl>
  </w:abstractNum>
  <w:abstractNum w:abstractNumId="260">
    <w:nsid w:val="3C3B72B2"/>
    <w:multiLevelType w:val="hybridMultilevel"/>
    <w:lvl w:ilvl="0">
      <w:lvlJc w:val="left"/>
      <w:lvlText w:val="%1."/>
      <w:numFmt w:val="decimal"/>
      <w:start w:val="15"/>
    </w:lvl>
  </w:abstractNum>
  <w:abstractNum w:abstractNumId="261">
    <w:nsid w:val="155EC4C2"/>
    <w:multiLevelType w:val="hybridMultilevel"/>
    <w:lvl w:ilvl="0">
      <w:lvlJc w:val="left"/>
      <w:lvlText w:val="%1."/>
      <w:numFmt w:val="decimal"/>
      <w:start w:val="20"/>
    </w:lvl>
  </w:abstractNum>
  <w:abstractNum w:abstractNumId="262">
    <w:nsid w:val="65D2A137"/>
    <w:multiLevelType w:val="hybridMultilevel"/>
    <w:lvl w:ilvl="0">
      <w:lvlJc w:val="left"/>
      <w:lvlText w:val="%1."/>
      <w:numFmt w:val="decimal"/>
      <w:start w:val="26"/>
    </w:lvl>
    <w:lvl w:ilvl="1">
      <w:lvlJc w:val="left"/>
      <w:lvlText w:val="(%2)"/>
      <w:numFmt w:val="lowerLetter"/>
      <w:start w:val="1"/>
    </w:lvl>
  </w:abstractNum>
  <w:abstractNum w:abstractNumId="263">
    <w:nsid w:val="6EBB1F2A"/>
    <w:multiLevelType w:val="hybridMultilevel"/>
    <w:lvl w:ilvl="0">
      <w:lvlJc w:val="left"/>
      <w:lvlText w:val="(%1)"/>
      <w:numFmt w:val="lowerRoman"/>
      <w:start w:val="1"/>
    </w:lvl>
    <w:lvl w:ilvl="1">
      <w:lvlJc w:val="left"/>
      <w:lvlText w:val="%2."/>
      <w:numFmt w:val="decimal"/>
      <w:start w:val="27"/>
    </w:lvl>
  </w:abstractNum>
  <w:abstractNum w:abstractNumId="264">
    <w:nsid w:val="6FBF29CB"/>
    <w:multiLevelType w:val="hybridMultilevel"/>
    <w:lvl w:ilvl="0">
      <w:lvlJc w:val="left"/>
      <w:lvlText w:val="(%1)"/>
      <w:numFmt w:val="lowerRoman"/>
      <w:start w:val="4"/>
    </w:lvl>
    <w:lvl w:ilvl="1">
      <w:lvlJc w:val="left"/>
      <w:lvlText w:val="%2."/>
      <w:numFmt w:val="decimal"/>
      <w:start w:val="28"/>
    </w:lvl>
  </w:abstractNum>
  <w:abstractNum w:abstractNumId="265">
    <w:nsid w:val="550B8808"/>
    <w:multiLevelType w:val="hybridMultilevel"/>
    <w:lvl w:ilvl="0">
      <w:lvlJc w:val="left"/>
      <w:lvlText w:val="(%1)"/>
      <w:numFmt w:val="lowerLetter"/>
      <w:start w:val="1"/>
    </w:lvl>
  </w:abstractNum>
  <w:abstractNum w:abstractNumId="266">
    <w:nsid w:val="34CC3ACF"/>
    <w:multiLevelType w:val="hybridMultilevel"/>
    <w:lvl w:ilvl="0">
      <w:lvlJc w:val="left"/>
      <w:lvlText w:val="(%1)"/>
      <w:numFmt w:val="lowerRoman"/>
      <w:start w:val="1"/>
    </w:lvl>
  </w:abstractNum>
  <w:abstractNum w:abstractNumId="267">
    <w:nsid w:val="4E556261"/>
    <w:multiLevelType w:val="hybridMultilevel"/>
    <w:lvl w:ilvl="0">
      <w:lvlJc w:val="left"/>
      <w:lvlText w:val="%1."/>
      <w:numFmt w:val="upperLetter"/>
      <w:start w:val="1"/>
    </w:lvl>
  </w:abstractNum>
  <w:abstractNum w:abstractNumId="268">
    <w:nsid w:val="4C672FC9"/>
    <w:multiLevelType w:val="hybridMultilevel"/>
    <w:lvl w:ilvl="0">
      <w:lvlJc w:val="left"/>
      <w:lvlText w:val="%1."/>
      <w:numFmt w:val="decimal"/>
      <w:start w:val="1"/>
    </w:lvl>
  </w:abstractNum>
  <w:abstractNum w:abstractNumId="269">
    <w:nsid w:val="52A311C3"/>
    <w:multiLevelType w:val="hybridMultilevel"/>
    <w:lvl w:ilvl="0">
      <w:lvlJc w:val="left"/>
      <w:lvlText w:val="%1."/>
      <w:numFmt w:val="decimal"/>
      <w:start w:val="3"/>
    </w:lvl>
  </w:abstractNum>
  <w:abstractNum w:abstractNumId="270">
    <w:nsid w:val="44EF6B80"/>
    <w:multiLevelType w:val="hybridMultilevel"/>
    <w:lvl w:ilvl="0">
      <w:lvlJc w:val="left"/>
      <w:lvlText w:val="%1."/>
      <w:numFmt w:val="decimal"/>
      <w:start w:val="5"/>
    </w:lvl>
  </w:abstractNum>
  <w:abstractNum w:abstractNumId="271">
    <w:nsid w:val="12FCDE5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jpe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jpe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jpe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2020-08-26T16:29:26Z</dcterms:created>
  <dcterms:modified xsi:type="dcterms:W3CDTF">2020-08-26T16:29:26Z</dcterms:modified>
</cp:coreProperties>
</file>