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atha_2024_s-3.htm"/>
      <w:bookmarkStart w:id="1" w:name="ksatha_2024_s3"/>
      <w:bookmarkEnd w:id="0"/>
      <w:bookmarkEnd w:id="1"/>
      <w:r>
        <w:rPr>
          <w:rFonts w:ascii="Times New Roman" w:hAnsi="Times New Roman"/>
          <w:b/>
          <w:color w:val="000000"/>
          <w:sz w:val="18"/>
        </w:rPr>
        <w:t>As filed with the Securities and Exchange Commission on October 18, 2024</w:t>
      </w:r>
    </w:p>
    <w:p>
      <w:pPr>
        <w:pStyle w:val="TextBody"/>
        <w:bidi w:val="0"/>
        <w:jc w:val="right"/>
        <w:rPr>
          <w:rFonts w:ascii="Times New Roman" w:hAnsi="Times New Roman"/>
          <w:b/>
          <w:color w:val="000000"/>
          <w:sz w:val="18"/>
        </w:rPr>
      </w:pPr>
      <w:r>
        <w:rPr>
          <w:rFonts w:ascii="Times New Roman" w:hAnsi="Times New Roman"/>
          <w:b/>
          <w:color w:val="000000"/>
          <w:sz w:val="18"/>
        </w:rPr>
        <w:t xml:space="preserve">Registration No. 333- </w:t>
      </w:r>
    </w:p>
    <w:p>
      <w:pPr>
        <w:pStyle w:val="TextBody"/>
        <w:pBdr>
          <w:top w:val="double" w:sz="2"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w:t>
        <w:noBreakHyphen/>
        <w:t>3</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jc w:val="center"/>
        <w:rPr>
          <w:rFonts w:ascii="Times New Roman" w:hAnsi="Times New Roman"/>
          <w:b/>
          <w:caps/>
          <w:color w:val="000000"/>
          <w:sz w:val="20"/>
        </w:rPr>
      </w:pPr>
      <w:r>
        <w:rPr>
          <w:rFonts w:ascii="Times New Roman" w:hAnsi="Times New Roman"/>
          <w:b/>
          <w:caps/>
          <w:color w:val="000000"/>
          <w:sz w:val="20"/>
        </w:rPr>
        <w:t>Under</w:t>
      </w:r>
    </w:p>
    <w:p>
      <w:pPr>
        <w:pStyle w:val="TextBody"/>
        <w:bidi w:val="0"/>
        <w:jc w:val="center"/>
        <w:rPr>
          <w:rFonts w:ascii="Times New Roman" w:hAnsi="Times New Roman"/>
          <w:b/>
          <w:caps/>
          <w:color w:val="000000"/>
          <w:sz w:val="20"/>
        </w:rPr>
      </w:pPr>
      <w:r>
        <w:rPr>
          <w:rFonts w:ascii="Times New Roman" w:hAnsi="Times New Roman"/>
          <w:b/>
          <w:caps/>
          <w:color w:val="000000"/>
          <w:sz w:val="20"/>
        </w:rPr>
        <w:t>The Securities Act of 1933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Athira Pharma,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8340" w:type="dxa"/>
        <w:jc w:val="left"/>
        <w:tblInd w:w="0" w:type="dxa"/>
        <w:tblLayout w:type="fixed"/>
        <w:tblCellMar>
          <w:top w:w="28" w:type="dxa"/>
          <w:left w:w="28" w:type="dxa"/>
          <w:bottom w:w="28" w:type="dxa"/>
          <w:right w:w="28" w:type="dxa"/>
        </w:tblCellMar>
      </w:tblPr>
      <w:tblGrid>
        <w:gridCol w:w="4654"/>
        <w:gridCol w:w="3686"/>
      </w:tblGrid>
      <w:tr>
        <w:trPr/>
        <w:tc>
          <w:tcPr>
            <w:tcW w:w="4654"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465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Delaware</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(State or other jurisdiction of </w:t>
              <w:br/>
              <w:t>incorporation or organization)</w:t>
            </w:r>
          </w:p>
        </w:tc>
        <w:tc>
          <w:tcPr>
            <w:tcW w:w="3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45-3368487</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br/>
              <w:t>Identification Number)</w:t>
            </w:r>
          </w:p>
        </w:tc>
      </w:tr>
      <w:tr>
        <w:trPr/>
        <w:tc>
          <w:tcPr>
            <w:tcW w:w="8340"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18706 North Creek Parkway, Suite 104</w:t>
            </w:r>
            <w:r>
              <w:rPr>
                <w:rFonts w:ascii="Times New Roman" w:hAnsi="Times New Roman"/>
                <w:color w:val="000000"/>
                <w:sz w:val="18"/>
              </w:rPr>
              <w:t xml:space="preserve"> </w:t>
            </w:r>
          </w:p>
          <w:p>
            <w:pPr>
              <w:pStyle w:val="TableContents"/>
              <w:bidi w:val="0"/>
              <w:jc w:val="center"/>
              <w:rPr>
                <w:rFonts w:ascii="Times New Roman" w:hAnsi="Times New Roman"/>
                <w:b/>
                <w:color w:val="000000"/>
                <w:sz w:val="18"/>
              </w:rPr>
            </w:pPr>
            <w:r>
              <w:rPr>
                <w:rFonts w:ascii="Times New Roman" w:hAnsi="Times New Roman"/>
                <w:b/>
                <w:color w:val="000000"/>
                <w:sz w:val="18"/>
              </w:rPr>
              <w:t>Bothell, Washington 98011</w:t>
            </w:r>
          </w:p>
          <w:p>
            <w:pPr>
              <w:pStyle w:val="TableContents"/>
              <w:bidi w:val="0"/>
              <w:jc w:val="center"/>
              <w:rPr>
                <w:rFonts w:ascii="Times New Roman" w:hAnsi="Times New Roman"/>
                <w:b/>
                <w:color w:val="000000"/>
                <w:sz w:val="18"/>
              </w:rPr>
            </w:pPr>
            <w:r>
              <w:rPr>
                <w:rFonts w:ascii="Times New Roman" w:hAnsi="Times New Roman"/>
                <w:b/>
                <w:color w:val="000000"/>
                <w:sz w:val="18"/>
              </w:rPr>
              <w:t>(425) 620-8501</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including zip code, and telephone number, including area code, of registrant’s principal executive offices)</w:t>
            </w:r>
          </w:p>
        </w:tc>
      </w:tr>
    </w:tbl>
    <w:p>
      <w:pPr>
        <w:pStyle w:val="TextBody"/>
        <w:bidi w:val="0"/>
        <w:jc w:val="center"/>
        <w:rPr/>
      </w:pPr>
      <w:r>
        <w:rPr/>
        <w:t> </w:t>
      </w:r>
    </w:p>
    <w:tbl>
      <w:tblPr>
        <w:tblW w:w="7276" w:type="dxa"/>
        <w:jc w:val="left"/>
        <w:tblInd w:w="0" w:type="dxa"/>
        <w:tblLayout w:type="fixed"/>
        <w:tblCellMar>
          <w:top w:w="28" w:type="dxa"/>
          <w:left w:w="28" w:type="dxa"/>
          <w:bottom w:w="28" w:type="dxa"/>
          <w:right w:w="28" w:type="dxa"/>
        </w:tblCellMar>
      </w:tblPr>
      <w:tblGrid>
        <w:gridCol w:w="7276"/>
      </w:tblGrid>
      <w:tr>
        <w:trPr/>
        <w:tc>
          <w:tcPr>
            <w:tcW w:w="7276" w:type="dxa"/>
            <w:tcBorders/>
            <w:vAlign w:val="center"/>
          </w:tcPr>
          <w:p>
            <w:pPr>
              <w:pStyle w:val="TableContents"/>
              <w:bidi w:val="0"/>
              <w:spacing w:before="0" w:after="283"/>
              <w:jc w:val="left"/>
              <w:rPr>
                <w:sz w:val="4"/>
                <w:szCs w:val="4"/>
              </w:rPr>
            </w:pPr>
            <w:r>
              <w:rPr>
                <w:sz w:val="4"/>
                <w:szCs w:val="4"/>
              </w:rPr>
            </w:r>
          </w:p>
        </w:tc>
      </w:tr>
      <w:tr>
        <w:trPr/>
        <w:tc>
          <w:tcPr>
            <w:tcW w:w="72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Mark Litton, Ph.D.</w:t>
            </w:r>
          </w:p>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jc w:val="center"/>
              <w:rPr>
                <w:rFonts w:ascii="Times New Roman" w:hAnsi="Times New Roman"/>
                <w:sz w:val="18"/>
              </w:rPr>
            </w:pPr>
            <w:r>
              <w:rPr>
                <w:rFonts w:ascii="Times New Roman" w:hAnsi="Times New Roman"/>
                <w:b/>
                <w:color w:val="000000"/>
                <w:sz w:val="18"/>
              </w:rPr>
              <w:t>18706 North Creek Parkway, Suite 104</w:t>
            </w:r>
            <w:r>
              <w:rPr>
                <w:rFonts w:ascii="Times New Roman" w:hAnsi="Times New Roman"/>
                <w:color w:val="000000"/>
                <w:sz w:val="18"/>
              </w:rPr>
              <w:t xml:space="preserve"> </w:t>
            </w:r>
          </w:p>
          <w:p>
            <w:pPr>
              <w:pStyle w:val="TableContents"/>
              <w:bidi w:val="0"/>
              <w:jc w:val="center"/>
              <w:rPr>
                <w:rFonts w:ascii="Times New Roman" w:hAnsi="Times New Roman"/>
                <w:b/>
                <w:color w:val="000000"/>
                <w:sz w:val="18"/>
              </w:rPr>
            </w:pPr>
            <w:r>
              <w:rPr>
                <w:rFonts w:ascii="Times New Roman" w:hAnsi="Times New Roman"/>
                <w:b/>
                <w:color w:val="000000"/>
                <w:sz w:val="18"/>
              </w:rPr>
              <w:t>Bothell, Washington 98011</w:t>
            </w:r>
          </w:p>
          <w:p>
            <w:pPr>
              <w:pStyle w:val="TableContents"/>
              <w:bidi w:val="0"/>
              <w:jc w:val="center"/>
              <w:rPr>
                <w:rFonts w:ascii="Times New Roman" w:hAnsi="Times New Roman"/>
                <w:b/>
                <w:color w:val="000000"/>
                <w:sz w:val="18"/>
              </w:rPr>
            </w:pPr>
            <w:r>
              <w:rPr>
                <w:rFonts w:ascii="Times New Roman" w:hAnsi="Times New Roman"/>
                <w:b/>
                <w:color w:val="000000"/>
                <w:sz w:val="18"/>
              </w:rPr>
              <w:t>(425) 620-8501</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address, including zip code, and telephone number, including area code, of agent for service)</w:t>
            </w:r>
          </w:p>
        </w:tc>
      </w:tr>
    </w:tbl>
    <w:p>
      <w:pPr>
        <w:pStyle w:val="TextBody"/>
        <w:bidi w:val="0"/>
        <w:jc w:val="center"/>
        <w:rPr/>
      </w:pPr>
      <w:r>
        <w:rPr/>
        <w:t> </w:t>
      </w:r>
    </w:p>
    <w:p>
      <w:pPr>
        <w:pStyle w:val="TextBody"/>
        <w:bidi w:val="0"/>
        <w:jc w:val="center"/>
        <w:rPr>
          <w:rFonts w:ascii="Times New Roman" w:hAnsi="Times New Roman"/>
          <w:b/>
          <w:i/>
          <w:color w:val="000000"/>
          <w:sz w:val="18"/>
        </w:rPr>
      </w:pPr>
      <w:r>
        <w:rPr>
          <w:rFonts w:ascii="Times New Roman" w:hAnsi="Times New Roman"/>
          <w:b/>
          <w:i/>
          <w:color w:val="000000"/>
          <w:sz w:val="18"/>
        </w:rPr>
        <w:t>Copies to:</w:t>
      </w:r>
    </w:p>
    <w:p>
      <w:pPr>
        <w:pStyle w:val="TextBody"/>
        <w:bidi w:val="0"/>
        <w:jc w:val="center"/>
        <w:rPr/>
      </w:pPr>
      <w:r>
        <w:rPr/>
        <w:t> </w:t>
      </w:r>
    </w:p>
    <w:tbl>
      <w:tblPr>
        <w:tblW w:w="6017" w:type="dxa"/>
        <w:jc w:val="left"/>
        <w:tblInd w:w="0" w:type="dxa"/>
        <w:tblLayout w:type="fixed"/>
        <w:tblCellMar>
          <w:top w:w="28" w:type="dxa"/>
          <w:left w:w="28" w:type="dxa"/>
          <w:bottom w:w="28" w:type="dxa"/>
          <w:right w:w="28" w:type="dxa"/>
        </w:tblCellMar>
      </w:tblPr>
      <w:tblGrid>
        <w:gridCol w:w="2821"/>
        <w:gridCol w:w="3196"/>
      </w:tblGrid>
      <w:tr>
        <w:trPr/>
        <w:tc>
          <w:tcPr>
            <w:tcW w:w="282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Michael Nordtvedt</w:t>
            </w:r>
          </w:p>
          <w:p>
            <w:pPr>
              <w:pStyle w:val="TableContents"/>
              <w:bidi w:val="0"/>
              <w:jc w:val="center"/>
              <w:rPr>
                <w:rFonts w:ascii="Times New Roman" w:hAnsi="Times New Roman"/>
                <w:b/>
                <w:color w:val="000000"/>
                <w:sz w:val="18"/>
              </w:rPr>
            </w:pPr>
            <w:r>
              <w:rPr>
                <w:rFonts w:ascii="Times New Roman" w:hAnsi="Times New Roman"/>
                <w:b/>
                <w:color w:val="000000"/>
                <w:sz w:val="18"/>
              </w:rPr>
              <w:t>Bryan D. King</w:t>
            </w:r>
          </w:p>
          <w:p>
            <w:pPr>
              <w:pStyle w:val="TableContents"/>
              <w:bidi w:val="0"/>
              <w:jc w:val="center"/>
              <w:rPr>
                <w:rFonts w:ascii="Times New Roman" w:hAnsi="Times New Roman"/>
                <w:b/>
                <w:color w:val="000000"/>
                <w:sz w:val="18"/>
              </w:rPr>
            </w:pPr>
            <w:r>
              <w:rPr>
                <w:rFonts w:ascii="Times New Roman" w:hAnsi="Times New Roman"/>
                <w:b/>
                <w:color w:val="000000"/>
                <w:sz w:val="18"/>
              </w:rPr>
              <w:t>Wilson Sonsini Goodrich &amp; Rosati,</w:t>
            </w:r>
          </w:p>
          <w:p>
            <w:pPr>
              <w:pStyle w:val="TableContents"/>
              <w:bidi w:val="0"/>
              <w:jc w:val="center"/>
              <w:rPr>
                <w:rFonts w:ascii="Times New Roman" w:hAnsi="Times New Roman"/>
                <w:b/>
                <w:color w:val="000000"/>
                <w:sz w:val="18"/>
              </w:rPr>
            </w:pPr>
            <w:r>
              <w:rPr>
                <w:rFonts w:ascii="Times New Roman" w:hAnsi="Times New Roman"/>
                <w:b/>
                <w:color w:val="000000"/>
                <w:sz w:val="18"/>
              </w:rPr>
              <w:t>Professional Corporation</w:t>
            </w:r>
          </w:p>
          <w:p>
            <w:pPr>
              <w:pStyle w:val="TableContents"/>
              <w:bidi w:val="0"/>
              <w:jc w:val="center"/>
              <w:rPr>
                <w:rFonts w:ascii="Times New Roman" w:hAnsi="Times New Roman"/>
                <w:b/>
                <w:color w:val="000000"/>
                <w:sz w:val="18"/>
              </w:rPr>
            </w:pPr>
            <w:r>
              <w:rPr>
                <w:rFonts w:ascii="Times New Roman" w:hAnsi="Times New Roman"/>
                <w:b/>
                <w:color w:val="000000"/>
                <w:sz w:val="18"/>
              </w:rPr>
              <w:t>701 Fifth Avenue</w:t>
            </w:r>
          </w:p>
          <w:p>
            <w:pPr>
              <w:pStyle w:val="TableContents"/>
              <w:bidi w:val="0"/>
              <w:jc w:val="center"/>
              <w:rPr>
                <w:rFonts w:ascii="Times New Roman" w:hAnsi="Times New Roman"/>
                <w:b/>
                <w:color w:val="000000"/>
                <w:sz w:val="18"/>
              </w:rPr>
            </w:pPr>
            <w:r>
              <w:rPr>
                <w:rFonts w:ascii="Times New Roman" w:hAnsi="Times New Roman"/>
                <w:b/>
                <w:color w:val="000000"/>
                <w:sz w:val="18"/>
              </w:rPr>
              <w:t>Suite 5100</w:t>
            </w:r>
          </w:p>
          <w:p>
            <w:pPr>
              <w:pStyle w:val="TableContents"/>
              <w:bidi w:val="0"/>
              <w:jc w:val="center"/>
              <w:rPr>
                <w:rFonts w:ascii="Times New Roman" w:hAnsi="Times New Roman"/>
                <w:b/>
                <w:color w:val="000000"/>
                <w:sz w:val="18"/>
              </w:rPr>
            </w:pPr>
            <w:r>
              <w:rPr>
                <w:rFonts w:ascii="Times New Roman" w:hAnsi="Times New Roman"/>
                <w:b/>
                <w:color w:val="000000"/>
                <w:sz w:val="18"/>
              </w:rPr>
              <w:t>Seattle, WA 98104-7036</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(206) 883-2500</w:t>
            </w:r>
          </w:p>
        </w:tc>
        <w:tc>
          <w:tcPr>
            <w:tcW w:w="31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Mark Worthington</w:t>
            </w:r>
          </w:p>
          <w:p>
            <w:pPr>
              <w:pStyle w:val="TableContents"/>
              <w:bidi w:val="0"/>
              <w:jc w:val="center"/>
              <w:rPr>
                <w:rFonts w:ascii="Times New Roman" w:hAnsi="Times New Roman"/>
                <w:b/>
                <w:color w:val="000000"/>
                <w:sz w:val="18"/>
              </w:rPr>
            </w:pPr>
            <w:r>
              <w:rPr>
                <w:rFonts w:ascii="Times New Roman" w:hAnsi="Times New Roman"/>
                <w:b/>
                <w:color w:val="000000"/>
                <w:sz w:val="18"/>
              </w:rPr>
              <w:t>General Counsel</w:t>
            </w:r>
          </w:p>
          <w:p>
            <w:pPr>
              <w:pStyle w:val="TableContents"/>
              <w:bidi w:val="0"/>
              <w:jc w:val="center"/>
              <w:rPr>
                <w:rFonts w:ascii="Times New Roman" w:hAnsi="Times New Roman"/>
                <w:b/>
                <w:color w:val="000000"/>
                <w:sz w:val="18"/>
              </w:rPr>
            </w:pPr>
            <w:r>
              <w:rPr>
                <w:rFonts w:ascii="Times New Roman" w:hAnsi="Times New Roman"/>
                <w:b/>
                <w:color w:val="000000"/>
                <w:sz w:val="18"/>
              </w:rPr>
              <w:t>Athira Pharma, Inc.</w:t>
            </w:r>
          </w:p>
          <w:p>
            <w:pPr>
              <w:pStyle w:val="TableContents"/>
              <w:bidi w:val="0"/>
              <w:jc w:val="center"/>
              <w:rPr>
                <w:rFonts w:ascii="Times New Roman" w:hAnsi="Times New Roman"/>
                <w:sz w:val="18"/>
              </w:rPr>
            </w:pPr>
            <w:r>
              <w:rPr>
                <w:rFonts w:ascii="Times New Roman" w:hAnsi="Times New Roman"/>
                <w:b/>
                <w:color w:val="000000"/>
                <w:sz w:val="18"/>
              </w:rPr>
              <w:t>18706 North Creek Parkway, Suite 104</w:t>
            </w:r>
            <w:r>
              <w:rPr>
                <w:rFonts w:ascii="Times New Roman" w:hAnsi="Times New Roman"/>
                <w:color w:val="000000"/>
                <w:sz w:val="18"/>
              </w:rPr>
              <w:t xml:space="preserve"> </w:t>
            </w:r>
          </w:p>
          <w:p>
            <w:pPr>
              <w:pStyle w:val="TableContents"/>
              <w:bidi w:val="0"/>
              <w:jc w:val="center"/>
              <w:rPr>
                <w:rFonts w:ascii="Times New Roman" w:hAnsi="Times New Roman"/>
                <w:b/>
                <w:color w:val="000000"/>
                <w:sz w:val="18"/>
              </w:rPr>
            </w:pPr>
            <w:r>
              <w:rPr>
                <w:rFonts w:ascii="Times New Roman" w:hAnsi="Times New Roman"/>
                <w:b/>
                <w:color w:val="000000"/>
                <w:sz w:val="18"/>
              </w:rPr>
              <w:t>Bothell, Washington 98011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(425) 620-8501</w:t>
            </w:r>
          </w:p>
        </w:tc>
      </w:tr>
    </w:tbl>
    <w:p>
      <w:pPr>
        <w:pStyle w:val="TextBody"/>
        <w:bidi w:val="0"/>
        <w:spacing w:before="120" w:after="283"/>
        <w:jc w:val="left"/>
        <w:rPr>
          <w:rFonts w:ascii="Times New Roman" w:hAnsi="Times New Roman"/>
          <w:sz w:val="20"/>
        </w:rPr>
      </w:pPr>
      <w:r>
        <w:rPr>
          <w:rFonts w:ascii="Times New Roman" w:hAnsi="Times New Roman"/>
          <w:b/>
          <w:color w:val="000000"/>
          <w:sz w:val="16"/>
        </w:rPr>
        <w:t>Approximate date of commencement of proposed sale to the public</w:t>
      </w:r>
      <w:r>
        <w:rPr>
          <w:rFonts w:ascii="Times New Roman" w:hAnsi="Times New Roman"/>
          <w:color w:val="000000"/>
          <w:sz w:val="16"/>
        </w:rPr>
        <w:t>: From time to time after the effective date of the registration statement.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the only securities being registered on this Form are being offered pursuant to dividend or interest reinvestment plans, please check the following box: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2386"/>
        <w:gridCol w:w="316"/>
        <w:gridCol w:w="2071"/>
        <w:gridCol w:w="1081"/>
      </w:tblGrid>
      <w:tr>
        <w:trPr/>
        <w:tc>
          <w:tcPr>
            <w:tcW w:w="2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r>
      <w:tr>
        <w:trPr/>
        <w:tc>
          <w:tcPr>
            <w:tcW w:w="2386"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0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FF0000"/>
          <w:sz w:val="20"/>
        </w:rPr>
      </w:pPr>
      <w:r>
        <w:rPr>
          <w:rFonts w:ascii="Times New Roman" w:hAnsi="Times New Roman"/>
          <w:b/>
          <w:color w:val="FF0000"/>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240" w:after="283"/>
        <w:jc w:val="center"/>
        <w:rPr>
          <w:rFonts w:ascii="Times New Roman" w:hAnsi="Times New Roman"/>
          <w:b/>
          <w:color w:val="FF0000"/>
          <w:sz w:val="20"/>
        </w:rPr>
      </w:pPr>
      <w:r>
        <w:rPr>
          <w:rFonts w:ascii="Times New Roman" w:hAnsi="Times New Roman"/>
          <w:b/>
          <w:color w:val="FF0000"/>
          <w:sz w:val="20"/>
        </w:rPr>
        <w:t>Subject to Completion, dated October 18, 2024</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Prospectus</w:t>
      </w:r>
    </w:p>
    <w:p>
      <w:pPr>
        <w:pStyle w:val="TextBody"/>
        <w:bidi w:val="0"/>
        <w:spacing w:before="240" w:after="283"/>
        <w:jc w:val="center"/>
        <w:rPr/>
      </w:pPr>
      <w:r>
        <w:rPr/>
        <w:drawing>
          <wp:inline distT="0" distB="0" distL="0" distR="0">
            <wp:extent cx="207645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1038225"/>
                    </a:xfrm>
                    <a:prstGeom prst="rect">
                      <a:avLst/>
                    </a:prstGeom>
                  </pic:spPr>
                </pic:pic>
              </a:graphicData>
            </a:graphic>
          </wp:inline>
        </w:drawing>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Athira Pharma,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$300,000,000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rFonts w:ascii="Times New Roman" w:hAnsi="Times New Roman"/>
          <w:b/>
          <w:color w:val="000000"/>
          <w:sz w:val="20"/>
        </w:rPr>
      </w:pPr>
      <w:r>
        <w:rPr>
          <w:rFonts w:ascii="Times New Roman" w:hAnsi="Times New Roman"/>
          <w:b/>
          <w:color w:val="000000"/>
          <w:sz w:val="20"/>
        </w:rPr>
        <w:t>Preferred Stock</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center"/>
        <w:rPr>
          <w:rFonts w:ascii="Times New Roman" w:hAnsi="Times New Roman"/>
          <w:b/>
          <w:color w:val="000000"/>
          <w:sz w:val="20"/>
        </w:rPr>
      </w:pPr>
      <w:r>
        <w:rPr>
          <w:rFonts w:ascii="Times New Roman" w:hAnsi="Times New Roman"/>
          <w:b/>
          <w:color w:val="000000"/>
          <w:sz w:val="20"/>
        </w:rPr>
        <w:t>Depositary Shares</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Subscription Rights</w:t>
      </w:r>
    </w:p>
    <w:p>
      <w:pPr>
        <w:pStyle w:val="TextBody"/>
        <w:bidi w:val="0"/>
        <w:jc w:val="center"/>
        <w:rPr>
          <w:rFonts w:ascii="Times New Roman" w:hAnsi="Times New Roman"/>
          <w:b/>
          <w:color w:val="000000"/>
          <w:sz w:val="20"/>
        </w:rPr>
      </w:pPr>
      <w:r>
        <w:rPr>
          <w:rFonts w:ascii="Times New Roman" w:hAnsi="Times New Roman"/>
          <w:b/>
          <w:color w:val="000000"/>
          <w:sz w:val="20"/>
        </w:rPr>
        <w:t>Purchase Contracts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Global Select Market under the symbol “ATHA.” Each prospectus supplement will indicate whether the securities offered thereby will be listed on any securities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Investing in our securities involves risks. Please carefully read the information under the headings “Risk Factors” beginning on page 3 of this prospectus and “Item 1A – Risk Factors” of our most recent report on Form 10-K or 10-Q that is incorporated by reference in this prospectus before you invest in our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240" w:after="283"/>
        <w:jc w:val="center"/>
        <w:rPr>
          <w:rFonts w:ascii="Times New Roman" w:hAnsi="Times New Roman"/>
          <w:color w:val="000000"/>
          <w:sz w:val="20"/>
        </w:rPr>
      </w:pPr>
      <w:bookmarkStart w:id="2" w:name="toc"/>
      <w:bookmarkEnd w:id="2"/>
      <w:r>
        <w:rPr>
          <w:rFonts w:ascii="Times New Roman" w:hAnsi="Times New Roman"/>
          <w:color w:val="000000"/>
          <w:sz w:val="20"/>
        </w:rPr>
        <w:t>The date of this prospectus is ,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4033" w:type="dxa"/>
        <w:jc w:val="left"/>
        <w:tblInd w:w="0" w:type="dxa"/>
        <w:tblLayout w:type="fixed"/>
        <w:tblCellMar>
          <w:top w:w="28" w:type="dxa"/>
          <w:left w:w="28" w:type="dxa"/>
          <w:bottom w:w="28" w:type="dxa"/>
          <w:right w:w="28" w:type="dxa"/>
        </w:tblCellMar>
      </w:tblPr>
      <w:tblGrid>
        <w:gridCol w:w="3316"/>
        <w:gridCol w:w="146"/>
        <w:gridCol w:w="57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3316" w:type="dxa"/>
            <w:tcBorders/>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3316" w:type="dxa"/>
            <w:tcBorders/>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3316" w:type="dxa"/>
            <w:tcBorders/>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3316" w:type="dxa"/>
            <w:tcBorders/>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w:t>
                <w:noBreakHyphen/>
                <w:t>Looking Statements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3316" w:type="dxa"/>
            <w:tcBorders/>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3316" w:type="dxa"/>
            <w:tcBorders/>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3316" w:type="dxa"/>
            <w:tcBorders/>
            <w:vAlign w:val="center"/>
          </w:tcPr>
          <w:p>
            <w:pPr>
              <w:pStyle w:val="TableContents"/>
              <w:bidi w:val="0"/>
              <w:spacing w:before="0" w:after="283"/>
              <w:jc w:val="left"/>
              <w:rPr/>
            </w:pPr>
            <w:hyperlink w:anchor="description_of_debt_securities">
              <w:r>
                <w:rPr>
                  <w:rStyle w:val="InternetLink"/>
                  <w:rFonts w:ascii="Times New Roman" w:hAnsi="Times New Roman"/>
                  <w:color w:val="0000FF"/>
                  <w:sz w:val="20"/>
                  <w:u w:val="single"/>
                </w:rPr>
                <w:t>Description of Debt Securities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3316" w:type="dxa"/>
            <w:tcBorders/>
            <w:vAlign w:val="center"/>
          </w:tcPr>
          <w:p>
            <w:pPr>
              <w:pStyle w:val="TableContents"/>
              <w:bidi w:val="0"/>
              <w:spacing w:before="0" w:after="283"/>
              <w:jc w:val="left"/>
              <w:rPr/>
            </w:pPr>
            <w:hyperlink w:anchor="description_of_depositary_shares">
              <w:r>
                <w:rPr>
                  <w:rStyle w:val="InternetLink"/>
                  <w:rFonts w:ascii="Times New Roman" w:hAnsi="Times New Roman"/>
                  <w:color w:val="0000FF"/>
                  <w:sz w:val="20"/>
                  <w:u w:val="single"/>
                </w:rPr>
                <w:t>Description of Depositary Shares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3316" w:type="dxa"/>
            <w:tcBorders/>
            <w:vAlign w:val="center"/>
          </w:tcPr>
          <w:p>
            <w:pPr>
              <w:pStyle w:val="TableContents"/>
              <w:bidi w:val="0"/>
              <w:spacing w:before="0" w:after="283"/>
              <w:jc w:val="left"/>
              <w:rPr/>
            </w:pPr>
            <w:hyperlink w:anchor="description_of_warrants">
              <w:r>
                <w:rPr>
                  <w:rStyle w:val="InternetLink"/>
                  <w:rFonts w:ascii="Times New Roman" w:hAnsi="Times New Roman"/>
                  <w:color w:val="0000FF"/>
                  <w:sz w:val="20"/>
                  <w:u w:val="single"/>
                </w:rPr>
                <w:t>Description of Warrants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3316" w:type="dxa"/>
            <w:tcBorders/>
            <w:vAlign w:val="center"/>
          </w:tcPr>
          <w:p>
            <w:pPr>
              <w:pStyle w:val="TableContents"/>
              <w:bidi w:val="0"/>
              <w:spacing w:before="0" w:after="283"/>
              <w:jc w:val="left"/>
              <w:rPr/>
            </w:pPr>
            <w:hyperlink w:anchor="description_of_subscription_rights">
              <w:r>
                <w:rPr>
                  <w:rStyle w:val="InternetLink"/>
                  <w:rFonts w:ascii="Times New Roman" w:hAnsi="Times New Roman"/>
                  <w:color w:val="0000FF"/>
                  <w:sz w:val="20"/>
                  <w:u w:val="single"/>
                </w:rPr>
                <w:t>Description of Subscription Rights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3316" w:type="dxa"/>
            <w:tcBorders/>
            <w:vAlign w:val="center"/>
          </w:tcPr>
          <w:p>
            <w:pPr>
              <w:pStyle w:val="TableContents"/>
              <w:bidi w:val="0"/>
              <w:spacing w:before="0" w:after="283"/>
              <w:jc w:val="left"/>
              <w:rPr/>
            </w:pPr>
            <w:hyperlink w:anchor="description_of_purchase_contracts">
              <w:r>
                <w:rPr>
                  <w:rStyle w:val="InternetLink"/>
                  <w:rFonts w:ascii="Times New Roman" w:hAnsi="Times New Roman"/>
                  <w:color w:val="0000FF"/>
                  <w:sz w:val="20"/>
                  <w:u w:val="single"/>
                </w:rPr>
                <w:t>Description of Purchase Contracts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3316" w:type="dxa"/>
            <w:tcBorders/>
            <w:vAlign w:val="center"/>
          </w:tcPr>
          <w:p>
            <w:pPr>
              <w:pStyle w:val="TableContents"/>
              <w:bidi w:val="0"/>
              <w:spacing w:before="0" w:after="283"/>
              <w:jc w:val="left"/>
              <w:rPr/>
            </w:pPr>
            <w:hyperlink w:anchor="description_of_units">
              <w:r>
                <w:rPr>
                  <w:rStyle w:val="InternetLink"/>
                  <w:rFonts w:ascii="Times New Roman" w:hAnsi="Times New Roman"/>
                  <w:color w:val="0000FF"/>
                  <w:sz w:val="20"/>
                  <w:u w:val="single"/>
                </w:rPr>
                <w:t>Description of Units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3316" w:type="dxa"/>
            <w:tcBorders/>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3316" w:type="dxa"/>
            <w:tcBorders/>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3316" w:type="dxa"/>
            <w:tcBorders/>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3316" w:type="dxa"/>
            <w:tcBorders/>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3316" w:type="dxa"/>
            <w:tcBorders/>
            <w:vAlign w:val="center"/>
          </w:tcPr>
          <w:p>
            <w:pPr>
              <w:pStyle w:val="TableContents"/>
              <w:bidi w:val="0"/>
              <w:spacing w:before="0" w:after="283"/>
              <w:jc w:val="left"/>
              <w:rPr/>
            </w:pPr>
            <w:hyperlink w:anchor="incorporation_by_reference">
              <w:r>
                <w:rPr>
                  <w:rStyle w:val="InternetLink"/>
                  <w:rFonts w:ascii="Times New Roman" w:hAnsi="Times New Roman"/>
                  <w:color w:val="0000FF"/>
                  <w:sz w:val="20"/>
                  <w:u w:val="single"/>
                </w:rPr>
                <w:t>Incorporation by Reference</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about_this_prospectus"/>
      <w:bookmarkEnd w:id="3"/>
      <w:r>
        <w:rPr>
          <w:rFonts w:ascii="Times New Roman" w:hAnsi="Times New Roman"/>
          <w:b/>
          <w:caps/>
          <w:color w:val="000000"/>
          <w:sz w:val="20"/>
        </w:rPr>
        <w:t>About this</w:t>
      </w:r>
      <w:r>
        <w:rPr>
          <w:rFonts w:ascii="Times New Roman" w:hAnsi="Times New Roman"/>
          <w:caps/>
          <w:color w:val="000000"/>
          <w:sz w:val="20"/>
        </w:rPr>
        <w:t xml:space="preserve"> </w:t>
      </w:r>
      <w:r>
        <w:rPr>
          <w:rFonts w:ascii="Times New Roman" w:hAnsi="Times New Roman"/>
          <w:b/>
          <w:caps/>
          <w:color w:val="000000"/>
          <w:sz w:val="20"/>
        </w:rPr>
        <w:t>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up to $300,000,000.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0" w:right="0" w:hanging="0"/>
        <w:jc w:val="center"/>
        <w:rPr>
          <w:rFonts w:ascii="Times New Roman" w:hAnsi="Times New Roman"/>
          <w:b/>
          <w:caps/>
          <w:color w:val="000000"/>
          <w:sz w:val="20"/>
          <w:bdr w:val="single" w:sz="4" w:space="1" w:color="000000"/>
        </w:rPr>
      </w:pPr>
      <w:bookmarkStart w:id="4" w:name="prospectus_summary"/>
      <w:bookmarkEnd w:id="4"/>
      <w:r>
        <w:rPr>
          <w:rFonts w:ascii="Times New Roman" w:hAnsi="Times New Roman"/>
          <w:b/>
          <w:caps/>
          <w:color w:val="000000"/>
          <w:sz w:val="20"/>
          <w:bdr w:val="single" w:sz="4" w:space="1" w:color="000000"/>
        </w:rPr>
        <w:t>Prospectus Summary</w:t>
      </w:r>
    </w:p>
    <w:p>
      <w:pPr>
        <w:pStyle w:val="TextBody"/>
        <w:bidi w:val="0"/>
        <w:spacing w:before="240" w:after="283"/>
        <w:ind w:left="0" w:right="0" w:firstLine="360"/>
        <w:jc w:val="left"/>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“Athira Pharma, Inc.,” “we,” “our” and “us” refer, collectively, to Athira Pharma, Inc., a Delaware corporation, and its subsidiaries taken as a whole.</w:t>
      </w:r>
    </w:p>
    <w:p>
      <w:pPr>
        <w:pStyle w:val="TextBody"/>
        <w:bidi w:val="0"/>
        <w:spacing w:before="240" w:after="283"/>
        <w:jc w:val="left"/>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Company Overview</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late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peripheral nervous system, or PNS. </w:t>
      </w:r>
    </w:p>
    <w:p>
      <w:pPr>
        <w:pStyle w:val="TextBody"/>
        <w:bidi w:val="0"/>
        <w:spacing w:before="240" w:after="283"/>
        <w:jc w:val="left"/>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prospectus, and the inclusion of our website address in this prospectus is an inactive textual reference only.</w:t>
      </w:r>
    </w:p>
    <w:p>
      <w:pPr>
        <w:pStyle w:val="TextBody"/>
        <w:bidi w:val="0"/>
        <w:spacing w:before="240" w:after="283"/>
        <w:jc w:val="left"/>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The Securities That May Be Offered</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Common Stock</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Preferred Stock</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Depositary Shares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Debt Securities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sell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sell debt securities that are convertible into shares of our common stock or other securities.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Warrants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warrants for the purchase of common stock, preferred stock, debt securities or depositary shares. We may offer warrants independently or together with other securities.</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Subscription Rights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Purchase Contracts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purchase contracts, including contracts obligating holders or us to purchase from the other a specific or variable number of securities at a future date or dates.</w:t>
      </w:r>
    </w:p>
    <w:p>
      <w:pPr>
        <w:pStyle w:val="TextBody"/>
        <w:bidi w:val="0"/>
        <w:spacing w:before="240" w:after="283"/>
        <w:ind w:left="0" w:right="0" w:firstLine="36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Units</w:t>
      </w:r>
    </w:p>
    <w:p>
      <w:pPr>
        <w:pStyle w:val="TextBody"/>
        <w:bidi w:val="0"/>
        <w:spacing w:before="240" w:after="283"/>
        <w:ind w:left="0" w:right="0" w:firstLine="36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units comprised of one or more of the other classes of securities described in this prospectus in any combination. Each unit will be issued so that the holder of the unit is also the holder of each security included in the unit.</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bookmarkStart w:id="5" w:name="risk_factors"/>
      <w:bookmarkEnd w:id="5"/>
      <w:r>
        <w:rPr>
          <w:rFonts w:ascii="Times New Roman" w:hAnsi="Times New Roman"/>
          <w:b/>
          <w:caps/>
          <w:color w:val="000000"/>
          <w:sz w:val="20"/>
        </w:rPr>
        <w:t>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83"/>
        <w:jc w:val="center"/>
        <w:rPr>
          <w:rFonts w:ascii="Times New Roman" w:hAnsi="Times New Roman"/>
          <w:b/>
          <w:caps/>
          <w:color w:val="000000"/>
          <w:sz w:val="20"/>
        </w:rPr>
      </w:pPr>
      <w:bookmarkStart w:id="6" w:name="forward_looking_statements"/>
      <w:bookmarkEnd w:id="6"/>
      <w:r>
        <w:rPr>
          <w:rFonts w:ascii="Times New Roman" w:hAnsi="Times New Roman"/>
          <w:b/>
          <w:caps/>
          <w:color w:val="000000"/>
          <w:sz w:val="20"/>
        </w:rPr>
        <w:t>Forward</w:t>
        <w:noBreakHyphen/>
        <w:t>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pStyle w:val="TextBody"/>
        <w:bidi w:val="0"/>
        <w:spacing w:before="240" w:after="283"/>
        <w:jc w:val="center"/>
        <w:rPr>
          <w:rFonts w:ascii="Times New Roman" w:hAnsi="Times New Roman"/>
          <w:b/>
          <w:caps/>
          <w:color w:val="000000"/>
          <w:sz w:val="20"/>
        </w:rPr>
      </w:pPr>
      <w:bookmarkStart w:id="7" w:name="use_of_proceeds"/>
      <w:bookmarkEnd w:id="7"/>
      <w:r>
        <w:rPr>
          <w:rFonts w:ascii="Times New Roman" w:hAnsi="Times New Roman"/>
          <w:b/>
          <w:caps/>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may invest the net proceeds of this offering in certain short-term, interest-bearing obligations, investment-grade instruments, certificates of deposit or direct or guaranteed obligations of the U.S. government, in accordance with our Investment Objective and Policy Guidelines.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aps/>
          <w:color w:val="000000"/>
          <w:sz w:val="20"/>
        </w:rPr>
      </w:pPr>
      <w:bookmarkStart w:id="8" w:name="description_of_capital_stock"/>
      <w:bookmarkEnd w:id="8"/>
      <w:r>
        <w:rPr>
          <w:rFonts w:ascii="Times New Roman" w:hAnsi="Times New Roman"/>
          <w:b/>
          <w:caps/>
          <w:color w:val="000000"/>
          <w:sz w:val="20"/>
        </w:rPr>
        <w:t>Description of Capital Stock</w:t>
      </w:r>
    </w:p>
    <w:p>
      <w:pPr>
        <w:pStyle w:val="TextBody"/>
        <w:bidi w:val="0"/>
        <w:spacing w:before="240" w:after="283"/>
        <w:jc w:val="left"/>
        <w:rPr/>
      </w:pPr>
      <w:r>
        <w:rPr>
          <w:rFonts w:ascii="Times New Roman" w:hAnsi="Times New Roman"/>
          <w:color w:val="000000"/>
          <w:sz w:val="20"/>
        </w:rPr>
        <w:t xml:space="preserve">The description of our capital stock is incorporated by reference to Exhibit </w:t>
      </w:r>
      <w:hyperlink r:id="rId3">
        <w:r>
          <w:rPr>
            <w:rStyle w:val="InternetLink"/>
            <w:rFonts w:ascii="Times New Roman" w:hAnsi="Times New Roman"/>
            <w:color w:val="0000FF"/>
            <w:sz w:val="20"/>
            <w:u w:val="single"/>
          </w:rPr>
          <w:t>4.3</w:t>
        </w:r>
      </w:hyperlink>
      <w:r>
        <w:rPr>
          <w:rFonts w:ascii="Times New Roman" w:hAnsi="Times New Roman"/>
          <w:color w:val="000000"/>
          <w:sz w:val="20"/>
        </w:rPr>
        <w:t xml:space="preserve"> to our Annual Report on Form 10</w:t>
        <w:noBreakHyphen/>
        <w:t xml:space="preserve">K for the fiscal year ended December 31, 2023, filed with the SEC on </w:t>
      </w:r>
      <w:hyperlink r:id="rId4">
        <w:r>
          <w:rPr>
            <w:rStyle w:val="InternetLink"/>
            <w:rFonts w:ascii="Times New Roman" w:hAnsi="Times New Roman"/>
            <w:color w:val="0000FF"/>
            <w:sz w:val="20"/>
            <w:u w:val="single"/>
          </w:rPr>
          <w:t>February 22, 2024</w:t>
        </w:r>
      </w:hyperlink>
      <w:r>
        <w:rPr>
          <w:rFonts w:ascii="Times New Roman" w:hAnsi="Times New Roman"/>
          <w:color w:val="000000"/>
          <w:sz w:val="20"/>
        </w:rPr>
        <w:t>.</w:t>
      </w:r>
    </w:p>
    <w:p>
      <w:pPr>
        <w:pStyle w:val="TextBody"/>
        <w:bidi w:val="0"/>
        <w:spacing w:before="240" w:after="283"/>
        <w:jc w:val="center"/>
        <w:rPr>
          <w:rFonts w:ascii="Times New Roman" w:hAnsi="Times New Roman"/>
          <w:sz w:val="20"/>
        </w:rPr>
      </w:pPr>
      <w:bookmarkStart w:id="9" w:name="description_of_debt_securities"/>
      <w:bookmarkEnd w:id="9"/>
      <w:r>
        <w:rPr>
          <w:rFonts w:ascii="Times New Roman" w:hAnsi="Times New Roman"/>
          <w:b/>
          <w:caps/>
          <w:color w:val="000000"/>
          <w:sz w:val="20"/>
        </w:rPr>
        <w:t>Description of</w:t>
      </w:r>
      <w:r>
        <w:rPr>
          <w:rFonts w:ascii="Times New Roman" w:hAnsi="Times New Roman"/>
          <w:caps/>
          <w:color w:val="000000"/>
          <w:sz w:val="20"/>
        </w:rPr>
        <w:t xml:space="preserve"> </w:t>
      </w:r>
      <w:r>
        <w:rPr>
          <w:rFonts w:ascii="Times New Roman" w:hAnsi="Times New Roman"/>
          <w:b/>
          <w:caps/>
          <w:color w:val="000000"/>
          <w:sz w:val="20"/>
        </w:rPr>
        <w:t>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title and ranking of the debt securities (including the terms of any subordination provisions);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 or prices (expressed as a percentage of the principal amount) at which we will sell the debt securities, which may be sold at a discount below their stated principal amount;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limit upon the aggregate principal amount of the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date or dates on which the principal of the securities of the series is payable;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 if any, to defer payment of interest and the maximum length of any such deferral period;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period or periods within which, the price or prices at which, and the terms and conditions upon which, we may redeem the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denominations in which the debt securities will be issued, if other than denominations of $1,000, and any integral multiple thereof;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debt securities will be issued in the form of certificated debt securities or global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portion of principal amount of the debt securities payable upon declaration of acceleration of the maturity date, if other than the principal amount;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provisions relating to any security provided for the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depositaries, interest rate calculation agents, exchange rate calculation agents or other agents with respect to the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any of our direct or indirect subsidiaries will guarantee the debt securities of that series, including the terms of subordination, if any, of such guarantees.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Transfer and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Certificated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Global Debt Securities and Book-Entry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global debt security representing book-entry debt securities will be deposited with, or on behalf of, the depositary, and registered in the name of the depositary or a nominee of the depositary.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set forth in the applicable prospectus supplement any restrictive covenants applicable to any issue or series of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Protection in the Event of a Change of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Consolidation, Merger and Sale of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consolidate with or merge with or into, or convey, transfer or lease all or substantially all of our properties and assets to any person, which we refer to as a successor person, unless: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after giving effect to the transaction, no Default or Event of Default (as defined below), shall have occurred and be continuing.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above, any of our subsidiaries may consolidate with, merge into or transfer all or part of its properties to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Events of Default</w:t>
      </w:r>
    </w:p>
    <w:p>
      <w:pPr>
        <w:pStyle w:val="TextBody"/>
        <w:bidi w:val="0"/>
        <w:spacing w:before="240" w:after="283"/>
        <w:jc w:val="left"/>
        <w:rPr>
          <w:color w:val="000000"/>
        </w:rPr>
      </w:pPr>
      <w:r>
        <w:rPr>
          <w:color w:val="000000"/>
        </w:rPr>
        <w:t>“</w:t>
      </w:r>
      <w:r>
        <w:rPr>
          <w:rFonts w:ascii="Times New Roman" w:hAnsi="Times New Roman"/>
          <w:color w:val="000000"/>
          <w:sz w:val="20"/>
        </w:rPr>
        <w:t>Event of Default” means with respect to any series of debt securities, any of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default in the payment of principal of any security of that series at its maturity;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voluntary or involuntary events of bankruptcy, insolvency or reorganization of us;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other Event of Default provided with respect to debt securities of that series that is described in the applicable prospectus supplement.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holder has previously given to the trustee written notice of a continuing Event of Default with respect to debt securities of that series;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Modification and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trustee may modify, amend or supplement the indenture or the debt securities of any series without the consent of any holder of any debt security: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cure any ambiguity, defect or inconsistency;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covenants in the indenture described above under the heading “—Consolidation, Merger and Sale of Assets”;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for uncertificated securities in addition to or in place of certificated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add guarantees with respect to debt securities of any series or secure debt securities of any series;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surrender any of our rights or powers under the indenture;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add covenants or events of default for the benefit of the holders of debt securities of any series;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the applicable procedures of the applicable depositary;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make any change that does not adversely affect the rights of any holder of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for the issuance of, and establish the form and terms and conditions of debt securities of, any series as permitted by the indenture;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requirements of the SEC in order to effect or maintain the qualification of the indenture under the Trust Indenture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 the amount of debt securities whose holders must consent to an amendment, supplement or waiver;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 the rate of or extend the time for payment of interest (including default interest) on any debt security;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 the principal amount of discount securities payable upon acceleration of maturity;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make the principal of or premium or interest on any debt security payable in currency other than that stated in the debt security;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waive a redemption payment with respect to any debt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Defeasance of Debt Securities and Certain Covenants in Certain Circumstances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Defeasance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Defeasance of Certain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unless otherwise provided by the terms of the applicable series of debt securities, upon compliance with certain conditions: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omission to comply with those covenants will not constitute a Default or an Event of Default with respect to the debt securities of that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refer to this as covenant defeasance. The conditions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deposit will not result in a breach or violation of, or constitute a default under the indenture or any other agreement to which we are a party;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Default or Event of Default with respect to the applicable series of debt securities shall have occurred or is continuing on the date of such deposit;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Personal Liability of Directors, Officers, Employees or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Governing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240" w:after="283"/>
        <w:jc w:val="center"/>
        <w:rPr>
          <w:rFonts w:ascii="Times New Roman" w:hAnsi="Times New Roman"/>
          <w:b/>
          <w:caps/>
          <w:color w:val="000000"/>
          <w:sz w:val="20"/>
        </w:rPr>
      </w:pPr>
      <w:bookmarkStart w:id="10" w:name="description_of_depositary_shares"/>
      <w:bookmarkEnd w:id="10"/>
      <w:r>
        <w:rPr>
          <w:rFonts w:ascii="Times New Roman" w:hAnsi="Times New Roman"/>
          <w:b/>
          <w:caps/>
          <w:color w:val="000000"/>
          <w:sz w:val="20"/>
        </w:rPr>
        <w:t>Description of Depositary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Liquidation Preference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Withdrawal of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Redemption of Depositary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 the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that it receives specific instructions from the holders of depositary shares representing that number of shares of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Charges of the Depositary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Amendment and Termination of the Deposit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outstanding depositary shares have been redeemed;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been a final distribution of the preferred stock in connection with our dissolution and such distribution has been made to all the holders of depositary shares.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Resignation and Removal of Depositary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 of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pStyle w:val="TextBody"/>
        <w:bidi w:val="0"/>
        <w:spacing w:before="240" w:after="240"/>
        <w:jc w:val="center"/>
        <w:rPr>
          <w:rFonts w:ascii="Times New Roman" w:hAnsi="Times New Roman"/>
          <w:sz w:val="20"/>
        </w:rPr>
      </w:pPr>
      <w:bookmarkStart w:id="11" w:name="description_of_warrants"/>
      <w:bookmarkEnd w:id="11"/>
      <w:r>
        <w:rPr>
          <w:rFonts w:ascii="Times New Roman" w:hAnsi="Times New Roman"/>
          <w:b/>
          <w:caps/>
          <w:color w:val="000000"/>
          <w:sz w:val="20"/>
        </w:rPr>
        <w:t>Description</w:t>
      </w:r>
      <w:r>
        <w:rPr>
          <w:rFonts w:ascii="Times New Roman" w:hAnsi="Times New Roman"/>
          <w:caps/>
          <w:color w:val="000000"/>
          <w:sz w:val="20"/>
        </w:rPr>
        <w:t xml:space="preserve"> </w:t>
      </w:r>
      <w:r>
        <w:rPr>
          <w:rFonts w:ascii="Times New Roman" w:hAnsi="Times New Roman"/>
          <w:b/>
          <w:caps/>
          <w:color w:val="000000"/>
          <w:sz w:val="20"/>
        </w:rPr>
        <w:t>of Warrants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specific designation and aggregate number of, and the offering price at which we will issue, the warrants;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currency or currency units in which the offering price, if any, and the exercise price are payable;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warrants are to be sold separately or with other securities as parts of units;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applicable material U.S. federal income tax consequences;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identity of the warrant agent for the warrants and of any other depositaries, execution or paying agents, transfer agents, registrars or other agents;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proposed listing, if any, of the warrants or any securities purchasable upon exercise of the warrants on any securities exchange;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designation and terms of any equity securities purchasable upon exercise of the warrants;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designation, aggregate principal amount, currency and terms of any debt securities that may be purchased upon exercise of the warrants;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applicable, the designation and terms of the debt securities, preferred stock, depositary shares or common stock with which the warrants are issued and the number of warrants issued with each security;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applicable, the date from and after which any warrants issued as part of a unit and the related debt securities, preferred stock, depositary shares or common stock will be separately transferable;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of shares of preferred stock, the number of depositary shares or the number of shares of common stock purchasable upon exercise of a warrant and the price at which those shares may be purchased;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applicable, the minimum or maximum amount of the warrants that may be exercised at any one time;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information with respect to book-entry procedures, if 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antidilution provisions, and other provisions for changes to or adjustment in the exercise price, of the warrants, if 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redemption or call provisions;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additional terms of the warrants, including terms, procedures and limitations relating to the exchange or exercise of the warrants.</w:t>
      </w:r>
    </w:p>
    <w:p>
      <w:pPr>
        <w:pStyle w:val="TextBody"/>
        <w:bidi w:val="0"/>
        <w:spacing w:before="0" w:after="240"/>
        <w:jc w:val="center"/>
        <w:rPr>
          <w:rFonts w:ascii="Times New Roman" w:hAnsi="Times New Roman"/>
          <w:b/>
          <w:caps/>
          <w:color w:val="000000"/>
          <w:sz w:val="20"/>
        </w:rPr>
      </w:pPr>
      <w:bookmarkStart w:id="12" w:name="description_of_subscription_rights"/>
      <w:bookmarkEnd w:id="12"/>
      <w:r>
        <w:rPr>
          <w:rFonts w:ascii="Times New Roman" w:hAnsi="Times New Roman"/>
          <w:b/>
          <w:caps/>
          <w:color w:val="000000"/>
          <w:sz w:val="20"/>
        </w:rPr>
        <w:t>Description of Subscription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prospectus supplement relating to any subscription rights we offer, if any, will, to the extent applicable, include specific terms relating to the offering, including some or all of the following:</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price, if any, for the subscription rights;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exercise price payable for our common stock, preferred stock, debt securities, depositary shares, warrants or units consisting of some or all of these securities upon the exercise of the subscription rights;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of subscription rights to be issued to each stockholder;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and terms of our common stock, preferred stock, debt securities, depositary shares, warrants or units consisting of some or all of these securities which may be purchased per each subscription right;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extent to which the subscription rights are transferable;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other terms of the subscription rights, including the terms, procedures and limitations relating to the exchange and exercise of the subscription rights;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date on which the right to exercise the subscription rights shall commence, and the date on which the subscription rights shall expire;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extent to which the subscription rights may include an over-subscription privilege with respect to unsubscribed securities or an over-allotment privilege to the extent the securities are fully subscribed;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applicable, the material terms of any standby underwriting or purchase arrangement which may be entered into by us in connection with the offering of subscription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pStyle w:val="TextBody"/>
        <w:bidi w:val="0"/>
        <w:spacing w:before="0" w:after="240"/>
        <w:jc w:val="center"/>
        <w:rPr>
          <w:rFonts w:ascii="Times New Roman" w:hAnsi="Times New Roman"/>
          <w:b/>
          <w:caps/>
          <w:color w:val="000000"/>
          <w:sz w:val="20"/>
        </w:rPr>
      </w:pPr>
      <w:bookmarkStart w:id="13" w:name="description_of_purchase_contracts"/>
      <w:bookmarkEnd w:id="13"/>
      <w:r>
        <w:rPr>
          <w:rFonts w:ascii="Times New Roman" w:hAnsi="Times New Roman"/>
          <w:b/>
          <w:caps/>
          <w:color w:val="000000"/>
          <w:sz w:val="20"/>
        </w:rPr>
        <w:t>Description of Purchase Contracts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offer any purchase contracts, certain terms of that series of purchase contracts will be described in the applicable prospectus supplement, including, without limitation, the following: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price of the securities or other property subject to the purchase contracts (which may be determined by reference to a specific formula described in the purchase contracts);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requirement for us to make periodic payments to holders or vice versa, and whether the payments are unsecured or pre-funded;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provisions relating to any security provided for the purchase contracts;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purchase contracts are to be prepaid or not;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purchase contracts are to be settled by delivery, or by reference or linkage to the value, performance or level of the securities subject to purchase under the purchase contract;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acceleration, cancellation, termination or other provisions relating to the settlement of the purchase contracts;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discussion of certain U.S. federal income tax considerations applicable to the purchase contracts;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purchase contracts will be issued in fully registered or global form; and</w:t>
      </w:r>
    </w:p>
    <w:p>
      <w:pPr>
        <w:pStyle w:val="TextBody"/>
        <w:bidi w:val="0"/>
        <w:spacing w:before="0" w:after="240"/>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other terms of the purchase contracts and any securities subject to such purchase contracts.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0"/>
        </w:rPr>
      </w:pPr>
      <w:bookmarkStart w:id="14" w:name="description_of_units"/>
      <w:bookmarkEnd w:id="14"/>
      <w:r>
        <w:rPr>
          <w:rFonts w:ascii="Times New Roman" w:hAnsi="Times New Roman"/>
          <w:b/>
          <w:caps/>
          <w:color w:val="000000"/>
          <w:sz w:val="20"/>
        </w:rPr>
        <w:t>Description of Units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prospectus supplement relating to any particular issuance of units will describe the terms of those units, including, to the extent applicable, the following: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designation and terms of the units and the securities comprising the units, including whether and under what circumstances those securities may be held or transferred separately;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provision for the issuance, payment, settlement, transfer or exchange of the units or of the securities comprising the units;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the units will be issued in fully registered or global form.</w:t>
      </w:r>
    </w:p>
    <w:p>
      <w:pPr>
        <w:pStyle w:val="TextBody"/>
        <w:bidi w:val="0"/>
        <w:jc w:val="center"/>
        <w:rPr>
          <w:rFonts w:ascii="Times New Roman" w:hAnsi="Times New Roman"/>
          <w:b/>
          <w:caps/>
          <w:color w:val="000000"/>
          <w:sz w:val="20"/>
        </w:rPr>
      </w:pPr>
      <w:bookmarkStart w:id="15" w:name="plan_of_distribution"/>
      <w:bookmarkEnd w:id="15"/>
      <w:r>
        <w:rPr>
          <w:rFonts w:ascii="Times New Roman" w:hAnsi="Times New Roman"/>
          <w:b/>
          <w:caps/>
          <w:color w:val="000000"/>
          <w:sz w:val="20"/>
        </w:rPr>
        <w:t>Plan of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sell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underwriters;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dealers;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agents;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directly to purchasers;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a combination of any of these methods of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issue the securities as a dividend or distribution or in a subscription rights offering to our existing securityholders.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the securities may be effected from time to time in one or more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fixed price or prices that may be changed from time to time;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market prices prevailing at the time of sale;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prices related to such prevailing market prices;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negotiated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prospectus supplement will describe the method of distribution of the securities and any applicable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prospectus supplement with respect to the securities of a particular series will describe the terms of the offering of the securities,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agent or any underwriters;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public offering or purchase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discounts and commissions to be allowed or paid to the agent or underwriters;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items constituting underwriting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discounts and commissions to be allowed or paid to dealers;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exchanges on which the securities will be listed.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Agents, underwriters, dealers and other persons may be entitled under agreements that they may enter into with us to indemnification by us against certain civil liabilities, including liabilities under the Securities Act.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purchase by an institution of the securities covered under that contract shall not at the time of delivery be prohibited under the laws of the jurisdiction to which that institution is subject;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securities are also being sold to underwriters acting as principals for their own account, the underwriters shall have purchased such securities not sold for delayed delivery.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underwriters and other persons acting as agents will not have any responsibility in respect of the validity or performance of delayed delivery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days after the trade date for your securities, to make alternative settlement arrangements to prevent a failed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pStyle w:val="TextBody"/>
        <w:bidi w:val="0"/>
        <w:spacing w:before="240" w:after="283"/>
        <w:jc w:val="center"/>
        <w:rPr>
          <w:rFonts w:ascii="Times New Roman" w:hAnsi="Times New Roman"/>
          <w:b/>
          <w:caps/>
          <w:color w:val="000000"/>
          <w:sz w:val="20"/>
        </w:rPr>
      </w:pPr>
      <w:bookmarkStart w:id="16" w:name="legal_matters"/>
      <w:bookmarkEnd w:id="16"/>
      <w:r>
        <w:rPr>
          <w:rFonts w:ascii="Times New Roman" w:hAnsi="Times New Roman"/>
          <w:b/>
          <w:caps/>
          <w:color w:val="000000"/>
          <w:sz w:val="20"/>
        </w:rPr>
        <w:t>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validity of the securities offered hereby will be passed upon for us by Wilson Sonsini Goodrich &amp; Rosati, Professional Corporation, Seattle, Washington. Additional legal matters may be passed on for us, or any underwriters, dealers or agents, by counsel that we will name in the applicable prospectus supplement. Certain members of, and investment partnerships comprised of members of, and persons associated with, Wilson Sonsini Goodrich &amp; Rosati, P.C. own less than 1% of our common stock.</w:t>
      </w:r>
    </w:p>
    <w:p>
      <w:pPr>
        <w:pStyle w:val="TextBody"/>
        <w:bidi w:val="0"/>
        <w:spacing w:before="240" w:after="283"/>
        <w:jc w:val="center"/>
        <w:rPr>
          <w:rFonts w:ascii="Times New Roman" w:hAnsi="Times New Roman"/>
          <w:b/>
          <w:caps/>
          <w:color w:val="000000"/>
          <w:sz w:val="20"/>
        </w:rPr>
      </w:pPr>
      <w:bookmarkStart w:id="17" w:name="experts"/>
      <w:bookmarkEnd w:id="17"/>
      <w:r>
        <w:rPr>
          <w:rFonts w:ascii="Times New Roman" w:hAnsi="Times New Roman"/>
          <w:b/>
          <w:caps/>
          <w:color w:val="000000"/>
          <w:sz w:val="20"/>
        </w:rPr>
        <w:t>Experts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bookmarkStart w:id="18" w:name="where_you_can_find_more_information"/>
      <w:bookmarkEnd w:id="18"/>
      <w:r>
        <w:rPr>
          <w:rFonts w:ascii="Times New Roman" w:hAnsi="Times New Roman"/>
          <w:b/>
          <w:caps/>
          <w:color w:val="000000"/>
          <w:sz w:val="20"/>
        </w:rPr>
        <w:t>Where You Can Find More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color w:val="000000"/>
          <w:sz w:val="20"/>
        </w:rPr>
        <w:t>www.sec.gov</w:t>
      </w:r>
      <w:r>
        <w:rPr>
          <w:rFonts w:ascii="Times New Roman" w:hAnsi="Times New Roman"/>
          <w:color w:val="000000"/>
          <w:sz w:val="20"/>
        </w:rPr>
        <w:t xml:space="preserve">. Copies of certain information filed by us with the SEC are also available on our website at </w:t>
      </w:r>
      <w:r>
        <w:rPr>
          <w:rFonts w:ascii="Times New Roman" w:hAnsi="Times New Roman"/>
          <w:i/>
          <w:color w:val="000000"/>
          <w:sz w:val="20"/>
        </w:rPr>
        <w:t>https://www.athira.com/</w:t>
      </w:r>
      <w:r>
        <w:rPr>
          <w:rFonts w:ascii="Times New Roman" w:hAnsi="Times New Roman"/>
          <w:color w:val="000000"/>
          <w:sz w:val="20"/>
        </w:rPr>
        <w:t>. Information accessible on or through our website is not a part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pStyle w:val="TextBody"/>
        <w:bidi w:val="0"/>
        <w:spacing w:before="240" w:after="283"/>
        <w:jc w:val="center"/>
        <w:rPr>
          <w:rFonts w:ascii="Times New Roman" w:hAnsi="Times New Roman"/>
          <w:b/>
          <w:caps/>
          <w:color w:val="000000"/>
          <w:sz w:val="20"/>
        </w:rPr>
      </w:pPr>
      <w:bookmarkStart w:id="19" w:name="incorporation_by_reference"/>
      <w:bookmarkEnd w:id="19"/>
      <w:r>
        <w:rPr>
          <w:rFonts w:ascii="Times New Roman" w:hAnsi="Times New Roman"/>
          <w:b/>
          <w:caps/>
          <w:color w:val="000000"/>
          <w:sz w:val="20"/>
        </w:rPr>
        <w:t>Incorporation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Annual Report on Form 10-K for the year ended December 31, 2023, filed with the SEC on </w:t>
      </w:r>
      <w:hyperlink r:id="rId5">
        <w:r>
          <w:rPr>
            <w:rStyle w:val="InternetLink"/>
            <w:rFonts w:ascii="Times New Roman" w:hAnsi="Times New Roman"/>
            <w:color w:val="0000FF"/>
            <w:sz w:val="20"/>
            <w:u w:val="single"/>
          </w:rPr>
          <w:t>February 22, 2024</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information incorporated by reference into our Annual Report on Form 10-K for the year ended December 31, 2023 from our Definitive Proxy Statement on Schedule 14A, filed with the SEC on </w:t>
      </w:r>
      <w:hyperlink r:id="rId6">
        <w:r>
          <w:rPr>
            <w:rStyle w:val="InternetLink"/>
            <w:rFonts w:ascii="Times New Roman" w:hAnsi="Times New Roman"/>
            <w:color w:val="0000FF"/>
            <w:sz w:val="20"/>
            <w:u w:val="single"/>
          </w:rPr>
          <w:t>April 9, 2024</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Quarterly Reports on Form 10-Q for the quarters ended March 31, 2024 and June 30, 2024, filed with the SEC on </w:t>
      </w:r>
      <w:hyperlink r:id="rId7">
        <w:r>
          <w:rPr>
            <w:rStyle w:val="InternetLink"/>
            <w:rFonts w:ascii="Times New Roman" w:hAnsi="Times New Roman"/>
            <w:color w:val="0000FF"/>
            <w:sz w:val="20"/>
            <w:u w:val="single"/>
          </w:rPr>
          <w:t>May 15, 2024</w:t>
        </w:r>
      </w:hyperlink>
      <w:r>
        <w:rPr>
          <w:color w:val="000000"/>
        </w:rPr>
        <w:t xml:space="preserve"> </w:t>
      </w:r>
      <w:r>
        <w:rPr>
          <w:rFonts w:ascii="Times New Roman" w:hAnsi="Times New Roman"/>
          <w:color w:val="000000"/>
          <w:sz w:val="20"/>
        </w:rPr>
        <w:t xml:space="preserve">and </w:t>
      </w:r>
      <w:hyperlink r:id="rId8">
        <w:r>
          <w:rPr>
            <w:rStyle w:val="InternetLink"/>
            <w:rFonts w:ascii="Times New Roman" w:hAnsi="Times New Roman"/>
            <w:color w:val="0000FF"/>
            <w:sz w:val="20"/>
            <w:u w:val="single"/>
          </w:rPr>
          <w:t>August 1, 2024</w:t>
        </w:r>
      </w:hyperlink>
      <w:r>
        <w:rPr>
          <w:rFonts w:ascii="Times New Roman" w:hAnsi="Times New Roman"/>
          <w:color w:val="000000"/>
          <w:sz w:val="20"/>
        </w:rPr>
        <w:t xml:space="preserve">, respectively, and Amendment No. 1 to the Quarterly Report on Form 10-Q for the quarter ended June 30, 2024, filed with the SEC on </w:t>
      </w:r>
      <w:hyperlink r:id="rId9">
        <w:r>
          <w:rPr>
            <w:rStyle w:val="InternetLink"/>
            <w:rFonts w:ascii="Times New Roman" w:hAnsi="Times New Roman"/>
            <w:color w:val="0000FF"/>
            <w:sz w:val="20"/>
            <w:u w:val="single"/>
          </w:rPr>
          <w:t>August 9, 2024</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Current Reports on Form 8-K filed with the SEC on </w:t>
      </w:r>
      <w:hyperlink r:id="rId10">
        <w:r>
          <w:rPr>
            <w:rStyle w:val="InternetLink"/>
            <w:rFonts w:ascii="Times New Roman" w:hAnsi="Times New Roman"/>
            <w:color w:val="0000FF"/>
            <w:sz w:val="20"/>
            <w:u w:val="single"/>
          </w:rPr>
          <w:t>January 8, 2024</w:t>
        </w:r>
      </w:hyperlink>
      <w:r>
        <w:rPr>
          <w:color w:val="0000FF"/>
          <w:u w:val="single"/>
        </w:rPr>
        <w:t xml:space="preserve"> </w:t>
      </w:r>
      <w:r>
        <w:rPr>
          <w:rFonts w:ascii="Times New Roman" w:hAnsi="Times New Roman"/>
          <w:color w:val="000000"/>
          <w:sz w:val="20"/>
        </w:rPr>
        <w:t xml:space="preserve">(excluding information furnished under Item 2.02 and Exhibit 99.1), </w:t>
      </w:r>
      <w:hyperlink r:id="rId11">
        <w:r>
          <w:rPr>
            <w:rStyle w:val="InternetLink"/>
            <w:rFonts w:ascii="Times New Roman" w:hAnsi="Times New Roman"/>
            <w:color w:val="0000FF"/>
            <w:sz w:val="20"/>
            <w:u w:val="single"/>
          </w:rPr>
          <w:t>February 22, 2024</w:t>
        </w:r>
      </w:hyperlink>
      <w:r>
        <w:rPr>
          <w:color w:val="0000FF"/>
          <w:u w:val="single"/>
        </w:rPr>
        <w:t xml:space="preserve"> </w:t>
      </w:r>
      <w:r>
        <w:rPr>
          <w:rFonts w:ascii="Times New Roman" w:hAnsi="Times New Roman"/>
          <w:color w:val="000000"/>
          <w:sz w:val="20"/>
        </w:rPr>
        <w:t xml:space="preserve">(excluding information furnished under Items 2.02 and 7.01 and Exhibit 99.1), </w:t>
      </w:r>
      <w:hyperlink r:id="rId12">
        <w:r>
          <w:rPr>
            <w:rStyle w:val="InternetLink"/>
            <w:rFonts w:ascii="Times New Roman" w:hAnsi="Times New Roman"/>
            <w:color w:val="0000FF"/>
            <w:sz w:val="20"/>
            <w:u w:val="single"/>
          </w:rPr>
          <w:t>May 17, 2024</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May 29, 2024</w:t>
        </w:r>
      </w:hyperlink>
      <w:r>
        <w:rPr>
          <w:rFonts w:ascii="Times New Roman" w:hAnsi="Times New Roman"/>
          <w:color w:val="000000"/>
          <w:sz w:val="20"/>
        </w:rPr>
        <w:t xml:space="preserve">, </w:t>
      </w:r>
      <w:hyperlink r:id="rId14">
        <w:r>
          <w:rPr>
            <w:rStyle w:val="InternetLink"/>
            <w:rFonts w:ascii="Times New Roman" w:hAnsi="Times New Roman"/>
            <w:color w:val="0000FF"/>
            <w:sz w:val="20"/>
            <w:u w:val="single"/>
          </w:rPr>
          <w:t>September 3, 2024 (excluding information furnished under Item 7.01 and Exhibit 99.2)</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September 17, 2024</w:t>
        </w:r>
      </w:hyperlink>
      <w:r>
        <w:rPr>
          <w:rFonts w:ascii="Times New Roman" w:hAnsi="Times New Roman"/>
          <w:color w:val="000000"/>
          <w:sz w:val="20"/>
        </w:rPr>
        <w:t xml:space="preserve">, </w:t>
      </w:r>
      <w:hyperlink r:id="rId16">
        <w:r>
          <w:rPr>
            <w:rStyle w:val="InternetLink"/>
            <w:rFonts w:ascii="Times New Roman" w:hAnsi="Times New Roman"/>
            <w:color w:val="0000FF"/>
            <w:sz w:val="20"/>
            <w:u w:val="single"/>
          </w:rPr>
          <w:t>October 7, 2024</w:t>
        </w:r>
      </w:hyperlink>
      <w:r>
        <w:rPr>
          <w:color w:val="000000"/>
        </w:rPr>
        <w:t xml:space="preserve"> </w:t>
      </w:r>
      <w:r>
        <w:rPr>
          <w:rFonts w:ascii="Times New Roman" w:hAnsi="Times New Roman"/>
          <w:color w:val="000000"/>
          <w:sz w:val="20"/>
        </w:rPr>
        <w:t xml:space="preserve">and </w:t>
      </w:r>
      <w:hyperlink r:id="rId17">
        <w:r>
          <w:rPr>
            <w:rStyle w:val="InternetLink"/>
            <w:rFonts w:ascii="Times New Roman" w:hAnsi="Times New Roman"/>
            <w:color w:val="0000FF"/>
            <w:sz w:val="20"/>
            <w:u w:val="single"/>
          </w:rPr>
          <w:t>October 18, 2024</w:t>
        </w:r>
      </w:hyperlink>
      <w:r>
        <w:rPr>
          <w:rFonts w:ascii="Times New Roman" w:hAnsi="Times New Roman"/>
          <w:color w:val="000000"/>
          <w:sz w:val="20"/>
        </w:rPr>
        <w:t>; and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description of our common stock contained in the Registration Statement on Form 8-A relating thereto, filed with the SEC on </w:t>
      </w:r>
      <w:hyperlink r:id="rId18">
        <w:r>
          <w:rPr>
            <w:rStyle w:val="InternetLink"/>
            <w:rFonts w:ascii="Times New Roman" w:hAnsi="Times New Roman"/>
            <w:color w:val="0000FF"/>
            <w:sz w:val="20"/>
            <w:u w:val="single"/>
          </w:rPr>
          <w:t>September 22, 2020</w:t>
        </w:r>
      </w:hyperlink>
      <w:r>
        <w:rPr>
          <w:rFonts w:ascii="Times New Roman" w:hAnsi="Times New Roman"/>
          <w:color w:val="000000"/>
          <w:sz w:val="20"/>
        </w:rPr>
        <w:t>, including any amendment or report filed for the purpose of updating such description.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request a copy of these filings, at no cost, by writing or telephoning us at the following address and telephone number: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Athira Pharma, Inc.</w:t>
      </w:r>
    </w:p>
    <w:p>
      <w:pPr>
        <w:pStyle w:val="TextBody"/>
        <w:bidi w:val="0"/>
        <w:jc w:val="center"/>
        <w:rPr>
          <w:rFonts w:ascii="Times New Roman" w:hAnsi="Times New Roman"/>
          <w:color w:val="000000"/>
          <w:sz w:val="20"/>
        </w:rPr>
      </w:pPr>
      <w:r>
        <w:rPr>
          <w:rFonts w:ascii="Times New Roman" w:hAnsi="Times New Roman"/>
          <w:color w:val="000000"/>
          <w:sz w:val="20"/>
        </w:rPr>
        <w:t xml:space="preserve">18706 North Creek Parkway, Suite 104 </w:t>
      </w:r>
    </w:p>
    <w:p>
      <w:pPr>
        <w:pStyle w:val="TextBody"/>
        <w:bidi w:val="0"/>
        <w:jc w:val="center"/>
        <w:rPr>
          <w:rFonts w:ascii="Times New Roman" w:hAnsi="Times New Roman"/>
          <w:color w:val="000000"/>
          <w:sz w:val="20"/>
        </w:rPr>
      </w:pPr>
      <w:r>
        <w:rPr>
          <w:rFonts w:ascii="Times New Roman" w:hAnsi="Times New Roman"/>
          <w:color w:val="000000"/>
          <w:sz w:val="20"/>
        </w:rPr>
        <w:t>Bothell, Washington 98011</w:t>
      </w:r>
    </w:p>
    <w:p>
      <w:pPr>
        <w:pStyle w:val="TextBody"/>
        <w:bidi w:val="0"/>
        <w:jc w:val="center"/>
        <w:rPr>
          <w:rFonts w:ascii="Times New Roman" w:hAnsi="Times New Roman"/>
          <w:color w:val="000000"/>
          <w:sz w:val="20"/>
        </w:rPr>
      </w:pPr>
      <w:r>
        <w:rPr>
          <w:rFonts w:ascii="Times New Roman" w:hAnsi="Times New Roman"/>
          <w:color w:val="000000"/>
          <w:sz w:val="20"/>
        </w:rPr>
        <w:t>Attn: Investor Relations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(425) 620-8501</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NOT REQUIRED IN PROSPECTUS</w:t>
      </w:r>
    </w:p>
    <w:p>
      <w:pPr>
        <w:pStyle w:val="TextBody"/>
        <w:bidi w:val="0"/>
        <w:spacing w:before="240" w:after="283"/>
        <w:jc w:val="left"/>
        <w:rPr>
          <w:rFonts w:ascii="Times New Roman" w:hAnsi="Times New Roman"/>
          <w:sz w:val="20"/>
        </w:rPr>
      </w:pPr>
      <w:r>
        <w:rPr>
          <w:rFonts w:ascii="Times New Roman" w:hAnsi="Times New Roman"/>
          <w:b/>
          <w:color w:val="000000"/>
          <w:sz w:val="20"/>
        </w:rPr>
        <w:t>Item 14. Other Expenses of Issuance and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 and the Financial Industry Regulatory Authority, or FINRA, filing fee.</w:t>
      </w:r>
    </w:p>
    <w:p>
      <w:pPr>
        <w:pStyle w:val="TextBody"/>
        <w:bidi w:val="0"/>
        <w:jc w:val="left"/>
        <w:rPr/>
      </w:pPr>
      <w:r>
        <w:rPr/>
        <w:t> </w:t>
      </w:r>
    </w:p>
    <w:tbl>
      <w:tblPr>
        <w:tblW w:w="5054" w:type="dxa"/>
        <w:jc w:val="left"/>
        <w:tblInd w:w="0" w:type="dxa"/>
        <w:tblLayout w:type="fixed"/>
        <w:tblCellMar>
          <w:top w:w="28" w:type="dxa"/>
          <w:left w:w="28" w:type="dxa"/>
          <w:bottom w:w="28" w:type="dxa"/>
          <w:right w:w="28" w:type="dxa"/>
        </w:tblCellMar>
      </w:tblPr>
      <w:tblGrid>
        <w:gridCol w:w="3811"/>
        <w:gridCol w:w="146"/>
        <w:gridCol w:w="211"/>
        <w:gridCol w:w="88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to be Paid</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27,810</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45,500</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exchange listing fee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and engraving expenses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agent and registrar fees and expenses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Trustee’s fees and expenses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expenses</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w:t>
            </w:r>
          </w:p>
        </w:tc>
      </w:tr>
      <w:tr>
        <w:trPr/>
        <w:tc>
          <w:tcPr>
            <w:tcW w:w="3811" w:type="dxa"/>
            <w:tcBorders/>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Total</w:t>
            </w:r>
          </w:p>
        </w:tc>
        <w:tc>
          <w:tcPr>
            <w:tcW w:w="146" w:type="dxa"/>
            <w:tcBorders/>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4" w:space="0" w:color="000000"/>
            </w:tcBorders>
            <w:tcMar>
              <w:top w:w="0" w:type="dxa"/>
              <w:left w:w="0" w:type="dxa"/>
              <w:right w:w="0" w:type="dxa"/>
            </w:tcMar>
            <w:vAlign w:val="center"/>
          </w:tcPr>
          <w:p>
            <w:pPr>
              <w:pStyle w:val="TableContents"/>
              <w:bidi w:val="0"/>
              <w:spacing w:before="0" w:after="283"/>
              <w:ind w:left="0" w:right="101" w:hanging="0"/>
              <w:jc w:val="righ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These fees and expenses are calculated based on the securities offered and the number of issuances and accordingly cannot be estimated at this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15. Indemnification of Directors and Officers</w:t>
      </w:r>
    </w:p>
    <w:p>
      <w:pPr>
        <w:pStyle w:val="TextBody"/>
        <w:bidi w:val="0"/>
        <w:spacing w:before="240" w:after="283"/>
        <w:jc w:val="left"/>
        <w:rPr>
          <w:rFonts w:ascii="Times New Roman" w:hAnsi="Times New Roman"/>
          <w:color w:val="000000"/>
          <w:sz w:val="20"/>
        </w:rPr>
      </w:pPr>
      <w:bookmarkStart w:id="20" w:name="t0"/>
      <w:bookmarkEnd w:id="20"/>
      <w:r>
        <w:rPr>
          <w:rFonts w:ascii="Times New Roman" w:hAnsi="Times New Roman"/>
          <w:color w:val="000000"/>
          <w:sz w:val="20"/>
        </w:rPr>
        <w:t>Section 145 of the Delaware General Corporation Law generally authorizes a corporation’s board of directors to grant, and authorizes a court to award, indemnity to officers, directors and other corporate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as amended, contains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w:t>
      </w:r>
    </w:p>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corporations, then the personal liability of our directors and officers will be further limited to the greatest extent permitted by the Delaware General Corporation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amended and restated certificate of incorporation provides that we will indemnify our directors, and our amended and restated bylaws provide that we will indemnify our directors and officers, and may indemnify our employees, agents and any other persons, to the fullest extent permitted by the Delaware General Corporation Law. Our amended and restated bylaws also provide that we must advance expenses incurred by or on behalf of a director or officer in advance of the final disposition of any action or proceeding, subject to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of liability and indemnification provisions in our amended and restated certificate of incorporation, amended and restated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underwriting agreement to be filed as Exhibit 1.1 to this registration statement may provide for indemnification by the underwriters of us and our directors and officers for certain liabilities arising under the Securities Act of 1933, as amended, or the Securities Act, the Securities Exchange Act of 1934, as amended, or the Exchange Act, or otherwise.</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b/>
          <w:color w:val="000000"/>
          <w:sz w:val="20"/>
        </w:rPr>
      </w:pPr>
      <w:bookmarkStart w:id="21" w:name="tblexhibitindex"/>
      <w:bookmarkEnd w:id="21"/>
      <w:r>
        <w:rPr>
          <w:rFonts w:ascii="Times New Roman" w:hAnsi="Times New Roman"/>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1000"/>
        <w:gridCol w:w="4687"/>
        <w:gridCol w:w="531"/>
        <w:gridCol w:w="870"/>
        <w:gridCol w:w="985"/>
        <w:gridCol w:w="1113"/>
        <w:gridCol w:w="1019"/>
      </w:tblGrid>
      <w:tr>
        <w:trPr/>
        <w:tc>
          <w:tcPr>
            <w:tcW w:w="1000" w:type="dxa"/>
            <w:tcBorders/>
            <w:shd w:fill="FFFFFF" w:val="clear"/>
            <w:vAlign w:val="center"/>
          </w:tcPr>
          <w:p>
            <w:pPr>
              <w:pStyle w:val="TableContents"/>
              <w:bidi w:val="0"/>
              <w:spacing w:before="0" w:after="283"/>
              <w:jc w:val="left"/>
              <w:rPr>
                <w:sz w:val="4"/>
                <w:szCs w:val="4"/>
              </w:rPr>
            </w:pPr>
            <w:r>
              <w:rPr>
                <w:sz w:val="4"/>
                <w:szCs w:val="4"/>
              </w:rPr>
            </w:r>
          </w:p>
        </w:tc>
        <w:tc>
          <w:tcPr>
            <w:tcW w:w="4687"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019" w:type="dxa"/>
            <w:tcBorders/>
            <w:shd w:fill="FFFFFF" w:val="clear"/>
            <w:vAlign w:val="center"/>
          </w:tcPr>
          <w:p>
            <w:pPr>
              <w:pStyle w:val="TableContents"/>
              <w:bidi w:val="0"/>
              <w:spacing w:before="0" w:after="283"/>
              <w:jc w:val="left"/>
              <w:rPr>
                <w:sz w:val="4"/>
                <w:szCs w:val="4"/>
              </w:rPr>
            </w:pPr>
            <w:r>
              <w:rPr>
                <w:sz w:val="4"/>
                <w:szCs w:val="4"/>
              </w:rPr>
            </w:r>
          </w:p>
        </w:tc>
      </w:tr>
      <w:tr>
        <w:trPr/>
        <w:tc>
          <w:tcPr>
            <w:tcW w:w="10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9" w:type="dxa"/>
            <w:gridSpan w:val="4"/>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Exhibit Number</w:t>
            </w:r>
          </w:p>
        </w:tc>
        <w:tc>
          <w:tcPr>
            <w:tcW w:w="4687"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Exhibit Description</w:t>
            </w:r>
          </w:p>
        </w:tc>
        <w:tc>
          <w:tcPr>
            <w:tcW w:w="531"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Form</w:t>
            </w:r>
          </w:p>
        </w:tc>
        <w:tc>
          <w:tcPr>
            <w:tcW w:w="870"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File Number</w:t>
            </w:r>
          </w:p>
        </w:tc>
        <w:tc>
          <w:tcPr>
            <w:tcW w:w="985"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Exhibit Number</w:t>
            </w:r>
          </w:p>
        </w:tc>
        <w:tc>
          <w:tcPr>
            <w:tcW w:w="1113"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Filing Date</w:t>
            </w:r>
          </w:p>
        </w:tc>
        <w:tc>
          <w:tcPr>
            <w:tcW w:w="1019"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8"/>
              </w:rPr>
            </w:pPr>
            <w:r>
              <w:rPr>
                <w:rFonts w:ascii="Times New Roman" w:hAnsi="Times New Roman"/>
                <w:b/>
                <w:color w:val="000000"/>
                <w:sz w:val="18"/>
              </w:rPr>
              <w:t>Filed Herewith</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Underwriting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3.1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Amended and Restated Certificate of Incorporation</w:t>
              </w:r>
            </w:hyperlink>
          </w:p>
        </w:tc>
        <w:tc>
          <w:tcPr>
            <w:tcW w:w="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001-39503</w:t>
            </w:r>
          </w:p>
        </w:tc>
        <w:tc>
          <w:tcPr>
            <w:tcW w:w="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12, 2020</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3.2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Certificate of Amendment to the Amended and Restated Certificate of Incorporation of the Company dated May 23, 2024</w:t>
              </w:r>
            </w:hyperlink>
          </w:p>
        </w:tc>
        <w:tc>
          <w:tcPr>
            <w:tcW w:w="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001-39503</w:t>
            </w:r>
          </w:p>
        </w:tc>
        <w:tc>
          <w:tcPr>
            <w:tcW w:w="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29, 2024</w:t>
            </w:r>
          </w:p>
        </w:tc>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3.3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Amended and Restated Bylaws</w:t>
              </w:r>
            </w:hyperlink>
          </w:p>
        </w:tc>
        <w:tc>
          <w:tcPr>
            <w:tcW w:w="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001-39503</w:t>
            </w:r>
          </w:p>
        </w:tc>
        <w:tc>
          <w:tcPr>
            <w:tcW w:w="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18, 2022</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4.1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Specimen Common Stock Certificate</w:t>
              </w:r>
            </w:hyperlink>
          </w:p>
        </w:tc>
        <w:tc>
          <w:tcPr>
            <w:tcW w:w="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333-248428</w:t>
            </w:r>
          </w:p>
        </w:tc>
        <w:tc>
          <w:tcPr>
            <w:tcW w:w="9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14, 2020</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Preferred Stock Certificate</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4.3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atha-ex4_3.htm">
              <w:r>
                <w:rPr>
                  <w:rStyle w:val="InternetLink"/>
                  <w:rFonts w:ascii="Times New Roman" w:hAnsi="Times New Roman"/>
                  <w:color w:val="0000FF"/>
                  <w:sz w:val="18"/>
                  <w:u w:val="single"/>
                </w:rPr>
                <w:t>Form of Indenture</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Debt Security</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Deposit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Warrant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Subscription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Purchase Contract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Unit Agreement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of Unit</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5.1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atha-ex5_1.htm">
              <w:r>
                <w:rPr>
                  <w:rStyle w:val="InternetLink"/>
                  <w:rFonts w:ascii="Times New Roman" w:hAnsi="Times New Roman"/>
                  <w:color w:val="0000FF"/>
                  <w:sz w:val="18"/>
                  <w:u w:val="single"/>
                </w:rPr>
                <w:t>Opinion of Wilson Sonsini Goodrich &amp; Rosati, Professional Corporation</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23.1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atha-ex23_1.htm">
              <w:r>
                <w:rPr>
                  <w:rStyle w:val="InternetLink"/>
                  <w:rFonts w:ascii="Times New Roman" w:hAnsi="Times New Roman"/>
                  <w:color w:val="0000FF"/>
                  <w:sz w:val="18"/>
                  <w:u w:val="single"/>
                </w:rPr>
                <w:t>Consent of Independent Registered Public Accounting Firm</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23.2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atha-ex5_1.htm">
              <w:r>
                <w:rPr>
                  <w:rStyle w:val="InternetLink"/>
                  <w:rFonts w:ascii="Times New Roman" w:hAnsi="Times New Roman"/>
                  <w:color w:val="0000FF"/>
                  <w:sz w:val="18"/>
                  <w:u w:val="single"/>
                </w:rPr>
                <w:t>Consent of Wilson Sonsini Goodrich &amp; Rosati, Professional Corporation (included in the opinion filed as Exhibit 5.1 to this Registration Statement)</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24.1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18"/>
                  <w:u w:val="single"/>
                </w:rPr>
                <w:t>Power of Attorney (included on the signature page to this Registration Statement)</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25.1**</w:t>
            </w:r>
          </w:p>
        </w:tc>
        <w:tc>
          <w:tcPr>
            <w:tcW w:w="4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T-1 Statement of Eligibility of Trustee for Indenture under the Trust Indenture Act of 1939</w:t>
            </w:r>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107 </w:t>
            </w:r>
          </w:p>
        </w:tc>
        <w:tc>
          <w:tcPr>
            <w:tcW w:w="4687" w:type="dxa"/>
            <w:tcBorders/>
            <w:tcMar>
              <w:top w:w="0" w:type="dxa"/>
              <w:left w:w="0" w:type="dxa"/>
              <w:bottom w:w="0" w:type="dxa"/>
              <w:right w:w="0" w:type="dxa"/>
            </w:tcMar>
            <w:vAlign w:val="center"/>
          </w:tcPr>
          <w:p>
            <w:pPr>
              <w:pStyle w:val="TableContents"/>
              <w:bidi w:val="0"/>
              <w:spacing w:before="0" w:after="283"/>
              <w:jc w:val="left"/>
              <w:rPr/>
            </w:pPr>
            <w:hyperlink w:anchor="atha-exfiling_fees.htm">
              <w:r>
                <w:rPr>
                  <w:rStyle w:val="InternetLink"/>
                  <w:rFonts w:ascii="Times New Roman" w:hAnsi="Times New Roman"/>
                  <w:color w:val="0000FF"/>
                  <w:sz w:val="18"/>
                  <w:u w:val="single"/>
                </w:rPr>
                <w:t>Filing Fee Table</w:t>
              </w:r>
            </w:hyperlink>
          </w:p>
        </w:tc>
        <w:tc>
          <w:tcPr>
            <w:tcW w:w="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pBdr>
          <w:bottom w:val="single" w:sz="2"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To be filed by amendment or as an exhibit to a Form 8-K and incorporated by reference herein.</w:t>
      </w:r>
    </w:p>
    <w:p>
      <w:pPr>
        <w:pStyle w:val="TextBody"/>
        <w:bidi w:val="0"/>
        <w:jc w:val="left"/>
        <w:rPr>
          <w:rFonts w:ascii="Times New Roman" w:hAnsi="Times New Roman"/>
          <w:color w:val="000000"/>
          <w:sz w:val="20"/>
        </w:rPr>
      </w:pPr>
      <w:r>
        <w:rPr>
          <w:rFonts w:ascii="Times New Roman" w:hAnsi="Times New Roman"/>
          <w:color w:val="000000"/>
          <w:sz w:val="20"/>
        </w:rPr>
        <w:t>** To be filed pursuant to Section 305(b)(2) of the Trust Indenture Act of 1939, as amended.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II-3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pPr>
      <w:r>
        <w:rPr>
          <w:rFonts w:ascii="Times New Roman" w:hAnsi="Times New Roman"/>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offering thereof.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that, for the purpose of determining liability under the Securities Act to any purchaser: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left"/>
        <w:rPr/>
      </w:pPr>
      <w:r>
        <w:rPr>
          <w:rFonts w:ascii="Times New Roman" w:hAnsi="Times New Roman"/>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 xml:space="preserve">offering thereof. </w:t>
      </w:r>
      <w:r>
        <w:rPr>
          <w:rFonts w:ascii="Times New Roman" w:hAnsi="Times New Roman"/>
          <w:i/>
          <w:color w:val="000000"/>
          <w:sz w:val="20"/>
        </w:rPr>
        <w:t>Provided, however</w:t>
      </w:r>
      <w:r>
        <w:rPr>
          <w:rFonts w:ascii="Times New Roman" w:hAnsi="Times New Roman"/>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preliminary prospectus or prospectus of the undersigned registrant relating to the offering required to be filed pursuant to Rule 424;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free writing prospectus relating to the offering prepared by or on behalf of the undersigned registrant or used or referred to by the undersigned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other communication that is an offer in the offering made by the undersigned registrant to the purchaser.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left"/>
        <w:rPr/>
      </w:pPr>
      <w:r>
        <w:rPr>
          <w:rFonts w:ascii="Times New Roman" w:hAnsi="Times New Roman"/>
          <w:color w:val="000000"/>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pStyle w:val="TextBody"/>
        <w:bidi w:val="0"/>
        <w:spacing w:before="200" w:after="283"/>
        <w:jc w:val="left"/>
        <w:rPr>
          <w:rFonts w:ascii="Times New Roman" w:hAnsi="Times New Roman"/>
          <w:color w:val="000000"/>
          <w:sz w:val="2"/>
        </w:rPr>
      </w:pPr>
      <w:r>
        <w:rPr>
          <w:rFonts w:ascii="Times New Roman" w:hAnsi="Times New Roman"/>
          <w:color w:val="000000"/>
          <w:sz w:val="2"/>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center"/>
        <w:rPr>
          <w:rFonts w:ascii="Times New Roman" w:hAnsi="Times New Roman"/>
          <w:color w:val="000000"/>
          <w:sz w:val="20"/>
        </w:rPr>
      </w:pPr>
      <w:r>
        <w:rPr>
          <w:rFonts w:ascii="Times New Roman" w:hAnsi="Times New Roman"/>
          <w:color w:val="000000"/>
          <w:sz w:val="20"/>
        </w:rPr>
        <w:t>II-4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w:t>
        <w:noBreakHyphen/>
        <w:t>3 and has duly caused this registration statement to be signed on its behalf by the undersigned, thereunto duly authorized, in the City of Bothell, State of Washington, on October 18, 2024.</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32" w:type="dxa"/>
            <w:gridSpan w:val="2"/>
            <w:tcBorders/>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Athira Pharma, Inc.</w:t>
            </w:r>
          </w:p>
        </w:tc>
      </w:tr>
      <w:tr>
        <w:trPr/>
        <w:tc>
          <w:tcPr>
            <w:tcW w:w="42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42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42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power_of_attorney"/>
      <w:bookmarkEnd w:id="22"/>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Mark Litton and Robert Renninger,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1936"/>
        <w:gridCol w:w="146"/>
        <w:gridCol w:w="4216"/>
        <w:gridCol w:w="146"/>
        <w:gridCol w:w="156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Date</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Litton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and 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Litton</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Renninger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Vice President of Finance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Renninger</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Kelly Romano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Kelly Romano</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Edelman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Edelman</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Fluke,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Fluke, Jr.</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Johnson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Johnson</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Barbara Kosacz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Barbara Kosacz</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A. Panzara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Panzara</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Grant Pickering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18, 2024</w:t>
            </w:r>
          </w:p>
        </w:tc>
      </w:tr>
      <w:tr>
        <w:trPr/>
        <w:tc>
          <w:tcPr>
            <w:tcW w:w="19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Grant Pickering</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bl>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tha-ex4_3.htm"/>
      <w:bookmarkStart w:id="24" w:name="ksathaex4_3"/>
      <w:bookmarkEnd w:id="23"/>
      <w:bookmarkEnd w:id="24"/>
      <w:r>
        <w:rPr>
          <w:rFonts w:ascii="Times New Roman" w:hAnsi="Times New Roman"/>
          <w:b/>
          <w:color w:val="000000"/>
          <w:sz w:val="20"/>
        </w:rPr>
        <w:t>Exhibit 4.3</w:t>
      </w:r>
      <w:r>
        <w:br w:type="page"/>
      </w:r>
    </w:p>
    <w:p>
      <w:pPr>
        <w:pStyle w:val="TextBody"/>
        <w:pBdr>
          <w:bottom w:val="single" w:sz="8" w:space="1" w:color="000000"/>
        </w:pBdr>
        <w:bidi w:val="0"/>
        <w:jc w:val="center"/>
        <w:rPr/>
      </w:pPr>
      <w:r>
        <w:rPr/>
        <w:t> </w:t>
      </w:r>
    </w:p>
    <w:p>
      <w:pPr>
        <w:pStyle w:val="TextBody"/>
        <w:bidi w:val="0"/>
        <w:spacing w:before="720" w:after="283"/>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ATHIRA PHARMA, INC.</w:t>
      </w:r>
    </w:p>
    <w:p>
      <w:pPr>
        <w:pStyle w:val="TextBody"/>
        <w:pBdr>
          <w:bottom w:val="single" w:sz="6" w:space="1" w:color="000000"/>
        </w:pBdr>
        <w:bidi w:val="0"/>
        <w:spacing w:before="240" w:after="283"/>
        <w:jc w:val="center"/>
        <w:rPr/>
      </w:pPr>
      <w:r>
        <w:rPr/>
        <w:t> </w:t>
      </w:r>
    </w:p>
    <w:p>
      <w:pPr>
        <w:pStyle w:val="TextBody"/>
        <w:bidi w:val="0"/>
        <w:spacing w:before="480" w:after="283"/>
        <w:jc w:val="center"/>
        <w:rPr>
          <w:rFonts w:ascii="Times New Roman" w:hAnsi="Times New Roman"/>
          <w:b/>
          <w:color w:val="000000"/>
          <w:sz w:val="22"/>
        </w:rPr>
      </w:pPr>
      <w:r>
        <w:rPr>
          <w:rFonts w:ascii="Times New Roman" w:hAnsi="Times New Roman"/>
          <w:b/>
          <w:color w:val="000000"/>
          <w:sz w:val="22"/>
        </w:rPr>
        <w:t>INDENTURE</w:t>
      </w:r>
    </w:p>
    <w:p>
      <w:pPr>
        <w:pStyle w:val="TextBody"/>
        <w:bidi w:val="0"/>
        <w:spacing w:before="240" w:after="283"/>
        <w:jc w:val="center"/>
        <w:rPr>
          <w:rFonts w:ascii="Times New Roman" w:hAnsi="Times New Roman"/>
          <w:sz w:val="20"/>
        </w:rPr>
      </w:pPr>
      <w:r>
        <w:rPr>
          <w:rFonts w:ascii="Times New Roman" w:hAnsi="Times New Roman"/>
          <w:color w:val="000000"/>
          <w:sz w:val="22"/>
        </w:rPr>
        <w:t>Dated as of , 20</w:t>
      </w:r>
      <w:r>
        <w:rPr>
          <w:rFonts w:ascii="Times New Roman" w:hAnsi="Times New Roman"/>
          <w:color w:val="000000"/>
          <w:sz w:val="20"/>
        </w:rPr>
        <w:t xml:space="preserve"> </w:t>
      </w:r>
    </w:p>
    <w:p>
      <w:pPr>
        <w:pStyle w:val="TextBody"/>
        <w:pBdr>
          <w:bottom w:val="single" w:sz="6" w:space="1" w:color="000000"/>
        </w:pBdr>
        <w:bidi w:val="0"/>
        <w:spacing w:before="240" w:after="283"/>
        <w:jc w:val="center"/>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4"/>
        </w:rPr>
        <w:t>[</w:t>
      </w:r>
      <w:r>
        <w:rPr>
          <w:rFonts w:ascii="Times New Roman" w:hAnsi="Times New Roman"/>
          <w:b/>
          <w:color w:val="000000"/>
          <w:sz w:val="22"/>
        </w:rPr>
        <w:t>__________</w:t>
      </w:r>
      <w:r>
        <w:rPr>
          <w:rFonts w:ascii="Times New Roman" w:hAnsi="Times New Roman"/>
          <w:b/>
          <w:color w:val="000000"/>
          <w:sz w:val="24"/>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Trustee</w:t>
      </w:r>
    </w:p>
    <w:p>
      <w:pPr>
        <w:pStyle w:val="TextBody"/>
        <w:pBdr>
          <w:bottom w:val="single" w:sz="8" w:space="1" w:color="000000"/>
        </w:pBdr>
        <w:bidi w:val="0"/>
        <w:spacing w:before="7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spacing w:before="0" w:after="120"/>
        <w:jc w:val="right"/>
        <w:rPr>
          <w:rFonts w:ascii="Times New Roman" w:hAnsi="Times New Roman"/>
          <w:b/>
          <w:color w:val="000000"/>
          <w:sz w:val="22"/>
          <w:u w:val="single"/>
        </w:rPr>
      </w:pPr>
      <w:r>
        <w:rPr>
          <w:rFonts w:ascii="Times New Roman" w:hAnsi="Times New Roman"/>
          <w:b/>
          <w:color w:val="000000"/>
          <w:sz w:val="22"/>
          <w:u w:val="single"/>
        </w:rPr>
        <w:t>Page</w:t>
      </w:r>
    </w:p>
    <w:tbl>
      <w:tblPr>
        <w:tblW w:w="9241" w:type="dxa"/>
        <w:jc w:val="left"/>
        <w:tblInd w:w="0" w:type="dxa"/>
        <w:tblLayout w:type="fixed"/>
        <w:tblCellMar>
          <w:top w:w="28" w:type="dxa"/>
          <w:left w:w="28" w:type="dxa"/>
          <w:bottom w:w="28" w:type="dxa"/>
          <w:right w:w="28" w:type="dxa"/>
        </w:tblCellMar>
      </w:tblPr>
      <w:tblGrid>
        <w:gridCol w:w="1565"/>
        <w:gridCol w:w="5845"/>
        <w:gridCol w:w="1831"/>
      </w:tblGrid>
      <w:tr>
        <w:trPr/>
        <w:tc>
          <w:tcPr>
            <w:tcW w:w="1565" w:type="dxa"/>
            <w:tcBorders/>
            <w:vAlign w:val="center"/>
          </w:tcPr>
          <w:p>
            <w:pPr>
              <w:pStyle w:val="TableContents"/>
              <w:bidi w:val="0"/>
              <w:spacing w:before="0" w:after="283"/>
              <w:jc w:val="left"/>
              <w:rPr>
                <w:sz w:val="4"/>
                <w:szCs w:val="4"/>
              </w:rPr>
            </w:pPr>
            <w:r>
              <w:rPr>
                <w:sz w:val="4"/>
                <w:szCs w:val="4"/>
              </w:rPr>
            </w:r>
          </w:p>
        </w:tc>
        <w:tc>
          <w:tcPr>
            <w:tcW w:w="5845"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410"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I DEFINITIONS AND INCORPORATION BY REFERENCE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Definitions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1.3</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Incorporation by Reference of Trust Indenture Act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1.4</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 of Construction</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5</w:t>
            </w:r>
          </w:p>
        </w:tc>
      </w:tr>
      <w:tr>
        <w:trPr/>
        <w:tc>
          <w:tcPr>
            <w:tcW w:w="7410"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II THE SECURITIES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Issuable in Series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Establishment of Terms of Series of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2.3</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Execution and Authentication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2.4</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Registrar and Paying Agent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2.5</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Paying Agent to Hold Money in Trust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2.6</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Securityholder Lists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2.7</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2.8</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Mutilated, Destroyed, Lost and Stolen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2.9</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Outstanding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2.10</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Treasury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Temporary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Cancellation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2.13</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Defaulted Interest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2.14</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Global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2.15</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CUSIP Numbers</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w:t>
            </w:r>
          </w:p>
        </w:tc>
      </w:tr>
      <w:tr>
        <w:trPr/>
        <w:tc>
          <w:tcPr>
            <w:tcW w:w="7410"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III REDEMPTION</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to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Selection of Securities to be Redeemed</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3.3</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Redemption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3.4</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Notice of Redemption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3.5</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 of Redemption Price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3.6</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Redeemed in Part</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w:t>
            </w:r>
          </w:p>
        </w:tc>
      </w:tr>
      <w:tr>
        <w:trPr/>
        <w:tc>
          <w:tcPr>
            <w:tcW w:w="7410"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IV COVENANTS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4.1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Principal and Interest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4.2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 Reports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4.3</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4.4</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Stay, Extension and Usury Laws</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w:t>
            </w:r>
          </w:p>
        </w:tc>
      </w:tr>
      <w:tr>
        <w:trPr/>
        <w:tc>
          <w:tcPr>
            <w:tcW w:w="7410"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V SUCCESSORS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5.1</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When Company May Merge, Etc</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565"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5.2</w:t>
            </w:r>
          </w:p>
        </w:tc>
        <w:tc>
          <w:tcPr>
            <w:tcW w:w="5845"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Corporation Substituted</w:t>
            </w:r>
          </w:p>
        </w:tc>
        <w:tc>
          <w:tcPr>
            <w:tcW w:w="1831" w:type="dxa"/>
            <w:tcBorders/>
            <w:shd w:fill="FFFFFF" w:val="cle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rFonts w:ascii="Times New Roman" w:hAnsi="Times New Roman"/>
          <w:b/>
          <w:color w:val="000000"/>
          <w:sz w:val="24"/>
        </w:rPr>
      </w:pPr>
      <w:r>
        <w:rPr>
          <w:rFonts w:ascii="Times New Roman" w:hAnsi="Times New Roman"/>
          <w:b/>
          <w:color w:val="000000"/>
          <w:sz w:val="24"/>
        </w:rPr>
        <w:t>(Continued)</w:t>
      </w:r>
    </w:p>
    <w:p>
      <w:pPr>
        <w:pStyle w:val="TextBody"/>
        <w:bidi w:val="0"/>
        <w:spacing w:before="0" w:after="12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1306"/>
        <w:gridCol w:w="6226"/>
        <w:gridCol w:w="1831"/>
      </w:tblGrid>
      <w:tr>
        <w:trPr/>
        <w:tc>
          <w:tcPr>
            <w:tcW w:w="130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532"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VI DEFAULTS AND REMEDIES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Events of Default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6.2</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 of Maturity; Rescission and Annulment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6.3</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of Indebtedness and Suits for Enforcement by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6.4</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May File Proofs of Claim</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6.5</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May Enforce Claims Without Possession of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6.6</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Money Collected</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6.7</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Suits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6.8</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Unconditional Right of Holders to Receive Principal and Interest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6.9</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Restoration of Rights and Remedies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6.10</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and Remedies Cumulative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Delay or Omission Not Waiver</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6.12</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Control by Holders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6.13</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Past Defaults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6.14</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Undertaking for Costs</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23</w:t>
            </w:r>
          </w:p>
        </w:tc>
      </w:tr>
      <w:tr>
        <w:trPr/>
        <w:tc>
          <w:tcPr>
            <w:tcW w:w="7532"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VII TRUSTEE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Duties of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7.2</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of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24</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7.3</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Individual Rights of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7.4</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Trustee’s Disclaimer</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7.5</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Defaults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7.6</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Reports by Trustee to Holders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7.7</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and Indemnity</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7.8</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Trustee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27</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7.9</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Trustee by Merger, Etc</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7.10</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Eligibility; Disqualification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7.11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Preferential Collection of Claims Against Company</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28</w:t>
            </w:r>
          </w:p>
        </w:tc>
      </w:tr>
      <w:tr>
        <w:trPr/>
        <w:tc>
          <w:tcPr>
            <w:tcW w:w="7532"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VIII SATISFACTION AND DISCHARGE; DEFEASANCE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and Discharge of Indenture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8.2</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Trust Funds; Indemnification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29</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8.3</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Defeasance of Securities of any Series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30</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8.4</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 Defeasance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8.5</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Repayment to Company</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8.6</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Reinstatement</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32</w:t>
            </w:r>
          </w:p>
        </w:tc>
      </w:tr>
      <w:tr>
        <w:trPr/>
        <w:tc>
          <w:tcPr>
            <w:tcW w:w="7532"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IX AMENDMENTS AND WAIVERS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9.1</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Without Consent of Holders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9.2</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Consent of Holders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9.3</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9.4</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Trust Indenture Act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130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9.5</w:t>
            </w:r>
          </w:p>
        </w:tc>
        <w:tc>
          <w:tcPr>
            <w:tcW w:w="6226"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Revocation and Effect of Consents</w:t>
            </w:r>
          </w:p>
        </w:tc>
        <w:tc>
          <w:tcPr>
            <w:tcW w:w="1831" w:type="dxa"/>
            <w:tcBorders/>
            <w:shd w:fill="FFFFFF" w:val="cle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rFonts w:ascii="Times New Roman" w:hAnsi="Times New Roman"/>
          <w:b/>
          <w:color w:val="000000"/>
          <w:sz w:val="24"/>
        </w:rPr>
      </w:pPr>
      <w:r>
        <w:rPr>
          <w:rFonts w:ascii="Times New Roman" w:hAnsi="Times New Roman"/>
          <w:b/>
          <w:color w:val="000000"/>
          <w:sz w:val="24"/>
        </w:rPr>
        <w:t>(Continued)</w:t>
      </w:r>
    </w:p>
    <w:p>
      <w:pPr>
        <w:pStyle w:val="TextBody"/>
        <w:bidi w:val="0"/>
        <w:spacing w:before="0" w:after="12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tbl>
      <w:tblPr>
        <w:tblW w:w="9198" w:type="dxa"/>
        <w:jc w:val="left"/>
        <w:tblInd w:w="0" w:type="dxa"/>
        <w:tblLayout w:type="fixed"/>
        <w:tblCellMar>
          <w:top w:w="28" w:type="dxa"/>
          <w:left w:w="28" w:type="dxa"/>
          <w:bottom w:w="28" w:type="dxa"/>
          <w:right w:w="28" w:type="dxa"/>
        </w:tblCellMar>
      </w:tblPr>
      <w:tblGrid>
        <w:gridCol w:w="1426"/>
        <w:gridCol w:w="5941"/>
        <w:gridCol w:w="1831"/>
      </w:tblGrid>
      <w:tr>
        <w:trPr/>
        <w:tc>
          <w:tcPr>
            <w:tcW w:w="1426"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9.6</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Notation on or Exchange of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9.7</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Protected</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35</w:t>
            </w:r>
          </w:p>
        </w:tc>
      </w:tr>
      <w:tr>
        <w:trPr/>
        <w:tc>
          <w:tcPr>
            <w:tcW w:w="7367"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X MISCELLANEOUS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 Indenture Act Controls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10.2</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10.3</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Communication by Holders with Other Holders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10.4</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Certificate and Opinion as to Conditions Precedent</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10.5</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Statements Required in Certificate or Opinion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10.6</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 by Trustee and Agents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10.7</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Holidays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10.8</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 Against Others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10.9</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10.10</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 Waiver of Jury Trial; Consent to Jurisdiction</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10.11</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Adverse Interpretation of Other Agreements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10.12</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10.13</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10.14</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Etc</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10.15</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in a Foreign Currency</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10.16</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Judgment Currency</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10.17</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Force Majeure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10.18</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U.S.A. Patriot Act</w:t>
            </w:r>
          </w:p>
        </w:tc>
        <w:tc>
          <w:tcPr>
            <w:tcW w:w="183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40</w:t>
            </w:r>
          </w:p>
        </w:tc>
      </w:tr>
      <w:tr>
        <w:trPr/>
        <w:tc>
          <w:tcPr>
            <w:tcW w:w="7367" w:type="dxa"/>
            <w:gridSpan w:val="2"/>
            <w:tcBorders/>
            <w:shd w:fill="FFFFFF" w:val="clear"/>
            <w:vAlign w:val="center"/>
          </w:tcPr>
          <w:p>
            <w:pPr>
              <w:pStyle w:val="TableContents"/>
              <w:pBdr/>
              <w:bidi w:val="0"/>
              <w:spacing w:before="120" w:after="120"/>
              <w:ind w:left="0" w:right="0" w:hanging="720"/>
              <w:jc w:val="left"/>
              <w:rPr>
                <w:rFonts w:ascii="Times New Roman" w:hAnsi="Times New Roman"/>
                <w:color w:val="000000"/>
                <w:sz w:val="24"/>
              </w:rPr>
            </w:pPr>
            <w:r>
              <w:rPr>
                <w:rFonts w:ascii="Times New Roman" w:hAnsi="Times New Roman"/>
                <w:color w:val="000000"/>
                <w:sz w:val="24"/>
              </w:rPr>
              <w:t>ARTICLE XI SINKING FUNDS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11.1</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Applicability of Article</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11.2</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of Sinking Fund Payments with Securities</w:t>
            </w:r>
          </w:p>
        </w:tc>
        <w:tc>
          <w:tcPr>
            <w:tcW w:w="183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1426" w:type="dxa"/>
            <w:tcBorders/>
            <w:shd w:fill="FFFFFF" w:val="clear"/>
            <w:vAlign w:val="center"/>
          </w:tcPr>
          <w:p>
            <w:pPr>
              <w:pStyle w:val="TableContents"/>
              <w:pBdr/>
              <w:bidi w:val="0"/>
              <w:spacing w:before="0" w:after="283"/>
              <w:ind w:left="720" w:right="0" w:hanging="720"/>
              <w:jc w:val="left"/>
              <w:rPr>
                <w:rFonts w:ascii="Times New Roman" w:hAnsi="Times New Roman"/>
                <w:color w:val="000000"/>
                <w:sz w:val="24"/>
              </w:rPr>
            </w:pPr>
            <w:r>
              <w:rPr>
                <w:rFonts w:ascii="Times New Roman" w:hAnsi="Times New Roman"/>
                <w:color w:val="000000"/>
                <w:sz w:val="24"/>
              </w:rPr>
              <w:t>Section 11.3</w:t>
            </w:r>
          </w:p>
        </w:tc>
        <w:tc>
          <w:tcPr>
            <w:tcW w:w="5941" w:type="dxa"/>
            <w:tcBorders/>
            <w:shd w:fill="FFFFFF"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Redemption of Securities for Sinking Fund</w:t>
            </w:r>
          </w:p>
        </w:tc>
        <w:tc>
          <w:tcPr>
            <w:tcW w:w="1831" w:type="dxa"/>
            <w:tcBorders/>
            <w:shd w:fill="FFFFFF" w:val="cle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ATHIRA PHARMA, INC.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Reconciliation and tie between Trust Indenture Act of 1939 and Indenture, dated as of , 20</w:t>
      </w:r>
    </w:p>
    <w:p>
      <w:pPr>
        <w:pStyle w:val="TextBody"/>
        <w:bidi w:val="0"/>
        <w:jc w:val="left"/>
        <w:rPr/>
      </w:pPr>
      <w:r>
        <w:rPr/>
        <w:t> </w:t>
      </w:r>
    </w:p>
    <w:tbl>
      <w:tblPr>
        <w:tblW w:w="2908" w:type="dxa"/>
        <w:jc w:val="left"/>
        <w:tblInd w:w="0" w:type="dxa"/>
        <w:tblLayout w:type="fixed"/>
        <w:tblCellMar>
          <w:top w:w="28" w:type="dxa"/>
          <w:left w:w="28" w:type="dxa"/>
          <w:bottom w:w="28" w:type="dxa"/>
          <w:right w:w="28" w:type="dxa"/>
        </w:tblCellMar>
      </w:tblPr>
      <w:tblGrid>
        <w:gridCol w:w="1186"/>
        <w:gridCol w:w="146"/>
        <w:gridCol w:w="157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310(a)(1)</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7.10</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(a)(2)</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7.10</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(a)(3)</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(a)(4)</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(a)(5)</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7.10</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7.10</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311(a)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7.11</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7.11</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312(a)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10.3</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10.3</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313(a)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(b)(1)</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(b)(2)</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(c)(1)</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7.6</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314(a)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4.2, 10.5</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(c)(1)</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(c)(2)</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(c)(3)</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10.5</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(f)</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 Applicable</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315(a)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7.5</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6.14</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316(a)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2.10</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(a)(1)(A)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6.12</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(a)(1)(B)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6.13</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6.8</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317(a)(1)</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(a)(2)</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6.4</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(b)</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w:t>
            </w:r>
          </w:p>
        </w:tc>
      </w:tr>
      <w:tr>
        <w:trPr/>
        <w:tc>
          <w:tcPr>
            <w:tcW w:w="1186" w:type="dxa"/>
            <w:tcBorders/>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318(a)</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2"/>
        </w:rPr>
      </w:pPr>
      <w:r>
        <w:rPr>
          <w:rFonts w:ascii="Times New Roman" w:hAnsi="Times New Roman"/>
          <w:color w:val="000000"/>
          <w:sz w:val="22"/>
        </w:rPr>
        <w:t>Note: This reconciliation and tie shall not, for any purpose, be deemed to be part of the Indenture.</w:t>
      </w:r>
    </w:p>
    <w:p>
      <w:pPr>
        <w:pStyle w:val="TextBody"/>
        <w:bidi w:val="0"/>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Indenture dated as of , 20 between Athira Pharma, Inc., a company incorporated under the laws of Delaware (the “</w:t>
      </w:r>
      <w:r>
        <w:rPr>
          <w:rFonts w:ascii="Times New Roman" w:hAnsi="Times New Roman"/>
          <w:i/>
          <w:color w:val="000000"/>
          <w:sz w:val="22"/>
        </w:rPr>
        <w:t>Company</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color w:val="000000"/>
          <w:sz w:val="24"/>
        </w:rPr>
        <w:t>[</w:t>
      </w:r>
      <w:r>
        <w:rPr>
          <w:rFonts w:ascii="Times New Roman" w:hAnsi="Times New Roman"/>
          <w:color w:val="000000"/>
          <w:sz w:val="22"/>
        </w:rPr>
        <w:t>__________</w:t>
      </w:r>
      <w:r>
        <w:rPr>
          <w:rFonts w:ascii="Times New Roman" w:hAnsi="Times New Roman"/>
          <w:color w:val="000000"/>
          <w:sz w:val="24"/>
        </w:rPr>
        <w:t>]</w:t>
      </w:r>
      <w:r>
        <w:rPr>
          <w:rFonts w:ascii="Times New Roman" w:hAnsi="Times New Roman"/>
          <w:color w:val="000000"/>
          <w:sz w:val="22"/>
        </w:rPr>
        <w:t>, a national banking association organized under the laws of the United States, as trustee (the “</w:t>
      </w:r>
      <w:r>
        <w:rPr>
          <w:rFonts w:ascii="Times New Roman" w:hAnsi="Times New Roman"/>
          <w:i/>
          <w:color w:val="000000"/>
          <w:sz w:val="22"/>
        </w:rPr>
        <w:t>Trustee</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party agrees as follows for the benefit of the other party and for the equal and ratable benefit of the Holders of the Securities issued under this Indenture.</w:t>
      </w:r>
    </w:p>
    <w:p>
      <w:pPr>
        <w:pStyle w:val="TextBody"/>
        <w:bidi w:val="0"/>
        <w:spacing w:before="220" w:after="283"/>
        <w:jc w:val="center"/>
        <w:rPr>
          <w:rFonts w:ascii="Times New Roman" w:hAnsi="Times New Roman"/>
          <w:b/>
          <w:caps/>
          <w:color w:val="000000"/>
          <w:sz w:val="22"/>
        </w:rPr>
      </w:pPr>
      <w:r>
        <w:rPr>
          <w:rFonts w:ascii="Times New Roman" w:hAnsi="Times New Roman"/>
          <w:b/>
          <w:caps/>
          <w:color w:val="000000"/>
          <w:sz w:val="22"/>
        </w:rPr>
        <w:t>ARTICLE I</w:t>
        <w:br/>
        <w:t>DEFINITIONS AND INCORPORATION BY REFERENCE</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1.1 </w:t>
      </w:r>
      <w:r>
        <w:rPr>
          <w:rFonts w:ascii="Times New Roman" w:hAnsi="Times New Roman"/>
          <w:color w:val="000000"/>
          <w:sz w:val="22"/>
          <w:u w:val="single"/>
        </w:rPr>
        <w:t>Definitions</w:t>
      </w:r>
      <w:r>
        <w:rPr>
          <w:rFonts w:ascii="Times New Roman" w:hAnsi="Times New Roman"/>
          <w:color w:val="000000"/>
          <w:sz w:val="22"/>
        </w:rPr>
        <w:t>.</w:t>
      </w:r>
    </w:p>
    <w:p>
      <w:pPr>
        <w:pStyle w:val="TextBody"/>
        <w:bidi w:val="0"/>
        <w:spacing w:before="220" w:after="283"/>
        <w:jc w:val="left"/>
        <w:rPr/>
      </w:pPr>
      <w:r>
        <w:rPr>
          <w:color w:val="000000"/>
        </w:rPr>
        <w:t>“</w:t>
      </w:r>
      <w:r>
        <w:rPr>
          <w:rFonts w:ascii="Times New Roman" w:hAnsi="Times New Roman"/>
          <w:i/>
          <w:color w:val="000000"/>
          <w:sz w:val="22"/>
        </w:rPr>
        <w:t>Additional Amounts</w:t>
      </w:r>
      <w:r>
        <w:rPr>
          <w:rFonts w:ascii="Times New Roman" w:hAnsi="Times New Roman"/>
          <w:color w:val="000000"/>
          <w:sz w:val="20"/>
        </w:rPr>
        <w:t xml:space="preserve">” </w:t>
      </w:r>
      <w:r>
        <w:rPr>
          <w:rFonts w:ascii="Times New Roman" w:hAnsi="Times New Roman"/>
          <w:color w:val="000000"/>
          <w:sz w:val="22"/>
        </w:rPr>
        <w:t>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220" w:after="283"/>
        <w:jc w:val="left"/>
        <w:rPr/>
      </w:pPr>
      <w:r>
        <w:rPr>
          <w:color w:val="000000"/>
        </w:rPr>
        <w:t>“</w:t>
      </w:r>
      <w:r>
        <w:rPr>
          <w:rFonts w:ascii="Times New Roman" w:hAnsi="Times New Roman"/>
          <w:i/>
          <w:color w:val="000000"/>
          <w:sz w:val="22"/>
        </w:rPr>
        <w:t>Affiliate</w:t>
      </w:r>
      <w:r>
        <w:rPr>
          <w:rFonts w:ascii="Times New Roman" w:hAnsi="Times New Roman"/>
          <w:color w:val="000000"/>
          <w:sz w:val="20"/>
        </w:rPr>
        <w:t xml:space="preserve">” </w:t>
      </w:r>
      <w:r>
        <w:rPr>
          <w:rFonts w:ascii="Times New Roman" w:hAnsi="Times New Roman"/>
          <w:color w:val="000000"/>
          <w:sz w:val="22"/>
        </w:rPr>
        <w:t>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220" w:after="283"/>
        <w:jc w:val="left"/>
        <w:rPr/>
      </w:pPr>
      <w:r>
        <w:rPr>
          <w:color w:val="000000"/>
        </w:rPr>
        <w:t>“</w:t>
      </w:r>
      <w:r>
        <w:rPr>
          <w:rFonts w:ascii="Times New Roman" w:hAnsi="Times New Roman"/>
          <w:i/>
          <w:color w:val="000000"/>
          <w:sz w:val="22"/>
        </w:rPr>
        <w:t>Agent</w:t>
      </w:r>
      <w:r>
        <w:rPr>
          <w:rFonts w:ascii="Times New Roman" w:hAnsi="Times New Roman"/>
          <w:color w:val="000000"/>
          <w:sz w:val="20"/>
        </w:rPr>
        <w:t xml:space="preserve">” </w:t>
      </w:r>
      <w:r>
        <w:rPr>
          <w:rFonts w:ascii="Times New Roman" w:hAnsi="Times New Roman"/>
          <w:color w:val="000000"/>
          <w:sz w:val="22"/>
        </w:rPr>
        <w:t>means any Registrar, Paying Agent or Notice Agent.</w:t>
      </w:r>
    </w:p>
    <w:p>
      <w:pPr>
        <w:pStyle w:val="TextBody"/>
        <w:bidi w:val="0"/>
        <w:spacing w:before="220" w:after="283"/>
        <w:jc w:val="left"/>
        <w:rPr/>
      </w:pPr>
      <w:r>
        <w:rPr>
          <w:color w:val="000000"/>
        </w:rPr>
        <w:t>“</w:t>
      </w:r>
      <w:r>
        <w:rPr>
          <w:rFonts w:ascii="Times New Roman" w:hAnsi="Times New Roman"/>
          <w:i/>
          <w:color w:val="000000"/>
          <w:sz w:val="22"/>
        </w:rPr>
        <w:t>Board of Directors</w:t>
      </w:r>
      <w:r>
        <w:rPr>
          <w:rFonts w:ascii="Times New Roman" w:hAnsi="Times New Roman"/>
          <w:color w:val="000000"/>
          <w:sz w:val="20"/>
        </w:rPr>
        <w:t xml:space="preserve">” </w:t>
      </w:r>
      <w:r>
        <w:rPr>
          <w:rFonts w:ascii="Times New Roman" w:hAnsi="Times New Roman"/>
          <w:color w:val="000000"/>
          <w:sz w:val="22"/>
        </w:rPr>
        <w:t>means the board of directors of the Company or any duly authorized committee thereof.</w:t>
      </w:r>
    </w:p>
    <w:p>
      <w:pPr>
        <w:pStyle w:val="TextBody"/>
        <w:bidi w:val="0"/>
        <w:spacing w:before="220" w:after="283"/>
        <w:jc w:val="left"/>
        <w:rPr/>
      </w:pPr>
      <w:r>
        <w:rPr>
          <w:color w:val="000000"/>
        </w:rPr>
        <w:t>“</w:t>
      </w:r>
      <w:r>
        <w:rPr>
          <w:rFonts w:ascii="Times New Roman" w:hAnsi="Times New Roman"/>
          <w:i/>
          <w:color w:val="000000"/>
          <w:sz w:val="22"/>
        </w:rPr>
        <w:t>Board Resolution</w:t>
      </w:r>
      <w:r>
        <w:rPr>
          <w:rFonts w:ascii="Times New Roman" w:hAnsi="Times New Roman"/>
          <w:color w:val="000000"/>
          <w:sz w:val="20"/>
        </w:rPr>
        <w:t xml:space="preserve">” </w:t>
      </w:r>
      <w:r>
        <w:rPr>
          <w:rFonts w:ascii="Times New Roman" w:hAnsi="Times New Roman"/>
          <w:color w:val="000000"/>
          <w:sz w:val="22"/>
        </w:rPr>
        <w:t>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220" w:after="283"/>
        <w:jc w:val="left"/>
        <w:rPr/>
      </w:pPr>
      <w:r>
        <w:rPr>
          <w:color w:val="000000"/>
        </w:rPr>
        <w:t>“</w:t>
      </w:r>
      <w:r>
        <w:rPr>
          <w:rFonts w:ascii="Times New Roman" w:hAnsi="Times New Roman"/>
          <w:i/>
          <w:color w:val="000000"/>
          <w:sz w:val="22"/>
        </w:rPr>
        <w:t>Business Day</w:t>
      </w:r>
      <w:r>
        <w:rPr>
          <w:rFonts w:ascii="Times New Roman" w:hAnsi="Times New Roman"/>
          <w:color w:val="000000"/>
          <w:sz w:val="20"/>
        </w:rPr>
        <w:t xml:space="preserve">” </w:t>
      </w:r>
      <w:r>
        <w:rPr>
          <w:rFonts w:ascii="Times New Roman" w:hAnsi="Times New Roman"/>
          <w:color w:val="000000"/>
          <w:sz w:val="22"/>
        </w:rPr>
        <w:t>means,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before="220" w:after="283"/>
        <w:jc w:val="left"/>
        <w:rPr/>
      </w:pPr>
      <w:r>
        <w:rPr>
          <w:color w:val="000000"/>
        </w:rPr>
        <w:t>“</w:t>
      </w:r>
      <w:r>
        <w:rPr>
          <w:rFonts w:ascii="Times New Roman" w:hAnsi="Times New Roman"/>
          <w:i/>
          <w:color w:val="000000"/>
          <w:sz w:val="22"/>
        </w:rPr>
        <w:t>Capital Stock</w:t>
      </w:r>
      <w:r>
        <w:rPr>
          <w:rFonts w:ascii="Times New Roman" w:hAnsi="Times New Roman"/>
          <w:color w:val="000000"/>
          <w:sz w:val="20"/>
        </w:rPr>
        <w:t xml:space="preserve">” </w:t>
      </w:r>
      <w:r>
        <w:rPr>
          <w:rFonts w:ascii="Times New Roman" w:hAnsi="Times New Roman"/>
          <w:color w:val="000000"/>
          <w:sz w:val="22"/>
        </w:rPr>
        <w:t>means any and all shares, interests, participations, rights or other equivalents (however designated) of corporate stock.</w:t>
      </w:r>
    </w:p>
    <w:p>
      <w:pPr>
        <w:pStyle w:val="TextBody"/>
        <w:bidi w:val="0"/>
        <w:spacing w:before="220" w:after="283"/>
        <w:jc w:val="left"/>
        <w:rPr/>
      </w:pPr>
      <w:r>
        <w:rPr>
          <w:color w:val="000000"/>
        </w:rPr>
        <w:t>“</w:t>
      </w:r>
      <w:r>
        <w:rPr>
          <w:rFonts w:ascii="Times New Roman" w:hAnsi="Times New Roman"/>
          <w:i/>
          <w:color w:val="000000"/>
          <w:sz w:val="22"/>
        </w:rPr>
        <w:t>Common Stock</w:t>
      </w:r>
      <w:r>
        <w:rPr>
          <w:rFonts w:ascii="Times New Roman" w:hAnsi="Times New Roman"/>
          <w:color w:val="000000"/>
          <w:sz w:val="20"/>
        </w:rPr>
        <w:t xml:space="preserve">” </w:t>
      </w:r>
      <w:r>
        <w:rPr>
          <w:rFonts w:ascii="Times New Roman" w:hAnsi="Times New Roman"/>
          <w:color w:val="000000"/>
          <w:sz w:val="22"/>
        </w:rPr>
        <w:t>means the common stock, par value $0.0001 per share, of the Company.</w:t>
      </w:r>
    </w:p>
    <w:p>
      <w:pPr>
        <w:pStyle w:val="TextBody"/>
        <w:bidi w:val="0"/>
        <w:spacing w:before="220" w:after="283"/>
        <w:jc w:val="left"/>
        <w:rPr/>
      </w:pPr>
      <w:r>
        <w:rPr>
          <w:color w:val="000000"/>
        </w:rPr>
        <w:t>“</w:t>
      </w:r>
      <w:r>
        <w:rPr>
          <w:rFonts w:ascii="Times New Roman" w:hAnsi="Times New Roman"/>
          <w:i/>
          <w:color w:val="000000"/>
          <w:sz w:val="22"/>
        </w:rPr>
        <w:t>Company</w:t>
      </w:r>
      <w:r>
        <w:rPr>
          <w:rFonts w:ascii="Times New Roman" w:hAnsi="Times New Roman"/>
          <w:color w:val="000000"/>
          <w:sz w:val="20"/>
        </w:rPr>
        <w:t xml:space="preserve">” </w:t>
      </w:r>
      <w:r>
        <w:rPr>
          <w:rFonts w:ascii="Times New Roman" w:hAnsi="Times New Roman"/>
          <w:color w:val="000000"/>
          <w:sz w:val="22"/>
        </w:rPr>
        <w:t>means the party named as such above until a successor replaces it and thereafter means the successor.</w:t>
      </w:r>
    </w:p>
    <w:p>
      <w:pPr>
        <w:pStyle w:val="TextBody"/>
        <w:bidi w:val="0"/>
        <w:spacing w:before="220" w:after="283"/>
        <w:jc w:val="left"/>
        <w:rPr/>
      </w:pPr>
      <w:r>
        <w:rPr>
          <w:color w:val="000000"/>
        </w:rPr>
        <w:t>“</w:t>
      </w:r>
      <w:r>
        <w:rPr>
          <w:rFonts w:ascii="Times New Roman" w:hAnsi="Times New Roman"/>
          <w:i/>
          <w:color w:val="000000"/>
          <w:sz w:val="22"/>
        </w:rPr>
        <w:t>Company Order</w:t>
      </w:r>
      <w:r>
        <w:rPr>
          <w:rFonts w:ascii="Times New Roman" w:hAnsi="Times New Roman"/>
          <w:color w:val="000000"/>
          <w:sz w:val="20"/>
        </w:rPr>
        <w:t xml:space="preserve">” </w:t>
      </w:r>
      <w:r>
        <w:rPr>
          <w:rFonts w:ascii="Times New Roman" w:hAnsi="Times New Roman"/>
          <w:color w:val="000000"/>
          <w:sz w:val="22"/>
        </w:rPr>
        <w:t>means a written order signed in the name of the Company by an Officer.</w:t>
      </w:r>
    </w:p>
    <w:p>
      <w:pPr>
        <w:pStyle w:val="TextBody"/>
        <w:bidi w:val="0"/>
        <w:spacing w:before="220" w:after="283"/>
        <w:jc w:val="left"/>
        <w:rPr/>
      </w:pPr>
      <w:r>
        <w:rPr>
          <w:color w:val="000000"/>
        </w:rPr>
        <w:t>“</w:t>
      </w:r>
      <w:r>
        <w:rPr>
          <w:rFonts w:ascii="Times New Roman" w:hAnsi="Times New Roman"/>
          <w:i/>
          <w:color w:val="000000"/>
          <w:sz w:val="22"/>
        </w:rPr>
        <w:t>Corporate Trust Office</w:t>
      </w:r>
      <w:r>
        <w:rPr>
          <w:rFonts w:ascii="Times New Roman" w:hAnsi="Times New Roman"/>
          <w:color w:val="000000"/>
          <w:sz w:val="20"/>
        </w:rPr>
        <w:t xml:space="preserve">” </w:t>
      </w:r>
      <w:r>
        <w:rPr>
          <w:rFonts w:ascii="Times New Roman" w:hAnsi="Times New Roman"/>
          <w:color w:val="000000"/>
          <w:sz w:val="22"/>
        </w:rPr>
        <w:t>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from time to time by written notice to the Holders and the Company, or the principal corporate trust office of any successor Trustee (or such other address as such successor Trustee may designate from time to time by written notice to the Holders and the Company).</w:t>
      </w:r>
    </w:p>
    <w:p>
      <w:pPr>
        <w:pStyle w:val="TextBody"/>
        <w:bidi w:val="0"/>
        <w:spacing w:before="220" w:after="283"/>
        <w:jc w:val="left"/>
        <w:rPr/>
      </w:pPr>
      <w:r>
        <w:rPr>
          <w:color w:val="000000"/>
        </w:rPr>
        <w:t>“</w:t>
      </w:r>
      <w:r>
        <w:rPr>
          <w:rFonts w:ascii="Times New Roman" w:hAnsi="Times New Roman"/>
          <w:i/>
          <w:color w:val="000000"/>
          <w:sz w:val="22"/>
        </w:rPr>
        <w:t>Default</w:t>
      </w:r>
      <w:r>
        <w:rPr>
          <w:rFonts w:ascii="Times New Roman" w:hAnsi="Times New Roman"/>
          <w:color w:val="000000"/>
          <w:sz w:val="20"/>
        </w:rPr>
        <w:t xml:space="preserve">” </w:t>
      </w:r>
      <w:r>
        <w:rPr>
          <w:rFonts w:ascii="Times New Roman" w:hAnsi="Times New Roman"/>
          <w:color w:val="000000"/>
          <w:sz w:val="22"/>
        </w:rPr>
        <w:t>means any event which is, or after notice or passage of time or both would be, an Event of Default.</w:t>
      </w:r>
    </w:p>
    <w:p>
      <w:pPr>
        <w:pStyle w:val="TextBody"/>
        <w:bidi w:val="0"/>
        <w:spacing w:before="220" w:after="283"/>
        <w:jc w:val="left"/>
        <w:rPr/>
      </w:pPr>
      <w:r>
        <w:rPr>
          <w:color w:val="000000"/>
        </w:rPr>
        <w:t>“</w:t>
      </w:r>
      <w:r>
        <w:rPr>
          <w:rFonts w:ascii="Times New Roman" w:hAnsi="Times New Roman"/>
          <w:i/>
          <w:color w:val="000000"/>
          <w:sz w:val="22"/>
        </w:rPr>
        <w:t>Depositary</w:t>
      </w:r>
      <w:r>
        <w:rPr>
          <w:rFonts w:ascii="Times New Roman" w:hAnsi="Times New Roman"/>
          <w:color w:val="000000"/>
          <w:sz w:val="20"/>
        </w:rPr>
        <w:t xml:space="preserve">” </w:t>
      </w:r>
      <w:r>
        <w:rPr>
          <w:rFonts w:ascii="Times New Roman" w:hAnsi="Times New Roman"/>
          <w:color w:val="000000"/>
          <w:sz w:val="22"/>
        </w:rPr>
        <w:t>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220" w:after="283"/>
        <w:jc w:val="left"/>
        <w:rPr/>
      </w:pPr>
      <w:r>
        <w:rPr>
          <w:color w:val="000000"/>
        </w:rPr>
        <w:t>“</w:t>
      </w:r>
      <w:r>
        <w:rPr>
          <w:rFonts w:ascii="Times New Roman" w:hAnsi="Times New Roman"/>
          <w:i/>
          <w:color w:val="000000"/>
          <w:sz w:val="22"/>
        </w:rPr>
        <w:t>Discount Security</w:t>
      </w:r>
      <w:r>
        <w:rPr>
          <w:rFonts w:ascii="Times New Roman" w:hAnsi="Times New Roman"/>
          <w:color w:val="000000"/>
          <w:sz w:val="20"/>
        </w:rPr>
        <w:t xml:space="preserve">” </w:t>
      </w:r>
      <w:r>
        <w:rPr>
          <w:rFonts w:ascii="Times New Roman" w:hAnsi="Times New Roman"/>
          <w:color w:val="000000"/>
          <w:sz w:val="22"/>
        </w:rPr>
        <w:t>means any Security that provides for an amount less than the stated principal amount thereof to be due and payable upon declaration of acceleration of the maturity thereof pursuant to Section 6.2.</w:t>
      </w:r>
    </w:p>
    <w:p>
      <w:pPr>
        <w:pStyle w:val="TextBody"/>
        <w:bidi w:val="0"/>
        <w:spacing w:before="220" w:after="283"/>
        <w:jc w:val="left"/>
        <w:rPr/>
      </w:pPr>
      <w:r>
        <w:rPr>
          <w:color w:val="000000"/>
        </w:rPr>
        <w:t>“</w:t>
      </w:r>
      <w:r>
        <w:rPr>
          <w:rFonts w:ascii="Times New Roman" w:hAnsi="Times New Roman"/>
          <w:i/>
          <w:color w:val="000000"/>
          <w:sz w:val="22"/>
        </w:rPr>
        <w:t>Dollars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means the currency of The United States of America.</w:t>
      </w:r>
    </w:p>
    <w:p>
      <w:pPr>
        <w:pStyle w:val="TextBody"/>
        <w:bidi w:val="0"/>
        <w:spacing w:before="220" w:after="283"/>
        <w:jc w:val="left"/>
        <w:rPr/>
      </w:pPr>
      <w:r>
        <w:rPr>
          <w:color w:val="000000"/>
        </w:rPr>
        <w:t>“</w:t>
      </w:r>
      <w:r>
        <w:rPr>
          <w:rFonts w:ascii="Times New Roman" w:hAnsi="Times New Roman"/>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Securities Exchange Act of 1934, as amended.</w:t>
      </w:r>
    </w:p>
    <w:p>
      <w:pPr>
        <w:pStyle w:val="TextBody"/>
        <w:bidi w:val="0"/>
        <w:spacing w:before="220" w:after="283"/>
        <w:jc w:val="left"/>
        <w:rPr/>
      </w:pPr>
      <w:r>
        <w:rPr>
          <w:color w:val="000000"/>
        </w:rPr>
        <w:t>“</w:t>
      </w:r>
      <w:r>
        <w:rPr>
          <w:rFonts w:ascii="Times New Roman" w:hAnsi="Times New Roman"/>
          <w:i/>
          <w:color w:val="000000"/>
          <w:sz w:val="22"/>
        </w:rPr>
        <w:t>Foreign Currency</w:t>
      </w:r>
      <w:r>
        <w:rPr>
          <w:rFonts w:ascii="Times New Roman" w:hAnsi="Times New Roman"/>
          <w:color w:val="000000"/>
          <w:sz w:val="20"/>
        </w:rPr>
        <w:t xml:space="preserve">” </w:t>
      </w:r>
      <w:r>
        <w:rPr>
          <w:rFonts w:ascii="Times New Roman" w:hAnsi="Times New Roman"/>
          <w:color w:val="000000"/>
          <w:sz w:val="22"/>
        </w:rPr>
        <w:t>means any currency or currency unit issued by a government other than the government of The United States of America.</w:t>
      </w:r>
    </w:p>
    <w:p>
      <w:pPr>
        <w:pStyle w:val="TextBody"/>
        <w:bidi w:val="0"/>
        <w:spacing w:before="220" w:after="283"/>
        <w:jc w:val="left"/>
        <w:rPr/>
      </w:pPr>
      <w:r>
        <w:rPr>
          <w:color w:val="000000"/>
        </w:rPr>
        <w:t>“</w:t>
      </w:r>
      <w:r>
        <w:rPr>
          <w:rFonts w:ascii="Times New Roman" w:hAnsi="Times New Roman"/>
          <w:i/>
          <w:color w:val="000000"/>
          <w:sz w:val="22"/>
        </w:rPr>
        <w:t>Foreign Government Obligations</w:t>
      </w:r>
      <w:r>
        <w:rPr>
          <w:rFonts w:ascii="Times New Roman" w:hAnsi="Times New Roman"/>
          <w:color w:val="000000"/>
          <w:sz w:val="20"/>
        </w:rPr>
        <w:t xml:space="preserve">” </w:t>
      </w:r>
      <w:r>
        <w:rPr>
          <w:rFonts w:ascii="Times New Roman" w:hAnsi="Times New Roman"/>
          <w:color w:val="000000"/>
          <w:sz w:val="22"/>
        </w:rPr>
        <w:t>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220" w:after="283"/>
        <w:jc w:val="left"/>
        <w:rPr/>
      </w:pPr>
      <w:r>
        <w:rPr>
          <w:color w:val="000000"/>
        </w:rPr>
        <w:t>“</w:t>
      </w:r>
      <w:r>
        <w:rPr>
          <w:rFonts w:ascii="Times New Roman" w:hAnsi="Times New Roman"/>
          <w:i/>
          <w:color w:val="000000"/>
          <w:sz w:val="22"/>
        </w:rPr>
        <w:t>GAAP”</w:t>
      </w:r>
      <w:r>
        <w:rPr>
          <w:rFonts w:ascii="Times New Roman" w:hAnsi="Times New Roman"/>
          <w:color w:val="000000"/>
          <w:sz w:val="20"/>
        </w:rPr>
        <w:t xml:space="preserve"> </w:t>
      </w:r>
      <w:r>
        <w:rPr>
          <w:rFonts w:ascii="Times New Roman" w:hAnsi="Times New Roman"/>
          <w:color w:val="000000"/>
          <w:sz w:val="22"/>
        </w:rPr>
        <w:t>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220" w:after="283"/>
        <w:jc w:val="left"/>
        <w:rPr/>
      </w:pPr>
      <w:r>
        <w:rPr>
          <w:color w:val="000000"/>
        </w:rPr>
        <w:t>“</w:t>
      </w:r>
      <w:r>
        <w:rPr>
          <w:rFonts w:ascii="Times New Roman" w:hAnsi="Times New Roman"/>
          <w:i/>
          <w:color w:val="000000"/>
          <w:sz w:val="22"/>
        </w:rPr>
        <w:t>Global Security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Global Securities</w:t>
      </w:r>
      <w:r>
        <w:rPr>
          <w:rFonts w:ascii="Times New Roman" w:hAnsi="Times New Roman"/>
          <w:color w:val="000000"/>
          <w:sz w:val="20"/>
        </w:rPr>
        <w:t xml:space="preserve">” </w:t>
      </w:r>
      <w:r>
        <w:rPr>
          <w:rFonts w:ascii="Times New Roman" w:hAnsi="Times New Roman"/>
          <w:color w:val="000000"/>
          <w:sz w:val="22"/>
        </w:rPr>
        <w:t>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220" w:after="283"/>
        <w:jc w:val="left"/>
        <w:rPr/>
      </w:pPr>
      <w:r>
        <w:rPr>
          <w:color w:val="000000"/>
        </w:rPr>
        <w:t>“</w:t>
      </w:r>
      <w:r>
        <w:rPr>
          <w:rFonts w:ascii="Times New Roman" w:hAnsi="Times New Roman"/>
          <w:i/>
          <w:color w:val="000000"/>
          <w:sz w:val="22"/>
        </w:rPr>
        <w:t>Holder</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Securityholder</w:t>
      </w:r>
      <w:r>
        <w:rPr>
          <w:rFonts w:ascii="Times New Roman" w:hAnsi="Times New Roman"/>
          <w:color w:val="000000"/>
          <w:sz w:val="20"/>
        </w:rPr>
        <w:t xml:space="preserve">” </w:t>
      </w:r>
      <w:r>
        <w:rPr>
          <w:rFonts w:ascii="Times New Roman" w:hAnsi="Times New Roman"/>
          <w:color w:val="000000"/>
          <w:sz w:val="22"/>
        </w:rPr>
        <w:t>means a person in whose name a Security is registered on the books of the Registrar.</w:t>
      </w:r>
    </w:p>
    <w:p>
      <w:pPr>
        <w:pStyle w:val="TextBody"/>
        <w:bidi w:val="0"/>
        <w:spacing w:before="220" w:after="283"/>
        <w:jc w:val="left"/>
        <w:rPr/>
      </w:pPr>
      <w:r>
        <w:rPr>
          <w:color w:val="000000"/>
        </w:rPr>
        <w:t>“</w:t>
      </w:r>
      <w:r>
        <w:rPr>
          <w:rFonts w:ascii="Times New Roman" w:hAnsi="Times New Roman"/>
          <w:i/>
          <w:color w:val="000000"/>
          <w:sz w:val="22"/>
        </w:rPr>
        <w:t>Indenture</w:t>
      </w:r>
      <w:r>
        <w:rPr>
          <w:rFonts w:ascii="Times New Roman" w:hAnsi="Times New Roman"/>
          <w:color w:val="000000"/>
          <w:sz w:val="20"/>
        </w:rPr>
        <w:t xml:space="preserve">” </w:t>
      </w:r>
      <w:r>
        <w:rPr>
          <w:rFonts w:ascii="Times New Roman" w:hAnsi="Times New Roman"/>
          <w:color w:val="000000"/>
          <w:sz w:val="22"/>
        </w:rPr>
        <w:t>means this Indenture as amended or supplemented from time to time and shall include the form and terms of particular Series of Securities established as contemplated hereunder.</w:t>
      </w:r>
    </w:p>
    <w:p>
      <w:pPr>
        <w:pStyle w:val="TextBody"/>
        <w:bidi w:val="0"/>
        <w:spacing w:before="220" w:after="283"/>
        <w:jc w:val="left"/>
        <w:rPr/>
      </w:pPr>
      <w:r>
        <w:rPr>
          <w:color w:val="000000"/>
        </w:rPr>
        <w:t>“</w:t>
      </w:r>
      <w:r>
        <w:rPr>
          <w:rFonts w:ascii="Times New Roman" w:hAnsi="Times New Roman"/>
          <w:i/>
          <w:color w:val="000000"/>
          <w:sz w:val="22"/>
        </w:rPr>
        <w:t>interest</w:t>
      </w:r>
      <w:r>
        <w:rPr>
          <w:rFonts w:ascii="Times New Roman" w:hAnsi="Times New Roman"/>
          <w:color w:val="000000"/>
          <w:sz w:val="20"/>
        </w:rPr>
        <w:t xml:space="preserve">” </w:t>
      </w:r>
      <w:r>
        <w:rPr>
          <w:rFonts w:ascii="Times New Roman" w:hAnsi="Times New Roman"/>
          <w:color w:val="000000"/>
          <w:sz w:val="22"/>
        </w:rPr>
        <w:t>with respect to any Discount Security which by its terms bears interest only after Maturity, means interest payable after Maturity.</w:t>
      </w:r>
    </w:p>
    <w:p>
      <w:pPr>
        <w:pStyle w:val="TextBody"/>
        <w:bidi w:val="0"/>
        <w:spacing w:before="220" w:after="283"/>
        <w:jc w:val="left"/>
        <w:rPr/>
      </w:pPr>
      <w:r>
        <w:rPr>
          <w:color w:val="000000"/>
        </w:rPr>
        <w:t>“</w:t>
      </w:r>
      <w:r>
        <w:rPr>
          <w:rFonts w:ascii="Times New Roman" w:hAnsi="Times New Roman"/>
          <w:i/>
          <w:color w:val="000000"/>
          <w:sz w:val="22"/>
        </w:rPr>
        <w:t>Maturity</w:t>
      </w:r>
      <w:r>
        <w:rPr>
          <w:rFonts w:ascii="Times New Roman" w:hAnsi="Times New Roman"/>
          <w:color w:val="000000"/>
          <w:sz w:val="22"/>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pPr>
      <w:r>
        <w:rPr>
          <w:color w:val="000000"/>
        </w:rPr>
        <w:t>“</w:t>
      </w:r>
      <w:r>
        <w:rPr>
          <w:rFonts w:ascii="Times New Roman" w:hAnsi="Times New Roman"/>
          <w:i/>
          <w:color w:val="000000"/>
          <w:sz w:val="22"/>
        </w:rPr>
        <w:t>Officer</w:t>
      </w:r>
      <w:r>
        <w:rPr>
          <w:rFonts w:ascii="Times New Roman" w:hAnsi="Times New Roman"/>
          <w:color w:val="000000"/>
          <w:sz w:val="20"/>
        </w:rPr>
        <w:t xml:space="preserve">” </w:t>
      </w:r>
      <w:r>
        <w:rPr>
          <w:rFonts w:ascii="Times New Roman" w:hAnsi="Times New Roman"/>
          <w:color w:val="000000"/>
          <w:sz w:val="22"/>
        </w:rPr>
        <w:t>means the Chief Executive Officer, President, the Chief Financial Officer, the Treasurer or any Assistant Treasurer, the Secretary or any Assistant Secretary, and any Vice President of the Company.</w:t>
      </w:r>
    </w:p>
    <w:p>
      <w:pPr>
        <w:pStyle w:val="TextBody"/>
        <w:bidi w:val="0"/>
        <w:spacing w:before="220" w:after="283"/>
        <w:jc w:val="left"/>
        <w:rPr/>
      </w:pPr>
      <w:r>
        <w:rPr>
          <w:color w:val="000000"/>
        </w:rPr>
        <w:t>“</w:t>
      </w:r>
      <w:r>
        <w:rPr>
          <w:rFonts w:ascii="Times New Roman" w:hAnsi="Times New Roman"/>
          <w:i/>
          <w:color w:val="000000"/>
          <w:sz w:val="22"/>
        </w:rPr>
        <w:t>Officer’s Certificate</w:t>
      </w:r>
      <w:r>
        <w:rPr>
          <w:rFonts w:ascii="Times New Roman" w:hAnsi="Times New Roman"/>
          <w:color w:val="000000"/>
          <w:sz w:val="20"/>
        </w:rPr>
        <w:t xml:space="preserve">” </w:t>
      </w:r>
      <w:r>
        <w:rPr>
          <w:rFonts w:ascii="Times New Roman" w:hAnsi="Times New Roman"/>
          <w:color w:val="000000"/>
          <w:sz w:val="22"/>
        </w:rPr>
        <w:t>means a certificate signed by any Officer that meets the requirements of Section 10.5.</w:t>
      </w:r>
    </w:p>
    <w:p>
      <w:pPr>
        <w:pStyle w:val="TextBody"/>
        <w:bidi w:val="0"/>
        <w:spacing w:before="220" w:after="283"/>
        <w:jc w:val="left"/>
        <w:rPr/>
      </w:pPr>
      <w:r>
        <w:rPr>
          <w:color w:val="000000"/>
        </w:rPr>
        <w:t>“</w:t>
      </w:r>
      <w:r>
        <w:rPr>
          <w:rFonts w:ascii="Times New Roman" w:hAnsi="Times New Roman"/>
          <w:i/>
          <w:color w:val="000000"/>
          <w:sz w:val="22"/>
        </w:rPr>
        <w:t>Opinion of Counsel</w:t>
      </w:r>
      <w:r>
        <w:rPr>
          <w:rFonts w:ascii="Times New Roman" w:hAnsi="Times New Roman"/>
          <w:color w:val="000000"/>
          <w:sz w:val="20"/>
        </w:rPr>
        <w:t xml:space="preserve">” </w:t>
      </w:r>
      <w:r>
        <w:rPr>
          <w:rFonts w:ascii="Times New Roman" w:hAnsi="Times New Roman"/>
          <w:color w:val="000000"/>
          <w:sz w:val="22"/>
        </w:rPr>
        <w:t>means a written opinion of legal counsel who is acceptable to the Trustee. The opinion may contain customary limitations, qualifications, conditions and exceptions. The counsel may be an employee of or counsel to the Company.</w:t>
      </w:r>
    </w:p>
    <w:p>
      <w:pPr>
        <w:pStyle w:val="TextBody"/>
        <w:bidi w:val="0"/>
        <w:spacing w:before="220" w:after="283"/>
        <w:jc w:val="left"/>
        <w:rPr/>
      </w:pPr>
      <w:r>
        <w:rPr>
          <w:color w:val="000000"/>
        </w:rPr>
        <w:t>“</w:t>
      </w:r>
      <w:r>
        <w:rPr>
          <w:rFonts w:ascii="Times New Roman" w:hAnsi="Times New Roman"/>
          <w:i/>
          <w:color w:val="000000"/>
          <w:sz w:val="22"/>
        </w:rPr>
        <w:t>person</w:t>
      </w:r>
      <w:r>
        <w:rPr>
          <w:rFonts w:ascii="Times New Roman" w:hAnsi="Times New Roman"/>
          <w:color w:val="000000"/>
          <w:sz w:val="20"/>
        </w:rPr>
        <w:t xml:space="preserve">” </w:t>
      </w:r>
      <w:r>
        <w:rPr>
          <w:rFonts w:ascii="Times New Roman" w:hAnsi="Times New Roman"/>
          <w:color w:val="000000"/>
          <w:sz w:val="22"/>
        </w:rPr>
        <w:t>means any individual, corporation, partnership, joint venture, association, limited liability company, joint-stock company, trust, unincorporated organization or government or any agency or political subdivision thereof.</w:t>
      </w:r>
    </w:p>
    <w:p>
      <w:pPr>
        <w:pStyle w:val="TextBody"/>
        <w:bidi w:val="0"/>
        <w:spacing w:before="220" w:after="283"/>
        <w:jc w:val="left"/>
        <w:rPr/>
      </w:pPr>
      <w:r>
        <w:rPr>
          <w:color w:val="000000"/>
        </w:rPr>
        <w:t>“</w:t>
      </w:r>
      <w:r>
        <w:rPr>
          <w:rFonts w:ascii="Times New Roman" w:hAnsi="Times New Roman"/>
          <w:i/>
          <w:color w:val="000000"/>
          <w:sz w:val="22"/>
        </w:rPr>
        <w:t>principal</w:t>
      </w:r>
      <w:r>
        <w:rPr>
          <w:rFonts w:ascii="Times New Roman" w:hAnsi="Times New Roman"/>
          <w:color w:val="000000"/>
          <w:sz w:val="20"/>
        </w:rPr>
        <w:t xml:space="preserve">” </w:t>
      </w:r>
      <w:r>
        <w:rPr>
          <w:rFonts w:ascii="Times New Roman" w:hAnsi="Times New Roman"/>
          <w:color w:val="000000"/>
          <w:sz w:val="22"/>
        </w:rPr>
        <w:t>of a Security means the principal of the Security plus, when appropriate, the premium, if any, on, and any Additional Amounts in respect of, the Security.</w:t>
      </w:r>
    </w:p>
    <w:p>
      <w:pPr>
        <w:pStyle w:val="TextBody"/>
        <w:bidi w:val="0"/>
        <w:spacing w:before="220" w:after="283"/>
        <w:jc w:val="left"/>
        <w:rPr/>
      </w:pPr>
      <w:r>
        <w:rPr>
          <w:color w:val="000000"/>
        </w:rPr>
        <w:t>“</w:t>
      </w:r>
      <w:r>
        <w:rPr>
          <w:rFonts w:ascii="Times New Roman" w:hAnsi="Times New Roman"/>
          <w:i/>
          <w:color w:val="000000"/>
          <w:sz w:val="22"/>
        </w:rPr>
        <w:t>Responsible Officer</w:t>
      </w:r>
      <w:r>
        <w:rPr>
          <w:rFonts w:ascii="Times New Roman" w:hAnsi="Times New Roman"/>
          <w:color w:val="000000"/>
          <w:sz w:val="20"/>
        </w:rPr>
        <w:t xml:space="preserve">” </w:t>
      </w:r>
      <w:r>
        <w:rPr>
          <w:rFonts w:ascii="Times New Roman" w:hAnsi="Times New Roman"/>
          <w:color w:val="000000"/>
          <w:sz w:val="22"/>
        </w:rPr>
        <w:t>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220" w:after="283"/>
        <w:jc w:val="left"/>
        <w:rPr/>
      </w:pPr>
      <w:r>
        <w:rPr>
          <w:color w:val="000000"/>
        </w:rPr>
        <w:t>“</w:t>
      </w:r>
      <w:r>
        <w:rPr>
          <w:rFonts w:ascii="Times New Roman" w:hAnsi="Times New Roman"/>
          <w:i/>
          <w:color w:val="000000"/>
          <w:sz w:val="22"/>
        </w:rPr>
        <w:t>SEC</w:t>
      </w:r>
      <w:r>
        <w:rPr>
          <w:rFonts w:ascii="Times New Roman" w:hAnsi="Times New Roman"/>
          <w:color w:val="000000"/>
          <w:sz w:val="20"/>
        </w:rPr>
        <w:t xml:space="preserve">” </w:t>
      </w:r>
      <w:r>
        <w:rPr>
          <w:rFonts w:ascii="Times New Roman" w:hAnsi="Times New Roman"/>
          <w:color w:val="000000"/>
          <w:sz w:val="22"/>
        </w:rPr>
        <w:t>means the Securities and Exchange Commission.</w:t>
      </w:r>
    </w:p>
    <w:p>
      <w:pPr>
        <w:pStyle w:val="TextBody"/>
        <w:bidi w:val="0"/>
        <w:spacing w:before="220" w:after="283"/>
        <w:jc w:val="left"/>
        <w:rPr/>
      </w:pPr>
      <w:r>
        <w:rPr>
          <w:color w:val="000000"/>
        </w:rPr>
        <w:t>“</w:t>
      </w:r>
      <w:r>
        <w:rPr>
          <w:rFonts w:ascii="Times New Roman" w:hAnsi="Times New Roman"/>
          <w:i/>
          <w:color w:val="000000"/>
          <w:sz w:val="22"/>
        </w:rPr>
        <w:t>Securities</w:t>
      </w:r>
      <w:r>
        <w:rPr>
          <w:rFonts w:ascii="Times New Roman" w:hAnsi="Times New Roman"/>
          <w:color w:val="000000"/>
          <w:sz w:val="20"/>
        </w:rPr>
        <w:t xml:space="preserve">” </w:t>
      </w:r>
      <w:r>
        <w:rPr>
          <w:rFonts w:ascii="Times New Roman" w:hAnsi="Times New Roman"/>
          <w:color w:val="000000"/>
          <w:sz w:val="22"/>
        </w:rPr>
        <w:t>means the debentures, notes or other debt instruments of the Company of any Series authenticated and delivered under this Indenture.</w:t>
      </w:r>
    </w:p>
    <w:p>
      <w:pPr>
        <w:pStyle w:val="TextBody"/>
        <w:bidi w:val="0"/>
        <w:spacing w:before="220" w:after="283"/>
        <w:jc w:val="left"/>
        <w:rPr/>
      </w:pPr>
      <w:r>
        <w:rPr>
          <w:color w:val="000000"/>
        </w:rPr>
        <w:t>“</w:t>
      </w:r>
      <w:r>
        <w:rPr>
          <w:rFonts w:ascii="Times New Roman" w:hAnsi="Times New Roman"/>
          <w:i/>
          <w:color w:val="000000"/>
          <w:sz w:val="22"/>
        </w:rPr>
        <w:t>Series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Series of Securities</w:t>
      </w:r>
      <w:r>
        <w:rPr>
          <w:rFonts w:ascii="Times New Roman" w:hAnsi="Times New Roman"/>
          <w:color w:val="000000"/>
          <w:sz w:val="20"/>
        </w:rPr>
        <w:t xml:space="preserve">” </w:t>
      </w:r>
      <w:r>
        <w:rPr>
          <w:rFonts w:ascii="Times New Roman" w:hAnsi="Times New Roman"/>
          <w:color w:val="000000"/>
          <w:sz w:val="22"/>
        </w:rPr>
        <w:t>means each series of debentures, notes or other debt instruments of the Company created pursuant to Sections 2.1 and 2.2 hereof.</w:t>
      </w:r>
    </w:p>
    <w:p>
      <w:pPr>
        <w:pStyle w:val="TextBody"/>
        <w:bidi w:val="0"/>
        <w:spacing w:before="220" w:after="283"/>
        <w:jc w:val="left"/>
        <w:rPr/>
      </w:pPr>
      <w:r>
        <w:rPr>
          <w:color w:val="000000"/>
        </w:rPr>
        <w:t>“</w:t>
      </w:r>
      <w:r>
        <w:rPr>
          <w:rFonts w:ascii="Times New Roman" w:hAnsi="Times New Roman"/>
          <w:i/>
          <w:color w:val="000000"/>
          <w:sz w:val="22"/>
        </w:rPr>
        <w:t>Stated Maturity</w:t>
      </w:r>
      <w:r>
        <w:rPr>
          <w:rFonts w:ascii="Times New Roman" w:hAnsi="Times New Roman"/>
          <w:color w:val="000000"/>
          <w:sz w:val="20"/>
        </w:rPr>
        <w:t xml:space="preserve">” </w:t>
      </w:r>
      <w:r>
        <w:rPr>
          <w:rFonts w:ascii="Times New Roman" w:hAnsi="Times New Roman"/>
          <w:color w:val="000000"/>
          <w:sz w:val="22"/>
        </w:rPr>
        <w:t>when used with respect to any Security, means the date specified in such Security as the fixed date on which the principal of such Security or interest is due and payable.</w:t>
      </w:r>
    </w:p>
    <w:p>
      <w:pPr>
        <w:pStyle w:val="TextBody"/>
        <w:bidi w:val="0"/>
        <w:spacing w:before="220" w:after="283"/>
        <w:jc w:val="left"/>
        <w:rPr/>
      </w:pPr>
      <w:r>
        <w:rPr>
          <w:color w:val="000000"/>
        </w:rPr>
        <w:t>“</w:t>
      </w:r>
      <w:r>
        <w:rPr>
          <w:rFonts w:ascii="Times New Roman" w:hAnsi="Times New Roman"/>
          <w:i/>
          <w:color w:val="000000"/>
          <w:sz w:val="22"/>
        </w:rPr>
        <w:t>Subsidiary</w:t>
      </w:r>
      <w:r>
        <w:rPr>
          <w:rFonts w:ascii="Times New Roman" w:hAnsi="Times New Roman"/>
          <w:color w:val="000000"/>
          <w:sz w:val="20"/>
        </w:rPr>
        <w:t xml:space="preserve">” </w:t>
      </w:r>
      <w:r>
        <w:rPr>
          <w:rFonts w:ascii="Times New Roman" w:hAnsi="Times New Roman"/>
          <w:color w:val="000000"/>
          <w:sz w:val="22"/>
        </w:rPr>
        <w:t>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pStyle w:val="TextBody"/>
        <w:bidi w:val="0"/>
        <w:spacing w:before="220" w:after="283"/>
        <w:jc w:val="left"/>
        <w:rPr/>
      </w:pPr>
      <w:r>
        <w:rPr>
          <w:color w:val="000000"/>
        </w:rPr>
        <w:t>“</w:t>
      </w:r>
      <w:r>
        <w:rPr>
          <w:rFonts w:ascii="Times New Roman" w:hAnsi="Times New Roman"/>
          <w:i/>
          <w:color w:val="000000"/>
          <w:sz w:val="22"/>
        </w:rPr>
        <w:t>TIA</w:t>
      </w:r>
      <w:r>
        <w:rPr>
          <w:rFonts w:ascii="Times New Roman" w:hAnsi="Times New Roman"/>
          <w:color w:val="000000"/>
          <w:sz w:val="20"/>
        </w:rPr>
        <w:t xml:space="preserve">” </w:t>
      </w:r>
      <w:r>
        <w:rPr>
          <w:rFonts w:ascii="Times New Roman" w:hAnsi="Times New Roman"/>
          <w:color w:val="000000"/>
          <w:sz w:val="22"/>
        </w:rPr>
        <w:t xml:space="preserve">means the Trust Indenture Act of 1939 (15 U.S. Code §§ 77aaa-77bbbb) as in effect on the date of this Indenture;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the Trust Indenture Act of 1939 is amended after such date, “TIA” means, to the extent required by any such amendment, the Trust Indenture Act as so amended.</w:t>
      </w:r>
    </w:p>
    <w:p>
      <w:pPr>
        <w:pStyle w:val="TextBody"/>
        <w:bidi w:val="0"/>
        <w:spacing w:before="220" w:after="283"/>
        <w:jc w:val="left"/>
        <w:rPr/>
      </w:pPr>
      <w:r>
        <w:rPr>
          <w:color w:val="000000"/>
        </w:rPr>
        <w:t>“</w:t>
      </w:r>
      <w:r>
        <w:rPr>
          <w:rFonts w:ascii="Times New Roman" w:hAnsi="Times New Roman"/>
          <w:i/>
          <w:color w:val="000000"/>
          <w:sz w:val="22"/>
        </w:rPr>
        <w:t>Trustee</w:t>
      </w:r>
      <w:r>
        <w:rPr>
          <w:rFonts w:ascii="Times New Roman" w:hAnsi="Times New Roman"/>
          <w:color w:val="000000"/>
          <w:sz w:val="20"/>
        </w:rPr>
        <w:t xml:space="preserve">” </w:t>
      </w:r>
      <w:r>
        <w:rPr>
          <w:rFonts w:ascii="Times New Roman" w:hAnsi="Times New Roman"/>
          <w:color w:val="000000"/>
          <w:sz w:val="22"/>
        </w:rPr>
        <w:t>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pPr>
      <w:r>
        <w:rPr>
          <w:color w:val="000000"/>
        </w:rPr>
        <w:t>“</w:t>
      </w:r>
      <w:r>
        <w:rPr>
          <w:rFonts w:ascii="Times New Roman" w:hAnsi="Times New Roman"/>
          <w:i/>
          <w:color w:val="000000"/>
          <w:sz w:val="22"/>
        </w:rPr>
        <w:t>U.S. Government Obligations</w:t>
      </w:r>
      <w:r>
        <w:rPr>
          <w:rFonts w:ascii="Times New Roman" w:hAnsi="Times New Roman"/>
          <w:color w:val="000000"/>
          <w:sz w:val="20"/>
        </w:rPr>
        <w:t xml:space="preserve">” </w:t>
      </w:r>
      <w:r>
        <w:rPr>
          <w:rFonts w:ascii="Times New Roman" w:hAnsi="Times New Roman"/>
          <w:color w:val="000000"/>
          <w:sz w:val="22"/>
        </w:rPr>
        <w:t xml:space="preserve">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1.2 </w:t>
      </w:r>
      <w:r>
        <w:rPr>
          <w:rFonts w:ascii="Times New Roman" w:hAnsi="Times New Roman"/>
          <w:color w:val="000000"/>
          <w:sz w:val="22"/>
          <w:u w:val="single"/>
        </w:rPr>
        <w:t>Other Definitions</w:t>
      </w:r>
      <w:r>
        <w:rPr>
          <w:rFonts w:ascii="Times New Roman" w:hAnsi="Times New Roman"/>
          <w:color w:val="000000"/>
          <w:sz w:val="22"/>
        </w:rPr>
        <w:t>.</w:t>
      </w:r>
    </w:p>
    <w:p>
      <w:pPr>
        <w:pStyle w:val="TextBody"/>
        <w:bidi w:val="0"/>
        <w:jc w:val="left"/>
        <w:rPr/>
      </w:pPr>
      <w:r>
        <w:rPr/>
        <w:t> </w:t>
      </w:r>
    </w:p>
    <w:tbl>
      <w:tblPr>
        <w:tblW w:w="5983" w:type="dxa"/>
        <w:jc w:val="left"/>
        <w:tblInd w:w="0" w:type="dxa"/>
        <w:tblLayout w:type="fixed"/>
        <w:tblCellMar>
          <w:top w:w="28" w:type="dxa"/>
          <w:left w:w="28" w:type="dxa"/>
          <w:bottom w:w="28" w:type="dxa"/>
          <w:right w:w="28" w:type="dxa"/>
        </w:tblCellMar>
      </w:tblPr>
      <w:tblGrid>
        <w:gridCol w:w="3421"/>
        <w:gridCol w:w="146"/>
        <w:gridCol w:w="2416"/>
      </w:tblGrid>
      <w:tr>
        <w:trPr/>
        <w:tc>
          <w:tcPr>
            <w:tcW w:w="3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DEFINED IN SECTION</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Bankruptcy Law</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6.1</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Custodian</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6.1</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Event of Default</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6.1</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Judgment Currency</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10.16</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Legal Holiday</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10.7</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mandatory sinking fund payment</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New York Banking Day</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10.16</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Notice Agent</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optional sinking fund payment</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Paying Agent</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Registrar</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Required Currency</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10.16</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Specified Courts</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10.10</w:t>
            </w:r>
          </w:p>
        </w:tc>
      </w:tr>
      <w:tr>
        <w:trPr/>
        <w:tc>
          <w:tcPr>
            <w:tcW w:w="3421" w:type="dxa"/>
            <w:tcBorders/>
            <w:vAlign w:val="center"/>
          </w:tcPr>
          <w:p>
            <w:pPr>
              <w:pStyle w:val="TableContents"/>
              <w:bidi w:val="0"/>
              <w:spacing w:before="0" w:after="283"/>
              <w:jc w:val="left"/>
              <w:rPr/>
            </w:pPr>
            <w:r>
              <w:rPr>
                <w:color w:val="000000"/>
              </w:rPr>
              <w:t>“</w:t>
            </w:r>
            <w:r>
              <w:rPr>
                <w:rFonts w:ascii="Times New Roman" w:hAnsi="Times New Roman"/>
                <w:i/>
                <w:color w:val="000000"/>
                <w:sz w:val="22"/>
              </w:rPr>
              <w:t>successor person</w:t>
            </w:r>
            <w:r>
              <w:rPr>
                <w:rFonts w:ascii="Times New Roman" w:hAnsi="Times New Roman"/>
                <w:color w:val="000000"/>
                <w:sz w:val="22"/>
              </w:rPr>
              <w:t>”</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5.1</w:t>
            </w:r>
          </w:p>
        </w:tc>
      </w:tr>
    </w:tbl>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1.3 </w:t>
      </w:r>
      <w:r>
        <w:rPr>
          <w:rFonts w:ascii="Times New Roman" w:hAnsi="Times New Roman"/>
          <w:color w:val="000000"/>
          <w:sz w:val="22"/>
          <w:u w:val="single"/>
        </w:rPr>
        <w:t>Incorporation by Reference of Trust Indenture Act</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220" w:after="283"/>
        <w:jc w:val="left"/>
        <w:rPr/>
      </w:pPr>
      <w:r>
        <w:rPr>
          <w:color w:val="000000"/>
        </w:rPr>
        <w:t>“</w:t>
      </w:r>
      <w:r>
        <w:rPr>
          <w:rFonts w:ascii="Times New Roman" w:hAnsi="Times New Roman"/>
          <w:i/>
          <w:color w:val="000000"/>
          <w:sz w:val="22"/>
        </w:rPr>
        <w:t>Commission</w:t>
      </w:r>
      <w:r>
        <w:rPr>
          <w:rFonts w:ascii="Times New Roman" w:hAnsi="Times New Roman"/>
          <w:color w:val="000000"/>
          <w:sz w:val="20"/>
        </w:rPr>
        <w:t xml:space="preserve">” </w:t>
      </w:r>
      <w:r>
        <w:rPr>
          <w:rFonts w:ascii="Times New Roman" w:hAnsi="Times New Roman"/>
          <w:color w:val="000000"/>
          <w:sz w:val="22"/>
        </w:rPr>
        <w:t>means the SEC.</w:t>
      </w:r>
    </w:p>
    <w:p>
      <w:pPr>
        <w:pStyle w:val="TextBody"/>
        <w:bidi w:val="0"/>
        <w:spacing w:before="220" w:after="283"/>
        <w:jc w:val="left"/>
        <w:rPr/>
      </w:pPr>
      <w:r>
        <w:rPr>
          <w:color w:val="000000"/>
        </w:rPr>
        <w:t>“</w:t>
      </w:r>
      <w:r>
        <w:rPr>
          <w:rFonts w:ascii="Times New Roman" w:hAnsi="Times New Roman"/>
          <w:i/>
          <w:color w:val="000000"/>
          <w:sz w:val="22"/>
        </w:rPr>
        <w:t>indenture securities</w:t>
      </w:r>
      <w:r>
        <w:rPr>
          <w:rFonts w:ascii="Times New Roman" w:hAnsi="Times New Roman"/>
          <w:color w:val="000000"/>
          <w:sz w:val="20"/>
        </w:rPr>
        <w:t xml:space="preserve">” </w:t>
      </w:r>
      <w:r>
        <w:rPr>
          <w:rFonts w:ascii="Times New Roman" w:hAnsi="Times New Roman"/>
          <w:color w:val="000000"/>
          <w:sz w:val="22"/>
        </w:rPr>
        <w:t>means the Securities.</w:t>
      </w:r>
    </w:p>
    <w:p>
      <w:pPr>
        <w:pStyle w:val="TextBody"/>
        <w:bidi w:val="0"/>
        <w:spacing w:before="220" w:after="283"/>
        <w:jc w:val="left"/>
        <w:rPr/>
      </w:pPr>
      <w:r>
        <w:rPr>
          <w:color w:val="000000"/>
        </w:rPr>
        <w:t>“</w:t>
      </w:r>
      <w:r>
        <w:rPr>
          <w:rFonts w:ascii="Times New Roman" w:hAnsi="Times New Roman"/>
          <w:i/>
          <w:color w:val="000000"/>
          <w:sz w:val="22"/>
        </w:rPr>
        <w:t>indenture security holder</w:t>
      </w:r>
      <w:r>
        <w:rPr>
          <w:rFonts w:ascii="Times New Roman" w:hAnsi="Times New Roman"/>
          <w:color w:val="000000"/>
          <w:sz w:val="20"/>
        </w:rPr>
        <w:t xml:space="preserve">” </w:t>
      </w:r>
      <w:r>
        <w:rPr>
          <w:rFonts w:ascii="Times New Roman" w:hAnsi="Times New Roman"/>
          <w:color w:val="000000"/>
          <w:sz w:val="22"/>
        </w:rPr>
        <w:t>means a Securityholder.</w:t>
      </w:r>
    </w:p>
    <w:p>
      <w:pPr>
        <w:pStyle w:val="TextBody"/>
        <w:bidi w:val="0"/>
        <w:spacing w:before="220" w:after="283"/>
        <w:jc w:val="left"/>
        <w:rPr/>
      </w:pPr>
      <w:r>
        <w:rPr>
          <w:color w:val="000000"/>
        </w:rPr>
        <w:t>“</w:t>
      </w:r>
      <w:r>
        <w:rPr>
          <w:rFonts w:ascii="Times New Roman" w:hAnsi="Times New Roman"/>
          <w:i/>
          <w:color w:val="000000"/>
          <w:sz w:val="22"/>
        </w:rPr>
        <w:t>indenture to be qualified”</w:t>
      </w:r>
      <w:r>
        <w:rPr>
          <w:rFonts w:ascii="Times New Roman" w:hAnsi="Times New Roman"/>
          <w:color w:val="000000"/>
          <w:sz w:val="20"/>
        </w:rPr>
        <w:t xml:space="preserve"> </w:t>
      </w:r>
      <w:r>
        <w:rPr>
          <w:rFonts w:ascii="Times New Roman" w:hAnsi="Times New Roman"/>
          <w:color w:val="000000"/>
          <w:sz w:val="22"/>
        </w:rPr>
        <w:t>means this Indenture.</w:t>
      </w:r>
    </w:p>
    <w:p>
      <w:pPr>
        <w:pStyle w:val="TextBody"/>
        <w:bidi w:val="0"/>
        <w:spacing w:before="220" w:after="283"/>
        <w:jc w:val="left"/>
        <w:rPr/>
      </w:pPr>
      <w:r>
        <w:rPr>
          <w:color w:val="000000"/>
        </w:rPr>
        <w:t>“</w:t>
      </w:r>
      <w:r>
        <w:rPr>
          <w:rFonts w:ascii="Times New Roman" w:hAnsi="Times New Roman"/>
          <w:i/>
          <w:color w:val="000000"/>
          <w:sz w:val="22"/>
        </w:rPr>
        <w:t>indenture trustee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i/>
          <w:color w:val="000000"/>
          <w:sz w:val="22"/>
        </w:rPr>
        <w:t>institutional trustee</w:t>
      </w:r>
      <w:r>
        <w:rPr>
          <w:rFonts w:ascii="Times New Roman" w:hAnsi="Times New Roman"/>
          <w:color w:val="000000"/>
          <w:sz w:val="20"/>
        </w:rPr>
        <w:t xml:space="preserve">” </w:t>
      </w:r>
      <w:r>
        <w:rPr>
          <w:rFonts w:ascii="Times New Roman" w:hAnsi="Times New Roman"/>
          <w:color w:val="000000"/>
          <w:sz w:val="22"/>
        </w:rPr>
        <w:t>means the Trustee.</w:t>
      </w:r>
    </w:p>
    <w:p>
      <w:pPr>
        <w:pStyle w:val="TextBody"/>
        <w:bidi w:val="0"/>
        <w:spacing w:before="220" w:after="283"/>
        <w:jc w:val="left"/>
        <w:rPr/>
      </w:pPr>
      <w:r>
        <w:rPr>
          <w:color w:val="000000"/>
        </w:rPr>
        <w:t>“</w:t>
      </w:r>
      <w:r>
        <w:rPr>
          <w:rFonts w:ascii="Times New Roman" w:hAnsi="Times New Roman"/>
          <w:i/>
          <w:color w:val="000000"/>
          <w:sz w:val="22"/>
        </w:rPr>
        <w:t>obligor</w:t>
      </w:r>
      <w:r>
        <w:rPr>
          <w:rFonts w:ascii="Times New Roman" w:hAnsi="Times New Roman"/>
          <w:color w:val="000000"/>
          <w:sz w:val="20"/>
        </w:rPr>
        <w:t xml:space="preserve">” </w:t>
      </w:r>
      <w:r>
        <w:rPr>
          <w:rFonts w:ascii="Times New Roman" w:hAnsi="Times New Roman"/>
          <w:color w:val="000000"/>
          <w:sz w:val="22"/>
        </w:rPr>
        <w:t>on the indenture securities means the Company and any successor obligor upon the Securities.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All other terms used in this Indenture that are defined by the TIA, defined by TIA reference to another statute or defined by SEC rule under the TIA and not otherwise defined herein are used herein as so defined.</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1.4 </w:t>
      </w:r>
      <w:r>
        <w:rPr>
          <w:rFonts w:ascii="Times New Roman" w:hAnsi="Times New Roman"/>
          <w:color w:val="000000"/>
          <w:sz w:val="22"/>
          <w:u w:val="single"/>
        </w:rPr>
        <w:t>Rules of Construction</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Unless the context otherwise requires: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 a term has the meaning assigned to it;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(b) an accounting term not otherwise defined has the meaning assigned to it in accordance with GAAP;</w:t>
      </w:r>
    </w:p>
    <w:p>
      <w:pPr>
        <w:pStyle w:val="TextBody"/>
        <w:bidi w:val="0"/>
        <w:spacing w:before="220" w:after="283"/>
        <w:jc w:val="left"/>
        <w:rPr>
          <w:rFonts w:ascii="Times New Roman" w:hAnsi="Times New Roman"/>
          <w:sz w:val="20"/>
        </w:rPr>
      </w:pPr>
      <w:r>
        <w:rPr>
          <w:rFonts w:ascii="Times New Roman" w:hAnsi="Times New Roman"/>
          <w:color w:val="000000"/>
          <w:sz w:val="22"/>
        </w:rPr>
        <w:t>(c)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color w:val="000000"/>
          <w:sz w:val="22"/>
        </w:rPr>
        <w:t>is not exclusive;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(d) words in the singular include the plural, and in the plural include the singular; and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 provisions apply to successive events and transactions.</w:t>
      </w:r>
    </w:p>
    <w:p>
      <w:pPr>
        <w:pStyle w:val="TextBody"/>
        <w:bidi w:val="0"/>
        <w:spacing w:before="220" w:after="283"/>
        <w:jc w:val="center"/>
        <w:rPr>
          <w:rFonts w:ascii="Times New Roman" w:hAnsi="Times New Roman"/>
          <w:b/>
          <w:caps/>
          <w:color w:val="000000"/>
          <w:sz w:val="22"/>
        </w:rPr>
      </w:pPr>
      <w:r>
        <w:rPr>
          <w:rFonts w:ascii="Times New Roman" w:hAnsi="Times New Roman"/>
          <w:b/>
          <w:caps/>
          <w:color w:val="000000"/>
          <w:sz w:val="22"/>
        </w:rPr>
        <w:t>ARTICLE II</w:t>
        <w:br/>
        <w:t>THE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 </w:t>
      </w:r>
      <w:r>
        <w:rPr>
          <w:rFonts w:ascii="Times New Roman" w:hAnsi="Times New Roman"/>
          <w:color w:val="000000"/>
          <w:sz w:val="22"/>
          <w:u w:val="single"/>
        </w:rPr>
        <w:t>Issuable in Series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2.2 </w:t>
      </w:r>
      <w:r>
        <w:rPr>
          <w:rFonts w:ascii="Times New Roman" w:hAnsi="Times New Roman"/>
          <w:color w:val="000000"/>
          <w:sz w:val="22"/>
          <w:u w:val="single"/>
        </w:rPr>
        <w:t>Establishment of Terms of Series of Securities</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 the title (which shall distinguish the Securities of that particular Series from the Securities of any other Series) and ranking (including the terms of any subordination provisions) of the Series;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2.2.2. the price or prices (expressed as a percentage of the principal amount thereof) at which the Securities of the Series will be issued;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2.2.4. the date or dates on which the principal of the Securities of the Series is payable;</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2.2.6. the right, if any, to defer payment of interest and the maximum length of any such deferral period;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220" w:after="283"/>
        <w:jc w:val="left"/>
        <w:rPr>
          <w:rFonts w:ascii="Times New Roman" w:hAnsi="Times New Roman"/>
          <w:sz w:val="20"/>
        </w:rPr>
      </w:pPr>
      <w:r>
        <w:rPr>
          <w:rFonts w:ascii="Times New Roman" w:hAnsi="Times New Roman"/>
          <w:color w:val="000000"/>
          <w:sz w:val="22"/>
        </w:rPr>
        <w:t>2.2.8. if applicable, the period or periods within which, the price or prices at which and the terms and conditions upon which the Securities of the Series may be redeemed, in whole or in part, at the option of the Company;</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2.2.10. if other than denominations of $1,000 and any integral multiple thereof, the denominations in which the Securities of the Series shall be issuable;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pStyle w:val="TextBody"/>
        <w:bidi w:val="0"/>
        <w:spacing w:before="220" w:after="283"/>
        <w:jc w:val="left"/>
        <w:rPr>
          <w:rFonts w:ascii="Times New Roman" w:hAnsi="Times New Roman"/>
          <w:sz w:val="20"/>
        </w:rPr>
      </w:pPr>
      <w:r>
        <w:rPr>
          <w:rFonts w:ascii="Times New Roman" w:hAnsi="Times New Roman"/>
          <w:color w:val="000000"/>
          <w:sz w:val="22"/>
        </w:rPr>
        <w:t>2.2.12. the forms of the Securities of the Series and whether the Securities will be issuable as Global Securities;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2.2.13. if other than the principal amount thereof, the portion of the principal amount of the Securities of the Series that shall be payable upon declaration of acceleration of the maturity thereof pursuant to Section 6.2;</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2.2.16. the provisions, if any, relating to any security provided for the Securities of the Series;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2.2.18. any Depositaries, interest rate calculation agents, exchange rate calculation agents, conversion agents or other agents with respect to Securities of such Series if other than those appointed herein;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2.2.19. the currency of denomination of the Securities of the Series, which may be Dollars or any Foreign Currency, and if such currency of demonization is a composite currency, the agency or organization, if any, responsible for overseeing such composite currency;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2.2.21. whether any of the Company’s direct or indirect Subsidiaries will guarantee the Securities of that Series, including the terms of subordination, if any, of such guarantees.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2.3 </w:t>
      </w:r>
      <w:r>
        <w:rPr>
          <w:rFonts w:ascii="Times New Roman" w:hAnsi="Times New Roman"/>
          <w:color w:val="000000"/>
          <w:sz w:val="22"/>
          <w:u w:val="single"/>
        </w:rPr>
        <w:t>Execution and Authentication</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An Officer shall sign the Securities for the Company by manual or facsimile signature.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If an Officer whose signature is on a Security no longer holds that office at the time the Security is authenticated, the Security shall nevertheless be valid.</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220" w:after="283"/>
        <w:jc w:val="left"/>
        <w:rPr>
          <w:rFonts w:ascii="Times New Roman" w:hAnsi="Times New Roman"/>
          <w:sz w:val="20"/>
        </w:rPr>
      </w:pPr>
      <w:r>
        <w:rPr>
          <w:rFonts w:ascii="Times New Roman" w:hAnsi="Times New Roman"/>
          <w:color w:val="000000"/>
          <w:sz w:val="22"/>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2.4 </w:t>
      </w:r>
      <w:r>
        <w:rPr>
          <w:rFonts w:ascii="Times New Roman" w:hAnsi="Times New Roman"/>
          <w:color w:val="000000"/>
          <w:sz w:val="22"/>
          <w:u w:val="single"/>
        </w:rPr>
        <w:t>Registrar and Paying Agent</w:t>
      </w:r>
      <w:r>
        <w:rPr>
          <w:rFonts w:ascii="Times New Roman" w:hAnsi="Times New Roman"/>
          <w:color w:val="000000"/>
          <w:sz w:val="22"/>
        </w:rPr>
        <w:t>.</w:t>
      </w:r>
    </w:p>
    <w:p>
      <w:pPr>
        <w:pStyle w:val="TextBody"/>
        <w:bidi w:val="0"/>
        <w:spacing w:before="220" w:after="283"/>
        <w:jc w:val="left"/>
        <w:rPr>
          <w:rFonts w:ascii="Times New Roman" w:hAnsi="Times New Roman"/>
          <w:sz w:val="20"/>
        </w:rPr>
      </w:pPr>
      <w:r>
        <w:rPr>
          <w:rFonts w:ascii="Times New Roman" w:hAnsi="Times New Roman"/>
          <w:color w:val="000000"/>
          <w:sz w:val="22"/>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color w:val="000000"/>
          <w:sz w:val="22"/>
        </w:rPr>
        <w:t>Paying Agent</w:t>
      </w:r>
      <w:r>
        <w:rPr>
          <w:rFonts w:ascii="Times New Roman" w:hAnsi="Times New Roman"/>
          <w:color w:val="000000"/>
          <w:sz w:val="20"/>
        </w:rPr>
        <w:t>”</w:t>
      </w:r>
      <w:r>
        <w:rPr>
          <w:rFonts w:ascii="Times New Roman" w:hAnsi="Times New Roman"/>
          <w:color w:val="000000"/>
          <w:sz w:val="22"/>
        </w:rPr>
        <w:t>), where Securities of such Series may be surrendered for registration of transfer or exchange (“</w:t>
      </w:r>
      <w:r>
        <w:rPr>
          <w:rFonts w:ascii="Times New Roman" w:hAnsi="Times New Roman"/>
          <w:i/>
          <w:color w:val="000000"/>
          <w:sz w:val="22"/>
        </w:rPr>
        <w:t>Registrar</w:t>
      </w:r>
      <w:r>
        <w:rPr>
          <w:rFonts w:ascii="Times New Roman" w:hAnsi="Times New Roman"/>
          <w:color w:val="000000"/>
          <w:sz w:val="20"/>
        </w:rPr>
        <w:t>”</w:t>
      </w:r>
      <w:r>
        <w:rPr>
          <w:rFonts w:ascii="Times New Roman" w:hAnsi="Times New Roman"/>
          <w:color w:val="000000"/>
          <w:sz w:val="22"/>
        </w:rPr>
        <w:t>) and where notices and demands to or upon the Company in respect of the Securities of such Series and this Indenture may be delivered (“</w:t>
      </w:r>
      <w:r>
        <w:rPr>
          <w:rFonts w:ascii="Times New Roman" w:hAnsi="Times New Roman"/>
          <w:i/>
          <w:color w:val="000000"/>
          <w:sz w:val="22"/>
        </w:rPr>
        <w:t>Notice Agent</w:t>
      </w:r>
      <w:r>
        <w:rPr>
          <w:rFonts w:ascii="Times New Roman" w:hAnsi="Times New Roman"/>
          <w:color w:val="000000"/>
          <w:sz w:val="20"/>
        </w:rPr>
        <w:t>”</w:t>
      </w:r>
      <w:r>
        <w:rPr>
          <w:rFonts w:ascii="Times New Roman" w:hAnsi="Times New Roman"/>
          <w:color w:val="000000"/>
          <w:sz w:val="22"/>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any appointment of the Trustee as the Notice Agent shall exclude the appointment of the Trustee or any office of the Trustee as an agent to receive the service of legal process on the Company.</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The Company may also from time to time designate one or more co-registrars, additional paying agents or additional notice agents and may from time to time rescind such designations;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color w:val="000000"/>
          <w:sz w:val="22"/>
        </w:rPr>
        <w:t>Registrar</w:t>
      </w:r>
      <w:r>
        <w:rPr>
          <w:rFonts w:ascii="Times New Roman" w:hAnsi="Times New Roman"/>
          <w:color w:val="000000"/>
          <w:sz w:val="20"/>
        </w:rPr>
        <w:t xml:space="preserve">” </w:t>
      </w:r>
      <w:r>
        <w:rPr>
          <w:rFonts w:ascii="Times New Roman" w:hAnsi="Times New Roman"/>
          <w:color w:val="000000"/>
          <w:sz w:val="22"/>
        </w:rPr>
        <w:t>includes any co-registrar; the term “</w:t>
      </w:r>
      <w:r>
        <w:rPr>
          <w:rFonts w:ascii="Times New Roman" w:hAnsi="Times New Roman"/>
          <w:i/>
          <w:color w:val="000000"/>
          <w:sz w:val="22"/>
        </w:rPr>
        <w:t>Paying Agent</w:t>
      </w:r>
      <w:r>
        <w:rPr>
          <w:rFonts w:ascii="Times New Roman" w:hAnsi="Times New Roman"/>
          <w:color w:val="000000"/>
          <w:sz w:val="20"/>
        </w:rPr>
        <w:t xml:space="preserve">” </w:t>
      </w:r>
      <w:r>
        <w:rPr>
          <w:rFonts w:ascii="Times New Roman" w:hAnsi="Times New Roman"/>
          <w:color w:val="000000"/>
          <w:sz w:val="22"/>
        </w:rPr>
        <w:t>includes any additional paying agent; and the term “</w:t>
      </w:r>
      <w:r>
        <w:rPr>
          <w:rFonts w:ascii="Times New Roman" w:hAnsi="Times New Roman"/>
          <w:i/>
          <w:color w:val="000000"/>
          <w:sz w:val="22"/>
        </w:rPr>
        <w:t>Notice Agent</w:t>
      </w:r>
      <w:r>
        <w:rPr>
          <w:rFonts w:ascii="Times New Roman" w:hAnsi="Times New Roman"/>
          <w:color w:val="000000"/>
          <w:sz w:val="20"/>
        </w:rPr>
        <w:t xml:space="preserve">” </w:t>
      </w:r>
      <w:r>
        <w:rPr>
          <w:rFonts w:ascii="Times New Roman" w:hAnsi="Times New Roman"/>
          <w:color w:val="000000"/>
          <w:sz w:val="22"/>
        </w:rPr>
        <w:t>includes any additional notice agent. The Company or any of its Affiliates may serve as Registrar or Paying Agent.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2.5 </w:t>
      </w:r>
      <w:r>
        <w:rPr>
          <w:rFonts w:ascii="Times New Roman" w:hAnsi="Times New Roman"/>
          <w:color w:val="000000"/>
          <w:sz w:val="22"/>
          <w:u w:val="single"/>
        </w:rPr>
        <w:t>Paying Agent to Hold Money in Trust</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2.6 </w:t>
      </w:r>
      <w:r>
        <w:rPr>
          <w:rFonts w:ascii="Times New Roman" w:hAnsi="Times New Roman"/>
          <w:color w:val="000000"/>
          <w:sz w:val="22"/>
          <w:u w:val="single"/>
        </w:rPr>
        <w:t>Securityholder Lists</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2.7 </w:t>
      </w:r>
      <w:r>
        <w:rPr>
          <w:rFonts w:ascii="Times New Roman" w:hAnsi="Times New Roman"/>
          <w:color w:val="000000"/>
          <w:sz w:val="22"/>
          <w:u w:val="single"/>
        </w:rPr>
        <w:t>Transfer and Exchange</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2.8 </w:t>
      </w:r>
      <w:r>
        <w:rPr>
          <w:rFonts w:ascii="Times New Roman" w:hAnsi="Times New Roman"/>
          <w:color w:val="000000"/>
          <w:sz w:val="22"/>
          <w:u w:val="single"/>
        </w:rPr>
        <w:t>Mutilated, Destroyed, Lost and Stolen Securities</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220" w:after="283"/>
        <w:jc w:val="left"/>
        <w:rPr>
          <w:rFonts w:ascii="Times New Roman" w:hAnsi="Times New Roman"/>
          <w:sz w:val="20"/>
        </w:rPr>
      </w:pPr>
      <w:r>
        <w:rPr>
          <w:rFonts w:ascii="Times New Roman" w:hAnsi="Times New Roman"/>
          <w:color w:val="000000"/>
          <w:sz w:val="22"/>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In case any such mutilated, destroyed, lost or stolen Security has become or is about to become due and payable, the Company in its discretion may, instead of issuing a new Security, pay such Security.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2.9 </w:t>
      </w:r>
      <w:r>
        <w:rPr>
          <w:rFonts w:ascii="Times New Roman" w:hAnsi="Times New Roman"/>
          <w:color w:val="000000"/>
          <w:sz w:val="22"/>
          <w:u w:val="single"/>
        </w:rPr>
        <w:t>Outstanding Securities</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If a Security is replaced pursuant to Section 2.8, it ceases to be outstanding until the Trustee receives proof satisfactory to it that the replaced Security is held by a bona fide purchaser.</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Treasury Securities</w:t>
      </w:r>
      <w:r>
        <w:rPr>
          <w:rFonts w:ascii="Times New Roman" w:hAnsi="Times New Roman"/>
          <w:color w:val="000000"/>
          <w:sz w:val="22"/>
        </w:rPr>
        <w:t>.</w:t>
      </w:r>
    </w:p>
    <w:p>
      <w:pPr>
        <w:pStyle w:val="TextBody"/>
        <w:bidi w:val="0"/>
        <w:spacing w:before="220" w:after="283"/>
        <w:jc w:val="left"/>
        <w:rPr>
          <w:rFonts w:ascii="Times New Roman" w:hAnsi="Times New Roman"/>
          <w:sz w:val="20"/>
        </w:rPr>
      </w:pPr>
      <w:r>
        <w:rPr>
          <w:rFonts w:ascii="Times New Roman" w:hAnsi="Times New Roman"/>
          <w:color w:val="000000"/>
          <w:sz w:val="22"/>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Temporary Securities</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Cancellation</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Defaulted Interest</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2.14 </w:t>
      </w:r>
      <w:r>
        <w:rPr>
          <w:rFonts w:ascii="Times New Roman" w:hAnsi="Times New Roman"/>
          <w:color w:val="000000"/>
          <w:sz w:val="22"/>
          <w:u w:val="single"/>
        </w:rPr>
        <w:t>Global Securities</w:t>
      </w:r>
      <w:r>
        <w:rPr>
          <w:rFonts w:ascii="Times New Roman" w:hAnsi="Times New Roman"/>
          <w:color w:val="000000"/>
          <w:sz w:val="22"/>
        </w:rPr>
        <w:t>.</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2.14.1. </w:t>
      </w:r>
      <w:r>
        <w:rPr>
          <w:rFonts w:ascii="Times New Roman" w:hAnsi="Times New Roman"/>
          <w:color w:val="000000"/>
          <w:sz w:val="22"/>
          <w:u w:val="single"/>
        </w:rPr>
        <w:t>Terms of Securities</w:t>
      </w:r>
      <w:r>
        <w:rPr>
          <w:rFonts w:ascii="Times New Roman" w:hAnsi="Times New Roman"/>
          <w:color w:val="000000"/>
          <w:sz w:val="22"/>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2.14.2. </w:t>
      </w:r>
      <w:r>
        <w:rPr>
          <w:rFonts w:ascii="Times New Roman" w:hAnsi="Times New Roman"/>
          <w:color w:val="000000"/>
          <w:sz w:val="22"/>
          <w:u w:val="single"/>
        </w:rPr>
        <w:t>Transfer and Exchange</w:t>
      </w:r>
      <w:r>
        <w:rPr>
          <w:rFonts w:ascii="Times New Roman" w:hAnsi="Times New Roman"/>
          <w:color w:val="000000"/>
          <w:sz w:val="22"/>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Neither the Trustee nor any Agent shall have any responsibility for any actions taken or not taken by the Depositary.</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2.14.3. </w:t>
      </w:r>
      <w:r>
        <w:rPr>
          <w:rFonts w:ascii="Times New Roman" w:hAnsi="Times New Roman"/>
          <w:color w:val="000000"/>
          <w:sz w:val="22"/>
          <w:u w:val="single"/>
        </w:rPr>
        <w:t>Legends</w:t>
      </w:r>
      <w:r>
        <w:rPr>
          <w:rFonts w:ascii="Times New Roman" w:hAnsi="Times New Roman"/>
          <w:color w:val="000000"/>
          <w:sz w:val="22"/>
        </w:rPr>
        <w:t>. Any Global Security issued hereunder shall bear a legend in substantially the following form:</w:t>
      </w:r>
    </w:p>
    <w:p>
      <w:pPr>
        <w:pStyle w:val="TextBody"/>
        <w:bidi w:val="0"/>
        <w:spacing w:before="220" w:after="283"/>
        <w:jc w:val="left"/>
        <w:rPr>
          <w:color w:val="000000"/>
        </w:rPr>
      </w:pPr>
      <w:r>
        <w:rPr>
          <w:color w:val="000000"/>
        </w:rPr>
        <w:t>“</w:t>
      </w:r>
      <w:r>
        <w:rPr>
          <w:rFonts w:ascii="Times New Roman" w:hAnsi="Times New Roman"/>
          <w:color w:val="000000"/>
          <w:sz w:val="22"/>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220" w:after="283"/>
        <w:jc w:val="left"/>
        <w:rPr>
          <w:rFonts w:ascii="Times New Roman" w:hAnsi="Times New Roman"/>
          <w:sz w:val="20"/>
        </w:rPr>
      </w:pPr>
      <w:r>
        <w:rPr>
          <w:rFonts w:ascii="Times New Roman" w:hAnsi="Times New Roman"/>
          <w:color w:val="000000"/>
          <w:sz w:val="22"/>
        </w:rPr>
        <w:t>In addition, so long as the Depository Trust Company (“</w:t>
      </w:r>
      <w:r>
        <w:rPr>
          <w:rFonts w:ascii="Times New Roman" w:hAnsi="Times New Roman"/>
          <w:i/>
          <w:color w:val="000000"/>
          <w:sz w:val="22"/>
        </w:rPr>
        <w:t>DTC</w:t>
      </w:r>
      <w:r>
        <w:rPr>
          <w:rFonts w:ascii="Times New Roman" w:hAnsi="Times New Roman"/>
          <w:color w:val="000000"/>
          <w:sz w:val="20"/>
        </w:rPr>
        <w:t>”</w:t>
      </w:r>
      <w:r>
        <w:rPr>
          <w:rFonts w:ascii="Times New Roman" w:hAnsi="Times New Roman"/>
          <w:color w:val="000000"/>
          <w:sz w:val="22"/>
        </w:rPr>
        <w:t>) is the Depositary, each Global Note registered in the name of DTC or its nominee shall bear a legend in substantially the following form:</w:t>
      </w:r>
    </w:p>
    <w:p>
      <w:pPr>
        <w:pStyle w:val="TextBody"/>
        <w:bidi w:val="0"/>
        <w:spacing w:before="220" w:after="283"/>
        <w:jc w:val="left"/>
        <w:rPr>
          <w:color w:val="000000"/>
        </w:rPr>
      </w:pPr>
      <w:r>
        <w:rPr>
          <w:color w:val="000000"/>
        </w:rPr>
        <w:t>“</w:t>
      </w:r>
      <w:r>
        <w:rPr>
          <w:rFonts w:ascii="Times New Roman" w:hAnsi="Times New Roman"/>
          <w:color w:val="000000"/>
          <w:sz w:val="22"/>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2.14.4. </w:t>
      </w:r>
      <w:r>
        <w:rPr>
          <w:rFonts w:ascii="Times New Roman" w:hAnsi="Times New Roman"/>
          <w:color w:val="000000"/>
          <w:sz w:val="22"/>
          <w:u w:val="single"/>
        </w:rPr>
        <w:t>Acts of Holders</w:t>
      </w:r>
      <w:r>
        <w:rPr>
          <w:rFonts w:ascii="Times New Roman" w:hAnsi="Times New Roman"/>
          <w:color w:val="000000"/>
          <w:sz w:val="22"/>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pStyle w:val="TextBody"/>
        <w:bidi w:val="0"/>
        <w:spacing w:before="220" w:after="283"/>
        <w:jc w:val="left"/>
        <w:rPr>
          <w:rFonts w:ascii="Times New Roman" w:hAnsi="Times New Roman"/>
          <w:sz w:val="20"/>
        </w:rPr>
      </w:pPr>
      <w:r>
        <w:rPr>
          <w:rFonts w:ascii="Times New Roman" w:hAnsi="Times New Roman"/>
          <w:color w:val="000000"/>
          <w:sz w:val="22"/>
        </w:rPr>
        <w:t>(c) The ownership of Global Securities or any Securities issued in certificated form shall be proved by the Registrar.</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2.14.5. </w:t>
      </w:r>
      <w:r>
        <w:rPr>
          <w:rFonts w:ascii="Times New Roman" w:hAnsi="Times New Roman"/>
          <w:color w:val="000000"/>
          <w:sz w:val="22"/>
          <w:u w:val="single"/>
        </w:rPr>
        <w:t>Payments</w:t>
      </w:r>
      <w:r>
        <w:rPr>
          <w:rFonts w:ascii="Times New Roman" w:hAnsi="Times New Roman"/>
          <w:color w:val="000000"/>
          <w:sz w:val="22"/>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2.14.6. </w:t>
      </w:r>
      <w:r>
        <w:rPr>
          <w:rFonts w:ascii="Times New Roman" w:hAnsi="Times New Roman"/>
          <w:color w:val="000000"/>
          <w:sz w:val="22"/>
          <w:u w:val="single"/>
        </w:rPr>
        <w:t>Consents, Declaration and Directions</w:t>
      </w:r>
      <w:r>
        <w:rPr>
          <w:rFonts w:ascii="Times New Roman" w:hAnsi="Times New Roman"/>
          <w:color w:val="000000"/>
          <w:sz w:val="22"/>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Section 2.15 </w:t>
      </w:r>
      <w:r>
        <w:rPr>
          <w:rFonts w:ascii="Times New Roman" w:hAnsi="Times New Roman"/>
          <w:color w:val="000000"/>
          <w:sz w:val="22"/>
          <w:u w:val="single"/>
        </w:rPr>
        <w:t>CUSIP Numbers</w:t>
      </w:r>
      <w:r>
        <w:rPr>
          <w:rFonts w:ascii="Times New Roman" w:hAnsi="Times New Roman"/>
          <w:color w:val="000000"/>
          <w:sz w:val="22"/>
        </w:rPr>
        <w:t>.</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The Company in issuing the Securities may use “CUSIP” numbers (if then generally in use), and, if so, the Trustee shall use “CUSIP” numbers in notices of redemption as a convenience to Holders;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III</w:t>
        <w:br/>
        <w:t>REDEMPTION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3.1 </w:t>
      </w:r>
      <w:r>
        <w:rPr>
          <w:rFonts w:ascii="Times New Roman" w:hAnsi="Times New Roman"/>
          <w:color w:val="000000"/>
          <w:sz w:val="22"/>
          <w:u w:val="single"/>
        </w:rPr>
        <w:t>Notice to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3.2 </w:t>
      </w:r>
      <w:r>
        <w:rPr>
          <w:rFonts w:ascii="Times New Roman" w:hAnsi="Times New Roman"/>
          <w:color w:val="000000"/>
          <w:sz w:val="22"/>
          <w:u w:val="single"/>
        </w:rPr>
        <w:t>Selection of Securities to be Redeemed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3.3 </w:t>
      </w:r>
      <w:r>
        <w:rPr>
          <w:rFonts w:ascii="Times New Roman" w:hAnsi="Times New Roman"/>
          <w:color w:val="000000"/>
          <w:sz w:val="22"/>
          <w:u w:val="single"/>
        </w:rPr>
        <w:t>Notice of Redemption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notice shall identify the Securities of the Series to be redeemed and shall state: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redemption date;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redemption price (or manner of calculation if not then known);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name and address of the Paying Agent;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if any Securities are being redeemed in part, the portion of the principal amount of such Securities to be redeemed and that, after the redemption date and upon surrender of such Security, a new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Security or Securities in principal amount equal to the unredeemed portion of the original Security shall be issued in the name of the Holder thereof upon cancellation of the original Security;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that Securities of the Series called for redemption must be surrendered to the Paying Agent to collect the redemption price;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that interest on Securities of the Series called for redemption ceases to accrue on and after the redemption date unless the Company defaults in the deposit of the redemption price;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CUSIP number, if any;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other information as may be required by the terms of the particular Series or the Securities of a Series being redeemed.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3.4 </w:t>
      </w:r>
      <w:r>
        <w:rPr>
          <w:rFonts w:ascii="Times New Roman" w:hAnsi="Times New Roman"/>
          <w:color w:val="000000"/>
          <w:sz w:val="22"/>
          <w:u w:val="single"/>
        </w:rPr>
        <w:t>Effect of Notice of Redemption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3.5 </w:t>
      </w:r>
      <w:r>
        <w:rPr>
          <w:rFonts w:ascii="Times New Roman" w:hAnsi="Times New Roman"/>
          <w:color w:val="000000"/>
          <w:sz w:val="22"/>
          <w:u w:val="single"/>
        </w:rPr>
        <w:t>Deposit of Redemption Price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3.6 </w:t>
      </w:r>
      <w:r>
        <w:rPr>
          <w:rFonts w:ascii="Times New Roman" w:hAnsi="Times New Roman"/>
          <w:color w:val="000000"/>
          <w:sz w:val="22"/>
          <w:u w:val="single"/>
        </w:rPr>
        <w:t>Securities Redeemed in Part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IV</w:t>
        <w:br/>
        <w:t>COVENANTS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4.1 </w:t>
      </w:r>
      <w:r>
        <w:rPr>
          <w:rFonts w:ascii="Times New Roman" w:hAnsi="Times New Roman"/>
          <w:color w:val="000000"/>
          <w:sz w:val="22"/>
          <w:u w:val="single"/>
        </w:rPr>
        <w:t>Payment of Principal and Interest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4.2 </w:t>
      </w:r>
      <w:r>
        <w:rPr>
          <w:rFonts w:ascii="Times New Roman" w:hAnsi="Times New Roman"/>
          <w:color w:val="000000"/>
          <w:sz w:val="22"/>
          <w:u w:val="single"/>
        </w:rPr>
        <w:t>SEC Reports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4.3 </w:t>
      </w:r>
      <w:r>
        <w:rPr>
          <w:rFonts w:ascii="Times New Roman" w:hAnsi="Times New Roman"/>
          <w:color w:val="000000"/>
          <w:sz w:val="22"/>
          <w:u w:val="single"/>
        </w:rPr>
        <w:t>Compliance Certificate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4.4 </w:t>
      </w:r>
      <w:r>
        <w:rPr>
          <w:rFonts w:ascii="Times New Roman" w:hAnsi="Times New Roman"/>
          <w:color w:val="000000"/>
          <w:sz w:val="22"/>
          <w:u w:val="single"/>
        </w:rPr>
        <w:t>Stay, Extension and Usury Laws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V</w:t>
        <w:br/>
        <w:t>SUCCESSORS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5.1 </w:t>
      </w:r>
      <w:r>
        <w:rPr>
          <w:rFonts w:ascii="Times New Roman" w:hAnsi="Times New Roman"/>
          <w:color w:val="000000"/>
          <w:sz w:val="22"/>
          <w:u w:val="single"/>
        </w:rPr>
        <w:t>When Company May Merge, Etc</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 shall not consolidate with or merge with or into, or convey, transfer or lease all or substantially all of its properties and assets to, any person (a “</w:t>
      </w:r>
      <w:r>
        <w:rPr>
          <w:rFonts w:ascii="Times New Roman" w:hAnsi="Times New Roman"/>
          <w:i/>
          <w:color w:val="000000"/>
          <w:sz w:val="22"/>
        </w:rPr>
        <w:t>successor person</w:t>
      </w:r>
      <w:r>
        <w:rPr>
          <w:rFonts w:ascii="Times New Roman" w:hAnsi="Times New Roman"/>
          <w:color w:val="000000"/>
          <w:sz w:val="20"/>
        </w:rPr>
        <w:t>”</w:t>
      </w:r>
      <w:r>
        <w:rPr>
          <w:rFonts w:ascii="Times New Roman" w:hAnsi="Times New Roman"/>
          <w:color w:val="000000"/>
          <w:sz w:val="22"/>
        </w:rPr>
        <w:t>) unless:</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immediately after giving effect to the transaction, no Default or Event of Default, shall have occurred and be continuing.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5.2 </w:t>
      </w:r>
      <w:r>
        <w:rPr>
          <w:rFonts w:ascii="Times New Roman" w:hAnsi="Times New Roman"/>
          <w:color w:val="000000"/>
          <w:sz w:val="22"/>
          <w:u w:val="single"/>
        </w:rPr>
        <w:t>Successor Corporation Substituted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predecessor Company in the case of a sale, conveyance or other disposition (other than a lease) shall be released from all obligations and covenants under this Indenture and the Securities.</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VI</w:t>
        <w:br/>
        <w:t>DEFAULTS AND REMEDIES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 </w:t>
      </w:r>
      <w:r>
        <w:rPr>
          <w:rFonts w:ascii="Times New Roman" w:hAnsi="Times New Roman"/>
          <w:color w:val="000000"/>
          <w:sz w:val="22"/>
          <w:u w:val="single"/>
        </w:rPr>
        <w:t>Events of Default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i/>
          <w:color w:val="000000"/>
          <w:sz w:val="22"/>
        </w:rPr>
        <w:t>Event of Default</w:t>
      </w:r>
      <w:r>
        <w:rPr>
          <w:rFonts w:ascii="Times New Roman" w:hAnsi="Times New Roman"/>
          <w:color w:val="000000"/>
          <w:sz w:val="22"/>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hAnsi="Times New Roman"/>
          <w:color w:val="000000"/>
          <w:sz w:val="15"/>
        </w:rPr>
        <w:t>th</w:t>
      </w:r>
      <w:r>
        <w:rPr>
          <w:color w:val="000000"/>
        </w:rPr>
        <w:t xml:space="preserve"> </w:t>
      </w:r>
      <w:r>
        <w:rPr>
          <w:rFonts w:ascii="Times New Roman" w:hAnsi="Times New Roman"/>
          <w:color w:val="000000"/>
          <w:sz w:val="22"/>
        </w:rPr>
        <w:t>day of such period);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default in the payment of principal of any Security of that Series at its Maturity;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25% in principal amount of the outstanding Securities of that Series a written notice specifying such default or breach and requiring it to be remedied and stating that such notice is a “Notice of Default” hereunder;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pursuant to or within the meaning of any Bankruptcy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commences a voluntary case,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consents to the entry of an order for relief against it in an involuntary case,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consents to the appointment of a Custodian of it or for all or substantially all of its property,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makes a general assignment for the benefit of its creditors,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generally is unable to pay its debts as the same become due;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court of competent jurisdiction enters an order or decree under any Bankruptcy Law that: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is for relief against the Company in an involuntary case,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appoints a Custodian of the Company or for all or substantially all of its property,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orders the liquidation of the Company, and the order or decree remains unstayed and in effect for 60 days;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other Event of Default provided with respect to Securities of that Series, which is specified in a Board Resolution, a supplemental indenture hereto or an Officer’s Certificate, in accordance with Section 2.2.18.</w:t>
      </w:r>
    </w:p>
    <w:p>
      <w:pPr>
        <w:pStyle w:val="TextBody"/>
        <w:bidi w:val="0"/>
        <w:spacing w:before="240" w:after="283"/>
        <w:jc w:val="left"/>
        <w:rPr>
          <w:rFonts w:ascii="Times New Roman" w:hAnsi="Times New Roman"/>
          <w:sz w:val="20"/>
        </w:rPr>
      </w:pPr>
      <w:r>
        <w:rPr>
          <w:rFonts w:ascii="Times New Roman" w:hAnsi="Times New Roman"/>
          <w:color w:val="000000"/>
          <w:sz w:val="22"/>
        </w:rPr>
        <w:t>The term “</w:t>
      </w:r>
      <w:r>
        <w:rPr>
          <w:rFonts w:ascii="Times New Roman" w:hAnsi="Times New Roman"/>
          <w:i/>
          <w:color w:val="000000"/>
          <w:sz w:val="22"/>
        </w:rPr>
        <w:t>Bankruptcy Law</w:t>
      </w:r>
      <w:r>
        <w:rPr>
          <w:rFonts w:ascii="Times New Roman" w:hAnsi="Times New Roman"/>
          <w:color w:val="000000"/>
          <w:sz w:val="20"/>
        </w:rPr>
        <w:t xml:space="preserve">” </w:t>
      </w:r>
      <w:r>
        <w:rPr>
          <w:rFonts w:ascii="Times New Roman" w:hAnsi="Times New Roman"/>
          <w:color w:val="000000"/>
          <w:sz w:val="22"/>
        </w:rPr>
        <w:t>means title 11, U.S. Code or any similar U.S. Federal or State law for the relief of debtors. The term “</w:t>
      </w:r>
      <w:r>
        <w:rPr>
          <w:rFonts w:ascii="Times New Roman" w:hAnsi="Times New Roman"/>
          <w:i/>
          <w:color w:val="000000"/>
          <w:sz w:val="22"/>
        </w:rPr>
        <w:t>Custodian</w:t>
      </w:r>
      <w:r>
        <w:rPr>
          <w:rFonts w:ascii="Times New Roman" w:hAnsi="Times New Roman"/>
          <w:color w:val="000000"/>
          <w:sz w:val="20"/>
        </w:rPr>
        <w:t xml:space="preserve">” </w:t>
      </w:r>
      <w:r>
        <w:rPr>
          <w:rFonts w:ascii="Times New Roman" w:hAnsi="Times New Roman"/>
          <w:color w:val="000000"/>
          <w:sz w:val="22"/>
        </w:rPr>
        <w:t>means any receiver, trustee, assignee, liquidator or similar official under any Bankruptcy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6.2 </w:t>
      </w:r>
      <w:r>
        <w:rPr>
          <w:rFonts w:ascii="Times New Roman" w:hAnsi="Times New Roman"/>
          <w:color w:val="000000"/>
          <w:sz w:val="22"/>
          <w:u w:val="single"/>
        </w:rPr>
        <w:t>Acceleration of Maturity; Rescission and Annulment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Event of Default specified in Section 6.1(d) or (e) shall occur, the principal amount (or specified amount) of and accrued and unpaid interest, if any, on all outstanding Securities shall </w:t>
      </w:r>
      <w:r>
        <w:rPr>
          <w:rFonts w:ascii="Times New Roman" w:hAnsi="Times New Roman"/>
          <w:i/>
          <w:color w:val="000000"/>
          <w:sz w:val="22"/>
        </w:rPr>
        <w:t>ipso facto</w:t>
      </w:r>
      <w:r>
        <w:rPr>
          <w:rFonts w:ascii="Times New Roman" w:hAnsi="Times New Roman"/>
          <w:color w:val="000000"/>
          <w:sz w:val="20"/>
        </w:rPr>
        <w:t xml:space="preserve"> </w:t>
      </w:r>
      <w:r>
        <w:rPr>
          <w:rFonts w:ascii="Times New Roman" w:hAnsi="Times New Roman"/>
          <w:color w:val="000000"/>
          <w:sz w:val="22"/>
        </w:rPr>
        <w:t>become and be immediately due and payable without any declaration or other act on the part of the Trustee or any Holder.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such rescission shall affect any subsequent Default or impair any right consequent thereon.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6.3 </w:t>
      </w:r>
      <w:r>
        <w:rPr>
          <w:rFonts w:ascii="Times New Roman" w:hAnsi="Times New Roman"/>
          <w:color w:val="000000"/>
          <w:sz w:val="22"/>
          <w:u w:val="single"/>
        </w:rPr>
        <w:t>Collection of Indebtedness and Suits for Enforcement by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covenants that if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default is made in the payment of any interest on any Security when such interest becomes due and payable and such default continues for a period of 30 days,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default is made in the payment of principal of any Security at the Maturity thereof,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default is made in the deposit of any sinking fund payment, if any, when and as due by the terms of a Security,</w:t>
      </w:r>
    </w:p>
    <w:p>
      <w:pPr>
        <w:pStyle w:val="TextBody"/>
        <w:bidi w:val="0"/>
        <w:spacing w:before="240" w:after="283"/>
        <w:jc w:val="left"/>
        <w:rPr>
          <w:rFonts w:ascii="Times New Roman" w:hAnsi="Times New Roman"/>
          <w:sz w:val="20"/>
        </w:rPr>
      </w:pPr>
      <w:r>
        <w:rPr>
          <w:rFonts w:ascii="Times New Roman" w:hAnsi="Times New Roman"/>
          <w:i/>
          <w:color w:val="000000"/>
          <w:sz w:val="22"/>
        </w:rPr>
        <w:t>then</w:t>
      </w:r>
      <w:r>
        <w:rPr>
          <w:rFonts w:ascii="Times New Roman" w:hAnsi="Times New Roman"/>
          <w:color w:val="000000"/>
          <w:sz w:val="22"/>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6.4 </w:t>
      </w:r>
      <w:r>
        <w:rPr>
          <w:rFonts w:ascii="Times New Roman" w:hAnsi="Times New Roman"/>
          <w:color w:val="000000"/>
          <w:sz w:val="22"/>
          <w:u w:val="single"/>
        </w:rPr>
        <w:t>Trustee May File Proofs of Claim</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6.5 </w:t>
      </w:r>
      <w:r>
        <w:rPr>
          <w:rFonts w:ascii="Times New Roman" w:hAnsi="Times New Roman"/>
          <w:color w:val="000000"/>
          <w:sz w:val="22"/>
          <w:u w:val="single"/>
        </w:rPr>
        <w:t>Trustee May Enforce Claims Without Possession of Securities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6.6 </w:t>
      </w:r>
      <w:r>
        <w:rPr>
          <w:rFonts w:ascii="Times New Roman" w:hAnsi="Times New Roman"/>
          <w:color w:val="000000"/>
          <w:sz w:val="22"/>
          <w:u w:val="single"/>
        </w:rPr>
        <w:t>Application of Money Collected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First: To the payment of all amounts due the Trustee under Section 7.7;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Third: To the Company.</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6.7 </w:t>
      </w:r>
      <w:r>
        <w:rPr>
          <w:rFonts w:ascii="Times New Roman" w:hAnsi="Times New Roman"/>
          <w:color w:val="000000"/>
          <w:sz w:val="22"/>
          <w:u w:val="single"/>
        </w:rPr>
        <w:t>Limitation on Suits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such Holder has previously given written notice to the Trustee of a continuing Event of Default with respect to the Securities of that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for 60 days after its receipt of such notice, request and offer of indemnity has failed to institute any such proceeding;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direction inconsistent with such written request has been given to the Trustee during such 60-day period by the Holders of a majority in principal amount of the outstanding Securities of that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6.8 </w:t>
      </w:r>
      <w:r>
        <w:rPr>
          <w:rFonts w:ascii="Times New Roman" w:hAnsi="Times New Roman"/>
          <w:color w:val="000000"/>
          <w:sz w:val="22"/>
          <w:u w:val="single"/>
        </w:rPr>
        <w:t>Unconditional Right of Holders to Receive Principal and Interest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6.9 </w:t>
      </w:r>
      <w:r>
        <w:rPr>
          <w:rFonts w:ascii="Times New Roman" w:hAnsi="Times New Roman"/>
          <w:color w:val="000000"/>
          <w:sz w:val="22"/>
          <w:u w:val="single"/>
        </w:rPr>
        <w:t>Restoration of Rights and Remedies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6.10 </w:t>
      </w:r>
      <w:r>
        <w:rPr>
          <w:rFonts w:ascii="Times New Roman" w:hAnsi="Times New Roman"/>
          <w:color w:val="000000"/>
          <w:sz w:val="22"/>
          <w:u w:val="single"/>
        </w:rPr>
        <w:t>Rights and Remedies Cumulative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6.11 </w:t>
      </w:r>
      <w:r>
        <w:rPr>
          <w:rFonts w:ascii="Times New Roman" w:hAnsi="Times New Roman"/>
          <w:color w:val="000000"/>
          <w:sz w:val="22"/>
          <w:u w:val="single"/>
        </w:rPr>
        <w:t>Delay or Omission Not Waiver</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6.12 </w:t>
      </w:r>
      <w:r>
        <w:rPr>
          <w:rFonts w:ascii="Times New Roman" w:hAnsi="Times New Roman"/>
          <w:color w:val="000000"/>
          <w:sz w:val="22"/>
          <w:u w:val="single"/>
        </w:rPr>
        <w:t>Control by Holders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such direction shall not be in conflict with any rule of law or with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take any other action deemed proper by the Trustee which is not inconsistent with such direction,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prior to taking any action as directed under this Section 6.12, the Trustee shall be entitled to indemnity satisfactory to it against the losses, costs, expenses and liabilities which might be incurred by it in compliance with such request or direction.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6.13 </w:t>
      </w:r>
      <w:r>
        <w:rPr>
          <w:rFonts w:ascii="Times New Roman" w:hAnsi="Times New Roman"/>
          <w:color w:val="000000"/>
          <w:sz w:val="22"/>
          <w:u w:val="single"/>
        </w:rPr>
        <w:t>Waiver of Past Defaults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6.14 </w:t>
      </w:r>
      <w:r>
        <w:rPr>
          <w:rFonts w:ascii="Times New Roman" w:hAnsi="Times New Roman"/>
          <w:color w:val="000000"/>
          <w:sz w:val="22"/>
          <w:u w:val="single"/>
        </w:rPr>
        <w:t>Undertaking for Costs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VII</w:t>
        <w:br/>
        <w:t>TRUSTEE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7.1 </w:t>
      </w:r>
      <w:r>
        <w:rPr>
          <w:rFonts w:ascii="Times New Roman" w:hAnsi="Times New Roman"/>
          <w:color w:val="000000"/>
          <w:sz w:val="22"/>
          <w:u w:val="single"/>
        </w:rPr>
        <w:t>Duties of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Except during the continuance of an Event of Default: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need perform only those duties that are specifically set forth in this Indenture and no others, and no implied covenants or obligations shall be read into this Indenture against the Trustee.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pPr>
      <w:r>
        <w:rPr>
          <w:rFonts w:ascii="Times New Roman" w:hAnsi="Times New Roman"/>
          <w:color w:val="000000"/>
          <w:sz w:val="22"/>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color w:val="000000"/>
          <w:sz w:val="22"/>
          <w:u w:val="single"/>
        </w:rPr>
        <w:t>however</w:t>
      </w:r>
      <w:r>
        <w:rPr>
          <w:rFonts w:ascii="Times New Roman" w:hAnsi="Times New Roman"/>
          <w:color w:val="000000"/>
          <w:sz w:val="22"/>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not be relieved from liability for its own negligent action, its own negligent failure to act or its own willful misconduct, except that: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paragraph does not limit the effect of paragraph (b) of this Section.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liable for any error of judgment made in good faith by a Responsible Officer, unless it is proved in a court of competent jurisdiction that the Trustee was negligent in ascertaining the pertinent facts.</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Every provision of this Indenture that in any way relates to the Trustee is subject to paragraph (a), (b) and (c) of this Section.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provision of this Indenture shall require the Trustee to expend or risk its own funds or otherwise incur any financial liability in the performance of any of its duties, or in the exercise of any of its rights or powers.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Paying Agent, the Registrar and any authenticating agent shall be entitled to the protections and immunities as are set forth in paragraphs (e), (f) and (g) of this Section and in Section 7.2, each with respect to the Trustee.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7.2 </w:t>
      </w:r>
      <w:r>
        <w:rPr>
          <w:rFonts w:ascii="Times New Roman" w:hAnsi="Times New Roman"/>
          <w:color w:val="000000"/>
          <w:sz w:val="22"/>
          <w:u w:val="single"/>
        </w:rPr>
        <w:t>Rights of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permissive right of the Trustee to take the actions permitted by this Indenture shall not be construed as an obligation or duty to do so.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bond or surety shall be required with respect to performance of Trustee’s duties and powers.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no circumstances shall the Trustee be liable in its individual capacity for the obligations evidenced by the Securities.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request or direction of the Company mentioned herein shall be sufficiently evidenced by a Company Order and any resolution of the Board of Directors may be sufficiently evidenced by a Board Resolution.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request that the Company deliver a certificate setting forth the names of individuals and/or titles of officers authorized at such time to take specified actions pursuant to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7.3 </w:t>
      </w:r>
      <w:r>
        <w:rPr>
          <w:rFonts w:ascii="Times New Roman" w:hAnsi="Times New Roman"/>
          <w:color w:val="000000"/>
          <w:sz w:val="22"/>
          <w:u w:val="single"/>
        </w:rPr>
        <w:t>Individual Rights of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7.4 </w:t>
      </w:r>
      <w:r>
        <w:rPr>
          <w:rFonts w:ascii="Times New Roman" w:hAnsi="Times New Roman"/>
          <w:color w:val="000000"/>
          <w:sz w:val="22"/>
          <w:u w:val="single"/>
        </w:rPr>
        <w:t>Trustee’s Disclaimer</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7.5 </w:t>
      </w:r>
      <w:r>
        <w:rPr>
          <w:rFonts w:ascii="Times New Roman" w:hAnsi="Times New Roman"/>
          <w:color w:val="000000"/>
          <w:sz w:val="22"/>
          <w:u w:val="single"/>
        </w:rPr>
        <w:t>Notice of Defaults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7.6 </w:t>
      </w:r>
      <w:r>
        <w:rPr>
          <w:rFonts w:ascii="Times New Roman" w:hAnsi="Times New Roman"/>
          <w:color w:val="000000"/>
          <w:sz w:val="22"/>
          <w:u w:val="single"/>
        </w:rPr>
        <w:t>Reports by Trustee to Holders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7.7 </w:t>
      </w:r>
      <w:r>
        <w:rPr>
          <w:rFonts w:ascii="Times New Roman" w:hAnsi="Times New Roman"/>
          <w:color w:val="000000"/>
          <w:sz w:val="22"/>
          <w:u w:val="single"/>
        </w:rPr>
        <w:t>Compensation and Indemnity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before="240" w:after="283"/>
        <w:jc w:val="left"/>
        <w:rPr>
          <w:rFonts w:ascii="Times New Roman" w:hAnsi="Times New Roman"/>
          <w:sz w:val="20"/>
        </w:rPr>
      </w:pPr>
      <w:r>
        <w:rPr>
          <w:rFonts w:ascii="Times New Roman" w:hAnsi="Times New Roman"/>
          <w:color w:val="000000"/>
          <w:sz w:val="22"/>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withheld. This indemnification shall apply to officers, directors, employees, shareholders and agents of the Trustee.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provisions of this Section shall survive the termination of this Indenture or the resignation or removal of the Trustee.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7.8 </w:t>
      </w:r>
      <w:r>
        <w:rPr>
          <w:rFonts w:ascii="Times New Roman" w:hAnsi="Times New Roman"/>
          <w:color w:val="000000"/>
          <w:sz w:val="22"/>
          <w:u w:val="single"/>
        </w:rPr>
        <w:t>Replacement of Trustee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resignation or removal of the Trustee and appointment of a successor Trustee shall become effective only upon the successor Trustee’s acceptance of appointment as provided in this Section.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fails to comply with Section 7.10;</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is adjudged a bankrupt or an insolvent or an order for relief is entered with respect to the Trustee under any Bankruptcy 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Custodian or public officer takes charge of the Trustee or its property;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becomes incapable of acting.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7.9 </w:t>
      </w:r>
      <w:r>
        <w:rPr>
          <w:rFonts w:ascii="Times New Roman" w:hAnsi="Times New Roman"/>
          <w:color w:val="000000"/>
          <w:sz w:val="22"/>
          <w:u w:val="single"/>
        </w:rPr>
        <w:t>Successor Trustee by Merger, Etc</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7.10 </w:t>
      </w:r>
      <w:r>
        <w:rPr>
          <w:rFonts w:ascii="Times New Roman" w:hAnsi="Times New Roman"/>
          <w:color w:val="000000"/>
          <w:sz w:val="22"/>
          <w:u w:val="single"/>
        </w:rPr>
        <w:t>Eligibility; Disqualification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7.11 </w:t>
      </w:r>
      <w:r>
        <w:rPr>
          <w:rFonts w:ascii="Times New Roman" w:hAnsi="Times New Roman"/>
          <w:color w:val="000000"/>
          <w:sz w:val="22"/>
          <w:u w:val="single"/>
        </w:rPr>
        <w:t>Preferential Collection of Claims Against Company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is subject to TIA § 311(a), excluding any creditor relationship listed in TIA § 311(b). A Trustee who has resigned or been removed shall be subject to TIA § 311(a) to the extent indicated.</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VIII</w:t>
        <w:br/>
        <w:t>SATISFACTION AND DISCHARGE; DEFEASANCE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8.1 </w:t>
      </w:r>
      <w:r>
        <w:rPr>
          <w:rFonts w:ascii="Times New Roman" w:hAnsi="Times New Roman"/>
          <w:color w:val="000000"/>
          <w:sz w:val="22"/>
          <w:u w:val="single"/>
        </w:rPr>
        <w:t>Satisfaction and Discharge of Indenture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either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such Securities of such Series not theretofore delivered to the Trustee for cancellation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have become due and payable by reason of sending a notice of redemption or otherwise, or</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will become due and payable at their Stated Maturity within one year,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are deemed paid and discharged pursuant to Section 8.3, as applicable;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has paid or caused to be paid all other sums payable hereunder by the Company;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8.2 </w:t>
      </w:r>
      <w:r>
        <w:rPr>
          <w:rFonts w:ascii="Times New Roman" w:hAnsi="Times New Roman"/>
          <w:color w:val="000000"/>
          <w:sz w:val="22"/>
          <w:u w:val="single"/>
        </w:rPr>
        <w:t>Application of Trust Funds; Indemnification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received. This provision shall not authorize the sale by the Trustee of any U.S. Government Obligations or Foreign Government Obligations held under this Indenture.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8.3 </w:t>
      </w:r>
      <w:r>
        <w:rPr>
          <w:rFonts w:ascii="Times New Roman" w:hAnsi="Times New Roman"/>
          <w:color w:val="000000"/>
          <w:sz w:val="22"/>
          <w:u w:val="single"/>
        </w:rPr>
        <w:t>Legal Defeasance of Securities of any Series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provisions of Sections 2.4, 2.5, 2.7, 2.8, 7.7, 8.2, 8.3, 8.5 and 8.6;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rights, powers, trusts and immunities of the Trustee hereunder and the Company’s obligations in connection therewith;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provided that, the following conditions shall have been satisfied: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such deposit will not result in a breach or violation of, or constitute a default under, this Indenture or any other agreement or instrument to which the Company is a party or by which it is bound;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Default or Event of Default with respect to the Securities of such Series shall have occurred and be continuing on the date of such deposit or during the period ending on the 91st day after such date;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8.4 </w:t>
      </w:r>
      <w:r>
        <w:rPr>
          <w:rFonts w:ascii="Times New Roman" w:hAnsi="Times New Roman"/>
          <w:color w:val="000000"/>
          <w:sz w:val="22"/>
          <w:u w:val="single"/>
        </w:rPr>
        <w:t>Covenant Defeasance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such deposit will not result in a breach or violation of, or constitute a default under, this Indenture or any other agreement or instrument to which the Company is a party or by which it is bound;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 Default or Event of Default with respect to the Securities of such Series shall have occurred and be continuing on the date of such deposit;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8.5 </w:t>
      </w:r>
      <w:r>
        <w:rPr>
          <w:rFonts w:ascii="Times New Roman" w:hAnsi="Times New Roman"/>
          <w:color w:val="000000"/>
          <w:sz w:val="22"/>
          <w:u w:val="single"/>
        </w:rPr>
        <w:t>Repayment to Company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8.6 </w:t>
      </w:r>
      <w:r>
        <w:rPr>
          <w:rFonts w:ascii="Times New Roman" w:hAnsi="Times New Roman"/>
          <w:color w:val="000000"/>
          <w:sz w:val="22"/>
          <w:u w:val="single"/>
        </w:rPr>
        <w:t>Reinstatement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IX</w:t>
        <w:br/>
        <w:t>AMENDMENTS AND WAIVERS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9.1 </w:t>
      </w:r>
      <w:r>
        <w:rPr>
          <w:rFonts w:ascii="Times New Roman" w:hAnsi="Times New Roman"/>
          <w:color w:val="000000"/>
          <w:sz w:val="22"/>
          <w:u w:val="single"/>
        </w:rPr>
        <w:t>Without Consent of Holders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and the Trustee may amend or supplement this Indenture or the Securities of one or more Series without the consent of any Securityholder: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cure any ambiguity, defect or inconsistency as evidenced by an Officer Certificate;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comply with Article V;</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provide for uncertificated Securities in addition to or in place of certificated Securities;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add guarantees with respect to Securities of any Series or secure Securities of any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surrender any of the Company’s rights or powers under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add covenants or events of default for the benefit of the holders of Securities of any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comply with the applicable procedures of the applicable depositary;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make any change that does not adversely affect the rights of any Securityholder;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provide for the issuance of and establish the form and terms and conditions of Securities of any Series as permitted by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comply with requirements of the SEC in order to effect or maintain the qualification of this Indenture under the TIA;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conform any provision of this Indenture, in so far as it relates to the Securities of such Series, to the description of the Securities of such Series in the prospectus supplement relation to the offering of the Securities of such Series.</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9.2 </w:t>
      </w:r>
      <w:r>
        <w:rPr>
          <w:rFonts w:ascii="Times New Roman" w:hAnsi="Times New Roman"/>
          <w:color w:val="000000"/>
          <w:sz w:val="22"/>
          <w:u w:val="single"/>
        </w:rPr>
        <w:t>With Consent of Holders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9.3 </w:t>
      </w:r>
      <w:r>
        <w:rPr>
          <w:rFonts w:ascii="Times New Roman" w:hAnsi="Times New Roman"/>
          <w:color w:val="000000"/>
          <w:sz w:val="22"/>
          <w:u w:val="single"/>
        </w:rPr>
        <w:t>Limitations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Without the consent of each Securityholder affected, an amendment or waiver may not: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reduce the principal amount of Securities whose Holders must consent to an amendment, supplement or waiver;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reduce the rate of or extend the time for payment of interest (including default interest) on any Security;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reduce the principal or change the Stated Maturity of any Security or reduce the amount of, or postpone the date fixed for, the payment of any sinking fund or analogous obligation;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reduce the principal amount of Discount Securities payable upon acceleration of the maturity thereof;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make the principal of or interest, if any, on any Security payable in any currency other than that stated in the Security;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make any change in Sections 6.8, 6.13 or 9.3 (this sentence);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waive a redemption payment with respect to any Security, provided that such redemption is made at the Company’s option.</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9.4 </w:t>
      </w:r>
      <w:r>
        <w:rPr>
          <w:rFonts w:ascii="Times New Roman" w:hAnsi="Times New Roman"/>
          <w:color w:val="000000"/>
          <w:sz w:val="22"/>
          <w:u w:val="single"/>
        </w:rPr>
        <w:t>Compliance with Trust Indenture Act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Every amendment to this Indenture or the Securities of one or more Series shall be set forth in a supplemental indenture hereto that complies with the TIA as then in effect.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9.5 </w:t>
      </w:r>
      <w:r>
        <w:rPr>
          <w:rFonts w:ascii="Times New Roman" w:hAnsi="Times New Roman"/>
          <w:color w:val="000000"/>
          <w:sz w:val="22"/>
          <w:u w:val="single"/>
        </w:rPr>
        <w:t>Revocation and Effect of Consents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9.6 </w:t>
      </w:r>
      <w:r>
        <w:rPr>
          <w:rFonts w:ascii="Times New Roman" w:hAnsi="Times New Roman"/>
          <w:color w:val="000000"/>
          <w:sz w:val="22"/>
          <w:u w:val="single"/>
        </w:rPr>
        <w:t>Notation on or Exchange of Securities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9.7 </w:t>
      </w:r>
      <w:r>
        <w:rPr>
          <w:rFonts w:ascii="Times New Roman" w:hAnsi="Times New Roman"/>
          <w:color w:val="000000"/>
          <w:sz w:val="22"/>
          <w:u w:val="single"/>
        </w:rPr>
        <w:t>Trustee Protected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X</w:t>
        <w:br/>
        <w:t>MISCELLANEOUS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Trust Indenture Act Controls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Notices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if to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Athira Pharma, Inc.</w:t>
      </w:r>
    </w:p>
    <w:p>
      <w:pPr>
        <w:pStyle w:val="TextBody"/>
        <w:bidi w:val="0"/>
        <w:jc w:val="left"/>
        <w:rPr>
          <w:rFonts w:ascii="Times New Roman" w:hAnsi="Times New Roman"/>
          <w:sz w:val="20"/>
        </w:rPr>
      </w:pPr>
      <w:r>
        <w:rPr>
          <w:rFonts w:ascii="Times New Roman" w:hAnsi="Times New Roman"/>
          <w:color w:val="000000"/>
          <w:sz w:val="22"/>
        </w:rPr>
        <w:t>18706 North Creek Parkway, Suite 104</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Bothell, Washington 98011</w:t>
      </w:r>
    </w:p>
    <w:p>
      <w:pPr>
        <w:pStyle w:val="TextBody"/>
        <w:bidi w:val="0"/>
        <w:jc w:val="left"/>
        <w:rPr>
          <w:rFonts w:ascii="Times New Roman" w:hAnsi="Times New Roman"/>
          <w:color w:val="000000"/>
          <w:sz w:val="22"/>
        </w:rPr>
      </w:pPr>
      <w:r>
        <w:rPr>
          <w:rFonts w:ascii="Times New Roman" w:hAnsi="Times New Roman"/>
          <w:color w:val="000000"/>
          <w:sz w:val="22"/>
        </w:rPr>
        <w:t>Attention: General Counsel</w:t>
      </w:r>
    </w:p>
    <w:p>
      <w:pPr>
        <w:pStyle w:val="TextBody"/>
        <w:bidi w:val="0"/>
        <w:spacing w:before="240" w:after="283"/>
        <w:jc w:val="left"/>
        <w:rPr>
          <w:rFonts w:ascii="Times New Roman" w:hAnsi="Times New Roman"/>
          <w:sz w:val="20"/>
        </w:rPr>
      </w:pPr>
      <w:r>
        <w:rPr>
          <w:rFonts w:ascii="Times New Roman" w:hAnsi="Times New Roman"/>
          <w:color w:val="000000"/>
          <w:sz w:val="22"/>
        </w:rPr>
        <w:t>with a copy to:</w:t>
        <w:br/>
      </w:r>
      <w:r>
        <w:rPr>
          <w:rFonts w:ascii="Times New Roman" w:hAnsi="Times New Roman"/>
          <w:color w:val="000000"/>
          <w:sz w:val="20"/>
        </w:rPr>
        <w:t> </w:t>
      </w:r>
    </w:p>
    <w:p>
      <w:pPr>
        <w:pStyle w:val="TextBody"/>
        <w:bidi w:val="0"/>
        <w:jc w:val="left"/>
        <w:rPr>
          <w:rFonts w:ascii="Times New Roman" w:hAnsi="Times New Roman"/>
          <w:color w:val="000000"/>
          <w:sz w:val="22"/>
        </w:rPr>
      </w:pPr>
      <w:r>
        <w:rPr>
          <w:rFonts w:ascii="Times New Roman" w:hAnsi="Times New Roman"/>
          <w:color w:val="000000"/>
          <w:sz w:val="22"/>
        </w:rPr>
        <w:t>Wilson Sonsini Goodrich &amp; Rosati, Professional Corporation</w:t>
      </w:r>
    </w:p>
    <w:p>
      <w:pPr>
        <w:pStyle w:val="TextBody"/>
        <w:bidi w:val="0"/>
        <w:jc w:val="left"/>
        <w:rPr>
          <w:rFonts w:ascii="Times New Roman" w:hAnsi="Times New Roman"/>
          <w:color w:val="000000"/>
          <w:sz w:val="22"/>
        </w:rPr>
      </w:pPr>
      <w:r>
        <w:rPr>
          <w:rFonts w:ascii="Times New Roman" w:hAnsi="Times New Roman"/>
          <w:color w:val="000000"/>
          <w:sz w:val="22"/>
        </w:rPr>
        <w:t>701 Fifth Avenue</w:t>
      </w:r>
    </w:p>
    <w:p>
      <w:pPr>
        <w:pStyle w:val="TextBody"/>
        <w:bidi w:val="0"/>
        <w:jc w:val="left"/>
        <w:rPr>
          <w:rFonts w:ascii="Times New Roman" w:hAnsi="Times New Roman"/>
          <w:color w:val="000000"/>
          <w:sz w:val="22"/>
        </w:rPr>
      </w:pPr>
      <w:r>
        <w:rPr>
          <w:rFonts w:ascii="Times New Roman" w:hAnsi="Times New Roman"/>
          <w:color w:val="000000"/>
          <w:sz w:val="22"/>
        </w:rPr>
        <w:t>Suite 5100</w:t>
      </w:r>
    </w:p>
    <w:p>
      <w:pPr>
        <w:pStyle w:val="TextBody"/>
        <w:bidi w:val="0"/>
        <w:jc w:val="left"/>
        <w:rPr>
          <w:rFonts w:ascii="Times New Roman" w:hAnsi="Times New Roman"/>
          <w:color w:val="000000"/>
          <w:sz w:val="22"/>
        </w:rPr>
      </w:pPr>
      <w:r>
        <w:rPr>
          <w:rFonts w:ascii="Times New Roman" w:hAnsi="Times New Roman"/>
          <w:color w:val="000000"/>
          <w:sz w:val="22"/>
        </w:rPr>
        <w:t>Seattle, WA 98104-7036</w:t>
      </w:r>
    </w:p>
    <w:p>
      <w:pPr>
        <w:pStyle w:val="TextBody"/>
        <w:bidi w:val="0"/>
        <w:jc w:val="left"/>
        <w:rPr>
          <w:rFonts w:ascii="Times New Roman" w:hAnsi="Times New Roman"/>
          <w:color w:val="000000"/>
          <w:sz w:val="22"/>
        </w:rPr>
      </w:pPr>
      <w:r>
        <w:rPr>
          <w:rFonts w:ascii="Times New Roman" w:hAnsi="Times New Roman"/>
          <w:color w:val="000000"/>
          <w:sz w:val="22"/>
        </w:rPr>
        <w:t>Attention: Michael Nordtvedt</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if to the Trustee:</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2"/>
        </w:rPr>
        <w:t>__________</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2"/>
        </w:rPr>
        <w:t>__________</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2"/>
        </w:rPr>
        <w:t xml:space="preserve">Attention: </w:t>
      </w:r>
      <w:r>
        <w:rPr>
          <w:rFonts w:ascii="Times New Roman" w:hAnsi="Times New Roman"/>
          <w:color w:val="000000"/>
          <w:sz w:val="24"/>
        </w:rPr>
        <w:t>[</w:t>
      </w:r>
      <w:r>
        <w:rPr>
          <w:rFonts w:ascii="Times New Roman" w:hAnsi="Times New Roman"/>
          <w:color w:val="000000"/>
          <w:sz w:val="22"/>
        </w:rPr>
        <w:t>__________</w:t>
      </w:r>
      <w:r>
        <w:rPr>
          <w:rFonts w:ascii="Times New Roman" w:hAnsi="Times New Roman"/>
          <w:color w:val="000000"/>
          <w:sz w:val="24"/>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or the Trustee by notice to the other may designate additional or different addresses for subsequent notices or communications. Any notice or communication delivered to the Trustee shall be deemed effective upon actual receipt thereof.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a notice or communication is sent or published in the manner provided above, within the time prescribed, it is duly given, whether or not the Securityholder receives it.</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the Company sends a notice or communication to Securityholders, it shall send a copy to the Trustee and each Agent at the same time.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10.3 </w:t>
      </w:r>
      <w:r>
        <w:rPr>
          <w:rFonts w:ascii="Times New Roman" w:hAnsi="Times New Roman"/>
          <w:color w:val="000000"/>
          <w:sz w:val="22"/>
          <w:u w:val="single"/>
        </w:rPr>
        <w:t>Communication by Holders with Other Holders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10.4 </w:t>
      </w:r>
      <w:r>
        <w:rPr>
          <w:rFonts w:ascii="Times New Roman" w:hAnsi="Times New Roman"/>
          <w:color w:val="000000"/>
          <w:sz w:val="22"/>
          <w:u w:val="single"/>
        </w:rPr>
        <w:t>Certificate and Opinion as to Conditions Precedent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Upon any request or application by the Company to the Trustee to take any action under this Indenture, the Company shall furnish to the Trustee: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 Officer’s Certificate stating that, in the opinion of the signers, all conditions precedent, if any, provided for in this Indenture relating to the proposed action have been complied with;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 Opinion of Counsel stating that, in the opinion of such counsel, all such conditions precedent have been complied with.</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10.5 </w:t>
      </w:r>
      <w:r>
        <w:rPr>
          <w:rFonts w:ascii="Times New Roman" w:hAnsi="Times New Roman"/>
          <w:color w:val="000000"/>
          <w:sz w:val="22"/>
          <w:u w:val="single"/>
        </w:rPr>
        <w:t>Statements Required in Certificate or Opinion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statement that the person making such certificate or opinion has read such covenant or condition;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brief statement as to the nature and scope of the examination or investigation upon which the statements or opinions contained in such certificate or opinion are based;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statement as to whether or not, in the opinion of such person, such condition or covenant has been complied with.</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10.6 </w:t>
      </w:r>
      <w:r>
        <w:rPr>
          <w:rFonts w:ascii="Times New Roman" w:hAnsi="Times New Roman"/>
          <w:color w:val="000000"/>
          <w:sz w:val="22"/>
          <w:u w:val="single"/>
        </w:rPr>
        <w:t>Rules by Trustee and Agents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Trustee may make reasonable rules for action by or a meeting of Securityholders of one or more Series. Any Agent may make reasonable rules and set reasonable requirements for its functions.</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10.7 </w:t>
      </w:r>
      <w:r>
        <w:rPr>
          <w:rFonts w:ascii="Times New Roman" w:hAnsi="Times New Roman"/>
          <w:color w:val="000000"/>
          <w:sz w:val="22"/>
          <w:u w:val="single"/>
        </w:rPr>
        <w:t>Legal Holidays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 “</w:t>
      </w:r>
      <w:r>
        <w:rPr>
          <w:rFonts w:ascii="Times New Roman" w:hAnsi="Times New Roman"/>
          <w:i/>
          <w:color w:val="000000"/>
          <w:sz w:val="22"/>
        </w:rPr>
        <w:t>Legal Holiday</w:t>
      </w:r>
      <w:r>
        <w:rPr>
          <w:rFonts w:ascii="Times New Roman" w:hAnsi="Times New Roman"/>
          <w:color w:val="000000"/>
          <w:sz w:val="20"/>
        </w:rPr>
        <w:t xml:space="preserve">” </w:t>
      </w:r>
      <w:r>
        <w:rPr>
          <w:rFonts w:ascii="Times New Roman" w:hAnsi="Times New Roman"/>
          <w:color w:val="000000"/>
          <w:sz w:val="22"/>
        </w:rPr>
        <w:t>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10.8 </w:t>
      </w:r>
      <w:r>
        <w:rPr>
          <w:rFonts w:ascii="Times New Roman" w:hAnsi="Times New Roman"/>
          <w:color w:val="000000"/>
          <w:sz w:val="22"/>
          <w:u w:val="single"/>
        </w:rPr>
        <w:t>No Recourse Against Others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10.9 </w:t>
      </w:r>
      <w:r>
        <w:rPr>
          <w:rFonts w:ascii="Times New Roman" w:hAnsi="Times New Roman"/>
          <w:color w:val="000000"/>
          <w:sz w:val="22"/>
          <w:u w:val="single"/>
        </w:rPr>
        <w:t>Counterparts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10.10 </w:t>
      </w:r>
      <w:r>
        <w:rPr>
          <w:rFonts w:ascii="Times New Roman" w:hAnsi="Times New Roman"/>
          <w:color w:val="000000"/>
          <w:sz w:val="22"/>
          <w:u w:val="single"/>
        </w:rPr>
        <w:t>Governing Law; Waiver of Jury Trial; Consent to Jurisdiction</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before="240" w:after="283"/>
        <w:jc w:val="left"/>
        <w:rPr>
          <w:rFonts w:ascii="Times New Roman" w:hAnsi="Times New Roman"/>
          <w:sz w:val="20"/>
        </w:rPr>
      </w:pPr>
      <w:r>
        <w:rPr>
          <w:rFonts w:ascii="Times New Roman" w:hAnsi="Times New Roman"/>
          <w:color w:val="000000"/>
          <w:sz w:val="22"/>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color w:val="000000"/>
          <w:sz w:val="22"/>
        </w:rPr>
        <w:t>Specified Courts</w:t>
      </w:r>
      <w:r>
        <w:rPr>
          <w:rFonts w:ascii="Times New Roman" w:hAnsi="Times New Roman"/>
          <w:color w:val="000000"/>
          <w:sz w:val="20"/>
        </w:rPr>
        <w:t>”</w:t>
      </w:r>
      <w:r>
        <w:rPr>
          <w:rFonts w:ascii="Times New Roman" w:hAnsi="Times New Roman"/>
          <w:color w:val="000000"/>
          <w:sz w:val="22"/>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10.11 </w:t>
      </w:r>
      <w:r>
        <w:rPr>
          <w:rFonts w:ascii="Times New Roman" w:hAnsi="Times New Roman"/>
          <w:color w:val="000000"/>
          <w:sz w:val="22"/>
          <w:u w:val="single"/>
        </w:rPr>
        <w:t>No Adverse Interpretation of Other Agreements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10.12 </w:t>
      </w:r>
      <w:r>
        <w:rPr>
          <w:rFonts w:ascii="Times New Roman" w:hAnsi="Times New Roman"/>
          <w:color w:val="000000"/>
          <w:sz w:val="22"/>
          <w:u w:val="single"/>
        </w:rPr>
        <w:t>Successors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agreements of the Company in this Indenture and the Securities shall bind its successor. All agreements of the Trustee in this Indenture shall bind its successor.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10.13 </w:t>
      </w:r>
      <w:r>
        <w:rPr>
          <w:rFonts w:ascii="Times New Roman" w:hAnsi="Times New Roman"/>
          <w:color w:val="000000"/>
          <w:sz w:val="22"/>
          <w:u w:val="single"/>
        </w:rPr>
        <w:t>Severability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10.14 </w:t>
      </w:r>
      <w:r>
        <w:rPr>
          <w:rFonts w:ascii="Times New Roman" w:hAnsi="Times New Roman"/>
          <w:color w:val="000000"/>
          <w:sz w:val="22"/>
          <w:u w:val="single"/>
        </w:rPr>
        <w:t>Table of Contents, Headings, Etc</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10.15 </w:t>
      </w:r>
      <w:r>
        <w:rPr>
          <w:rFonts w:ascii="Times New Roman" w:hAnsi="Times New Roman"/>
          <w:color w:val="000000"/>
          <w:sz w:val="22"/>
          <w:u w:val="single"/>
        </w:rPr>
        <w:t>Securities in a Foreign Currency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10.16 </w:t>
      </w:r>
      <w:r>
        <w:rPr>
          <w:rFonts w:ascii="Times New Roman" w:hAnsi="Times New Roman"/>
          <w:color w:val="000000"/>
          <w:sz w:val="22"/>
          <w:u w:val="single"/>
        </w:rPr>
        <w:t>Judgment Currency</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 agrees, to the fullest extent that it may effectively do so under applicable law, that (a) if for the purpose of obtaining judgment in any court it is necessary to convert the sum due in respect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the principal of or interest or other amount on the Securities of any Series (the “</w:t>
      </w:r>
      <w:r>
        <w:rPr>
          <w:rFonts w:ascii="Times New Roman" w:hAnsi="Times New Roman"/>
          <w:i/>
          <w:color w:val="000000"/>
          <w:sz w:val="22"/>
        </w:rPr>
        <w:t>Required Currency</w:t>
      </w:r>
      <w:r>
        <w:rPr>
          <w:rFonts w:ascii="Times New Roman" w:hAnsi="Times New Roman"/>
          <w:color w:val="000000"/>
          <w:sz w:val="20"/>
        </w:rPr>
        <w:t>”</w:t>
      </w:r>
      <w:r>
        <w:rPr>
          <w:rFonts w:ascii="Times New Roman" w:hAnsi="Times New Roman"/>
          <w:color w:val="000000"/>
          <w:sz w:val="22"/>
        </w:rPr>
        <w:t>) into a currency in which a judgment will be rendered (the “</w:t>
      </w:r>
      <w:r>
        <w:rPr>
          <w:rFonts w:ascii="Times New Roman" w:hAnsi="Times New Roman"/>
          <w:i/>
          <w:color w:val="000000"/>
          <w:sz w:val="22"/>
        </w:rPr>
        <w:t>Judgment Currency</w:t>
      </w:r>
      <w:r>
        <w:rPr>
          <w:rFonts w:ascii="Times New Roman" w:hAnsi="Times New Roman"/>
          <w:color w:val="000000"/>
          <w:sz w:val="20"/>
        </w:rPr>
        <w:t>”</w:t>
      </w:r>
      <w:r>
        <w:rPr>
          <w:rFonts w:ascii="Times New Roman" w:hAnsi="Times New Roman"/>
          <w:color w:val="000000"/>
          <w:sz w:val="22"/>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color w:val="000000"/>
          <w:sz w:val="22"/>
        </w:rPr>
        <w:t>New York Banking Day</w:t>
      </w:r>
      <w:r>
        <w:rPr>
          <w:rFonts w:ascii="Times New Roman" w:hAnsi="Times New Roman"/>
          <w:color w:val="000000"/>
          <w:sz w:val="20"/>
        </w:rPr>
        <w:t xml:space="preserve">” </w:t>
      </w:r>
      <w:r>
        <w:rPr>
          <w:rFonts w:ascii="Times New Roman" w:hAnsi="Times New Roman"/>
          <w:color w:val="000000"/>
          <w:sz w:val="22"/>
        </w:rPr>
        <w:t>means any day except a Saturday, Sunday or a Legal Holiday in The City of New York on which banking institutions are authorized or required by law, regulation or executive order to close.</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10.17 </w:t>
      </w:r>
      <w:r>
        <w:rPr>
          <w:rFonts w:ascii="Times New Roman" w:hAnsi="Times New Roman"/>
          <w:color w:val="000000"/>
          <w:sz w:val="22"/>
          <w:u w:val="single"/>
        </w:rPr>
        <w:t>Force Majeure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10.18 </w:t>
      </w:r>
      <w:r>
        <w:rPr>
          <w:rFonts w:ascii="Times New Roman" w:hAnsi="Times New Roman"/>
          <w:color w:val="000000"/>
          <w:sz w:val="22"/>
          <w:u w:val="single"/>
        </w:rPr>
        <w:t>U.S.A. Patriot Act</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ARTICLE XI</w:t>
        <w:br/>
        <w:t>SINKING FUNDS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11.1 </w:t>
      </w:r>
      <w:r>
        <w:rPr>
          <w:rFonts w:ascii="Times New Roman" w:hAnsi="Times New Roman"/>
          <w:color w:val="000000"/>
          <w:sz w:val="22"/>
          <w:u w:val="single"/>
        </w:rPr>
        <w:t>Applicability of Article</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before="240" w:after="283"/>
        <w:jc w:val="left"/>
        <w:rPr>
          <w:rFonts w:ascii="Times New Roman" w:hAnsi="Times New Roman"/>
          <w:sz w:val="20"/>
        </w:rPr>
      </w:pPr>
      <w:r>
        <w:rPr>
          <w:rFonts w:ascii="Times New Roman" w:hAnsi="Times New Roman"/>
          <w:color w:val="000000"/>
          <w:sz w:val="22"/>
        </w:rPr>
        <w:t>The minimum amount of any sinking fund payment provided for by the terms of the Securities of any Series is herein referred to as a “</w:t>
      </w:r>
      <w:r>
        <w:rPr>
          <w:rFonts w:ascii="Times New Roman" w:hAnsi="Times New Roman"/>
          <w:i/>
          <w:color w:val="000000"/>
          <w:sz w:val="22"/>
        </w:rPr>
        <w:t>mandatory sinking fund payment</w:t>
      </w:r>
      <w:r>
        <w:rPr>
          <w:rFonts w:ascii="Times New Roman" w:hAnsi="Times New Roman"/>
          <w:color w:val="000000"/>
          <w:sz w:val="20"/>
        </w:rPr>
        <w:t xml:space="preserve">” </w:t>
      </w:r>
      <w:r>
        <w:rPr>
          <w:rFonts w:ascii="Times New Roman" w:hAnsi="Times New Roman"/>
          <w:color w:val="000000"/>
          <w:sz w:val="22"/>
        </w:rPr>
        <w:t>and any other amount provided for by the terms of Securities of such Series is herein referred to as an “</w:t>
      </w:r>
      <w:r>
        <w:rPr>
          <w:rFonts w:ascii="Times New Roman" w:hAnsi="Times New Roman"/>
          <w:i/>
          <w:color w:val="000000"/>
          <w:sz w:val="22"/>
        </w:rPr>
        <w:t>optional sinking fund payment</w:t>
      </w:r>
      <w:r>
        <w:rPr>
          <w:rFonts w:ascii="Times New Roman" w:hAnsi="Times New Roman"/>
          <w:color w:val="000000"/>
          <w:sz w:val="22"/>
        </w:rPr>
        <w:t>.” If provided for by the terms of Securities of any Series, the cash amount of any sinking fund payment may be subject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reduction as provided in Section 11.2. Each sinking fund payment shall be applied to the redemption of Securities of any Series as provided for by the terms of the Securities of such Series.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11.2 </w:t>
      </w:r>
      <w:r>
        <w:rPr>
          <w:rFonts w:ascii="Times New Roman" w:hAnsi="Times New Roman"/>
          <w:color w:val="000000"/>
          <w:sz w:val="22"/>
          <w:u w:val="single"/>
        </w:rPr>
        <w:t>Satisfaction of Sinking Fund Payments with Securities</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Section 11.3 </w:t>
      </w:r>
      <w:r>
        <w:rPr>
          <w:rFonts w:ascii="Times New Roman" w:hAnsi="Times New Roman"/>
          <w:color w:val="000000"/>
          <w:sz w:val="22"/>
          <w:u w:val="single"/>
        </w:rPr>
        <w:t>Redemption of Securities for Sinking Fund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WITNESS WHEREOF, the parties hereto have caused this Indenture to be duly executed as of the day and year first above written.</w:t>
      </w:r>
    </w:p>
    <w:p>
      <w:pPr>
        <w:pStyle w:val="TextBody"/>
        <w:bidi w:val="0"/>
        <w:jc w:val="left"/>
        <w:rPr/>
      </w:pPr>
      <w:r>
        <w:rPr/>
        <w:t> </w:t>
      </w:r>
    </w:p>
    <w:tbl>
      <w:tblPr>
        <w:tblW w:w="2609" w:type="dxa"/>
        <w:jc w:val="left"/>
        <w:tblInd w:w="0" w:type="dxa"/>
        <w:tblLayout w:type="fixed"/>
        <w:tblCellMar>
          <w:top w:w="28" w:type="dxa"/>
          <w:left w:w="28" w:type="dxa"/>
          <w:bottom w:w="28" w:type="dxa"/>
          <w:right w:w="28" w:type="dxa"/>
        </w:tblCellMar>
      </w:tblPr>
      <w:tblGrid>
        <w:gridCol w:w="863"/>
        <w:gridCol w:w="1381"/>
        <w:gridCol w:w="365"/>
      </w:tblGrid>
      <w:tr>
        <w:trPr/>
        <w:tc>
          <w:tcPr>
            <w:tcW w:w="86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ATHIRA PHARMA, INC.</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65"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65"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86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2609" w:type="dxa"/>
            <w:gridSpan w:val="3"/>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[__________],</w:t>
            </w:r>
          </w:p>
        </w:tc>
      </w:tr>
      <w:tr>
        <w:trPr/>
        <w:tc>
          <w:tcPr>
            <w:tcW w:w="2609" w:type="dxa"/>
            <w:gridSpan w:val="3"/>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Trustee</w:t>
            </w:r>
          </w:p>
        </w:tc>
      </w:tr>
    </w:tbl>
    <w:p>
      <w:pPr>
        <w:pStyle w:val="TextBody"/>
        <w:bidi w:val="0"/>
        <w:jc w:val="left"/>
        <w:rPr/>
      </w:pPr>
      <w:r>
        <w:rPr/>
        <w:t> </w:t>
      </w:r>
    </w:p>
    <w:p>
      <w:pPr>
        <w:pStyle w:val="TextBody"/>
        <w:bidi w:val="0"/>
        <w:jc w:val="left"/>
        <w:rPr/>
      </w:pPr>
      <w:r>
        <w:rPr/>
        <w:t> </w:t>
      </w:r>
    </w:p>
    <w:tbl>
      <w:tblPr>
        <w:tblW w:w="1363" w:type="dxa"/>
        <w:jc w:val="left"/>
        <w:tblInd w:w="0" w:type="dxa"/>
        <w:tblLayout w:type="fixed"/>
        <w:tblCellMar>
          <w:top w:w="28" w:type="dxa"/>
          <w:left w:w="28" w:type="dxa"/>
          <w:bottom w:w="28" w:type="dxa"/>
          <w:right w:w="28" w:type="dxa"/>
        </w:tblCellMar>
      </w:tblPr>
      <w:tblGrid>
        <w:gridCol w:w="451"/>
        <w:gridCol w:w="721"/>
        <w:gridCol w:w="191"/>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1" w:type="dxa"/>
            <w:tcBorders/>
            <w:vAlign w:val="center"/>
          </w:tcPr>
          <w:p>
            <w:pPr>
              <w:pStyle w:val="TableContents"/>
              <w:bidi w:val="0"/>
              <w:spacing w:before="0" w:after="283"/>
              <w:jc w:val="left"/>
              <w:rPr/>
            </w:pPr>
            <w:r>
              <w:rPr/>
              <w:t> </w:t>
            </w:r>
          </w:p>
        </w:tc>
      </w:tr>
      <w:tr>
        <w:trPr/>
        <w:tc>
          <w:tcPr>
            <w:tcW w:w="45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5" w:name="atha-ex5_1.htm"/>
      <w:bookmarkStart w:id="26" w:name="ksathaex5_1"/>
      <w:bookmarkEnd w:id="25"/>
      <w:bookmarkEnd w:id="26"/>
      <w:r>
        <w:rPr>
          <w:rFonts w:ascii="Times New Roman" w:hAnsi="Times New Roman"/>
          <w:b/>
          <w:color w:val="000000"/>
          <w:sz w:val="20"/>
        </w:rPr>
        <w:t>Exhibit 5.1</w:t>
      </w:r>
      <w:r>
        <w:br w:type="page"/>
      </w:r>
    </w:p>
    <w:p>
      <w:pPr>
        <w:pStyle w:val="TextBody"/>
        <w:bidi w:val="0"/>
        <w:ind w:left="0" w:right="72" w:hanging="0"/>
        <w:jc w:val="right"/>
        <w:rPr/>
      </w:pPr>
      <w:r>
        <w:rPr/>
        <w:t> </w:t>
      </w:r>
    </w:p>
    <w:tbl>
      <w:tblPr>
        <w:tblW w:w="4662" w:type="dxa"/>
        <w:jc w:val="left"/>
        <w:tblInd w:w="0" w:type="dxa"/>
        <w:tblLayout w:type="fixed"/>
        <w:tblCellMar>
          <w:top w:w="28" w:type="dxa"/>
          <w:left w:w="28" w:type="dxa"/>
          <w:bottom w:w="28" w:type="dxa"/>
          <w:right w:w="28" w:type="dxa"/>
        </w:tblCellMar>
      </w:tblPr>
      <w:tblGrid>
        <w:gridCol w:w="2021"/>
        <w:gridCol w:w="2641"/>
      </w:tblGrid>
      <w:tr>
        <w:trPr/>
        <w:tc>
          <w:tcPr>
            <w:tcW w:w="20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120" w:after="283"/>
              <w:jc w:val="left"/>
              <w:rPr/>
            </w:pPr>
            <w:r>
              <w:rPr/>
              <w:drawing>
                <wp:inline distT="0" distB="0" distL="0" distR="0">
                  <wp:extent cx="12192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219200" cy="457200"/>
                          </a:xfrm>
                          <a:prstGeom prst="rect">
                            <a:avLst/>
                          </a:prstGeom>
                        </pic:spPr>
                      </pic:pic>
                    </a:graphicData>
                  </a:graphic>
                </wp:inline>
              </w:drawing>
            </w:r>
          </w:p>
        </w:tc>
        <w:tc>
          <w:tcPr>
            <w:tcW w:w="2641" w:type="dxa"/>
            <w:tcBorders/>
            <w:vAlign w:val="center"/>
          </w:tcPr>
          <w:p>
            <w:pPr>
              <w:pStyle w:val="TableContents"/>
              <w:bidi w:val="0"/>
              <w:spacing w:before="120" w:after="120"/>
              <w:jc w:val="left"/>
              <w:rPr>
                <w:rFonts w:ascii="Georgia;serif" w:hAnsi="Georgia;serif"/>
                <w:color w:val="003D4C"/>
                <w:sz w:val="16"/>
              </w:rPr>
            </w:pPr>
            <w:r>
              <w:rPr>
                <w:rFonts w:ascii="Georgia;serif" w:hAnsi="Georgia;serif"/>
                <w:color w:val="003D4C"/>
                <w:sz w:val="16"/>
              </w:rPr>
              <w:t>Wilson Sonsini Goodrich &amp; Rosati</w:t>
              <w:br/>
              <w:t>Professional Corporation</w:t>
            </w:r>
          </w:p>
          <w:p>
            <w:pPr>
              <w:pStyle w:val="TableContents"/>
              <w:bidi w:val="0"/>
              <w:spacing w:before="120" w:after="283"/>
              <w:jc w:val="left"/>
              <w:rPr>
                <w:rFonts w:ascii="Georgia;serif" w:hAnsi="Georgia;serif"/>
                <w:color w:val="003D4C"/>
                <w:sz w:val="16"/>
              </w:rPr>
            </w:pPr>
            <w:r>
              <w:rPr>
                <w:rFonts w:ascii="Georgia;serif" w:hAnsi="Georgia;serif"/>
                <w:color w:val="003D4C"/>
                <w:sz w:val="16"/>
              </w:rPr>
              <w:t>701 Fifth Avenue, Suite 5100</w:t>
            </w:r>
          </w:p>
          <w:p>
            <w:pPr>
              <w:pStyle w:val="TableContents"/>
              <w:bidi w:val="0"/>
              <w:spacing w:before="120" w:after="283"/>
              <w:jc w:val="left"/>
              <w:rPr>
                <w:rFonts w:ascii="Georgia;serif" w:hAnsi="Georgia;serif"/>
                <w:color w:val="003D4C"/>
                <w:sz w:val="16"/>
              </w:rPr>
            </w:pPr>
            <w:r>
              <w:rPr>
                <w:rFonts w:ascii="Georgia;serif" w:hAnsi="Georgia;serif"/>
                <w:color w:val="003D4C"/>
                <w:sz w:val="16"/>
              </w:rPr>
              <w:t>Seattle, WA 98104-7036</w:t>
            </w:r>
          </w:p>
          <w:p>
            <w:pPr>
              <w:pStyle w:val="TableContents"/>
              <w:bidi w:val="0"/>
              <w:spacing w:before="120" w:after="283"/>
              <w:jc w:val="left"/>
              <w:rPr>
                <w:rFonts w:ascii="Times New Roman" w:hAnsi="Times New Roman"/>
                <w:sz w:val="16"/>
              </w:rPr>
            </w:pPr>
            <w:r>
              <w:rPr>
                <w:rFonts w:ascii="Georgia;serif" w:hAnsi="Georgia;serif"/>
                <w:smallCaps/>
                <w:color w:val="003D4C"/>
                <w:sz w:val="16"/>
              </w:rPr>
              <w:t>o:</w:t>
            </w:r>
            <w:r>
              <w:rPr>
                <w:rFonts w:ascii="Times New Roman" w:hAnsi="Times New Roman"/>
                <w:color w:val="003D4C"/>
                <w:sz w:val="16"/>
              </w:rPr>
              <w:t> </w:t>
            </w:r>
            <w:r>
              <w:rPr>
                <w:rFonts w:ascii="Georgia;serif" w:hAnsi="Georgia;serif"/>
                <w:color w:val="003D4C"/>
                <w:sz w:val="16"/>
              </w:rPr>
              <w:t>206.883.2500</w:t>
              <w:br/>
            </w:r>
            <w:r>
              <w:rPr>
                <w:rFonts w:ascii="Georgia;serif" w:hAnsi="Georgia;serif"/>
                <w:smallCaps/>
                <w:color w:val="003D4C"/>
                <w:sz w:val="16"/>
              </w:rPr>
              <w:t>f:</w:t>
            </w:r>
            <w:r>
              <w:rPr>
                <w:rFonts w:ascii="Times New Roman" w:hAnsi="Times New Roman"/>
                <w:color w:val="003D4C"/>
                <w:sz w:val="16"/>
              </w:rPr>
              <w:t> </w:t>
            </w:r>
            <w:r>
              <w:rPr>
                <w:rFonts w:ascii="Georgia;serif" w:hAnsi="Georgia;serif"/>
                <w:color w:val="003D4C"/>
                <w:sz w:val="16"/>
              </w:rPr>
              <w:t>866.974.7329</w:t>
            </w:r>
          </w:p>
        </w:tc>
      </w:tr>
    </w:tbl>
    <w:p>
      <w:pPr>
        <w:pStyle w:val="TextBody"/>
        <w:bidi w:val="0"/>
        <w:spacing w:before="6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October 18, 2024</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Athira Pharma, Inc.</w:t>
      </w:r>
    </w:p>
    <w:p>
      <w:pPr>
        <w:pStyle w:val="TextBody"/>
        <w:bidi w:val="0"/>
        <w:jc w:val="left"/>
        <w:rPr>
          <w:rFonts w:ascii="Times New Roman" w:hAnsi="Times New Roman"/>
          <w:color w:val="000000"/>
          <w:sz w:val="20"/>
        </w:rPr>
      </w:pPr>
      <w:r>
        <w:rPr>
          <w:rFonts w:ascii="Times New Roman" w:hAnsi="Times New Roman"/>
          <w:color w:val="000000"/>
          <w:sz w:val="20"/>
        </w:rPr>
        <w:t xml:space="preserve">18706 North Creek Parkway, Suite 104 </w:t>
      </w:r>
    </w:p>
    <w:p>
      <w:pPr>
        <w:pStyle w:val="TextBody"/>
        <w:bidi w:val="0"/>
        <w:jc w:val="left"/>
        <w:rPr>
          <w:rFonts w:ascii="Times New Roman" w:hAnsi="Times New Roman"/>
          <w:color w:val="000000"/>
          <w:sz w:val="20"/>
        </w:rPr>
      </w:pPr>
      <w:r>
        <w:rPr>
          <w:rFonts w:ascii="Times New Roman" w:hAnsi="Times New Roman"/>
          <w:color w:val="000000"/>
          <w:sz w:val="20"/>
        </w:rPr>
        <w:t>Bothell, Washington 98011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 Registration Statement on Form S</w:t>
        <w:noBreakHyphen/>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your request, we have examined the Registration Statement on Form S</w:t>
        <w:noBreakHyphen/>
        <w:t>3 (the “Registration Statement”), filed by Athira Pharma, Inc., a Delaware corporation (the “Company”), with the Securities and Exchange Commission (the “Commission”) in connection with the registration pursuant to the Securities Act of 1933, as amended (the “Act”), of the Securities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Common Stock, Preferred Stock, Debt Securities or Depositary Shares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w:t>
        <w:noBreakHyphen/>
        <w:t>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w:t>
      </w:r>
    </w:p>
    <w:p>
      <w:pPr>
        <w:pStyle w:val="TextBody"/>
        <w:bidi w:val="0"/>
        <w:jc w:val="center"/>
        <w:rPr/>
      </w:pPr>
      <w:r>
        <w:rPr/>
        <w:t> </w:t>
      </w:r>
    </w:p>
    <w:p>
      <w:pPr>
        <w:pStyle w:val="TextBody"/>
        <w:bidi w:val="0"/>
        <w:spacing w:before="0" w:after="60"/>
        <w:jc w:val="center"/>
        <w:rPr>
          <w:rFonts w:ascii="Calibri;sans-serif" w:hAnsi="Calibri;sans-serif"/>
          <w:caps/>
          <w:color w:val="003D4C"/>
          <w:sz w:val="16"/>
        </w:rPr>
      </w:pPr>
      <w:r>
        <w:rPr>
          <w:rFonts w:ascii="Calibri;sans-serif" w:hAnsi="Calibri;sans-serif"/>
          <w:caps/>
          <w:color w:val="003D4C"/>
          <w:sz w:val="16"/>
        </w:rPr>
        <w:t>austin beijing boston BOULDER brussels hong kong london los angeles new york palo alto</w:t>
        <w:br/>
        <w:t>SALT LAKE CITY san diego san francisco seattle shanghai washington, dc wilmington, de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and any amendments thereto (including post</w:t>
        <w:noBreakHyphen/>
        <w: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such examination, we are of the opinion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Debt Securities to be issued under the Indenture, when: (a) the Trustee is qualified to act as Trustee under the Indenture and the Company has filed a Form T</w:t>
        <w:noBreakHyphen/>
        <w: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and will entitle their holders to the rights specified in the Deposit Agreement and the Depositary Receipts.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opinion that any document is legal, valid and binding is qualified as 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imposed by bankruptcy, insolvency, reorganization, arrangement, fraudulent transfer, moratorium or other similar laws relating to or affecting the rights of creditors generally;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rights to indemnification and contribution, which may be limited by applicable law or equitable principles;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express no opinion as to the laws of any other jurisdiction, other than the federal laws of the United States of America, the laws of the State of New York as to the enforceability of the Debt Securities and the DGCL.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filing of this opinion as an exhibit to the above</w:t>
        <w:noBreakHyphen/>
        <w:t xml:space="preser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t>
      </w:r>
    </w:p>
    <w:p>
      <w:pPr>
        <w:pStyle w:val="TextBody"/>
        <w:bidi w:val="0"/>
        <w:jc w:val="left"/>
        <w:rPr/>
      </w:pPr>
      <w:r>
        <w:rPr/>
        <w:t> </w:t>
      </w:r>
    </w:p>
    <w:tbl>
      <w:tblPr>
        <w:tblW w:w="3807" w:type="dxa"/>
        <w:jc w:val="left"/>
        <w:tblInd w:w="0" w:type="dxa"/>
        <w:tblLayout w:type="fixed"/>
        <w:tblCellMar>
          <w:top w:w="28" w:type="dxa"/>
          <w:left w:w="28" w:type="dxa"/>
          <w:bottom w:w="28" w:type="dxa"/>
          <w:right w:w="28" w:type="dxa"/>
        </w:tblCellMar>
      </w:tblPr>
      <w:tblGrid>
        <w:gridCol w:w="161"/>
        <w:gridCol w:w="3646"/>
      </w:tblGrid>
      <w:tr>
        <w:trPr/>
        <w:tc>
          <w:tcPr>
            <w:tcW w:w="16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Corporation</w:t>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Wilson Sonsini Goodrich &amp; Rosati, P.C.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333333"/>
          <w:sz w:val="21"/>
        </w:rPr>
      </w:pPr>
      <w:bookmarkStart w:id="27" w:name="atha-ex23_1.htm"/>
      <w:bookmarkStart w:id="28" w:name="ksathaex23_1"/>
      <w:bookmarkEnd w:id="27"/>
      <w:bookmarkEnd w:id="28"/>
      <w:r>
        <w:rPr>
          <w:rFonts w:ascii="Arial" w:hAnsi="Arial"/>
          <w:b/>
          <w:color w:val="333333"/>
          <w:sz w:val="21"/>
        </w:rPr>
        <w:t>Exhibit 23.1</w:t>
      </w:r>
      <w:r>
        <w:br w:type="page"/>
      </w:r>
    </w:p>
    <w:p>
      <w:pPr>
        <w:pStyle w:val="TextBody"/>
        <w:bidi w:val="0"/>
        <w:jc w:val="center"/>
        <w:rPr/>
      </w:pPr>
      <w:r>
        <w:rPr/>
        <w:t> </w:t>
      </w:r>
    </w:p>
    <w:p>
      <w:pPr>
        <w:pStyle w:val="TextBody"/>
        <w:bidi w:val="0"/>
        <w:jc w:val="center"/>
        <w:rPr>
          <w:rFonts w:ascii="Arial" w:hAnsi="Arial"/>
          <w:b/>
          <w:color w:val="333333"/>
          <w:sz w:val="21"/>
        </w:rPr>
      </w:pPr>
      <w:r>
        <w:rPr>
          <w:rFonts w:ascii="Arial" w:hAnsi="Arial"/>
          <w:b/>
          <w:color w:val="333333"/>
          <w:sz w:val="21"/>
        </w:rPr>
        <w:t>Consent of Independent Registered Public Accounting Firm</w:t>
      </w:r>
    </w:p>
    <w:p>
      <w:pPr>
        <w:pStyle w:val="TextBody"/>
        <w:bidi w:val="0"/>
        <w:jc w:val="left"/>
        <w:rPr>
          <w:rFonts w:ascii="Arial" w:hAnsi="Arial"/>
          <w:color w:val="333333"/>
          <w:sz w:val="21"/>
        </w:rPr>
      </w:pPr>
      <w:r>
        <w:rPr>
          <w:rFonts w:ascii="Arial" w:hAnsi="Arial"/>
          <w:color w:val="333333"/>
          <w:sz w:val="21"/>
        </w:rPr>
        <w:t>We consent to the reference to our firm under the caption "Experts" in the Registration Statement (Form S-3) and related Prospectus of Athira Pharma, Inc. for the registration of common stock, preferred stock, debt securities, depositary shares, warrants, subscription rights, purchase contracts, and units and to the incorporation by reference therein of our report dated February 22, 2024, with respect to the consolidated financial statements of Athira Pharma, Inc., included in its Annual Report (Form 10-K) for the year ended December 31, 2023, filed with the Securities and Exchange Commission.</w:t>
      </w:r>
    </w:p>
    <w:p>
      <w:pPr>
        <w:pStyle w:val="TextBody"/>
        <w:bidi w:val="0"/>
        <w:jc w:val="left"/>
        <w:rPr>
          <w:rFonts w:ascii="Arial" w:hAnsi="Arial"/>
          <w:color w:val="333333"/>
          <w:sz w:val="21"/>
        </w:rPr>
      </w:pPr>
      <w:r>
        <w:rPr>
          <w:rFonts w:ascii="Arial" w:hAnsi="Arial"/>
          <w:color w:val="333333"/>
          <w:sz w:val="21"/>
        </w:rPr>
        <w:t>/s/ Ernst &amp; Young LLP</w:t>
      </w:r>
    </w:p>
    <w:p>
      <w:pPr>
        <w:pStyle w:val="TextBody"/>
        <w:bidi w:val="0"/>
        <w:jc w:val="left"/>
        <w:rPr>
          <w:rFonts w:ascii="Arial" w:hAnsi="Arial"/>
          <w:color w:val="333333"/>
          <w:sz w:val="21"/>
        </w:rPr>
      </w:pPr>
      <w:r>
        <w:rPr>
          <w:rFonts w:ascii="Arial" w:hAnsi="Arial"/>
          <w:color w:val="333333"/>
          <w:sz w:val="21"/>
        </w:rPr>
        <w:t>Seattle, Washington</w:t>
        <w:br/>
        <w:t>October 18, 2024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ind w:left="0" w:right="36" w:hanging="0"/>
        <w:jc w:val="right"/>
        <w:rPr>
          <w:rFonts w:ascii="Times New Roman" w:hAnsi="Times New Roman"/>
          <w:b/>
          <w:color w:val="000000"/>
          <w:sz w:val="20"/>
        </w:rPr>
      </w:pPr>
      <w:bookmarkStart w:id="29" w:name="atha-exfiling_fees.htm"/>
      <w:bookmarkStart w:id="30" w:name="ksathaexfiling_fees"/>
      <w:bookmarkEnd w:id="29"/>
      <w:bookmarkEnd w:id="30"/>
      <w:r>
        <w:rPr>
          <w:rFonts w:ascii="Times New Roman" w:hAnsi="Times New Roman"/>
          <w:b/>
          <w:color w:val="000000"/>
          <w:sz w:val="20"/>
        </w:rPr>
        <w:t>Exhibit 107</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Calculation of Filing Fee Tables</w:t>
      </w:r>
    </w:p>
    <w:p>
      <w:pPr>
        <w:pStyle w:val="TextBody"/>
        <w:bidi w:val="0"/>
        <w:spacing w:before="240" w:after="283"/>
        <w:jc w:val="center"/>
        <w:rPr>
          <w:rFonts w:ascii="Times New Roman" w:hAnsi="Times New Roman"/>
          <w:sz w:val="20"/>
        </w:rPr>
      </w:pPr>
      <w:r>
        <w:rPr>
          <w:rFonts w:ascii="Times New Roman" w:hAnsi="Times New Roman"/>
          <w:b/>
          <w:color w:val="000000"/>
          <w:sz w:val="20"/>
        </w:rPr>
        <w:t>Form S-3</w:t>
        <w:br/>
      </w:r>
      <w:r>
        <w:rPr>
          <w:rFonts w:ascii="Times New Roman" w:hAnsi="Times New Roman"/>
          <w:color w:val="000000"/>
          <w:sz w:val="20"/>
        </w:rPr>
        <w:t>(Form Type)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color w:val="000000"/>
          <w:sz w:val="16"/>
          <w:u w:val="single"/>
        </w:rPr>
      </w:pPr>
      <w:r>
        <w:rPr>
          <w:rFonts w:ascii="Times New Roman" w:hAnsi="Times New Roman"/>
          <w:color w:val="000000"/>
          <w:sz w:val="16"/>
          <w:u w:val="single"/>
        </w:rPr>
        <w:t>Table 1: Newly Registered and Carry Forward Securities</w:t>
      </w:r>
    </w:p>
    <w:p>
      <w:pPr>
        <w:pStyle w:val="TextBody"/>
        <w:bidi w:val="0"/>
        <w:spacing w:before="9" w:after="283"/>
        <w:jc w:val="left"/>
        <w:rPr/>
      </w:pPr>
      <w:r>
        <w:rPr/>
        <w:t> </w:t>
      </w:r>
    </w:p>
    <w:tbl>
      <w:tblPr>
        <w:tblW w:w="11398" w:type="dxa"/>
        <w:jc w:val="left"/>
        <w:tblInd w:w="0" w:type="dxa"/>
        <w:tblLayout w:type="fixed"/>
        <w:tblCellMar>
          <w:top w:w="28" w:type="dxa"/>
          <w:left w:w="28" w:type="dxa"/>
          <w:bottom w:w="28" w:type="dxa"/>
          <w:right w:w="28" w:type="dxa"/>
        </w:tblCellMar>
      </w:tblPr>
      <w:tblGrid>
        <w:gridCol w:w="817"/>
        <w:gridCol w:w="967"/>
        <w:gridCol w:w="1012"/>
        <w:gridCol w:w="975"/>
        <w:gridCol w:w="900"/>
        <w:gridCol w:w="870"/>
        <w:gridCol w:w="900"/>
        <w:gridCol w:w="480"/>
        <w:gridCol w:w="1035"/>
        <w:gridCol w:w="780"/>
        <w:gridCol w:w="780"/>
        <w:gridCol w:w="877"/>
        <w:gridCol w:w="1005"/>
      </w:tblGrid>
      <w:tr>
        <w:trPr/>
        <w:tc>
          <w:tcPr>
            <w:tcW w:w="8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ind w:left="0" w:right="0" w:firstLine="29"/>
              <w:jc w:val="left"/>
              <w:rPr>
                <w:sz w:val="4"/>
                <w:szCs w:val="4"/>
              </w:rPr>
            </w:pPr>
            <w:r>
              <w:rPr>
                <w:sz w:val="4"/>
                <w:szCs w:val="4"/>
              </w:rPr>
            </w:r>
          </w:p>
        </w:tc>
      </w:tr>
      <w:tr>
        <w:trPr/>
        <w:tc>
          <w:tcPr>
            <w:tcW w:w="81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29"/>
              <w:jc w:val="center"/>
              <w:rPr/>
            </w:pPr>
            <w:r>
              <w:rPr/>
              <w:t> </w:t>
            </w:r>
          </w:p>
        </w:tc>
        <w:tc>
          <w:tcPr>
            <w:tcW w:w="96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Security </w:t>
              <w:br/>
              <w:t>Type</w:t>
            </w:r>
          </w:p>
        </w:tc>
        <w:tc>
          <w:tcPr>
            <w:tcW w:w="101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Security </w:t>
              <w:br/>
              <w:t xml:space="preserve">Class </w:t>
              <w:br/>
              <w:t>Title</w:t>
            </w:r>
          </w:p>
        </w:tc>
        <w:tc>
          <w:tcPr>
            <w:tcW w:w="97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Fee </w:t>
              <w:br/>
              <w:t xml:space="preserve">Calculation </w:t>
              <w:br/>
              <w:t xml:space="preserve">or Carry </w:t>
              <w:br/>
              <w:t xml:space="preserve">Forward </w:t>
              <w:br/>
              <w:t>Rule</w:t>
            </w:r>
          </w:p>
        </w:tc>
        <w:tc>
          <w:tcPr>
            <w:tcW w:w="90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Amount Registered</w:t>
            </w:r>
          </w:p>
        </w:tc>
        <w:tc>
          <w:tcPr>
            <w:tcW w:w="87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Proposed Maximum Offering </w:t>
              <w:br/>
              <w:t xml:space="preserve">Price Per </w:t>
              <w:br/>
              <w:t>Unit</w:t>
            </w:r>
          </w:p>
        </w:tc>
        <w:tc>
          <w:tcPr>
            <w:tcW w:w="90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Maximum Aggregate Offering </w:t>
              <w:br/>
              <w:t>Price</w:t>
            </w:r>
          </w:p>
        </w:tc>
        <w:tc>
          <w:tcPr>
            <w:tcW w:w="4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Fee </w:t>
              <w:br/>
              <w:t>Rate</w:t>
            </w:r>
          </w:p>
        </w:tc>
        <w:tc>
          <w:tcPr>
            <w:tcW w:w="10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Amount of </w:t>
              <w:br/>
              <w:t xml:space="preserve">Registration </w:t>
              <w:br/>
              <w:t>Fee</w:t>
            </w:r>
          </w:p>
        </w:tc>
        <w:tc>
          <w:tcPr>
            <w:tcW w:w="7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Carry </w:t>
              <w:br/>
              <w:t xml:space="preserve">Forward </w:t>
              <w:br/>
              <w:t xml:space="preserve">Form </w:t>
              <w:br/>
              <w:t>Type</w:t>
            </w:r>
          </w:p>
        </w:tc>
        <w:tc>
          <w:tcPr>
            <w:tcW w:w="7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Carry Forward File Number</w:t>
            </w:r>
          </w:p>
        </w:tc>
        <w:tc>
          <w:tcPr>
            <w:tcW w:w="87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Carry Forward Initial Effective Date</w:t>
            </w:r>
          </w:p>
        </w:tc>
        <w:tc>
          <w:tcPr>
            <w:tcW w:w="10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center"/>
              <w:rPr>
                <w:rFonts w:ascii="Times New Roman" w:hAnsi="Times New Roman"/>
                <w:b/>
                <w:color w:val="000000"/>
                <w:sz w:val="16"/>
              </w:rPr>
            </w:pPr>
            <w:r>
              <w:rPr>
                <w:rFonts w:ascii="Times New Roman" w:hAnsi="Times New Roman"/>
                <w:b/>
                <w:color w:val="000000"/>
                <w:sz w:val="16"/>
              </w:rPr>
              <w:t xml:space="preserve">Filing Fee </w:t>
              <w:br/>
              <w:t xml:space="preserve">Previously </w:t>
              <w:br/>
              <w:t xml:space="preserve">Paid In </w:t>
              <w:br/>
              <w:t xml:space="preserve">Connection </w:t>
              <w:br/>
              <w:t xml:space="preserve">with </w:t>
              <w:br/>
              <w:t xml:space="preserve">Unsold </w:t>
              <w:br/>
              <w:t xml:space="preserve">Securities </w:t>
              <w:br/>
              <w:t xml:space="preserve">to be </w:t>
              <w:br/>
              <w:t xml:space="preserve">Carried </w:t>
              <w:br/>
              <w:t>Forward</w:t>
            </w:r>
          </w:p>
        </w:tc>
      </w:tr>
      <w:tr>
        <w:trPr/>
        <w:tc>
          <w:tcPr>
            <w:tcW w:w="11398" w:type="dxa"/>
            <w:gridSpan w:val="1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29" w:right="29" w:firstLine="29"/>
              <w:jc w:val="center"/>
              <w:rPr>
                <w:rFonts w:ascii="Times New Roman" w:hAnsi="Times New Roman"/>
                <w:b/>
                <w:color w:val="000000"/>
                <w:sz w:val="16"/>
              </w:rPr>
            </w:pPr>
            <w:r>
              <w:rPr>
                <w:rFonts w:ascii="Times New Roman" w:hAnsi="Times New Roman"/>
                <w:b/>
                <w:color w:val="000000"/>
                <w:sz w:val="16"/>
              </w:rPr>
              <w:t>Newly Registered Securities</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Common Stock, par value $0.0001 per share</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Preferred Stock, par value $0.0001 per share</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Debt</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Debt Securities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Depositary Shares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Warrants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Subscription Rights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Purchase Contracts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Units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Fees to Be Paid</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Unallocated (Universal) Shelf</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Unallocated (Universal) Shelf</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457(o)</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(1)(2)</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1398" w:type="dxa"/>
            <w:gridSpan w:val="1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b/>
                <w:color w:val="000000"/>
                <w:sz w:val="16"/>
              </w:rPr>
            </w:pPr>
            <w:r>
              <w:rPr>
                <w:rFonts w:ascii="Times New Roman" w:hAnsi="Times New Roman"/>
                <w:b/>
                <w:color w:val="000000"/>
                <w:sz w:val="16"/>
              </w:rPr>
              <w:t>Carry Forward Securities</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Common Stock, par value $0.0001 per share</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Preferred Stock, par value $0.0001 per share</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Debt</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Debt Securities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81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9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0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Depositary Shares</w:t>
            </w:r>
          </w:p>
        </w:tc>
        <w:tc>
          <w:tcPr>
            <w:tcW w:w="97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4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8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10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bl>
    <w:p>
      <w:pPr>
        <w:pStyle w:val="HorizontalLine"/>
        <w:pBdr>
          <w:bottom w:val="double" w:sz="2" w:space="0" w:color="808080"/>
        </w:pBdr>
        <w:bidi w:val="0"/>
        <w:spacing w:before="0" w:after="283"/>
        <w:jc w:val="left"/>
        <w:rPr/>
      </w:pPr>
      <w:r>
        <w:rPr/>
      </w:r>
    </w:p>
    <w:p>
      <w:pPr>
        <w:pStyle w:val="TextBody"/>
        <w:bidi w:val="0"/>
        <w:ind w:left="0" w:right="36" w:hanging="0"/>
        <w:jc w:val="right"/>
        <w:rPr/>
      </w:pPr>
      <w:r>
        <w:rPr/>
        <w:t> </w:t>
      </w:r>
    </w:p>
    <w:tbl>
      <w:tblPr>
        <w:tblW w:w="10205" w:type="dxa"/>
        <w:jc w:val="left"/>
        <w:tblInd w:w="0" w:type="dxa"/>
        <w:tblLayout w:type="fixed"/>
        <w:tblCellMar>
          <w:top w:w="28" w:type="dxa"/>
          <w:left w:w="28" w:type="dxa"/>
          <w:bottom w:w="28" w:type="dxa"/>
          <w:right w:w="28" w:type="dxa"/>
        </w:tblCellMar>
      </w:tblPr>
      <w:tblGrid>
        <w:gridCol w:w="1058"/>
        <w:gridCol w:w="1246"/>
        <w:gridCol w:w="1280"/>
        <w:gridCol w:w="632"/>
        <w:gridCol w:w="1189"/>
        <w:gridCol w:w="182"/>
        <w:gridCol w:w="1179"/>
        <w:gridCol w:w="182"/>
        <w:gridCol w:w="382"/>
        <w:gridCol w:w="312"/>
        <w:gridCol w:w="756"/>
        <w:gridCol w:w="1030"/>
        <w:gridCol w:w="777"/>
      </w:tblGrid>
      <w:tr>
        <w:trPr/>
        <w:tc>
          <w:tcPr>
            <w:tcW w:w="105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05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12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Equity</w:t>
            </w:r>
          </w:p>
        </w:tc>
        <w:tc>
          <w:tcPr>
            <w:tcW w:w="12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Warrants</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118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pPr>
            <w:r>
              <w:rPr/>
              <w:t> </w:t>
            </w:r>
          </w:p>
        </w:tc>
        <w:tc>
          <w:tcPr>
            <w:tcW w:w="1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pPr>
            <w:r>
              <w:rPr/>
              <w:t> </w:t>
            </w:r>
          </w:p>
        </w:tc>
        <w:tc>
          <w:tcPr>
            <w:tcW w:w="117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right"/>
              <w:rPr/>
            </w:pPr>
            <w:r>
              <w:rPr/>
              <w:t> </w:t>
            </w:r>
          </w:p>
        </w:tc>
        <w:tc>
          <w:tcPr>
            <w:tcW w:w="1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pPr>
            <w:r>
              <w:rPr/>
              <w:t> </w:t>
            </w:r>
          </w:p>
        </w:tc>
        <w:tc>
          <w:tcPr>
            <w:tcW w:w="3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pPr>
            <w:r>
              <w:rPr/>
              <w:t> </w:t>
            </w:r>
          </w:p>
        </w:tc>
        <w:tc>
          <w:tcPr>
            <w:tcW w:w="31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103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77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2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Subscription Rights</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118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2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Purchase Contracts</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118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Other</w:t>
            </w:r>
          </w:p>
        </w:tc>
        <w:tc>
          <w:tcPr>
            <w:tcW w:w="12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Units</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118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Carry Forward Securities</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Unallocated (Universal) Shelf</w:t>
            </w:r>
          </w:p>
        </w:tc>
        <w:tc>
          <w:tcPr>
            <w:tcW w:w="128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Unallocated (Universal) Shelf</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Rule 415(a)(6)</w:t>
            </w:r>
          </w:p>
        </w:tc>
        <w:tc>
          <w:tcPr>
            <w:tcW w:w="118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$300,000,000 (2)</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300,000,000(2)</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S-3</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333-261073</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November 24, 2021</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$27,810</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sz w:val="4"/>
                <w:szCs w:val="4"/>
              </w:rPr>
            </w:pPr>
            <w:r>
              <w:rPr>
                <w:sz w:val="4"/>
                <w:szCs w:val="4"/>
              </w:rPr>
            </w:r>
          </w:p>
        </w:tc>
        <w:tc>
          <w:tcPr>
            <w:tcW w:w="4347"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b/>
                <w:color w:val="000000"/>
                <w:sz w:val="16"/>
              </w:rPr>
            </w:pPr>
            <w:r>
              <w:rPr>
                <w:rFonts w:ascii="Times New Roman" w:hAnsi="Times New Roman"/>
                <w:b/>
                <w:color w:val="000000"/>
                <w:sz w:val="16"/>
              </w:rPr>
              <w:t>Total Offering Amounts</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rFonts w:ascii="Times New Roman" w:hAnsi="Times New Roman"/>
                <w:b/>
                <w:color w:val="000000"/>
                <w:sz w:val="16"/>
              </w:rPr>
            </w:pPr>
            <w:r>
              <w:rPr>
                <w:rFonts w:ascii="Times New Roman" w:hAnsi="Times New Roman"/>
                <w:b/>
                <w:color w:val="000000"/>
                <w:sz w:val="16"/>
              </w:rPr>
              <w:t>$300,000,000</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rFonts w:ascii="Times New Roman" w:hAnsi="Times New Roman"/>
                <w:b/>
                <w:color w:val="000000"/>
                <w:sz w:val="16"/>
              </w:rPr>
            </w:pPr>
            <w:r>
              <w:rPr>
                <w:rFonts w:ascii="Times New Roman" w:hAnsi="Times New Roman"/>
                <w:b/>
                <w:color w:val="000000"/>
                <w:sz w:val="16"/>
              </w:rPr>
              <w:t>$0</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sz w:val="4"/>
                <w:szCs w:val="4"/>
              </w:rPr>
            </w:pPr>
            <w:r>
              <w:rPr>
                <w:sz w:val="4"/>
                <w:szCs w:val="4"/>
              </w:rPr>
            </w:r>
          </w:p>
        </w:tc>
        <w:tc>
          <w:tcPr>
            <w:tcW w:w="4347"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b/>
                <w:color w:val="000000"/>
                <w:sz w:val="16"/>
              </w:rPr>
            </w:pPr>
            <w:r>
              <w:rPr>
                <w:rFonts w:ascii="Times New Roman" w:hAnsi="Times New Roman"/>
                <w:b/>
                <w:color w:val="000000"/>
                <w:sz w:val="16"/>
              </w:rPr>
              <w:t>Total Fees Previously Paid</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sz w:val="4"/>
                <w:szCs w:val="4"/>
              </w:rPr>
            </w:pPr>
            <w:r>
              <w:rPr>
                <w:sz w:val="4"/>
                <w:szCs w:val="4"/>
              </w:rPr>
            </w:r>
          </w:p>
        </w:tc>
        <w:tc>
          <w:tcPr>
            <w:tcW w:w="4347"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b/>
                <w:color w:val="000000"/>
                <w:sz w:val="16"/>
              </w:rPr>
            </w:pPr>
            <w:r>
              <w:rPr>
                <w:rFonts w:ascii="Times New Roman" w:hAnsi="Times New Roman"/>
                <w:b/>
                <w:color w:val="000000"/>
                <w:sz w:val="16"/>
              </w:rPr>
              <w:t>Total Fee Offsets</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color w:val="000000"/>
              </w:rPr>
            </w:pPr>
            <w:r>
              <w:rPr>
                <w:color w:val="000000"/>
              </w:rPr>
              <w:t>—</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r>
        <w:trPr/>
        <w:tc>
          <w:tcPr>
            <w:tcW w:w="10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36" w:hanging="0"/>
              <w:jc w:val="left"/>
              <w:rPr>
                <w:sz w:val="4"/>
                <w:szCs w:val="4"/>
              </w:rPr>
            </w:pPr>
            <w:r>
              <w:rPr>
                <w:sz w:val="4"/>
                <w:szCs w:val="4"/>
              </w:rPr>
            </w:r>
          </w:p>
        </w:tc>
        <w:tc>
          <w:tcPr>
            <w:tcW w:w="4347"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rFonts w:ascii="Times New Roman" w:hAnsi="Times New Roman"/>
                <w:b/>
                <w:color w:val="000000"/>
                <w:sz w:val="16"/>
              </w:rPr>
            </w:pPr>
            <w:r>
              <w:rPr>
                <w:rFonts w:ascii="Times New Roman" w:hAnsi="Times New Roman"/>
                <w:b/>
                <w:color w:val="000000"/>
                <w:sz w:val="16"/>
              </w:rPr>
              <w:t>Net Fee Due</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1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3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right"/>
              <w:rPr>
                <w:rFonts w:ascii="Times New Roman" w:hAnsi="Times New Roman"/>
                <w:b/>
                <w:color w:val="000000"/>
                <w:sz w:val="16"/>
              </w:rPr>
            </w:pPr>
            <w:r>
              <w:rPr>
                <w:rFonts w:ascii="Times New Roman" w:hAnsi="Times New Roman"/>
                <w:b/>
                <w:color w:val="000000"/>
                <w:sz w:val="16"/>
              </w:rPr>
              <w:t>$0</w:t>
            </w:r>
          </w:p>
        </w:tc>
        <w:tc>
          <w:tcPr>
            <w:tcW w:w="31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10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c>
          <w:tcPr>
            <w:tcW w:w="7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36" w:hanging="0"/>
              <w:jc w:val="left"/>
              <w:rPr/>
            </w:pPr>
            <w:r>
              <w:rPr/>
              <w:t> </w:t>
            </w:r>
          </w:p>
        </w:tc>
      </w:tr>
    </w:tbl>
    <w:p>
      <w:pPr>
        <w:pStyle w:val="TextBody"/>
        <w:bidi w:val="0"/>
        <w:spacing w:before="9" w:after="283"/>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15"/>
        </w:rPr>
      </w:pPr>
      <w:r>
        <w:rPr>
          <w:rFonts w:ascii="Times New Roman" w:hAnsi="Times New Roman"/>
          <w:color w:val="000000"/>
          <w:sz w:val="15"/>
        </w:rPr>
        <w:t>(1)</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w:t>
      </w:r>
    </w:p>
    <w:p>
      <w:pPr>
        <w:pStyle w:val="TextBody"/>
        <w:bidi w:val="0"/>
        <w:spacing w:before="0" w:after="240"/>
        <w:jc w:val="both"/>
        <w:rPr>
          <w:rFonts w:ascii="Times New Roman" w:hAnsi="Times New Roman"/>
          <w:color w:val="000000"/>
          <w:sz w:val="15"/>
        </w:rPr>
      </w:pPr>
      <w:r>
        <w:rPr>
          <w:rFonts w:ascii="Times New Roman" w:hAnsi="Times New Roman"/>
          <w:color w:val="000000"/>
          <w:sz w:val="15"/>
        </w:rPr>
        <w:t>(2)</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Pursuant to Rule 415(a)(6) under the Securities Act of 1933 (the “Securities Act”), the securities being registered hereunder include $300,000,000 of unsold securities (collectively, the “Unsold Securities”) previously registered on the registrant’s registration statement on Form S-3 (File No. 333-261073), which was originally filed on November 15, 2021, and declared effective on November 24, 2021 (the “Prior Registration Statement”). The Prior Registration Statement registered securities for a proposed maximum aggregate offering price of $300,000,000. In connection with the filing of the Prior Registration Statement, the registrant paid a registration fee of $27,810, all of which relate to the Unsold Securities. In accordance with Question 212.24 of the Securities and Exchange Commission, Division of Corporation Finance’s Compliance and Disclosure Interpretations regarding Securities Act Rules, the registrant is not required to pay any additional fee with respect to the $300,000,000 of unsold securities being included in this registration in reliance on Rule 415(a)(6), because such unsold securities (and associated fees) are being moved from the Prior Registration Statement to this registration statement. Pursuant to Rule 415(a)(6) of the Securities Act, the $27,810.00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20463/000095017024018787/atha-20231231.htm" TargetMode="External"/><Relationship Id="rId4" Type="http://schemas.openxmlformats.org/officeDocument/2006/relationships/hyperlink" Target="https://www.sec.gov/Archives/edgar/data/1620463/000095017024018787/atha-20231231.htm" TargetMode="External"/><Relationship Id="rId5" Type="http://schemas.openxmlformats.org/officeDocument/2006/relationships/hyperlink" Target="https://www.sec.gov/Archives/edgar/data/1620463/000095017024018787/atha-20231231.htm" TargetMode="External"/><Relationship Id="rId6" Type="http://schemas.openxmlformats.org/officeDocument/2006/relationships/hyperlink" Target="https://www.sec.gov/Archives/edgar/data/1620463/000114036124018750/ny20019772x2_def14a.htm" TargetMode="External"/><Relationship Id="rId7" Type="http://schemas.openxmlformats.org/officeDocument/2006/relationships/hyperlink" Target="https://www.sec.gov/Archives/edgar/data/1620463/000095017024060482/atha-20240331.htm" TargetMode="External"/><Relationship Id="rId8" Type="http://schemas.openxmlformats.org/officeDocument/2006/relationships/hyperlink" Target="https://www.sec.gov/Archives/edgar/data/1620463/000095017024089304/atha-20240630.htm" TargetMode="External"/><Relationship Id="rId9" Type="http://schemas.openxmlformats.org/officeDocument/2006/relationships/hyperlink" Target="https://www.sec.gov/ix?doc=/Archives/edgar/data/1620463/000095017024094738/atha-20240630.htm" TargetMode="External"/><Relationship Id="rId10" Type="http://schemas.openxmlformats.org/officeDocument/2006/relationships/hyperlink" Target="https://www.sec.gov/Archives/edgar/data/1620463/000095017024002686/atha-20240104.htm" TargetMode="External"/><Relationship Id="rId11" Type="http://schemas.openxmlformats.org/officeDocument/2006/relationships/hyperlink" Target="https://www.sec.gov/Archives/edgar/data/1620463/000095017024018764/atha-20240221.htm" TargetMode="External"/><Relationship Id="rId12" Type="http://schemas.openxmlformats.org/officeDocument/2006/relationships/hyperlink" Target="https://www.sec.gov/Archives/edgar/data/1620463/000095017024061837/atha-20240503.htm" TargetMode="External"/><Relationship Id="rId13" Type="http://schemas.openxmlformats.org/officeDocument/2006/relationships/hyperlink" Target="https://www.sec.gov/Archives/edgar/data/1620463/000095017024065914/atha-20240523.htm" TargetMode="External"/><Relationship Id="rId14" Type="http://schemas.openxmlformats.org/officeDocument/2006/relationships/hyperlink" Target="https://www.sec.gov/ix?doc=/Archives/edgar/data/0001620463/000095017024102788/atha-20240903.htm" TargetMode="External"/><Relationship Id="rId15" Type="http://schemas.openxmlformats.org/officeDocument/2006/relationships/hyperlink" Target="https://www.sec.gov/ix?doc=/Archives/edgar/data/0001620463/000095017024107031/atha-20240915.htm" TargetMode="External"/><Relationship Id="rId16" Type="http://schemas.openxmlformats.org/officeDocument/2006/relationships/hyperlink" Target="https://www.sec.gov/ix?doc=/Archives/edgar/data/1620463/000095017024113210/atha-20241001.htm" TargetMode="External"/><Relationship Id="rId17" Type="http://schemas.openxmlformats.org/officeDocument/2006/relationships/hyperlink" Target="https://www.sec.gov/ix?doc=/Archives/edgar/data/1620463/000095017024115592/atha-20241016.htm" TargetMode="External"/><Relationship Id="rId18" Type="http://schemas.openxmlformats.org/officeDocument/2006/relationships/hyperlink" Target="https://www.sec.gov/Archives/edgar/data/1620463/000095012320009608/atha-8a12b.htm" TargetMode="External"/><Relationship Id="rId19" Type="http://schemas.openxmlformats.org/officeDocument/2006/relationships/hyperlink" Target="https://www.sec.gov/ix?doc=/Archives/edgar/data/1620463/000095017024018787/atha-20231231.htm" TargetMode="External"/><Relationship Id="rId20" Type="http://schemas.openxmlformats.org/officeDocument/2006/relationships/hyperlink" Target="https://www.sec.gov/Archives/edgar/data/1620463/000095017024065914/atha-ex3_1.htm" TargetMode="External"/><Relationship Id="rId21" Type="http://schemas.openxmlformats.org/officeDocument/2006/relationships/hyperlink" Target="https://www.sec.gov/ix?doc=/Archives/edgar/data/1620463/000095017024018787/atha-20231231.htm" TargetMode="External"/><Relationship Id="rId22" Type="http://schemas.openxmlformats.org/officeDocument/2006/relationships/hyperlink" Target="https://www.sec.gov/ix?doc=/Archives/edgar/data/1620463/000095017024018787/atha-20231231.htm" TargetMode="External"/><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43427</Words>
  <Characters>223785</Characters>
  <CharactersWithSpaces>265894</CharactersWithSpaces>
  <Paragraphs>2659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