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tha-20250331.htm"/>
      <w:bookmarkStart w:id="1" w:name="ksatha20250331"/>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2"/>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quarterly period ended March 31, 2025</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60" w:after="283"/>
        <w:jc w:val="center"/>
        <w:rPr>
          <w:rFonts w:ascii="Times New Roman" w:hAnsi="Times New Roman"/>
          <w:sz w:val="20"/>
        </w:rPr>
      </w:pPr>
      <w:r>
        <w:rPr>
          <w:rFonts w:ascii="Arial" w:hAnsi="Arial"/>
          <w:b/>
          <w:color w:val="000000"/>
          <w:sz w:val="20"/>
        </w:rPr>
        <w:t>Commission File Number: 001-39503</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40"/>
        </w:rPr>
        <w:t>Athira Pharma,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18706 North Creek Parkway, Suite 104</w:t>
      </w:r>
    </w:p>
    <w:p>
      <w:pPr>
        <w:pStyle w:val="TextBody"/>
        <w:bidi w:val="0"/>
        <w:jc w:val="center"/>
        <w:rPr>
          <w:rFonts w:ascii="Times New Roman" w:hAnsi="Times New Roman"/>
          <w:sz w:val="20"/>
        </w:rPr>
      </w:pPr>
      <w:r>
        <w:rPr>
          <w:rFonts w:ascii="Arial" w:hAnsi="Arial"/>
          <w:b/>
          <w:color w:val="000000"/>
          <w:sz w:val="20"/>
        </w:rPr>
        <w:t>Bothell, Washington</w:t>
      </w:r>
      <w:r>
        <w:rPr>
          <w:rFonts w:ascii="Times New Roman" w:hAnsi="Times New Roman"/>
          <w:color w:val="000000"/>
          <w:sz w:val="20"/>
        </w:rPr>
        <w:t xml:space="preserve"> </w:t>
      </w:r>
      <w:r>
        <w:rPr>
          <w:rFonts w:ascii="Arial" w:hAnsi="Arial"/>
          <w:b/>
          <w:color w:val="000000"/>
          <w:sz w:val="20"/>
        </w:rPr>
        <w:t>98011</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jc w:val="center"/>
        <w:rPr>
          <w:rFonts w:ascii="Times New Roman" w:hAnsi="Times New Roman"/>
          <w:sz w:val="20"/>
        </w:rPr>
      </w:pPr>
      <w:r>
        <w:rPr>
          <w:rFonts w:ascii="Arial" w:hAnsi="Arial"/>
          <w:b/>
          <w:color w:val="000000"/>
          <w:sz w:val="20"/>
        </w:rPr>
        <w:t>(425) 620-8501</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ATHA</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As of May 6, 2025, there were 39,042,445</w:t>
      </w:r>
      <w:r>
        <w:rPr>
          <w:rFonts w:ascii="Times New Roman" w:hAnsi="Times New Roman"/>
          <w:color w:val="000000"/>
          <w:sz w:val="20"/>
        </w:rPr>
        <w:t xml:space="preserve"> </w:t>
      </w:r>
      <w:r>
        <w:rPr>
          <w:rFonts w:ascii="Arial" w:hAnsi="Arial"/>
          <w:color w:val="000000"/>
          <w:sz w:val="18"/>
        </w:rPr>
        <w:t>shares of registrant’s common stock, $0.0001 par value per share, outstanding.</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r>
    </w:tbl>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SUMMARY RISK FACTORS</w:t>
      </w:r>
    </w:p>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a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development of ATH-1105 may never lead to a marketable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be successful in identifying and implementing any strategic transaction and any strategic transactions that we may consummate in the future may not be 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concentrated our research and development efforts on the treatment of central and peripheral nervous system degenerative disorders, a field that has seen very limited success in product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reporting of topline or final data for our clinical trials may be delayed and our regulatory submissions or receipt of necessary marketing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success depends on our ability to protect our intellectual property and our proprietary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loss of any of our key personnel could significantly harm our business, results of operations and competitive position.</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our drug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commercialized a drug candidate before and may lack the necessary expertise, personnel and resources to successfully commercialize any drug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do not regain compliance with or continue to satisfy the Nasdaq continued listing requirements, our common stock could be delisted from the Nasdaq, which may make it more difficult for investors to sell shares of our common stock and consequently may negatively impact the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price of our common stock has been and may continue to be volatile, which could result in substantial losses for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certain of our directors and executive officers have been, and may in the future be, named as defendants in lawsuits that could result in substantial costs and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have in the past been, and may in the future be, disruptive and could cause uncertainty about the strategic direction of our business.</w:t>
      </w:r>
    </w:p>
    <w:p>
      <w:pPr>
        <w:pStyle w:val="TextBody"/>
        <w:bidi w:val="0"/>
        <w:spacing w:before="280" w:after="283"/>
        <w:jc w:val="both"/>
        <w:rPr>
          <w:rFonts w:ascii="Times New Roman" w:hAnsi="Times New Roman"/>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3" w:name="item_1_financial_statements_unaudited"/>
      <w:bookmarkEnd w:id="3"/>
      <w:r>
        <w:rPr>
          <w:rFonts w:ascii="Arial" w:hAnsi="Arial"/>
          <w:b/>
          <w:color w:val="000000"/>
          <w:sz w:val="20"/>
        </w:rPr>
        <w:t>Item 1.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4" w:name="condensed_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9042" w:type="dxa"/>
        <w:jc w:val="left"/>
        <w:tblInd w:w="0" w:type="dxa"/>
        <w:tblLayout w:type="fixed"/>
        <w:tblCellMar>
          <w:top w:w="28" w:type="dxa"/>
          <w:left w:w="28" w:type="dxa"/>
          <w:bottom w:w="28" w:type="dxa"/>
          <w:right w:w="28" w:type="dxa"/>
        </w:tblCellMar>
      </w:tblPr>
      <w:tblGrid>
        <w:gridCol w:w="5366"/>
        <w:gridCol w:w="146"/>
        <w:gridCol w:w="211"/>
        <w:gridCol w:w="856"/>
        <w:gridCol w:w="166"/>
        <w:gridCol w:w="146"/>
        <w:gridCol w:w="273"/>
        <w:gridCol w:w="1107"/>
        <w:gridCol w:w="771"/>
      </w:tblGrid>
      <w:tr>
        <w:trPr/>
        <w:tc>
          <w:tcPr>
            <w:tcW w:w="5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48,438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54,841</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13,135</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13,938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900,000,000</w:t>
            </w:r>
            <w:r>
              <w:rPr>
                <w:rFonts w:ascii="Times New Roman" w:hAnsi="Times New Roman"/>
                <w:color w:val="000000"/>
                <w:sz w:val="20"/>
              </w:rPr>
              <w:t> </w:t>
            </w:r>
            <w:r>
              <w:rPr>
                <w:rFonts w:ascii="Arial" w:hAnsi="Arial"/>
                <w:color w:val="000000"/>
                <w:sz w:val="20"/>
              </w:rPr>
              <w:t xml:space="preserve">shares </w:t>
              <w:br/>
              <w:t xml:space="preserve">   authorized at March 31, 2025 and December 31, 2024, </w:t>
              <w:br/>
              <w:t>   respectively; 39,042,445</w:t>
            </w:r>
            <w:r>
              <w:rPr>
                <w:rFonts w:ascii="Times New Roman" w:hAnsi="Times New Roman"/>
                <w:color w:val="000000"/>
                <w:sz w:val="20"/>
              </w:rPr>
              <w:t> </w:t>
            </w:r>
            <w:r>
              <w:rPr>
                <w:rFonts w:ascii="Arial" w:hAnsi="Arial"/>
                <w:color w:val="000000"/>
                <w:sz w:val="20"/>
              </w:rPr>
              <w:t>and 39,040,945</w:t>
            </w:r>
            <w:r>
              <w:rPr>
                <w:rFonts w:ascii="Times New Roman" w:hAnsi="Times New Roman"/>
                <w:color w:val="000000"/>
                <w:sz w:val="20"/>
              </w:rPr>
              <w:t> </w:t>
            </w:r>
            <w:r>
              <w:rPr>
                <w:rFonts w:ascii="Arial" w:hAnsi="Arial"/>
                <w:color w:val="000000"/>
                <w:sz w:val="20"/>
              </w:rPr>
              <w:t>shares issued</w:t>
              <w:br/>
              <w:t>   and outstanding at March 31, 2025 and December 31,</w:t>
              <w:br/>
              <w:t>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450,982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(406,146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44,841</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8879" w:type="dxa"/>
        <w:jc w:val="left"/>
        <w:tblInd w:w="0" w:type="dxa"/>
        <w:tblLayout w:type="fixed"/>
        <w:tblCellMar>
          <w:top w:w="28" w:type="dxa"/>
          <w:left w:w="28" w:type="dxa"/>
          <w:bottom w:w="28" w:type="dxa"/>
          <w:right w:w="28" w:type="dxa"/>
        </w:tblCellMar>
      </w:tblPr>
      <w:tblGrid>
        <w:gridCol w:w="5116"/>
        <w:gridCol w:w="146"/>
        <w:gridCol w:w="211"/>
        <w:gridCol w:w="1066"/>
        <w:gridCol w:w="166"/>
        <w:gridCol w:w="146"/>
        <w:gridCol w:w="211"/>
        <w:gridCol w:w="1066"/>
        <w:gridCol w:w="75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21,236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(26,125</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(0.69</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w:t>
              <w:br/>
              <w:t>   net loss per share attributable to common</w:t>
              <w:br/>
              <w:t>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39,042,445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38,321,573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6" w:name="condensed_consolidated_statements_equity"/>
      <w:bookmarkEnd w:id="6"/>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Months Ended March 31, 2025 and 2024</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391" w:type="dxa"/>
        <w:jc w:val="left"/>
        <w:tblInd w:w="0" w:type="dxa"/>
        <w:tblLayout w:type="fixed"/>
        <w:tblCellMar>
          <w:top w:w="28" w:type="dxa"/>
          <w:left w:w="28" w:type="dxa"/>
          <w:bottom w:w="28" w:type="dxa"/>
          <w:right w:w="28" w:type="dxa"/>
        </w:tblCellMar>
      </w:tblPr>
      <w:tblGrid>
        <w:gridCol w:w="1746"/>
        <w:gridCol w:w="1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41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38,172,603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130,188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38,326,652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106,742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39,040,945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39,042,445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7" w:name="condensed_consolidated_statements_cash_f"/>
      <w:bookmarkEnd w:id="7"/>
      <w:r>
        <w:rPr>
          <w:rFonts w:ascii="Arial" w:hAnsi="Arial"/>
          <w:b/>
          <w:color w:val="000000"/>
          <w:sz w:val="20"/>
        </w:rPr>
        <w:t>Condensed 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35"/>
        <w:gridCol w:w="146"/>
        <w:gridCol w:w="234"/>
        <w:gridCol w:w="837"/>
        <w:gridCol w:w="184"/>
        <w:gridCol w:w="162"/>
        <w:gridCol w:w="234"/>
        <w:gridCol w:w="837"/>
        <w:gridCol w:w="1336"/>
      </w:tblGrid>
      <w:tr>
        <w:trPr/>
        <w:tc>
          <w:tcPr>
            <w:tcW w:w="6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(26,337</w:t>
            </w:r>
          </w:p>
        </w:tc>
        <w:tc>
          <w:tcPr>
            <w:tcW w:w="133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2,679</w:t>
            </w:r>
          </w:p>
        </w:tc>
        <w:tc>
          <w:tcPr>
            <w:tcW w:w="133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33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33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Amortization of premiums and accretion of discounts on</w:t>
              <w:br/>
              <w:t>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133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disposal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33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Prepaid expenses and other current and long-term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w:t>
            </w:r>
          </w:p>
        </w:tc>
        <w:tc>
          <w:tcPr>
            <w:tcW w:w="133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(3,254</w:t>
            </w:r>
          </w:p>
        </w:tc>
        <w:tc>
          <w:tcPr>
            <w:tcW w:w="1336"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(14,665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(25,804</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(5,911</w:t>
            </w:r>
          </w:p>
        </w:tc>
        <w:tc>
          <w:tcPr>
            <w:tcW w:w="13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Maturities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18,957</w:t>
            </w:r>
          </w:p>
        </w:tc>
        <w:tc>
          <w:tcPr>
            <w:tcW w:w="13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(7,351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13,041</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right"/>
              <w:rPr/>
            </w:pPr>
            <w:r>
              <w:rPr/>
              <w:t> </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(12,763</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49,069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91,215</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27,053</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78,452</w:t>
            </w:r>
          </w:p>
        </w:tc>
        <w:tc>
          <w:tcPr>
            <w:tcW w:w="1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8" w:name="notes_to_unaudited_condensed_consolidate"/>
      <w:bookmarkEnd w:id="8"/>
      <w:r>
        <w:rPr>
          <w:rFonts w:ascii="Arial" w:hAnsi="Arial"/>
          <w:b/>
          <w:color w:val="000000"/>
          <w:sz w:val="20"/>
        </w:rPr>
        <w:t>Notes to Unaudited Condensed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280" w:after="283"/>
        <w:jc w:val="both"/>
        <w:rPr>
          <w:rFonts w:ascii="Arial" w:hAnsi="Arial"/>
          <w:b/>
          <w:i/>
          <w:color w:val="000000"/>
          <w:sz w:val="20"/>
        </w:rPr>
      </w:pPr>
      <w:r>
        <w:rPr>
          <w:rFonts w:ascii="Arial" w:hAnsi="Arial"/>
          <w:b/>
          <w:i/>
          <w:color w:val="000000"/>
          <w:sz w:val="20"/>
        </w:rPr>
        <w:t>Organization</w:t>
      </w:r>
    </w:p>
    <w:p>
      <w:pPr>
        <w:pStyle w:val="TextBody"/>
        <w:bidi w:val="0"/>
        <w:spacing w:before="280" w:after="283"/>
        <w:jc w:val="both"/>
        <w:rPr>
          <w:rFonts w:ascii="Times New Roman" w:hAnsi="Times New Roman"/>
          <w:sz w:val="20"/>
        </w:rPr>
      </w:pPr>
      <w:r>
        <w:rPr>
          <w:rFonts w:ascii="Arial" w:hAnsi="Arial"/>
          <w:color w:val="000000"/>
          <w:sz w:val="20"/>
        </w:rPr>
        <w:t>Athira Pharma, Inc., or the Company, was incorporated as M3 Biotechnology, Inc. in the state of Washington on March 31, 2011</w:t>
      </w:r>
      <w:r>
        <w:rPr>
          <w:rFonts w:ascii="Times New Roman" w:hAnsi="Times New Roman"/>
          <w:color w:val="000000"/>
          <w:sz w:val="20"/>
        </w:rPr>
        <w:t xml:space="preserve"> </w:t>
      </w:r>
      <w:r>
        <w:rPr>
          <w:rFonts w:ascii="Arial" w:hAnsi="Arial"/>
          <w:color w:val="000000"/>
          <w:sz w:val="20"/>
        </w:rPr>
        <w:t>and reincorporated in the state of Delaware on October 27, 2015. In April 2019, the Company changed its name to Athira Pharma, Inc. The Company currently has office and laboratory space in Bothell, Washington. The Company is a clinical-stage biopharmaceutical company focused on developing small molecules to restore neuronal health and slow neurodegeneration.</w:t>
      </w:r>
    </w:p>
    <w:p>
      <w:pPr>
        <w:pStyle w:val="TextBody"/>
        <w:bidi w:val="0"/>
        <w:spacing w:before="280" w:after="283"/>
        <w:jc w:val="both"/>
        <w:rPr>
          <w:rFonts w:ascii="Arial" w:hAnsi="Arial"/>
          <w:b/>
          <w:i/>
          <w:color w:val="000000"/>
          <w:sz w:val="20"/>
        </w:rPr>
      </w:pPr>
      <w:r>
        <w:rPr>
          <w:rFonts w:ascii="Arial" w:hAnsi="Arial"/>
          <w:b/>
          <w:i/>
          <w:color w:val="000000"/>
          <w:sz w:val="20"/>
        </w:rPr>
        <w:t>Liquidity and Capital Resources</w:t>
      </w:r>
    </w:p>
    <w:p>
      <w:pPr>
        <w:pStyle w:val="TextBody"/>
        <w:bidi w:val="0"/>
        <w:spacing w:before="280" w:after="283"/>
        <w:jc w:val="both"/>
        <w:rPr>
          <w:rFonts w:ascii="Times New Roman" w:hAnsi="Times New Roman"/>
          <w:sz w:val="20"/>
        </w:rPr>
      </w:pPr>
      <w:r>
        <w:rPr>
          <w:rFonts w:ascii="Arial" w:hAnsi="Arial"/>
          <w:color w:val="000000"/>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March 31, 2025, it has raised aggregate net cash proceeds of $407.4</w:t>
      </w:r>
      <w:r>
        <w:rPr>
          <w:rFonts w:ascii="Times New Roman" w:hAnsi="Times New Roman"/>
          <w:color w:val="000000"/>
          <w:sz w:val="20"/>
        </w:rPr>
        <w:t xml:space="preserve"> </w:t>
      </w:r>
      <w:r>
        <w:rPr>
          <w:rFonts w:ascii="Arial" w:hAnsi="Arial"/>
          <w:color w:val="000000"/>
          <w:sz w:val="20"/>
        </w:rPr>
        <w:t>million primarily from the issuance of its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As of March 31, 2025, the Company had cash, cash equivalents and investments of $36.7</w:t>
      </w:r>
      <w:r>
        <w:rPr>
          <w:rFonts w:ascii="Times New Roman" w:hAnsi="Times New Roman"/>
          <w:color w:val="000000"/>
          <w:sz w:val="20"/>
        </w:rPr>
        <w:t xml:space="preserve"> </w:t>
      </w:r>
      <w:r>
        <w:rPr>
          <w:rFonts w:ascii="Arial" w:hAnsi="Arial"/>
          <w:color w:val="000000"/>
          <w:sz w:val="20"/>
        </w:rPr>
        <w:t>million. The Company’s net loss for the three months ended March 31, 2025 was $9.1</w:t>
      </w:r>
      <w:r>
        <w:rPr>
          <w:rFonts w:ascii="Times New Roman" w:hAnsi="Times New Roman"/>
          <w:color w:val="000000"/>
          <w:sz w:val="20"/>
        </w:rPr>
        <w:t xml:space="preserve"> </w:t>
      </w:r>
      <w:r>
        <w:rPr>
          <w:rFonts w:ascii="Arial" w:hAnsi="Arial"/>
          <w:color w:val="000000"/>
          <w:sz w:val="20"/>
        </w:rPr>
        <w:t>million and cash used in operations for the three months ended March 31, 2024 was $14.7</w:t>
      </w:r>
      <w:r>
        <w:rPr>
          <w:rFonts w:ascii="Times New Roman" w:hAnsi="Times New Roman"/>
          <w:color w:val="000000"/>
          <w:sz w:val="20"/>
        </w:rPr>
        <w:t xml:space="preserve"> </w:t>
      </w:r>
      <w:r>
        <w:rPr>
          <w:rFonts w:ascii="Arial" w:hAnsi="Arial"/>
          <w:color w:val="000000"/>
          <w:sz w:val="20"/>
        </w:rPr>
        <w:t>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80" w:after="283"/>
        <w:jc w:val="both"/>
        <w:rPr>
          <w:rFonts w:ascii="Times New Roman" w:hAnsi="Times New Roman"/>
          <w:sz w:val="20"/>
        </w:rPr>
      </w:pPr>
      <w:r>
        <w:rPr>
          <w:rFonts w:ascii="Arial" w:hAnsi="Arial"/>
          <w:color w:val="000000"/>
          <w:sz w:val="20"/>
        </w:rPr>
        <w:t>Based upon the Company’s current operating plan, it estimates that its $36.7</w:t>
      </w:r>
      <w:r>
        <w:rPr>
          <w:rFonts w:ascii="Times New Roman" w:hAnsi="Times New Roman"/>
          <w:color w:val="000000"/>
          <w:sz w:val="20"/>
        </w:rPr>
        <w:t xml:space="preserve"> </w:t>
      </w:r>
      <w:r>
        <w:rPr>
          <w:rFonts w:ascii="Arial" w:hAnsi="Arial"/>
          <w:color w:val="000000"/>
          <w:sz w:val="20"/>
        </w:rPr>
        <w:t>million of cash, cash equivalents and investments at March 31, 2025</w:t>
      </w:r>
      <w:r>
        <w:rPr>
          <w:rFonts w:ascii="Times New Roman" w:hAnsi="Times New Roman"/>
          <w:color w:val="000000"/>
          <w:sz w:val="20"/>
        </w:rPr>
        <w:t xml:space="preserve"> </w:t>
      </w:r>
      <w:r>
        <w:rPr>
          <w:rFonts w:ascii="Arial" w:hAnsi="Arial"/>
          <w:color w:val="000000"/>
          <w:sz w:val="20"/>
        </w:rPr>
        <w:t>will be sufficient to fund its operating expenses and capital expenditure requirements through at least the next 12 months. Historically, the Company has incurred net losses from continuing operations and negative operating cash flows. The Company has not yet established an ongoing source of revenue sufficient to cover its operating costs; therefore, the Company expects it will need to continue to raise additional capital to accomplish its operating plan. The Company has a sales agreement in place with Cantor Fitzgerald &amp; Co., or Cantor Fitzgerald, and BTIG, LLC, or BTIG, for an “at the market” equity offering facility through which it may offer and sell shares of its common stock equaling an aggregate amount up to $75.0</w:t>
      </w:r>
      <w:r>
        <w:rPr>
          <w:rFonts w:ascii="Times New Roman" w:hAnsi="Times New Roman"/>
          <w:color w:val="000000"/>
          <w:sz w:val="20"/>
        </w:rPr>
        <w:t xml:space="preserve"> </w:t>
      </w:r>
      <w:r>
        <w:rPr>
          <w:rFonts w:ascii="Arial" w:hAnsi="Arial"/>
          <w:color w:val="000000"/>
          <w:sz w:val="20"/>
        </w:rPr>
        <w:t>million, subject to applicable limitations on sales pursuant to SEC rules and regulations pertaining to the Company’s Registration Statement on Form S-3.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w:t>
      </w:r>
    </w:p>
    <w:p>
      <w:pPr>
        <w:pStyle w:val="TextBody"/>
        <w:bidi w:val="0"/>
        <w:jc w:val="both"/>
        <w:rPr/>
      </w:pPr>
      <w:r>
        <w:rPr/>
        <w:t> </w:t>
      </w:r>
    </w:p>
    <w:p>
      <w:pPr>
        <w:pStyle w:val="TextBody"/>
        <w:bidi w:val="0"/>
        <w:spacing w:before="8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280" w:after="283"/>
        <w:jc w:val="both"/>
        <w:rPr>
          <w:rFonts w:ascii="Arial" w:hAnsi="Arial"/>
          <w:b/>
          <w:i/>
          <w:color w:val="000000"/>
          <w:sz w:val="20"/>
        </w:rPr>
      </w:pPr>
      <w:r>
        <w:rPr>
          <w:rFonts w:ascii="Arial" w:hAnsi="Arial"/>
          <w:b/>
          <w:i/>
          <w:color w:val="000000"/>
          <w:sz w:val="20"/>
        </w:rPr>
        <w:t>Basis of Presentation</w:t>
      </w:r>
    </w:p>
    <w:p>
      <w:pPr>
        <w:pStyle w:val="TextBody"/>
        <w:bidi w:val="0"/>
        <w:spacing w:before="280" w:after="283"/>
        <w:jc w:val="both"/>
        <w:rPr>
          <w:rFonts w:ascii="Arial" w:hAnsi="Arial"/>
          <w:color w:val="000000"/>
          <w:sz w:val="20"/>
        </w:rPr>
      </w:pPr>
      <w:r>
        <w:rPr>
          <w:rFonts w:ascii="Arial" w:hAnsi="Arial"/>
          <w:color w:val="000000"/>
          <w:sz w:val="20"/>
        </w:rPr>
        <w:t>The unaudited condensed consolidated financial statements have been prepared in conformity with U.S. generally accepted accounting principles, or U.S. GAAP. The unaudited condensed consolidated financial statements include the operations of Athira Pharma, Inc., and its wholly owned Australian subsidiary. All intercompany balances and transactions have been eliminated upon consolidation.</w:t>
      </w:r>
    </w:p>
    <w:p>
      <w:pPr>
        <w:pStyle w:val="TextBody"/>
        <w:bidi w:val="0"/>
        <w:spacing w:before="280" w:after="283"/>
        <w:jc w:val="both"/>
        <w:rPr>
          <w:rFonts w:ascii="Arial" w:hAnsi="Arial"/>
          <w:b/>
          <w:i/>
          <w:color w:val="000000"/>
          <w:sz w:val="20"/>
        </w:rPr>
      </w:pPr>
      <w:r>
        <w:rPr>
          <w:rFonts w:ascii="Arial" w:hAnsi="Arial"/>
          <w:b/>
          <w:i/>
          <w:color w:val="000000"/>
          <w:sz w:val="20"/>
        </w:rPr>
        <w:t>Unaudited Interim Condensed Consolidated Financial Statements</w:t>
      </w:r>
    </w:p>
    <w:p>
      <w:pPr>
        <w:pStyle w:val="TextBody"/>
        <w:bidi w:val="0"/>
        <w:spacing w:before="280" w:after="283"/>
        <w:jc w:val="both"/>
        <w:rPr>
          <w:rFonts w:ascii="Times New Roman" w:hAnsi="Times New Roman"/>
          <w:sz w:val="20"/>
        </w:rPr>
      </w:pPr>
      <w:r>
        <w:rPr>
          <w:rFonts w:ascii="Arial" w:hAnsi="Arial"/>
          <w:color w:val="000000"/>
          <w:sz w:val="20"/>
        </w:rPr>
        <w:t>The accompanying condensed consolidated balance sheet as of March 31, 2025, and condensed consolidated statements of operations and comprehensive loss, cash flows, and stockholders’ equity for the three months ended March 31, 2025 and 2024, are unaudited. The balance sheet as of December 31, 2024 was derived from the audited consolidated financial statements as of and for the year ended December 31, 2024. The unaudited interim condensed consolidated financial statements have been prepared on a basis consistent with the audited annual financial statements as of and for the year ended December 31, 2024, and, in the opinion of management, reflect all adjustments, consisting solely of normal recurring adjustments, necessary for the fair presentation of the Company’s financial position as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March 31, 2025, and the unaudited condensed consolidated results of its operations and its cash flows for the three months ended March 31, 2025 and 2024. The financial data and other information disclosed in these notes related to the three months ended March 31, 2025 and 2024 are also unaudited. The unaudited condensed consolidated results of operations for the three months ended March 31, 2025 are not necessarily indicative of the results to be expected for the full year ending December 31, 2025 or any other period. These unaudited interim condensed consolidated financial statements should be read in conjunction with the Company’s audited consolidated financial statements as of and for the year ended December 31, 2024</w:t>
      </w:r>
      <w:r>
        <w:rPr>
          <w:rFonts w:ascii="Times New Roman" w:hAnsi="Times New Roman"/>
          <w:color w:val="000000"/>
          <w:sz w:val="20"/>
        </w:rPr>
        <w:t xml:space="preserve"> </w:t>
      </w:r>
      <w:r>
        <w:rPr>
          <w:rFonts w:ascii="Arial" w:hAnsi="Arial"/>
          <w:color w:val="000000"/>
          <w:sz w:val="20"/>
        </w:rPr>
        <w:t>included in its Annual Report on Form 10-K filed with the Securities and Exchange Commission, or SEC, on February 27, 2025.</w:t>
      </w:r>
    </w:p>
    <w:p>
      <w:pPr>
        <w:pStyle w:val="TextBody"/>
        <w:bidi w:val="0"/>
        <w:spacing w:before="280" w:after="283"/>
        <w:jc w:val="both"/>
        <w:rPr>
          <w:rFonts w:ascii="Arial" w:hAnsi="Arial"/>
          <w:b/>
          <w:i/>
          <w:color w:val="000000"/>
          <w:sz w:val="20"/>
        </w:rPr>
      </w:pPr>
      <w:r>
        <w:rPr>
          <w:rFonts w:ascii="Arial" w:hAnsi="Arial"/>
          <w:b/>
          <w:i/>
          <w:color w:val="000000"/>
          <w:sz w:val="20"/>
        </w:rPr>
        <w:t>Fair Value Measurements</w:t>
      </w:r>
    </w:p>
    <w:p>
      <w:pPr>
        <w:pStyle w:val="TextBody"/>
        <w:bidi w:val="0"/>
        <w:spacing w:before="280" w:after="283"/>
        <w:jc w:val="both"/>
        <w:rPr>
          <w:rFonts w:ascii="Arial" w:hAnsi="Arial"/>
          <w:color w:val="000000"/>
          <w:sz w:val="20"/>
        </w:rPr>
      </w:pPr>
      <w:r>
        <w:rPr>
          <w:rFonts w:ascii="Arial" w:hAnsi="Arial"/>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280" w:after="283"/>
        <w:jc w:val="both"/>
        <w:rPr>
          <w:rFonts w:ascii="Arial" w:hAnsi="Arial"/>
          <w:b/>
          <w:i/>
          <w:color w:val="000000"/>
          <w:sz w:val="20"/>
        </w:rPr>
      </w:pPr>
      <w:r>
        <w:rPr>
          <w:rFonts w:ascii="Arial" w:hAnsi="Arial"/>
          <w:b/>
          <w:i/>
          <w:color w:val="000000"/>
          <w:sz w:val="20"/>
        </w:rPr>
        <w:t>Restricted Cash</w:t>
      </w:r>
    </w:p>
    <w:p>
      <w:pPr>
        <w:pStyle w:val="TextBody"/>
        <w:bidi w:val="0"/>
        <w:spacing w:before="280" w:after="280"/>
        <w:jc w:val="both"/>
        <w:rPr>
          <w:rFonts w:ascii="Arial" w:hAnsi="Arial"/>
          <w:color w:val="000000"/>
          <w:sz w:val="20"/>
        </w:rPr>
      </w:pPr>
      <w:r>
        <w:rPr>
          <w:rFonts w:ascii="Arial" w:hAnsi="Arial"/>
          <w:color w:val="000000"/>
          <w:sz w:val="20"/>
        </w:rPr>
        <w:t>Restricted cash consists of collateral pledged in connection with the Company's corporate credit cards. The table below reconciles the balances of cash and cash equivalents and restricted cash reported on the consolidated balance sheets to the balances of cash, cash equivalents and restricted cash reported on the consolidated statements of cash flows.</w:t>
      </w:r>
    </w:p>
    <w:tbl>
      <w:tblPr>
        <w:tblW w:w="6319" w:type="dxa"/>
        <w:jc w:val="left"/>
        <w:tblInd w:w="0" w:type="dxa"/>
        <w:tblLayout w:type="fixed"/>
        <w:tblCellMar>
          <w:top w:w="28" w:type="dxa"/>
          <w:left w:w="28" w:type="dxa"/>
          <w:bottom w:w="28" w:type="dxa"/>
          <w:right w:w="28" w:type="dxa"/>
        </w:tblCellMar>
      </w:tblPr>
      <w:tblGrid>
        <w:gridCol w:w="3886"/>
        <w:gridCol w:w="146"/>
        <w:gridCol w:w="211"/>
        <w:gridCol w:w="691"/>
        <w:gridCol w:w="146"/>
        <w:gridCol w:w="146"/>
        <w:gridCol w:w="211"/>
        <w:gridCol w:w="69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Short-term Investments</w:t>
      </w:r>
    </w:p>
    <w:p>
      <w:pPr>
        <w:pStyle w:val="TextBody"/>
        <w:bidi w:val="0"/>
        <w:spacing w:before="280" w:after="283"/>
        <w:jc w:val="both"/>
        <w:rPr>
          <w:rFonts w:ascii="Times New Roman" w:hAnsi="Times New Roman"/>
          <w:sz w:val="20"/>
        </w:rPr>
      </w:pPr>
      <w:r>
        <w:rPr>
          <w:rFonts w:ascii="Arial" w:hAnsi="Arial"/>
          <w:color w:val="000000"/>
          <w:sz w:val="20"/>
        </w:rPr>
        <w:t>The Company generally invests its excess cash in investment grade short- to intermediate-term fixed income securities. Such investments are included in cash and cash equivalents, and short-term investments on the consolidated balance sheets, classified as available-for-sale, and reported at fair value with unrealized gains and losses included in accumulated other comprehensive income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280" w:after="283"/>
        <w:jc w:val="both"/>
        <w:rPr>
          <w:rFonts w:ascii="Arial" w:hAnsi="Arial"/>
          <w:b/>
          <w:i/>
          <w:color w:val="000000"/>
          <w:sz w:val="20"/>
        </w:rPr>
      </w:pPr>
      <w:r>
        <w:rPr>
          <w:rFonts w:ascii="Arial" w:hAnsi="Arial"/>
          <w:b/>
          <w:i/>
          <w:color w:val="000000"/>
          <w:sz w:val="20"/>
        </w:rPr>
        <w:t>Use of Estimates</w:t>
      </w:r>
    </w:p>
    <w:p>
      <w:pPr>
        <w:pStyle w:val="TextBody"/>
        <w:bidi w:val="0"/>
        <w:spacing w:before="28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283"/>
        <w:jc w:val="both"/>
        <w:rPr>
          <w:rFonts w:ascii="Times New Roman" w:hAnsi="Times New Roman"/>
          <w:sz w:val="20"/>
        </w:rPr>
      </w:pPr>
      <w:r>
        <w:rPr>
          <w:rFonts w:ascii="Arial" w:hAnsi="Arial"/>
          <w:color w:val="000000"/>
          <w:sz w:val="20"/>
        </w:rPr>
        <w:t>Research and development costs are expensed as incurred. In-licensing fees and other costs to acquire technologies used in research and development that have not yet received regulatory approval and that are not expected to have 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280" w:after="283"/>
        <w:jc w:val="both"/>
        <w:rPr>
          <w:rFonts w:ascii="Arial" w:hAnsi="Arial"/>
          <w:b/>
          <w:i/>
          <w:color w:val="000000"/>
          <w:sz w:val="20"/>
        </w:rPr>
      </w:pPr>
      <w:r>
        <w:rPr>
          <w:rFonts w:ascii="Arial" w:hAnsi="Arial"/>
          <w:b/>
          <w:i/>
          <w:color w:val="000000"/>
          <w:sz w:val="20"/>
        </w:rPr>
        <w:t>Leases</w:t>
      </w:r>
    </w:p>
    <w:p>
      <w:pPr>
        <w:pStyle w:val="TextBody"/>
        <w:bidi w:val="0"/>
        <w:spacing w:before="280" w:after="283"/>
        <w:jc w:val="both"/>
        <w:rPr>
          <w:rFonts w:ascii="Times New Roman" w:hAnsi="Times New Roman"/>
          <w:sz w:val="20"/>
        </w:rPr>
      </w:pPr>
      <w:r>
        <w:rPr>
          <w:rFonts w:ascii="Arial" w:hAnsi="Arial"/>
          <w:color w:val="000000"/>
          <w:sz w:val="20"/>
        </w:rPr>
        <w:t xml:space="preserve">The Company adopted Accounting Standards Codification, or ASC, </w:t>
      </w:r>
      <w:r>
        <w:rPr>
          <w:rFonts w:ascii="Arial" w:hAnsi="Arial"/>
          <w:i/>
          <w:color w:val="000000"/>
          <w:sz w:val="20"/>
        </w:rPr>
        <w:t>Topic 842 – Leases</w:t>
      </w:r>
      <w:r>
        <w:rPr>
          <w:rFonts w:ascii="Times New Roman" w:hAnsi="Times New Roman"/>
          <w:color w:val="000000"/>
          <w:sz w:val="20"/>
        </w:rPr>
        <w:t xml:space="preserve"> </w:t>
      </w:r>
      <w:r>
        <w:rPr>
          <w:rFonts w:ascii="Arial" w:hAnsi="Arial"/>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or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pStyle w:val="TextBody"/>
        <w:bidi w:val="0"/>
        <w:spacing w:before="240" w:after="283"/>
        <w:jc w:val="both"/>
        <w:rPr>
          <w:rFonts w:ascii="Arial" w:hAnsi="Arial"/>
          <w:color w:val="000000"/>
          <w:sz w:val="20"/>
        </w:rPr>
      </w:pPr>
      <w:r>
        <w:rPr>
          <w:rFonts w:ascii="Arial" w:hAnsi="Arial"/>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both"/>
        <w:rPr>
          <w:rFonts w:ascii="Times New Roman" w:hAnsi="Times New Roman"/>
          <w:sz w:val="20"/>
        </w:rPr>
      </w:pPr>
      <w:r>
        <w:rPr>
          <w:rFonts w:ascii="Arial" w:hAnsi="Arial"/>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pStyle w:val="TextBody"/>
        <w:bidi w:val="0"/>
        <w:spacing w:before="280" w:after="283"/>
        <w:jc w:val="both"/>
        <w:rPr>
          <w:rFonts w:ascii="Arial" w:hAnsi="Arial"/>
          <w:b/>
          <w:i/>
          <w:color w:val="000000"/>
          <w:sz w:val="20"/>
        </w:rPr>
      </w:pPr>
      <w:r>
        <w:rPr>
          <w:rFonts w:ascii="Arial" w:hAnsi="Arial"/>
          <w:b/>
          <w:i/>
          <w:color w:val="000000"/>
          <w:sz w:val="20"/>
        </w:rPr>
        <w:t>Stock-based Compensation</w:t>
      </w:r>
    </w:p>
    <w:p>
      <w:pPr>
        <w:pStyle w:val="TextBody"/>
        <w:bidi w:val="0"/>
        <w:spacing w:before="280" w:after="283"/>
        <w:jc w:val="both"/>
        <w:rPr>
          <w:rFonts w:ascii="Arial" w:hAnsi="Arial"/>
          <w:color w:val="000000"/>
          <w:sz w:val="20"/>
        </w:rPr>
      </w:pPr>
      <w:r>
        <w:rPr>
          <w:rFonts w:ascii="Arial" w:hAnsi="Arial"/>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or the Nasdaq Capital Market, as applicable. Compensation expense is recognized over the requisite service period on a straight-line basis. Forfeitures are recognized as they occur.</w:t>
      </w:r>
    </w:p>
    <w:p>
      <w:pPr>
        <w:pStyle w:val="TextBody"/>
        <w:bidi w:val="0"/>
        <w:spacing w:before="240" w:after="283"/>
        <w:jc w:val="both"/>
        <w:rPr>
          <w:rFonts w:ascii="Arial" w:hAnsi="Arial"/>
          <w:color w:val="000000"/>
          <w:sz w:val="20"/>
        </w:rPr>
      </w:pPr>
      <w:r>
        <w:rPr>
          <w:rFonts w:ascii="Arial" w:hAnsi="Arial"/>
          <w:color w:val="000000"/>
          <w:sz w:val="20"/>
        </w:rPr>
        <w:t>The Company records compensation expense for stock option and restricted stock unit grants subject to time-based vesting over the remaining implicit service period. The Company records compensation expense for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280" w:after="283"/>
        <w:jc w:val="both"/>
        <w:rPr>
          <w:rFonts w:ascii="Arial" w:hAnsi="Arial"/>
          <w:color w:val="000000"/>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bidi w:val="0"/>
        <w:spacing w:before="280" w:after="283"/>
        <w:jc w:val="both"/>
        <w:rPr>
          <w:rFonts w:ascii="Arial" w:hAnsi="Arial"/>
          <w:b/>
          <w:i/>
          <w:color w:val="000000"/>
          <w:sz w:val="20"/>
        </w:rPr>
      </w:pPr>
      <w:r>
        <w:rPr>
          <w:rFonts w:ascii="Arial" w:hAnsi="Arial"/>
          <w:b/>
          <w:i/>
          <w:color w:val="000000"/>
          <w:sz w:val="20"/>
        </w:rPr>
        <w:t>Corporate Restructuring</w:t>
      </w:r>
    </w:p>
    <w:p>
      <w:pPr>
        <w:pStyle w:val="TextBody"/>
        <w:bidi w:val="0"/>
        <w:spacing w:before="280" w:after="283"/>
        <w:jc w:val="both"/>
        <w:rPr>
          <w:rFonts w:ascii="Times New Roman" w:hAnsi="Times New Roman"/>
          <w:sz w:val="20"/>
        </w:rPr>
      </w:pPr>
      <w:r>
        <w:rPr>
          <w:rFonts w:ascii="Arial" w:hAnsi="Arial"/>
          <w:color w:val="000000"/>
          <w:sz w:val="20"/>
        </w:rPr>
        <w:t>On September 15, 2024, the Company committed to a workforce reduction that resulted in the termination of approximately 70% of the Company’s workforce, or the Restructuring. In connection with the Restructuring, the Company incurred costs of $2.9</w:t>
      </w:r>
      <w:r>
        <w:rPr>
          <w:rFonts w:ascii="Times New Roman" w:hAnsi="Times New Roman"/>
          <w:color w:val="000000"/>
          <w:sz w:val="20"/>
        </w:rPr>
        <w:t xml:space="preserve"> </w:t>
      </w:r>
      <w:r>
        <w:rPr>
          <w:rFonts w:ascii="Arial" w:hAnsi="Arial"/>
          <w:color w:val="000000"/>
          <w:sz w:val="20"/>
        </w:rPr>
        <w:t>million, consisting primarily of cash severance costs and termination benefits, which the Company recognized during the year ended December 31, 2024. The Company substantially completed the Restructuring by December 31, 2024.</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As of December 31, 2024, the accrued liability balance associated with the Restructuring was $0.4</w:t>
      </w:r>
      <w:r>
        <w:rPr>
          <w:rFonts w:ascii="Times New Roman" w:hAnsi="Times New Roman"/>
          <w:color w:val="000000"/>
          <w:sz w:val="20"/>
        </w:rPr>
        <w:t xml:space="preserve"> </w:t>
      </w:r>
      <w:r>
        <w:rPr>
          <w:rFonts w:ascii="Arial" w:hAnsi="Arial"/>
          <w:color w:val="000000"/>
          <w:sz w:val="20"/>
        </w:rPr>
        <w:t>million and was included in the accrued expenses line of the accompanying consolidated balance sheet. Cash paid during the year ended December 31, 2024 associated with the termination benefits was $2.5</w:t>
      </w:r>
      <w:r>
        <w:rPr>
          <w:rFonts w:ascii="Times New Roman" w:hAnsi="Times New Roman"/>
          <w:color w:val="000000"/>
          <w:sz w:val="20"/>
        </w:rPr>
        <w:t xml:space="preserve"> </w:t>
      </w:r>
      <w:r>
        <w:rPr>
          <w:rFonts w:ascii="Arial" w:hAnsi="Arial"/>
          <w:color w:val="000000"/>
          <w:sz w:val="20"/>
        </w:rPr>
        <w:t>million. The remaining $0.4</w:t>
      </w:r>
      <w:r>
        <w:rPr>
          <w:rFonts w:ascii="Times New Roman" w:hAnsi="Times New Roman"/>
          <w:color w:val="000000"/>
          <w:sz w:val="20"/>
        </w:rPr>
        <w:t xml:space="preserve"> </w:t>
      </w:r>
      <w:r>
        <w:rPr>
          <w:rFonts w:ascii="Arial" w:hAnsi="Arial"/>
          <w:color w:val="000000"/>
          <w:sz w:val="20"/>
        </w:rPr>
        <w:t>million accrued as of December 31, 2024 was settled during the three months ended March 31, 2025.</w:t>
      </w:r>
    </w:p>
    <w:p>
      <w:pPr>
        <w:pStyle w:val="TextBody"/>
        <w:bidi w:val="0"/>
        <w:spacing w:before="280" w:after="283"/>
        <w:jc w:val="both"/>
        <w:rPr>
          <w:rFonts w:ascii="Arial" w:hAnsi="Arial"/>
          <w:b/>
          <w:i/>
          <w:color w:val="000000"/>
          <w:sz w:val="20"/>
        </w:rPr>
      </w:pPr>
      <w:r>
        <w:rPr>
          <w:rFonts w:ascii="Arial" w:hAnsi="Arial"/>
          <w:b/>
          <w:i/>
          <w:color w:val="000000"/>
          <w:sz w:val="20"/>
        </w:rPr>
        <w:t>Emerging Growth Company Status</w:t>
      </w:r>
    </w:p>
    <w:p>
      <w:pPr>
        <w:pStyle w:val="TextBody"/>
        <w:bidi w:val="0"/>
        <w:spacing w:before="280" w:after="283"/>
        <w:jc w:val="both"/>
        <w:rPr>
          <w:rFonts w:ascii="Arial" w:hAnsi="Arial"/>
          <w:color w:val="000000"/>
          <w:sz w:val="20"/>
        </w:rPr>
      </w:pPr>
      <w:r>
        <w:rPr>
          <w:rFonts w:ascii="Arial" w:hAnsi="Arial"/>
          <w:color w:val="000000"/>
          <w:sz w:val="20"/>
        </w:rPr>
        <w:t>The Company is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Recently Adopted Accounting Pronouncements</w:t>
      </w:r>
    </w:p>
    <w:p>
      <w:pPr>
        <w:pStyle w:val="TextBody"/>
        <w:bidi w:val="0"/>
        <w:spacing w:before="280" w:after="283"/>
        <w:jc w:val="both"/>
        <w:rPr>
          <w:rFonts w:ascii="Times New Roman" w:hAnsi="Times New Roman"/>
          <w:sz w:val="20"/>
        </w:rPr>
      </w:pPr>
      <w:r>
        <w:rPr>
          <w:rFonts w:ascii="Arial" w:hAnsi="Arial"/>
          <w:color w:val="000000"/>
          <w:sz w:val="20"/>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and the amendments should be applied on a prospective basis. The Company adopted</w:t>
      </w:r>
      <w:r>
        <w:rPr>
          <w:rFonts w:ascii="Times New Roman" w:hAnsi="Times New Roman"/>
          <w:color w:val="000000"/>
          <w:sz w:val="20"/>
        </w:rPr>
        <w:t xml:space="preserve"> </w:t>
      </w:r>
      <w:r>
        <w:rPr>
          <w:rFonts w:ascii="Arial" w:hAnsi="Arial"/>
          <w:color w:val="000000"/>
          <w:sz w:val="20"/>
        </w:rPr>
        <w:t>the guidance in the fiscal year beginning January 1, 2025. The Company does not expect adoption of this guidance will have a material impact on its annual consolidated financial statements and disclosures.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3. Fair Value</w:t>
      </w:r>
    </w:p>
    <w:p>
      <w:pPr>
        <w:pStyle w:val="TextBody"/>
        <w:bidi w:val="0"/>
        <w:spacing w:before="280" w:after="283"/>
        <w:jc w:val="both"/>
        <w:rPr>
          <w:rFonts w:ascii="Arial" w:hAnsi="Arial"/>
          <w:color w:val="000000"/>
          <w:sz w:val="20"/>
        </w:rPr>
      </w:pPr>
      <w:r>
        <w:rPr>
          <w:rFonts w:ascii="Arial" w:hAnsi="Arial"/>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i/>
          <w:color w:val="000000"/>
          <w:sz w:val="20"/>
        </w:rPr>
        <w:t>Level 1</w:t>
      </w:r>
      <w:r>
        <w:rPr>
          <w:rFonts w:ascii="Times New Roman" w:hAnsi="Times New Roman"/>
          <w:color w:val="000000"/>
          <w:sz w:val="20"/>
        </w:rPr>
        <w:t>—</w:t>
      </w:r>
      <w:r>
        <w:rPr>
          <w:rFonts w:ascii="Arial" w:hAnsi="Arial"/>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Level 2</w:t>
      </w:r>
      <w:r>
        <w:rPr>
          <w:rFonts w:ascii="Times New Roman" w:hAnsi="Times New Roman"/>
          <w:color w:val="000000"/>
          <w:sz w:val="20"/>
        </w:rPr>
        <w:t>—</w:t>
      </w:r>
      <w:r>
        <w:rPr>
          <w:rFonts w:ascii="Arial" w:hAnsi="Arial"/>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i/>
          <w:color w:val="000000"/>
          <w:sz w:val="20"/>
        </w:rPr>
        <w:t>Level 3</w:t>
      </w:r>
      <w:r>
        <w:rPr>
          <w:rFonts w:ascii="Times New Roman" w:hAnsi="Times New Roman"/>
          <w:color w:val="000000"/>
          <w:sz w:val="20"/>
        </w:rPr>
        <w:t>—</w:t>
      </w:r>
      <w:r>
        <w:rPr>
          <w:rFonts w:ascii="Arial" w:hAnsi="Arial"/>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80" w:after="283"/>
        <w:jc w:val="both"/>
        <w:rPr>
          <w:rFonts w:ascii="Times New Roman" w:hAnsi="Times New Roman"/>
          <w:sz w:val="20"/>
        </w:rPr>
      </w:pPr>
      <w:r>
        <w:rPr>
          <w:rFonts w:ascii="Arial" w:hAnsi="Arial"/>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16,636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20,686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10,248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All the commercial paper, U.S. government debt and agency securities, U.S. treasury bills, and corporate bonds designated as short-term investments have an effective maturity date that is equal to or less than one year</w:t>
      </w:r>
      <w:r>
        <w:rPr>
          <w:rFonts w:ascii="Times New Roman" w:hAnsi="Times New Roman"/>
          <w:color w:val="000000"/>
          <w:sz w:val="20"/>
        </w:rPr>
        <w:t xml:space="preserve"> </w:t>
      </w:r>
      <w:r>
        <w:rPr>
          <w:rFonts w:ascii="Arial" w:hAnsi="Arial"/>
          <w:color w:val="000000"/>
          <w:sz w:val="20"/>
        </w:rPr>
        <w:t>from the respective balance sheet date.</w:t>
      </w:r>
    </w:p>
    <w:p>
      <w:pPr>
        <w:pStyle w:val="TextBody"/>
        <w:bidi w:val="0"/>
        <w:spacing w:before="80" w:after="283"/>
        <w:jc w:val="both"/>
        <w:rPr>
          <w:rFonts w:ascii="Times New Roman" w:hAnsi="Times New Roman"/>
          <w:sz w:val="20"/>
        </w:rPr>
      </w:pPr>
      <w:r>
        <w:rPr>
          <w:rFonts w:ascii="Arial" w:hAnsi="Arial"/>
          <w:color w:val="000000"/>
          <w:sz w:val="20"/>
        </w:rPr>
        <w:t>As of March 31, 2025,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March 31, 2025</w:t>
      </w:r>
      <w:r>
        <w:rPr>
          <w:rFonts w:ascii="Times New Roman" w:hAnsi="Times New Roman"/>
          <w:color w:val="000000"/>
          <w:sz w:val="20"/>
        </w:rPr>
        <w:t xml:space="preserve"> </w:t>
      </w:r>
      <w:r>
        <w:rPr>
          <w:rFonts w:ascii="Arial" w:hAnsi="Arial"/>
          <w:color w:val="000000"/>
          <w:sz w:val="20"/>
        </w:rPr>
        <w:t>to be due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factors other than credit loss, such as changes in interest rates. A credit loss allowance was not recognized and the unrealized losses for available-for-sale securities were recorded in other comprehensive loss.</w:t>
      </w:r>
    </w:p>
    <w:p>
      <w:pPr>
        <w:pStyle w:val="TextBody"/>
        <w:bidi w:val="0"/>
        <w:spacing w:before="360" w:after="283"/>
        <w:jc w:val="both"/>
        <w:rPr>
          <w:rFonts w:ascii="Arial" w:hAnsi="Arial"/>
          <w:b/>
          <w:color w:val="000000"/>
          <w:sz w:val="20"/>
        </w:rPr>
      </w:pPr>
      <w:r>
        <w:rPr>
          <w:rFonts w:ascii="Arial" w:hAnsi="Arial"/>
          <w:b/>
          <w:color w:val="000000"/>
          <w:sz w:val="20"/>
        </w:rPr>
        <w:t>4. 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consisted of the following (in thousands):</w:t>
      </w:r>
    </w:p>
    <w:p>
      <w:pPr>
        <w:pStyle w:val="TextBody"/>
        <w:bidi w:val="0"/>
        <w:jc w:val="both"/>
        <w:rPr/>
      </w:pPr>
      <w:r>
        <w:rPr/>
        <w:t> </w:t>
      </w:r>
    </w:p>
    <w:tbl>
      <w:tblPr>
        <w:tblW w:w="5887" w:type="dxa"/>
        <w:jc w:val="left"/>
        <w:tblInd w:w="0" w:type="dxa"/>
        <w:tblLayout w:type="fixed"/>
        <w:tblCellMar>
          <w:top w:w="28" w:type="dxa"/>
          <w:left w:w="28" w:type="dxa"/>
          <w:bottom w:w="28" w:type="dxa"/>
          <w:right w:w="28" w:type="dxa"/>
        </w:tblCellMar>
      </w:tblPr>
      <w:tblGrid>
        <w:gridCol w:w="2911"/>
        <w:gridCol w:w="146"/>
        <w:gridCol w:w="211"/>
        <w:gridCol w:w="646"/>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furniture, fixtures, and</w:t>
              <w:br/>
              <w:t>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Depreciation expense was $243,000</w:t>
      </w:r>
      <w:r>
        <w:rPr>
          <w:rFonts w:ascii="Times New Roman" w:hAnsi="Times New Roman"/>
          <w:color w:val="000000"/>
          <w:sz w:val="20"/>
        </w:rPr>
        <w:t xml:space="preserve"> </w:t>
      </w:r>
      <w:r>
        <w:rPr>
          <w:rFonts w:ascii="Arial" w:hAnsi="Arial"/>
          <w:color w:val="000000"/>
          <w:sz w:val="20"/>
        </w:rPr>
        <w:t>and $242,000</w:t>
      </w:r>
      <w:r>
        <w:rPr>
          <w:rFonts w:ascii="Times New Roman" w:hAnsi="Times New Roman"/>
          <w:color w:val="000000"/>
          <w:sz w:val="20"/>
        </w:rPr>
        <w:t xml:space="preserve"> </w:t>
      </w:r>
      <w:r>
        <w:rPr>
          <w:rFonts w:ascii="Arial" w:hAnsi="Arial"/>
          <w:color w:val="000000"/>
          <w:sz w:val="20"/>
        </w:rPr>
        <w:t>for the three months ended March 31, 2025 and 2024, respectively.</w:t>
      </w:r>
    </w:p>
    <w:p>
      <w:pPr>
        <w:pStyle w:val="TextBody"/>
        <w:bidi w:val="0"/>
        <w:spacing w:before="280" w:after="283"/>
        <w:jc w:val="both"/>
        <w:rPr>
          <w:rFonts w:ascii="Arial" w:hAnsi="Arial"/>
          <w:b/>
          <w:color w:val="000000"/>
          <w:sz w:val="20"/>
        </w:rPr>
      </w:pPr>
      <w:r>
        <w:rPr>
          <w:rFonts w:ascii="Arial" w:hAnsi="Arial"/>
          <w:b/>
          <w:color w:val="000000"/>
          <w:sz w:val="20"/>
        </w:rPr>
        <w:t>5. Accrued Liabilities</w:t>
      </w:r>
    </w:p>
    <w:p>
      <w:pPr>
        <w:pStyle w:val="TextBody"/>
        <w:bidi w:val="0"/>
        <w:spacing w:before="280" w:after="283"/>
        <w:jc w:val="both"/>
        <w:rPr>
          <w:rFonts w:ascii="Arial" w:hAnsi="Arial"/>
          <w:color w:val="000000"/>
          <w:sz w:val="20"/>
        </w:rPr>
      </w:pPr>
      <w:r>
        <w:rPr>
          <w:rFonts w:ascii="Arial" w:hAnsi="Arial"/>
          <w:color w:val="000000"/>
          <w:sz w:val="20"/>
        </w:rPr>
        <w:t>Accrued liabilities consisted of the following (in thousands):</w:t>
      </w:r>
    </w:p>
    <w:p>
      <w:pPr>
        <w:pStyle w:val="TextBody"/>
        <w:bidi w:val="0"/>
        <w:jc w:val="both"/>
        <w:rPr/>
      </w:pPr>
      <w:r>
        <w:rPr/>
        <w:t> </w:t>
      </w:r>
    </w:p>
    <w:tbl>
      <w:tblPr>
        <w:tblW w:w="6325" w:type="dxa"/>
        <w:jc w:val="left"/>
        <w:tblInd w:w="0" w:type="dxa"/>
        <w:tblLayout w:type="fixed"/>
        <w:tblCellMar>
          <w:top w:w="28" w:type="dxa"/>
          <w:left w:w="28" w:type="dxa"/>
          <w:bottom w:w="28" w:type="dxa"/>
          <w:right w:w="28" w:type="dxa"/>
        </w:tblCellMar>
      </w:tblPr>
      <w:tblGrid>
        <w:gridCol w:w="3391"/>
        <w:gridCol w:w="146"/>
        <w:gridCol w:w="226"/>
        <w:gridCol w:w="629"/>
        <w:gridCol w:w="146"/>
        <w:gridCol w:w="146"/>
        <w:gridCol w:w="273"/>
        <w:gridCol w:w="897"/>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6. Segment Reporting</w:t>
      </w:r>
    </w:p>
    <w:p>
      <w:pPr>
        <w:pStyle w:val="TextBody"/>
        <w:bidi w:val="0"/>
        <w:spacing w:before="280" w:after="283"/>
        <w:jc w:val="both"/>
        <w:rPr>
          <w:rFonts w:ascii="Times New Roman" w:hAnsi="Times New Roman"/>
          <w:sz w:val="20"/>
        </w:rPr>
      </w:pPr>
      <w:r>
        <w:rPr>
          <w:rFonts w:ascii="Arial" w:hAnsi="Arial"/>
          <w:color w:val="000000"/>
          <w:sz w:val="20"/>
        </w:rPr>
        <w:t>The Company operates as a single</w:t>
      </w:r>
      <w:r>
        <w:rPr>
          <w:rFonts w:ascii="Times New Roman" w:hAnsi="Times New Roman"/>
          <w:color w:val="000000"/>
          <w:sz w:val="20"/>
        </w:rPr>
        <w:t xml:space="preserve"> </w:t>
      </w:r>
      <w:r>
        <w:rPr>
          <w:rFonts w:ascii="Arial" w:hAnsi="Arial"/>
          <w:color w:val="000000"/>
          <w:sz w:val="20"/>
        </w:rPr>
        <w:t>operating segment, which is the business of developing and commercializing therapeutics. The Company’s chief operating decision maker, or CODM, its chief executive officer, reviews financial information on an aggregate basis for the purpose of allocating resources and assessing performance. When deciding how to allocate resources, the CODM reviews the financial results of the Company's drug candidate programs. The measure of segment assets is reported on the consolidated balance sheet as total assets.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40"/>
        <w:jc w:val="both"/>
        <w:rPr>
          <w:rFonts w:ascii="Arial" w:hAnsi="Arial"/>
          <w:color w:val="000000"/>
          <w:sz w:val="20"/>
        </w:rPr>
      </w:pPr>
      <w:r>
        <w:rPr>
          <w:rFonts w:ascii="Arial" w:hAnsi="Arial"/>
          <w:color w:val="000000"/>
          <w:sz w:val="20"/>
        </w:rPr>
        <w:t>The table below is a summary of the segment profit or loss, including significant segment expenses (in thousands):</w:t>
      </w:r>
    </w:p>
    <w:tbl>
      <w:tblPr>
        <w:tblW w:w="7186" w:type="dxa"/>
        <w:jc w:val="left"/>
        <w:tblInd w:w="0" w:type="dxa"/>
        <w:tblLayout w:type="fixed"/>
        <w:tblCellMar>
          <w:top w:w="28" w:type="dxa"/>
          <w:left w:w="28" w:type="dxa"/>
          <w:bottom w:w="28" w:type="dxa"/>
          <w:right w:w="28" w:type="dxa"/>
        </w:tblCellMar>
      </w:tblPr>
      <w:tblGrid>
        <w:gridCol w:w="4001"/>
        <w:gridCol w:w="146"/>
        <w:gridCol w:w="252"/>
        <w:gridCol w:w="773"/>
        <w:gridCol w:w="198"/>
        <w:gridCol w:w="174"/>
        <w:gridCol w:w="252"/>
        <w:gridCol w:w="899"/>
        <w:gridCol w:w="491"/>
      </w:tblGrid>
      <w:tr>
        <w:trPr/>
        <w:tc>
          <w:tcPr>
            <w:tcW w:w="4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 programs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costs, excluding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20,153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segment expenses</w:t>
            </w:r>
            <w:r>
              <w:rPr>
                <w:rFonts w:ascii="Arial" w:hAnsi="Arial"/>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80" w:after="240"/>
        <w:jc w:val="both"/>
        <w:rPr>
          <w:rFonts w:ascii="Times New Roman" w:hAnsi="Times New Roman"/>
          <w:sz w:val="20"/>
        </w:rPr>
      </w:pPr>
      <w:r>
        <w:rPr>
          <w:rFonts w:ascii="Arial" w:hAnsi="Arial"/>
          <w:color w:val="000000"/>
          <w:sz w:val="13"/>
        </w:rPr>
        <w:t>(a)</w:t>
      </w:r>
      <w:r>
        <w:rPr>
          <w:rFonts w:ascii="Arial" w:hAnsi="Arial"/>
          <w:color w:val="000000"/>
          <w:sz w:val="20"/>
        </w:rPr>
        <w:t>Other segment expenses includes stock-based compensation and depreciation expenses.</w:t>
      </w:r>
    </w:p>
    <w:p>
      <w:pPr>
        <w:pStyle w:val="TextBody"/>
        <w:bidi w:val="0"/>
        <w:jc w:val="both"/>
        <w:rPr>
          <w:rFonts w:ascii="Arial" w:hAnsi="Arial"/>
          <w:b/>
          <w:color w:val="000000"/>
          <w:sz w:val="20"/>
        </w:rPr>
      </w:pPr>
      <w:r>
        <w:rPr>
          <w:rFonts w:ascii="Arial" w:hAnsi="Arial"/>
          <w:b/>
          <w:color w:val="000000"/>
          <w:sz w:val="20"/>
        </w:rPr>
        <w:t>7. Commitments and Contingencies</w:t>
      </w:r>
    </w:p>
    <w:p>
      <w:pPr>
        <w:pStyle w:val="TextBody"/>
        <w:bidi w:val="0"/>
        <w:spacing w:before="280" w:after="283"/>
        <w:jc w:val="both"/>
        <w:rPr>
          <w:rFonts w:ascii="Arial" w:hAnsi="Arial"/>
          <w:b/>
          <w:i/>
          <w:color w:val="000000"/>
          <w:sz w:val="20"/>
        </w:rPr>
      </w:pPr>
      <w:r>
        <w:rPr>
          <w:rFonts w:ascii="Arial" w:hAnsi="Arial"/>
          <w:b/>
          <w:i/>
          <w:color w:val="000000"/>
          <w:sz w:val="20"/>
        </w:rPr>
        <w:t>Legal Proceedings</w:t>
      </w:r>
    </w:p>
    <w:p>
      <w:pPr>
        <w:pStyle w:val="TextBody"/>
        <w:bidi w:val="0"/>
        <w:spacing w:before="280" w:after="283"/>
        <w:jc w:val="both"/>
        <w:rPr>
          <w:rFonts w:ascii="Times New Roman" w:hAnsi="Times New Roman"/>
          <w:sz w:val="20"/>
        </w:rPr>
      </w:pPr>
      <w:r>
        <w:rPr>
          <w:rFonts w:ascii="Arial" w:hAnsi="Arial"/>
          <w:color w:val="000000"/>
          <w:sz w:val="20"/>
        </w:rPr>
        <w:t>From time to time, the Company may be subject to various legal proceedings or claims that arise in the ordinary course of business. The Company accrues a liability when the Company's management believes that it is both probable that a liability has been incurred and the amount of loss can be reasonably estimated. There were no</w:t>
      </w:r>
      <w:r>
        <w:rPr>
          <w:rFonts w:ascii="Times New Roman" w:hAnsi="Times New Roman"/>
          <w:color w:val="000000"/>
          <w:sz w:val="20"/>
        </w:rPr>
        <w:t xml:space="preserve"> </w:t>
      </w:r>
      <w:r>
        <w:rPr>
          <w:rFonts w:ascii="Arial" w:hAnsi="Arial"/>
          <w:color w:val="000000"/>
          <w:sz w:val="20"/>
        </w:rPr>
        <w:t>material litigation-related accruals recorded during the three months ended March 31, 2025.</w:t>
      </w:r>
    </w:p>
    <w:p>
      <w:pPr>
        <w:pStyle w:val="TextBody"/>
        <w:bidi w:val="0"/>
        <w:spacing w:before="28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color w:val="000000"/>
          <w:sz w:val="20"/>
        </w:rPr>
        <w:t>to 7</w:t>
      </w:r>
      <w:r>
        <w:rPr>
          <w:rFonts w:ascii="Times New Roman" w:hAnsi="Times New Roman"/>
          <w:color w:val="000000"/>
          <w:sz w:val="20"/>
        </w:rPr>
        <w:t xml:space="preserve"> </w:t>
      </w:r>
      <w:r>
        <w:rPr>
          <w:rFonts w:ascii="Arial" w:hAnsi="Arial"/>
          <w:color w:val="000000"/>
          <w:sz w:val="20"/>
        </w:rPr>
        <w:t>years and the Company has options to extend</w:t>
      </w:r>
      <w:r>
        <w:rPr>
          <w:rFonts w:ascii="Times New Roman" w:hAnsi="Times New Roman"/>
          <w:color w:val="000000"/>
          <w:sz w:val="20"/>
        </w:rPr>
        <w:t xml:space="preserve"> </w:t>
      </w:r>
      <w:r>
        <w:rPr>
          <w:rFonts w:ascii="Arial" w:hAnsi="Arial"/>
          <w:color w:val="000000"/>
          <w:sz w:val="20"/>
        </w:rPr>
        <w:t>the leases for an additional five years</w:t>
      </w:r>
      <w:r>
        <w:rPr>
          <w:rFonts w:ascii="Times New Roman" w:hAnsi="Times New Roman"/>
          <w:color w:val="000000"/>
          <w:sz w:val="20"/>
        </w:rPr>
        <w:t xml:space="preserve"> </w:t>
      </w:r>
      <w:r>
        <w:rPr>
          <w:rFonts w:ascii="Arial" w:hAnsi="Arial"/>
          <w:color w:val="000000"/>
          <w:sz w:val="20"/>
        </w:rPr>
        <w:t>that it is not reasonably certain to exercise. As of March 31, 2025, the Company was not party to any finance leases.</w:t>
      </w:r>
    </w:p>
    <w:p>
      <w:pPr>
        <w:pStyle w:val="TextBody"/>
        <w:bidi w:val="0"/>
        <w:spacing w:before="280" w:after="283"/>
        <w:jc w:val="both"/>
        <w:rPr>
          <w:rFonts w:ascii="Arial" w:hAnsi="Arial"/>
          <w:color w:val="000000"/>
          <w:sz w:val="20"/>
        </w:rPr>
      </w:pPr>
      <w:r>
        <w:rPr>
          <w:rFonts w:ascii="Arial" w:hAnsi="Arial"/>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498" w:type="dxa"/>
        <w:jc w:val="left"/>
        <w:tblInd w:w="0" w:type="dxa"/>
        <w:tblLayout w:type="fixed"/>
        <w:tblCellMar>
          <w:top w:w="28" w:type="dxa"/>
          <w:left w:w="28" w:type="dxa"/>
          <w:bottom w:w="28" w:type="dxa"/>
          <w:right w:w="28" w:type="dxa"/>
        </w:tblCellMar>
      </w:tblPr>
      <w:tblGrid>
        <w:gridCol w:w="4006"/>
        <w:gridCol w:w="146"/>
        <w:gridCol w:w="226"/>
        <w:gridCol w:w="629"/>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Remaining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undiscounted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adjustment for minimum lease</w:t>
              <w:br/>
              <w: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548" w:type="dxa"/>
        <w:jc w:val="left"/>
        <w:tblInd w:w="0" w:type="dxa"/>
        <w:tblLayout w:type="fixed"/>
        <w:tblCellMar>
          <w:top w:w="28" w:type="dxa"/>
          <w:left w:w="28" w:type="dxa"/>
          <w:bottom w:w="28" w:type="dxa"/>
          <w:right w:w="28" w:type="dxa"/>
        </w:tblCellMar>
      </w:tblPr>
      <w:tblGrid>
        <w:gridCol w:w="4216"/>
        <w:gridCol w:w="146"/>
        <w:gridCol w:w="238"/>
        <w:gridCol w:w="617"/>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Operating lease expense was $88,000</w:t>
      </w:r>
      <w:r>
        <w:rPr>
          <w:rFonts w:ascii="Times New Roman" w:hAnsi="Times New Roman"/>
          <w:color w:val="000000"/>
          <w:sz w:val="20"/>
        </w:rPr>
        <w:t xml:space="preserve"> </w:t>
      </w:r>
      <w:r>
        <w:rPr>
          <w:rFonts w:ascii="Arial" w:hAnsi="Arial"/>
          <w:color w:val="000000"/>
          <w:sz w:val="20"/>
        </w:rPr>
        <w:t>and $88,000</w:t>
      </w:r>
      <w:r>
        <w:rPr>
          <w:rFonts w:ascii="Times New Roman" w:hAnsi="Times New Roman"/>
          <w:color w:val="000000"/>
          <w:sz w:val="20"/>
        </w:rPr>
        <w:t xml:space="preserve"> </w:t>
      </w:r>
      <w:r>
        <w:rPr>
          <w:rFonts w:ascii="Arial" w:hAnsi="Arial"/>
          <w:color w:val="000000"/>
          <w:sz w:val="20"/>
        </w:rPr>
        <w:t>for the three months ended March 31, 2025 and 2024, respectively. Separately, variable lease expense was $45,000</w:t>
      </w:r>
      <w:r>
        <w:rPr>
          <w:rFonts w:ascii="Times New Roman" w:hAnsi="Times New Roman"/>
          <w:color w:val="000000"/>
          <w:sz w:val="20"/>
        </w:rPr>
        <w:t xml:space="preserve"> </w:t>
      </w:r>
      <w:r>
        <w:rPr>
          <w:rFonts w:ascii="Arial" w:hAnsi="Arial"/>
          <w:color w:val="000000"/>
          <w:sz w:val="20"/>
        </w:rPr>
        <w:t>and $26,000</w:t>
      </w:r>
      <w:r>
        <w:rPr>
          <w:rFonts w:ascii="Times New Roman" w:hAnsi="Times New Roman"/>
          <w:color w:val="000000"/>
          <w:sz w:val="20"/>
        </w:rPr>
        <w:t xml:space="preserve"> </w:t>
      </w:r>
      <w:r>
        <w:rPr>
          <w:rFonts w:ascii="Arial" w:hAnsi="Arial"/>
          <w:color w:val="000000"/>
          <w:sz w:val="20"/>
        </w:rPr>
        <w:t>for operating leases during the three months ended March 31, 2025 and 2024, respectively.</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8. Common Stock</w:t>
      </w:r>
    </w:p>
    <w:p>
      <w:pPr>
        <w:pStyle w:val="TextBody"/>
        <w:bidi w:val="0"/>
        <w:spacing w:before="280" w:after="283"/>
        <w:jc w:val="both"/>
        <w:rPr>
          <w:rFonts w:ascii="Arial" w:hAnsi="Arial"/>
          <w:color w:val="000000"/>
          <w:sz w:val="20"/>
        </w:rPr>
      </w:pPr>
      <w:r>
        <w:rPr>
          <w:rFonts w:ascii="Arial" w:hAnsi="Arial"/>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80" w:after="283"/>
        <w:jc w:val="both"/>
        <w:rPr>
          <w:rFonts w:ascii="Arial" w:hAnsi="Arial"/>
          <w:color w:val="000000"/>
          <w:sz w:val="20"/>
        </w:rPr>
      </w:pPr>
      <w:r>
        <w:rPr>
          <w:rFonts w:ascii="Arial" w:hAnsi="Arial"/>
          <w:color w:val="000000"/>
          <w:sz w:val="20"/>
        </w:rPr>
        <w:t>The Company has reserved the following shares of common stock for future issuance, on an as-converted basis, as follows:</w:t>
      </w:r>
    </w:p>
    <w:p>
      <w:pPr>
        <w:pStyle w:val="TextBody"/>
        <w:bidi w:val="0"/>
        <w:jc w:val="both"/>
        <w:rPr/>
      </w:pPr>
      <w:r>
        <w:rPr/>
        <w:t> </w:t>
      </w:r>
    </w:p>
    <w:tbl>
      <w:tblPr>
        <w:tblW w:w="7744" w:type="dxa"/>
        <w:jc w:val="left"/>
        <w:tblInd w:w="0" w:type="dxa"/>
        <w:tblLayout w:type="fixed"/>
        <w:tblCellMar>
          <w:top w:w="28" w:type="dxa"/>
          <w:left w:w="28" w:type="dxa"/>
          <w:bottom w:w="28" w:type="dxa"/>
          <w:right w:w="28" w:type="dxa"/>
        </w:tblCellMar>
      </w:tblPr>
      <w:tblGrid>
        <w:gridCol w:w="4411"/>
        <w:gridCol w:w="146"/>
        <w:gridCol w:w="146"/>
        <w:gridCol w:w="1066"/>
        <w:gridCol w:w="146"/>
        <w:gridCol w:w="146"/>
        <w:gridCol w:w="146"/>
        <w:gridCol w:w="106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10,332,653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10,234,971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2020</w:t>
              <w:br/>
              <w:t>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1,666,381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1,728,853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1,338,444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2024</w:t>
              <w:br/>
              <w:t>   Inducement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15,930,752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13,589,796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The Company’s 2020 Equity Incentive Plan, or the 2020 Plan, provides for annual increases in the number of shares that may be issued under the 2020 Plan on January 1, 2021 and each subsequent January 1 thereafter by a number of shares equal to the least of (1) 3,230,000</w:t>
      </w:r>
      <w:r>
        <w:rPr>
          <w:rFonts w:ascii="Times New Roman" w:hAnsi="Times New Roman"/>
          <w:color w:val="000000"/>
          <w:sz w:val="20"/>
        </w:rPr>
        <w:t xml:space="preserve"> </w:t>
      </w:r>
      <w:r>
        <w:rPr>
          <w:rFonts w:ascii="Arial" w:hAnsi="Arial"/>
          <w:color w:val="000000"/>
          <w:sz w:val="20"/>
        </w:rPr>
        <w:t>shares, (2) 5%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2020 Employee Stock Purchase Plan, or the ESPP, provides for annual increases in the number of shares that may be issued under the ESPP on January 1, 2021 and each subsequent January 1 thereafter by a number of shares equal to the least of (1) 646,000</w:t>
      </w:r>
      <w:r>
        <w:rPr>
          <w:rFonts w:ascii="Times New Roman" w:hAnsi="Times New Roman"/>
          <w:color w:val="000000"/>
          <w:sz w:val="20"/>
        </w:rPr>
        <w:t xml:space="preserve"> </w:t>
      </w:r>
      <w:r>
        <w:rPr>
          <w:rFonts w:ascii="Arial" w:hAnsi="Arial"/>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February 2024, the board of directors adopted the Athira Pharma, Inc. 2024 Inducement Equity Incentive Plan, or the 2024 Inducement Plan, and, subject to the adjustment provisions of the 2024 Inducement Plan, reserved 750,000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2024 Inducement Plan.</w:t>
      </w:r>
    </w:p>
    <w:p>
      <w:pPr>
        <w:pStyle w:val="TextBody"/>
        <w:bidi w:val="0"/>
        <w:spacing w:before="240" w:after="283"/>
        <w:jc w:val="both"/>
        <w:rPr>
          <w:rFonts w:ascii="Times New Roman" w:hAnsi="Times New Roman"/>
          <w:sz w:val="20"/>
        </w:rPr>
      </w:pPr>
      <w:r>
        <w:rPr>
          <w:rFonts w:ascii="Arial" w:hAnsi="Arial"/>
          <w:color w:val="000000"/>
          <w:sz w:val="20"/>
        </w:rPr>
        <w:t>Effective January 1, 2025, the Company’s 2020 Plan and ESPP reserves increased by 1,952,047</w:t>
      </w:r>
      <w:r>
        <w:rPr>
          <w:rFonts w:ascii="Times New Roman" w:hAnsi="Times New Roman"/>
          <w:color w:val="000000"/>
          <w:sz w:val="20"/>
        </w:rPr>
        <w:t xml:space="preserve"> </w:t>
      </w:r>
      <w:r>
        <w:rPr>
          <w:rFonts w:ascii="Arial" w:hAnsi="Arial"/>
          <w:color w:val="000000"/>
          <w:sz w:val="20"/>
        </w:rPr>
        <w:t>shares and 390,409</w:t>
      </w:r>
      <w:r>
        <w:rPr>
          <w:rFonts w:ascii="Times New Roman" w:hAnsi="Times New Roman"/>
          <w:color w:val="000000"/>
          <w:sz w:val="20"/>
        </w:rPr>
        <w:t xml:space="preserve"> </w:t>
      </w:r>
      <w:r>
        <w:rPr>
          <w:rFonts w:ascii="Arial" w:hAnsi="Arial"/>
          <w:color w:val="000000"/>
          <w:sz w:val="20"/>
        </w:rPr>
        <w:t>shares, respectively.</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9. Stock-based Compensation</w:t>
      </w:r>
    </w:p>
    <w:p>
      <w:pPr>
        <w:pStyle w:val="TextBody"/>
        <w:bidi w:val="0"/>
        <w:spacing w:before="280" w:after="283"/>
        <w:jc w:val="both"/>
        <w:rPr>
          <w:rFonts w:ascii="Arial" w:hAnsi="Arial"/>
          <w:color w:val="000000"/>
          <w:sz w:val="20"/>
        </w:rPr>
      </w:pPr>
      <w:r>
        <w:rPr>
          <w:rFonts w:ascii="Arial" w:hAnsi="Arial"/>
          <w:color w:val="000000"/>
          <w:sz w:val="20"/>
        </w:rPr>
        <w:t>Stock</w:t>
        <w:noBreakHyphen/>
        <w:t>based compensation expense recognized was as follows (in thousands):</w:t>
      </w:r>
    </w:p>
    <w:p>
      <w:pPr>
        <w:pStyle w:val="TextBody"/>
        <w:bidi w:val="0"/>
        <w:jc w:val="both"/>
        <w:rPr/>
      </w:pPr>
      <w:r>
        <w:rPr/>
        <w:t> </w:t>
      </w:r>
    </w:p>
    <w:tbl>
      <w:tblPr>
        <w:tblW w:w="7196" w:type="dxa"/>
        <w:jc w:val="left"/>
        <w:tblInd w:w="0" w:type="dxa"/>
        <w:tblLayout w:type="fixed"/>
        <w:tblCellMar>
          <w:top w:w="28" w:type="dxa"/>
          <w:left w:w="28" w:type="dxa"/>
          <w:bottom w:w="28" w:type="dxa"/>
          <w:right w:w="28" w:type="dxa"/>
        </w:tblCellMar>
      </w:tblPr>
      <w:tblGrid>
        <w:gridCol w:w="4031"/>
        <w:gridCol w:w="146"/>
        <w:gridCol w:w="285"/>
        <w:gridCol w:w="792"/>
        <w:gridCol w:w="197"/>
        <w:gridCol w:w="197"/>
        <w:gridCol w:w="285"/>
        <w:gridCol w:w="792"/>
        <w:gridCol w:w="47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1,637</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Arial" w:hAnsi="Arial"/>
          <w:b/>
          <w:i/>
          <w:color w:val="000000"/>
          <w:sz w:val="20"/>
        </w:rPr>
      </w:pPr>
      <w:r>
        <w:rPr>
          <w:rFonts w:ascii="Arial" w:hAnsi="Arial"/>
          <w:b/>
          <w:i/>
          <w:color w:val="000000"/>
          <w:sz w:val="20"/>
        </w:rPr>
        <w:t>Valuation Assumptions</w:t>
      </w:r>
    </w:p>
    <w:p>
      <w:pPr>
        <w:pStyle w:val="TextBody"/>
        <w:bidi w:val="0"/>
        <w:spacing w:before="280" w:after="283"/>
        <w:jc w:val="both"/>
        <w:rPr>
          <w:rFonts w:ascii="Times New Roman" w:hAnsi="Times New Roman"/>
          <w:sz w:val="20"/>
        </w:rPr>
      </w:pPr>
      <w:r>
        <w:rPr>
          <w:rFonts w:ascii="Arial" w:hAnsi="Arial"/>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Fair Value of Common Stock</w:t>
      </w:r>
      <w:r>
        <w:rPr>
          <w:color w:val="000000"/>
        </w:rPr>
        <w:t>—</w:t>
      </w:r>
      <w:r>
        <w:rPr>
          <w:rFonts w:ascii="Arial" w:hAnsi="Arial"/>
          <w:color w:val="000000"/>
          <w:sz w:val="20"/>
        </w:rPr>
        <w:t>The fair value of each share of common stock is based on the closing price of the Company’s common stock on the date of grant, or other relevant determination date, as reported on The Nasdaq Global Select Market or the Nasdaq Capital Market, as applicable.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Risk-Free Interest Rate</w:t>
      </w:r>
      <w:r>
        <w:rPr>
          <w:color w:val="000000"/>
        </w:rPr>
        <w:t>—</w:t>
      </w:r>
      <w:r>
        <w:rPr>
          <w:rFonts w:ascii="Arial" w:hAnsi="Arial"/>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Volatility</w:t>
      </w:r>
      <w:r>
        <w:rPr>
          <w:color w:val="000000"/>
        </w:rPr>
        <w:t>—</w:t>
      </w:r>
      <w:r>
        <w:rPr>
          <w:rFonts w:ascii="Arial" w:hAnsi="Arial"/>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Term</w:t>
      </w:r>
      <w:r>
        <w:rPr>
          <w:color w:val="000000"/>
        </w:rPr>
        <w:t>—</w:t>
      </w:r>
      <w:r>
        <w:rPr>
          <w:rFonts w:ascii="Arial" w:hAnsi="Arial"/>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Dividend Yield</w:t>
      </w:r>
      <w:r>
        <w:rPr>
          <w:color w:val="000000"/>
        </w:rPr>
        <w:t>—</w:t>
      </w:r>
      <w:r>
        <w:rPr>
          <w:rFonts w:ascii="Arial" w:hAnsi="Arial"/>
          <w:color w:val="000000"/>
          <w:sz w:val="20"/>
        </w:rPr>
        <w:t>The Company has never paid dividends on its common stock and has no plans to pay dividends going forward. Therefore, it used an expected dividend yield of zero.</w:t>
      </w:r>
    </w:p>
    <w:p>
      <w:pPr>
        <w:pStyle w:val="TextBody"/>
        <w:bidi w:val="0"/>
        <w:spacing w:before="280" w:after="283"/>
        <w:jc w:val="both"/>
        <w:rPr>
          <w:rFonts w:ascii="Times New Roman" w:hAnsi="Times New Roman"/>
          <w:sz w:val="20"/>
        </w:rPr>
      </w:pPr>
      <w:r>
        <w:rPr>
          <w:rFonts w:ascii="Arial" w:hAnsi="Arial"/>
          <w:color w:val="000000"/>
          <w:sz w:val="20"/>
        </w:rPr>
        <w:t>The fair value of each stock option was estimated using the Black-Scholes option-pricing model with the following weighted-average assumptions:</w:t>
      </w:r>
      <w:r>
        <w:rPr>
          <w:rFonts w:ascii="Times New Roman" w:hAnsi="Times New Roman"/>
          <w:color w:val="000000"/>
          <w:sz w:val="20"/>
        </w:rPr>
        <w:t xml:space="preserve"> </w:t>
      </w:r>
    </w:p>
    <w:p>
      <w:pPr>
        <w:pStyle w:val="TextBody"/>
        <w:bidi w:val="0"/>
        <w:jc w:val="both"/>
        <w:rPr/>
      </w:pPr>
      <w:r>
        <w:rPr/>
        <w:t> </w:t>
      </w:r>
    </w:p>
    <w:tbl>
      <w:tblPr>
        <w:tblW w:w="5292" w:type="dxa"/>
        <w:jc w:val="left"/>
        <w:tblInd w:w="0" w:type="dxa"/>
        <w:tblLayout w:type="fixed"/>
        <w:tblCellMar>
          <w:top w:w="28" w:type="dxa"/>
          <w:left w:w="28" w:type="dxa"/>
          <w:bottom w:w="28" w:type="dxa"/>
          <w:right w:w="28" w:type="dxa"/>
        </w:tblCellMar>
      </w:tblPr>
      <w:tblGrid>
        <w:gridCol w:w="2266"/>
        <w:gridCol w:w="146"/>
        <w:gridCol w:w="186"/>
        <w:gridCol w:w="880"/>
        <w:gridCol w:w="364"/>
        <w:gridCol w:w="186"/>
        <w:gridCol w:w="186"/>
        <w:gridCol w:w="747"/>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100.45</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grant date fair value of restricted stock units is based upon the fair market value of the Company’s common stock based on its closing price as reported on the date of grant on the Nasdaq Global Select Market or the Nasdaq Capital Market, as applicable.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fair value of options granted during the three months ended March 31, 2025 and 2024</w:t>
      </w:r>
      <w:r>
        <w:rPr>
          <w:rFonts w:ascii="Times New Roman" w:hAnsi="Times New Roman"/>
          <w:color w:val="000000"/>
          <w:sz w:val="20"/>
        </w:rPr>
        <w:t xml:space="preserve"> </w:t>
      </w:r>
      <w:r>
        <w:rPr>
          <w:rFonts w:ascii="Arial" w:hAnsi="Arial"/>
          <w:color w:val="000000"/>
          <w:sz w:val="20"/>
        </w:rPr>
        <w:t>was $0.3</w:t>
      </w:r>
      <w:r>
        <w:rPr>
          <w:rFonts w:ascii="Times New Roman" w:hAnsi="Times New Roman"/>
          <w:color w:val="000000"/>
          <w:sz w:val="20"/>
        </w:rPr>
        <w:t xml:space="preserve"> </w:t>
      </w:r>
      <w:r>
        <w:rPr>
          <w:rFonts w:ascii="Arial" w:hAnsi="Arial"/>
          <w:color w:val="000000"/>
          <w:sz w:val="20"/>
        </w:rPr>
        <w:t>million and $9.1</w:t>
      </w:r>
      <w:r>
        <w:rPr>
          <w:rFonts w:ascii="Times New Roman" w:hAnsi="Times New Roman"/>
          <w:color w:val="000000"/>
          <w:sz w:val="20"/>
        </w:rPr>
        <w:t xml:space="preserve"> </w:t>
      </w:r>
      <w:r>
        <w:rPr>
          <w:rFonts w:ascii="Arial" w:hAnsi="Arial"/>
          <w:color w:val="000000"/>
          <w:sz w:val="20"/>
        </w:rPr>
        <w:t>million, respectively. The fair value of restricted stock units granted during the three months ended March 31, 2025 was $0.2</w:t>
      </w:r>
      <w:r>
        <w:rPr>
          <w:rFonts w:ascii="Times New Roman" w:hAnsi="Times New Roman"/>
          <w:color w:val="000000"/>
          <w:sz w:val="20"/>
        </w:rPr>
        <w:t xml:space="preserve"> </w:t>
      </w:r>
      <w:r>
        <w:rPr>
          <w:rFonts w:ascii="Arial" w:hAnsi="Arial"/>
          <w:color w:val="000000"/>
          <w:sz w:val="20"/>
        </w:rPr>
        <w:t>million. There were no</w:t>
      </w:r>
      <w:r>
        <w:rPr>
          <w:rFonts w:ascii="Times New Roman" w:hAnsi="Times New Roman"/>
          <w:color w:val="000000"/>
          <w:sz w:val="20"/>
        </w:rPr>
        <w:t xml:space="preserve"> </w:t>
      </w:r>
      <w:r>
        <w:rPr>
          <w:rFonts w:ascii="Arial" w:hAnsi="Arial"/>
          <w:color w:val="000000"/>
          <w:sz w:val="20"/>
        </w:rPr>
        <w:t>restricted stock units granted during the three months ended March 31, 2024.</w:t>
      </w:r>
    </w:p>
    <w:p>
      <w:pPr>
        <w:pStyle w:val="TextBody"/>
        <w:bidi w:val="0"/>
        <w:spacing w:before="240" w:after="283"/>
        <w:jc w:val="both"/>
        <w:rPr>
          <w:rFonts w:ascii="Arial" w:hAnsi="Arial"/>
          <w:b/>
          <w:i/>
          <w:color w:val="000000"/>
          <w:sz w:val="20"/>
        </w:rPr>
      </w:pPr>
      <w:r>
        <w:rPr>
          <w:rFonts w:ascii="Arial" w:hAnsi="Arial"/>
          <w:b/>
          <w:i/>
          <w:color w:val="000000"/>
          <w:sz w:val="20"/>
        </w:rPr>
        <w:t>Stock Option Activity</w:t>
      </w:r>
    </w:p>
    <w:p>
      <w:pPr>
        <w:pStyle w:val="TextBody"/>
        <w:bidi w:val="0"/>
        <w:spacing w:before="280" w:after="283"/>
        <w:jc w:val="both"/>
        <w:rPr>
          <w:rFonts w:ascii="Arial" w:hAnsi="Arial"/>
          <w:color w:val="000000"/>
          <w:sz w:val="20"/>
        </w:rPr>
      </w:pPr>
      <w:r>
        <w:rPr>
          <w:rFonts w:ascii="Arial" w:hAnsi="Arial"/>
          <w:color w:val="000000"/>
          <w:sz w:val="20"/>
        </w:rPr>
        <w:t>Changes in shares available for grant under the 2020 Plan and the 2024 Inducement Plan during the three months ended March 31, 2025 were as follows:</w:t>
      </w:r>
    </w:p>
    <w:p>
      <w:pPr>
        <w:pStyle w:val="TextBody"/>
        <w:bidi w:val="0"/>
        <w:jc w:val="both"/>
        <w:rPr/>
      </w:pPr>
      <w:r>
        <w:rPr/>
        <w:t> </w:t>
      </w:r>
    </w:p>
    <w:tbl>
      <w:tblPr>
        <w:tblW w:w="5845" w:type="dxa"/>
        <w:jc w:val="left"/>
        <w:tblInd w:w="0" w:type="dxa"/>
        <w:tblLayout w:type="fixed"/>
        <w:tblCellMar>
          <w:top w:w="28" w:type="dxa"/>
          <w:left w:w="28" w:type="dxa"/>
          <w:bottom w:w="28" w:type="dxa"/>
          <w:right w:w="28" w:type="dxa"/>
        </w:tblCellMar>
      </w:tblPr>
      <w:tblGrid>
        <w:gridCol w:w="4321"/>
        <w:gridCol w:w="146"/>
        <w:gridCol w:w="146"/>
        <w:gridCol w:w="102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2020 Plan reserve increase on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1,952,047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and restricted stock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(1,719,134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Options and restricted stock units forfeited, </w:t>
              <w:br/>
              <w:t>   cancelled,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1,619,952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3,869,246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 summary of stock option activity under the 2020 Plan and the 2024 Inducement Plan for the three months ended March 31, 2025 is as follows:</w:t>
      </w:r>
    </w:p>
    <w:p>
      <w:pPr>
        <w:pStyle w:val="TextBody"/>
        <w:bidi w:val="0"/>
        <w:jc w:val="both"/>
        <w:rPr/>
      </w:pPr>
      <w:r>
        <w:rPr/>
        <w:t> </w:t>
      </w:r>
    </w:p>
    <w:tbl>
      <w:tblPr>
        <w:tblW w:w="8178" w:type="dxa"/>
        <w:jc w:val="left"/>
        <w:tblInd w:w="0" w:type="dxa"/>
        <w:tblLayout w:type="fixed"/>
        <w:tblCellMar>
          <w:top w:w="28" w:type="dxa"/>
          <w:left w:w="28" w:type="dxa"/>
          <w:bottom w:w="28" w:type="dxa"/>
          <w:right w:w="28" w:type="dxa"/>
        </w:tblCellMar>
      </w:tblPr>
      <w:tblGrid>
        <w:gridCol w:w="2806"/>
        <w:gridCol w:w="146"/>
        <w:gridCol w:w="146"/>
        <w:gridCol w:w="1021"/>
        <w:gridCol w:w="166"/>
        <w:gridCol w:w="146"/>
        <w:gridCol w:w="279"/>
        <w:gridCol w:w="637"/>
        <w:gridCol w:w="146"/>
        <w:gridCol w:w="146"/>
        <w:gridCol w:w="241"/>
        <w:gridCol w:w="795"/>
        <w:gridCol w:w="146"/>
        <w:gridCol w:w="146"/>
        <w:gridCol w:w="339"/>
        <w:gridCol w:w="6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9,612,310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(1,598,802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9,131,173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4,448,642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4,682,531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total fair value of options granted that vested during the three months ended March 31, 2025 and 2024</w:t>
      </w:r>
      <w:r>
        <w:rPr>
          <w:rFonts w:ascii="Times New Roman" w:hAnsi="Times New Roman"/>
          <w:color w:val="000000"/>
          <w:sz w:val="20"/>
        </w:rPr>
        <w:t xml:space="preserve"> </w:t>
      </w:r>
      <w:r>
        <w:rPr>
          <w:rFonts w:ascii="Arial" w:hAnsi="Arial"/>
          <w:color w:val="000000"/>
          <w:sz w:val="20"/>
        </w:rPr>
        <w:t>was $2.4</w:t>
      </w:r>
      <w:r>
        <w:rPr>
          <w:rFonts w:ascii="Times New Roman" w:hAnsi="Times New Roman"/>
          <w:color w:val="000000"/>
          <w:sz w:val="20"/>
        </w:rPr>
        <w:t xml:space="preserve"> </w:t>
      </w:r>
      <w:r>
        <w:rPr>
          <w:rFonts w:ascii="Arial" w:hAnsi="Arial"/>
          <w:color w:val="000000"/>
          <w:sz w:val="20"/>
        </w:rPr>
        <w:t>million and $2.8</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both"/>
        <w:rPr>
          <w:rFonts w:ascii="Times New Roman" w:hAnsi="Times New Roman"/>
          <w:sz w:val="20"/>
        </w:rPr>
      </w:pPr>
      <w:r>
        <w:rPr>
          <w:rFonts w:ascii="Arial" w:hAnsi="Arial"/>
          <w:color w:val="000000"/>
          <w:sz w:val="20"/>
        </w:rPr>
        <w:t>The aggregate intrinsic value in the table above is calculated as the difference between the exercise price of the underlying options and the estimated fair value of the Company’s common stock underlying all options that were in-the-money at March 31, 2025. There were no</w:t>
      </w:r>
      <w:r>
        <w:rPr>
          <w:rFonts w:ascii="Times New Roman" w:hAnsi="Times New Roman"/>
          <w:color w:val="000000"/>
          <w:sz w:val="20"/>
        </w:rPr>
        <w:t xml:space="preserve"> </w:t>
      </w:r>
      <w:r>
        <w:rPr>
          <w:rFonts w:ascii="Arial" w:hAnsi="Arial"/>
          <w:color w:val="000000"/>
          <w:sz w:val="20"/>
        </w:rPr>
        <w:t>options exercised during the three months ended March 31, 2025 and 2024. As of March 31, 2025, there was $7.7</w:t>
      </w:r>
      <w:r>
        <w:rPr>
          <w:rFonts w:ascii="Times New Roman" w:hAnsi="Times New Roman"/>
          <w:color w:val="000000"/>
          <w:sz w:val="20"/>
        </w:rPr>
        <w:t xml:space="preserve"> </w:t>
      </w:r>
      <w:r>
        <w:rPr>
          <w:rFonts w:ascii="Arial" w:hAnsi="Arial"/>
          <w:color w:val="000000"/>
          <w:sz w:val="20"/>
        </w:rPr>
        <w:t>million of total unrecognized compensation cost related to non-vested stock options. The Company expects to recognize this cost over a remaining weighted-average period of 1.99</w:t>
      </w:r>
      <w:r>
        <w:rPr>
          <w:rFonts w:ascii="Times New Roman" w:hAnsi="Times New Roman"/>
          <w:color w:val="000000"/>
          <w:sz w:val="20"/>
        </w:rPr>
        <w:t xml:space="preserve"> </w:t>
      </w:r>
      <w:r>
        <w:rPr>
          <w:rFonts w:ascii="Arial" w:hAnsi="Arial"/>
          <w:color w:val="000000"/>
          <w:sz w:val="20"/>
        </w:rPr>
        <w:t>years. The Company utilizes newly issued shares to satisfy option exercises.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Stock options outstanding and exercisable under the 2020 Plan and the 2024 Inducement Plan consisted of the following at March 31, 2025:</w:t>
      </w:r>
    </w:p>
    <w:p>
      <w:pPr>
        <w:pStyle w:val="TextBody"/>
        <w:bidi w:val="0"/>
        <w:jc w:val="both"/>
        <w:rPr/>
      </w:pPr>
      <w:r>
        <w:rPr/>
        <w:t> </w:t>
      </w:r>
    </w:p>
    <w:tbl>
      <w:tblPr>
        <w:tblW w:w="4598" w:type="dxa"/>
        <w:jc w:val="left"/>
        <w:tblInd w:w="0" w:type="dxa"/>
        <w:tblLayout w:type="fixed"/>
        <w:tblCellMar>
          <w:top w:w="28" w:type="dxa"/>
          <w:left w:w="28" w:type="dxa"/>
          <w:bottom w:w="28" w:type="dxa"/>
          <w:right w:w="28" w:type="dxa"/>
        </w:tblCellMar>
      </w:tblPr>
      <w:tblGrid>
        <w:gridCol w:w="1471"/>
        <w:gridCol w:w="146"/>
        <w:gridCol w:w="146"/>
        <w:gridCol w:w="965"/>
        <w:gridCol w:w="146"/>
        <w:gridCol w:w="146"/>
        <w:gridCol w:w="146"/>
        <w:gridCol w:w="961"/>
        <w:gridCol w:w="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0.38</w:t>
            </w:r>
            <w:r>
              <w:rPr>
                <w:rFonts w:ascii="Times New Roman" w:hAnsi="Times New Roman"/>
                <w:color w:val="000000"/>
                <w:sz w:val="20"/>
              </w:rPr>
              <w:t> </w:t>
            </w:r>
            <w:r>
              <w:rPr>
                <w:rFonts w:ascii="Arial" w:hAnsi="Arial"/>
                <w:color w:val="000000"/>
                <w:sz w:val="20"/>
              </w:rPr>
              <w:t>to 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2,032,757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310,581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1.04</w:t>
            </w:r>
            <w:r>
              <w:rPr>
                <w:rFonts w:ascii="Times New Roman" w:hAnsi="Times New Roman"/>
                <w:color w:val="000000"/>
                <w:sz w:val="20"/>
              </w:rPr>
              <w:t> </w:t>
            </w:r>
            <w:r>
              <w:rPr>
                <w:rFonts w:ascii="Arial" w:hAnsi="Arial"/>
                <w:color w:val="000000"/>
                <w:sz w:val="20"/>
              </w:rPr>
              <w:t>to 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4,617,372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2,160,627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8.93</w:t>
            </w:r>
            <w:r>
              <w:rPr>
                <w:rFonts w:ascii="Times New Roman" w:hAnsi="Times New Roman"/>
                <w:color w:val="000000"/>
                <w:sz w:val="20"/>
              </w:rPr>
              <w:t> </w:t>
            </w:r>
            <w:r>
              <w:rPr>
                <w:rFonts w:ascii="Arial" w:hAnsi="Arial"/>
                <w:color w:val="000000"/>
                <w:sz w:val="20"/>
              </w:rPr>
              <w:t>to 19.94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2,138,521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1,868,800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20.55</w:t>
            </w:r>
            <w:r>
              <w:rPr>
                <w:rFonts w:ascii="Times New Roman" w:hAnsi="Times New Roman"/>
                <w:color w:val="000000"/>
                <w:sz w:val="20"/>
              </w:rPr>
              <w:t> </w:t>
            </w:r>
            <w:r>
              <w:rPr>
                <w:rFonts w:ascii="Arial" w:hAnsi="Arial"/>
                <w:color w:val="000000"/>
                <w:sz w:val="20"/>
              </w:rPr>
              <w:t>to 29.41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342,523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9,131,173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4,682,531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Restricted Stock Unit Activity</w:t>
      </w:r>
    </w:p>
    <w:p>
      <w:pPr>
        <w:pStyle w:val="TextBody"/>
        <w:bidi w:val="0"/>
        <w:spacing w:before="280" w:after="283"/>
        <w:jc w:val="both"/>
        <w:rPr>
          <w:rFonts w:ascii="Arial" w:hAnsi="Arial"/>
          <w:color w:val="000000"/>
          <w:sz w:val="20"/>
        </w:rPr>
      </w:pPr>
      <w:r>
        <w:rPr>
          <w:rFonts w:ascii="Arial" w:hAnsi="Arial"/>
          <w:color w:val="000000"/>
          <w:sz w:val="20"/>
        </w:rPr>
        <w:t>A summary of restricted stock unit, or RSU, activity under the 2020 Plan for the three months ended March 31, 2025 is as follows:</w:t>
      </w:r>
    </w:p>
    <w:p>
      <w:pPr>
        <w:pStyle w:val="TextBody"/>
        <w:bidi w:val="0"/>
        <w:jc w:val="both"/>
        <w:rPr/>
      </w:pPr>
      <w:r>
        <w:rPr/>
        <w:t> </w:t>
      </w:r>
    </w:p>
    <w:tbl>
      <w:tblPr>
        <w:tblW w:w="5807" w:type="dxa"/>
        <w:jc w:val="left"/>
        <w:tblInd w:w="0" w:type="dxa"/>
        <w:tblLayout w:type="fixed"/>
        <w:tblCellMar>
          <w:top w:w="28" w:type="dxa"/>
          <w:left w:w="28" w:type="dxa"/>
          <w:bottom w:w="28" w:type="dxa"/>
          <w:right w:w="28" w:type="dxa"/>
        </w:tblCellMar>
      </w:tblPr>
      <w:tblGrid>
        <w:gridCol w:w="3091"/>
        <w:gridCol w:w="146"/>
        <w:gridCol w:w="146"/>
        <w:gridCol w:w="961"/>
        <w:gridCol w:w="166"/>
        <w:gridCol w:w="146"/>
        <w:gridCol w:w="292"/>
        <w:gridCol w:w="66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sz w:val="20"/>
        </w:rPr>
      </w:pPr>
      <w:r>
        <w:rPr>
          <w:rFonts w:ascii="Arial" w:hAnsi="Arial"/>
          <w:color w:val="212121"/>
          <w:sz w:val="20"/>
        </w:rPr>
        <w:t>As of March 31, 2025, there was $0.3</w:t>
      </w:r>
      <w:r>
        <w:rPr>
          <w:rFonts w:ascii="Times New Roman" w:hAnsi="Times New Roman"/>
          <w:color w:val="212121"/>
          <w:sz w:val="20"/>
        </w:rPr>
        <w:t xml:space="preserve"> </w:t>
      </w:r>
      <w:r>
        <w:rPr>
          <w:rFonts w:ascii="Arial" w:hAnsi="Arial"/>
          <w:color w:val="212121"/>
          <w:sz w:val="20"/>
        </w:rPr>
        <w:t>million of total unrecognized compensation cost related to non-vested RSUs. The Company expects to recognize this cost over a remaining weighted-average period of 0.79</w:t>
      </w:r>
      <w:r>
        <w:rPr>
          <w:rFonts w:ascii="Times New Roman" w:hAnsi="Times New Roman"/>
          <w:color w:val="212121"/>
          <w:sz w:val="20"/>
        </w:rPr>
        <w:t xml:space="preserve"> </w:t>
      </w:r>
      <w:r>
        <w:rPr>
          <w:rFonts w:ascii="Arial" w:hAnsi="Arial"/>
          <w:color w:val="212121"/>
          <w:sz w:val="20"/>
        </w:rPr>
        <w:t>years.</w:t>
      </w:r>
    </w:p>
    <w:p>
      <w:pPr>
        <w:pStyle w:val="TextBody"/>
        <w:bidi w:val="0"/>
        <w:spacing w:before="280" w:after="283"/>
        <w:jc w:val="both"/>
        <w:rPr>
          <w:rFonts w:ascii="Arial" w:hAnsi="Arial"/>
          <w:b/>
          <w:color w:val="212121"/>
          <w:sz w:val="20"/>
        </w:rPr>
      </w:pPr>
      <w:r>
        <w:rPr>
          <w:rFonts w:ascii="Arial" w:hAnsi="Arial"/>
          <w:b/>
          <w:color w:val="212121"/>
          <w:sz w:val="20"/>
        </w:rPr>
        <w:t>10. Net Loss Per Share Attributable to Common Stockholders</w:t>
      </w:r>
    </w:p>
    <w:p>
      <w:pPr>
        <w:pStyle w:val="TextBody"/>
        <w:bidi w:val="0"/>
        <w:spacing w:before="280" w:after="283"/>
        <w:jc w:val="both"/>
        <w:rPr>
          <w:rFonts w:ascii="Arial" w:hAnsi="Arial"/>
          <w:color w:val="212121"/>
          <w:sz w:val="20"/>
        </w:rPr>
      </w:pPr>
      <w:r>
        <w:rPr>
          <w:rFonts w:ascii="Arial" w:hAnsi="Arial"/>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jc w:val="both"/>
        <w:rPr/>
      </w:pPr>
      <w:r>
        <w:rPr/>
        <w:t> </w:t>
      </w:r>
    </w:p>
    <w:tbl>
      <w:tblPr>
        <w:tblW w:w="7084"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146"/>
        <w:gridCol w:w="1066"/>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10,209,007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156,038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10,379,826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10,374,297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80" w:after="283"/>
        <w:jc w:val="both"/>
        <w:rPr>
          <w:rFonts w:ascii="Arial" w:hAnsi="Arial"/>
          <w:i/>
          <w:color w:val="000000"/>
          <w:sz w:val="20"/>
        </w:rPr>
      </w:pPr>
      <w:r>
        <w:rPr>
          <w:rFonts w:ascii="Arial" w:hAnsi="Arial"/>
          <w:i/>
          <w:color w:val="000000"/>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February 27, 2025.</w:t>
      </w:r>
    </w:p>
    <w:p>
      <w:pPr>
        <w:pStyle w:val="TextBody"/>
        <w:bidi w:val="0"/>
        <w:spacing w:before="28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280" w:after="283"/>
        <w:jc w:val="both"/>
        <w:rPr>
          <w:rFonts w:ascii="Arial" w:hAnsi="Arial"/>
          <w:color w:val="000000"/>
          <w:sz w:val="20"/>
        </w:rPr>
      </w:pPr>
      <w:r>
        <w:rPr>
          <w:rFonts w:ascii="Arial" w:hAnsi="Arial"/>
          <w:color w:val="000000"/>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80" w:after="283"/>
        <w:jc w:val="both"/>
        <w:rPr>
          <w:rFonts w:ascii="Arial" w:hAnsi="Arial"/>
          <w:color w:val="000000"/>
          <w:sz w:val="20"/>
        </w:rPr>
      </w:pPr>
      <w:r>
        <w:rPr>
          <w:rFonts w:ascii="Arial" w:hAnsi="Arial"/>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sufficiency of our existing cash, cash equivalents and investments to fund our future operating expenses and capital expenditure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the costs and expected cost savings and related benefits from our workforce reduction initiated in September 2024, or the Restructuring;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funding for our operations, including funding necessary to develop and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ability of our nonclinical studies and clinical trials to demonstrate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learnings from our ACT-AD and SHAPE trials, LIFT-AD independent unblinded interim efficacy and futility analysis, and LIFT-AD trial and their ability to inform and improve future clinical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of our Phase 1 ATH-1105 clinical trial and any subsequent clinical trials to show the clinical benefits of ATH-1105;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and focus of our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anticipated milestone timelines, such as the timing of data releases, and our ability to meet such timelines;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relating to commercializing our drug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establish sales, marketing and distribution infrastructure to commercialize any drug candidates for which we obtain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and retain key managerial, scientific and clinical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drug candidates, if approved;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reliance on third parties to conduct clinical trials of our drug candidates, and for the manufacture of our drug candidates for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beneficial characteristics,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developments in the United States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obtain or protect intellectual property rights, including extensions of existing patent terms where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drug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of legal proceedings which may in the future be instituted against us and certain of our directors and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regain compliance with the Nasdaq listing rules, including through a potential reverse stock split;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size and growth potential of the markets for our drug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benefits of any strategic collaborations, partnerships, or other transactions we may enter into;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the time during which we will be an emerging growth company under the JOBS Act;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expectations regarding our exploration of strategic alternatives focused on maximizing stockholder value, including whether or not such process will result in a strategic transaction on terms satisfactory to us, or other alternatives which increase stockholder value.</w:t>
      </w:r>
    </w:p>
    <w:p>
      <w:pPr>
        <w:pStyle w:val="TextBody"/>
        <w:bidi w:val="0"/>
        <w:spacing w:before="280" w:after="283"/>
        <w:jc w:val="both"/>
        <w:rPr>
          <w:rFonts w:ascii="Arial" w:hAnsi="Arial"/>
          <w:color w:val="000000"/>
          <w:sz w:val="20"/>
        </w:rPr>
      </w:pPr>
      <w:r>
        <w:rPr>
          <w:rFonts w:ascii="Arial" w:hAnsi="Arial"/>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80" w:after="283"/>
        <w:jc w:val="both"/>
        <w:rPr>
          <w:rFonts w:ascii="Arial" w:hAnsi="Arial"/>
          <w:color w:val="000000"/>
          <w:sz w:val="20"/>
        </w:rPr>
      </w:pPr>
      <w:r>
        <w:rPr>
          <w:rFonts w:ascii="Arial" w:hAnsi="Arial"/>
          <w:color w:val="000000"/>
          <w:sz w:val="20"/>
        </w:rPr>
        <w:t>This report includes our trademarks and registered trademarks, including Athira, Athira Pharma, the Athira logo, and other trademarks, trade names, or service marks of Athira. Each other trademark, trade name or service mark appearing in this report belongs to its holder. Solely for convenience, trademarks, trade names, and service marks referred to in this report are listed without ® or TM symbols, but we will assert, to the fullest extent under applicable law, our rights or the rights of the applicable licensors to these trademarks, trade names, and service marks.</w:t>
      </w:r>
    </w:p>
    <w:p>
      <w:pPr>
        <w:pStyle w:val="TextBody"/>
        <w:bidi w:val="0"/>
        <w:spacing w:before="280" w:after="283"/>
        <w:jc w:val="both"/>
        <w:rPr>
          <w:rFonts w:ascii="Arial" w:hAnsi="Arial"/>
          <w:color w:val="000000"/>
          <w:sz w:val="20"/>
        </w:rPr>
      </w:pPr>
      <w:r>
        <w:rPr>
          <w:rFonts w:ascii="Arial" w:hAnsi="Arial"/>
          <w:color w:val="000000"/>
          <w:sz w:val="20"/>
        </w:rPr>
        <w:t>In this report, “we,” “our,” “us,” “Athira,” and “the Company” refer to Athira Pharma, Inc. and its wholly-owned subsidiary.</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Overview</w:t>
      </w:r>
    </w:p>
    <w:p>
      <w:pPr>
        <w:pStyle w:val="TextBody"/>
        <w:bidi w:val="0"/>
        <w:spacing w:before="280" w:after="283"/>
        <w:jc w:val="both"/>
        <w:rPr>
          <w:rFonts w:ascii="Times New Roman" w:hAnsi="Times New Roman"/>
          <w:sz w:val="20"/>
        </w:rPr>
      </w:pPr>
      <w:r>
        <w:rPr>
          <w:rFonts w:ascii="Arial" w:hAnsi="Arial"/>
          <w:color w:val="000000"/>
          <w:sz w:val="20"/>
        </w:rPr>
        <w:t>We are a clinical-stage biopharmaceutical company focused on developing small molecules engineered to restore neuronal health and slow neurodegeneration. Our approach is designed to modulate the neurotrophic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central nervous system, or CNS, by crossing the blood brain barrier, or BBB, or the peripheral nervous system, or PNS.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are actively reviewing options for partnerships or other arrangements that will allow us to realize the potential of our drug candidates. Our lead drug candidate is ATH-1105. ATH-1105 is a novel, orally available, brain-penetrant, next-generation small molecule drug candidate designed to positively modulate the neurotrophic HGF system for potential treatment of neurodegenerative diseases, including amyotrophic lateral sclerosis, or ALS, and Alzheimer's disease, or AD, and Parkinson’s disease, or PD. ATH-1105 is currently in development for the potential treatment of ALS. We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pStyle w:val="TextBody"/>
        <w:bidi w:val="0"/>
        <w:spacing w:before="280" w:after="283"/>
        <w:jc w:val="both"/>
        <w:rPr>
          <w:rFonts w:ascii="Arial" w:hAnsi="Arial"/>
          <w:color w:val="000000"/>
          <w:sz w:val="20"/>
        </w:rPr>
      </w:pPr>
      <w:r>
        <w:rPr>
          <w:rFonts w:ascii="Arial" w:hAnsi="Arial"/>
          <w:color w:val="000000"/>
          <w:sz w:val="20"/>
        </w:rPr>
        <w:t>Our previous lead drug candidate, fosgonimeton, is a small molecule drug candidate designed to positively modulate the neurotrophic HGF system for potential treatment of neurodegenerative diseases. In September 2024, we announced the topline results for LIFT-AD, a randomized, double-blind, placebo-controlled, parallel-group 26-week Phase 2/3 clinical trial with fosgonimeton in mild-to-moderate AD. The primary and key secondary endpoints of the LIFT-AD trial did not reach statistical significance compared with placebo at 26 weeks. Based on these results, we decided to pause further development of fosgonimeton and to shift our focus to the clinical development of ATH-1105.</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The following figure illustrates the current development stage of our proprietary drug candidates and early discovery and development programs, of which only ATH-1105 is currently in clinical development, for the potential treatment of ALS. We have also explored the use of our drug candidates in other indications in the CNS and PNS with the goal of improving neuronal health in multiple neurodegenerative diseases. In addition, our drug discovery efforts have focused on designing and testing new early compounds to enhance the neurotrophic HGF system for a variety of clinical applications.</w:t>
      </w:r>
    </w:p>
    <w:p>
      <w:pPr>
        <w:pStyle w:val="TextBody"/>
        <w:bidi w:val="0"/>
        <w:jc w:val="both"/>
        <w:rPr/>
      </w:pPr>
      <w:r>
        <w:rPr/>
        <w:t> </w:t>
      </w:r>
    </w:p>
    <w:p>
      <w:pPr>
        <w:pStyle w:val="TextBody"/>
        <w:bidi w:val="0"/>
        <w:jc w:val="center"/>
        <w:rPr/>
      </w:pPr>
      <w:r>
        <w:rPr/>
        <w:drawing>
          <wp:inline distT="0" distB="0" distL="0" distR="0">
            <wp:extent cx="6848475" cy="293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48475" cy="2933700"/>
                    </a:xfrm>
                    <a:prstGeom prst="rect">
                      <a:avLst/>
                    </a:prstGeom>
                  </pic:spPr>
                </pic:pic>
              </a:graphicData>
            </a:graphic>
          </wp:inline>
        </w:drawing>
      </w:r>
    </w:p>
    <w:p>
      <w:pPr>
        <w:pStyle w:val="TextBody"/>
        <w:bidi w:val="0"/>
        <w:spacing w:before="280" w:after="283"/>
        <w:jc w:val="both"/>
        <w:rPr>
          <w:rFonts w:ascii="Times New Roman" w:hAnsi="Times New Roman"/>
          <w:sz w:val="20"/>
        </w:rPr>
      </w:pPr>
      <w:r>
        <w:rPr>
          <w:rFonts w:ascii="Arial" w:hAnsi="Arial"/>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contract manufacturing organizations, or CMOs, to manufacture and supply our preclinical and clinical materials during the development of our drug candidates. We believe the synthesis of ATH-1105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that may be needed.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pStyle w:val="TextBody"/>
        <w:bidi w:val="0"/>
        <w:spacing w:before="280" w:after="283"/>
        <w:jc w:val="both"/>
        <w:rPr>
          <w:rFonts w:ascii="Arial" w:hAnsi="Arial"/>
          <w:color w:val="000000"/>
          <w:sz w:val="20"/>
        </w:rPr>
      </w:pPr>
      <w:r>
        <w:rPr>
          <w:rFonts w:ascii="Arial" w:hAnsi="Arial"/>
          <w:color w:val="000000"/>
          <w:sz w:val="20"/>
        </w:rPr>
        <w:t>Following our receipt of the topline results of LIFT-AD, we made the determination to explore strategic alternatives focused on maximizing stockholder value. As part of that effort, we have paused further development of fosgonimeton while continuing our ongoing development of ATH-1105 and are exploring partnering options. We have engaged Cantor Fitzgerald &amp; Co., or Cantor Fitzgerald, to act as an advisor in exploring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Despite devoting significant effort to identifying and evaluating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as our board of directors has not approved a definitive course of action, and we do not intend to disclose further developments unless and until it is determined that further disclosure is appropriate or necessary. Additionally, there can be no assurances that any particular course of action, business arrangement or transaction, or series of transactions, will be pursued, successfully consummated or lead to increased stockholder value.</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Given our stage of development, we have not yet established a commercial organization or distribution capabilities. To the extent that we successfully develop our drug candidates, we intend to build a commercial infrastructure to support future sales.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pStyle w:val="TextBody"/>
        <w:bidi w:val="0"/>
        <w:spacing w:before="280" w:after="283"/>
        <w:jc w:val="both"/>
        <w:rPr>
          <w:rFonts w:ascii="Times New Roman" w:hAnsi="Times New Roman"/>
          <w:sz w:val="20"/>
        </w:rPr>
      </w:pPr>
      <w:r>
        <w:rPr>
          <w:rFonts w:ascii="Arial" w:hAnsi="Arial"/>
          <w:color w:val="000000"/>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March 31, 2025,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$9.1 million and $26.3 million for the three months ended March 31, 2025 and 2024, respectively. As of March 31, 2025, we had an accumulated deficit of $415.3 million and cash, cash equivalents and investments of $36.7 million.</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expect to continue to incur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advance ATH-1105 and any other drug candidates through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advance our pipeline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invest in our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 and maintain operational, financial and management information systems;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approval for any drug candidates that successfully complete clinical trials.</w:t>
      </w:r>
    </w:p>
    <w:p>
      <w:pPr>
        <w:pStyle w:val="TextBody"/>
        <w:bidi w:val="0"/>
        <w:spacing w:before="280" w:after="283"/>
        <w:jc w:val="both"/>
        <w:rPr>
          <w:rFonts w:ascii="Times New Roman" w:hAnsi="Times New Roman"/>
          <w:sz w:val="20"/>
        </w:rPr>
      </w:pPr>
      <w:r>
        <w:rPr>
          <w:rFonts w:ascii="Arial" w:hAnsi="Arial"/>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or other operations.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w:t>
      </w:r>
    </w:p>
    <w:p>
      <w:pPr>
        <w:pStyle w:val="TextBody"/>
        <w:bidi w:val="0"/>
        <w:spacing w:before="280" w:after="283"/>
        <w:jc w:val="both"/>
        <w:rPr>
          <w:rFonts w:ascii="Arial" w:hAnsi="Arial"/>
          <w:b/>
          <w:color w:val="000000"/>
          <w:sz w:val="20"/>
        </w:rPr>
      </w:pPr>
      <w:r>
        <w:rPr>
          <w:rFonts w:ascii="Arial" w:hAnsi="Arial"/>
          <w:b/>
          <w:color w:val="000000"/>
          <w:sz w:val="20"/>
        </w:rPr>
        <w:t>Recent Developments</w:t>
      </w:r>
    </w:p>
    <w:p>
      <w:pPr>
        <w:pStyle w:val="TextBody"/>
        <w:bidi w:val="0"/>
        <w:spacing w:before="280" w:after="283"/>
        <w:jc w:val="both"/>
        <w:rPr>
          <w:rFonts w:ascii="Arial" w:hAnsi="Arial"/>
          <w:b/>
          <w:i/>
          <w:color w:val="000000"/>
          <w:sz w:val="20"/>
        </w:rPr>
      </w:pPr>
      <w:r>
        <w:rPr>
          <w:rFonts w:ascii="Arial" w:hAnsi="Arial"/>
          <w:b/>
          <w:i/>
          <w:color w:val="000000"/>
          <w:sz w:val="20"/>
        </w:rPr>
        <w:t>Nasdaq Listing Transfer</w:t>
      </w:r>
    </w:p>
    <w:p>
      <w:pPr>
        <w:pStyle w:val="TextBody"/>
        <w:bidi w:val="0"/>
        <w:spacing w:before="280" w:after="283"/>
        <w:jc w:val="both"/>
        <w:rPr>
          <w:rFonts w:ascii="Times New Roman" w:hAnsi="Times New Roman"/>
          <w:sz w:val="20"/>
        </w:rPr>
      </w:pPr>
      <w:r>
        <w:rPr>
          <w:rFonts w:ascii="Arial" w:hAnsi="Arial"/>
          <w:color w:val="000000"/>
          <w:sz w:val="20"/>
        </w:rPr>
        <w:t>On April 4, 2025, we filed an application to transfer the listing of our common stock from the Nasdaq Global Market to the Nasdaq Capital Market, which transfer was approved and occurred on April 17, 2025. As a result of the transfer,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have been granted an additional 180-day grace period, or until October 13, 2025, to regain compliance with Nasdaq's closing bid price requirement, which we have failed to comply with since September 4, 2024.</w:t>
      </w:r>
    </w:p>
    <w:p>
      <w:pPr>
        <w:pStyle w:val="TextBody"/>
        <w:bidi w:val="0"/>
        <w:spacing w:before="280" w:after="283"/>
        <w:jc w:val="both"/>
        <w:rPr>
          <w:rFonts w:ascii="Arial" w:hAnsi="Arial"/>
          <w:color w:val="000000"/>
          <w:sz w:val="20"/>
        </w:rPr>
      </w:pPr>
      <w:r>
        <w:rPr>
          <w:rFonts w:ascii="Arial" w:hAnsi="Arial"/>
          <w:color w:val="000000"/>
          <w:sz w:val="20"/>
        </w:rPr>
        <w:t>We intend to monitor the closing bid price of our common stock and consider available options to resolve the noncompliance with the closing bid price requirement, which include seeking to effect a reverse stock split. As more fully described in our definitive proxy statement filed with the SEC on April 14, 2025, we are requesting that stockholders approve proposed amendments to our Amended and Restated Certificate of Incorporation at our 2025 annual meeting of stockholders that would permit, but not require, us to effect a reverse stock split of our outstanding common stock.</w:t>
      </w:r>
    </w:p>
    <w:p>
      <w:pPr>
        <w:pStyle w:val="TextBody"/>
        <w:bidi w:val="0"/>
        <w:spacing w:before="28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280" w:after="283"/>
        <w:jc w:val="both"/>
        <w:rPr>
          <w:rFonts w:ascii="Arial" w:hAnsi="Arial"/>
          <w:b/>
          <w:i/>
          <w:color w:val="000000"/>
          <w:sz w:val="20"/>
        </w:rPr>
      </w:pPr>
      <w:r>
        <w:rPr>
          <w:rFonts w:ascii="Arial" w:hAnsi="Arial"/>
          <w:b/>
          <w:i/>
          <w:color w:val="000000"/>
          <w:sz w:val="20"/>
        </w:rPr>
        <w:t>Operating Expenses</w:t>
      </w:r>
    </w:p>
    <w:p>
      <w:pPr>
        <w:pStyle w:val="TextBody"/>
        <w:bidi w:val="0"/>
        <w:spacing w:before="28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Research and development expenses consist primarily of direct and indirect costs incurred for our research activities, including our drug discovery efforts and the development of our drug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283"/>
        <w:jc w:val="both"/>
        <w:rPr>
          <w:rFonts w:ascii="Times New Roman" w:hAnsi="Times New Roman"/>
          <w:sz w:val="20"/>
        </w:rPr>
      </w:pPr>
      <w:r>
        <w:rPr>
          <w:rFonts w:ascii="Arial" w:hAnsi="Arial"/>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to continue to incur research and development expenses for the foreseeable future as we continue to engage in research and development activities related to developing our drug candidates,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 We also expect our research and development expenses to remain lower in the near term compared to prior periods as a result of our decision to pause further development of fosgonimeton and to shift our focus to the clinical development of ATH-1105.</w:t>
      </w:r>
    </w:p>
    <w:p>
      <w:pPr>
        <w:pStyle w:val="TextBody"/>
        <w:bidi w:val="0"/>
        <w:spacing w:before="280" w:after="283"/>
        <w:jc w:val="both"/>
        <w:rPr>
          <w:rFonts w:ascii="Times New Roman" w:hAnsi="Times New Roman"/>
          <w:sz w:val="20"/>
        </w:rPr>
      </w:pPr>
      <w:r>
        <w:rPr>
          <w:rFonts w:ascii="Arial" w:hAnsi="Arial"/>
          <w:color w:val="000000"/>
          <w:sz w:val="20"/>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our strategic alternative review process and the consummation of any resulting strategic transaction or partnership;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phases of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progress and results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countries in which the trials are conducted;</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and timing of manufacturing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health epidemics on timelines and clinical operations, which may lead to increased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establish collaborations, licensing or similar arrangements and the performance of any related third parties.</w:t>
      </w:r>
    </w:p>
    <w:p>
      <w:pPr>
        <w:pStyle w:val="TextBody"/>
        <w:bidi w:val="0"/>
        <w:spacing w:before="280" w:after="283"/>
        <w:jc w:val="both"/>
        <w:rPr>
          <w:rFonts w:ascii="Times New Roman" w:hAnsi="Times New Roman"/>
          <w:sz w:val="20"/>
        </w:rPr>
      </w:pPr>
      <w:r>
        <w:rPr>
          <w:rFonts w:ascii="Arial" w:hAnsi="Arial"/>
          <w:color w:val="000000"/>
          <w:sz w:val="20"/>
        </w:rPr>
        <w:t>A change in the outcome of any of these variables with respect to the development of any of our drug candidates could significantly change the costs and timing associated with the development of that drug candidate.</w:t>
      </w:r>
      <w:r>
        <w:rPr>
          <w:rFonts w:ascii="Times New Roman" w:hAnsi="Times New Roman"/>
          <w:color w:val="000000"/>
          <w:sz w:val="20"/>
        </w:rPr>
        <w:t xml:space="preserve"> </w:t>
      </w:r>
    </w:p>
    <w:p>
      <w:pPr>
        <w:pStyle w:val="TextBody"/>
        <w:bidi w:val="0"/>
        <w:spacing w:before="280" w:after="283"/>
        <w:jc w:val="both"/>
        <w:rPr>
          <w:rFonts w:ascii="Arial" w:hAnsi="Arial"/>
          <w:i/>
          <w:color w:val="000000"/>
          <w:sz w:val="20"/>
        </w:rPr>
      </w:pPr>
      <w:r>
        <w:rPr>
          <w:rFonts w:ascii="Arial" w:hAnsi="Arial"/>
          <w:i/>
          <w:color w:val="000000"/>
          <w:sz w:val="20"/>
        </w:rPr>
        <w:t>General and Administrative</w:t>
      </w:r>
    </w:p>
    <w:p>
      <w:pPr>
        <w:pStyle w:val="TextBody"/>
        <w:bidi w:val="0"/>
        <w:spacing w:before="280" w:after="283"/>
        <w:jc w:val="both"/>
        <w:rPr>
          <w:rFonts w:ascii="Times New Roman" w:hAnsi="Times New Roman"/>
          <w:sz w:val="20"/>
        </w:rPr>
      </w:pPr>
      <w:r>
        <w:rPr>
          <w:rFonts w:ascii="Arial" w:hAnsi="Arial"/>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expect to continue to incur general and administrative expenses for the foreseeable future as we maintain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to incur additional costs in connection with our strategic alternative review process and in the event we consummate any strategic transaction or partnership as a result. We also expect these additional general and administrative expenses to be offset, at least in part, in the near term as a result of the Restructuring and related cost savings.</w:t>
      </w:r>
    </w:p>
    <w:p>
      <w:pPr>
        <w:pStyle w:val="TextBody"/>
        <w:bidi w:val="0"/>
        <w:spacing w:before="2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Times New Roman" w:hAnsi="Times New Roman"/>
          <w:sz w:val="20"/>
        </w:rPr>
      </w:pPr>
      <w:r>
        <w:rPr>
          <w:rFonts w:ascii="Arial" w:hAnsi="Arial"/>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Results of Operations</w:t>
      </w:r>
    </w:p>
    <w:p>
      <w:pPr>
        <w:pStyle w:val="TextBody"/>
        <w:bidi w:val="0"/>
        <w:spacing w:before="280" w:after="283"/>
        <w:jc w:val="both"/>
        <w:rPr>
          <w:rFonts w:ascii="Arial" w:hAnsi="Arial"/>
          <w:b/>
          <w:i/>
          <w:color w:val="000000"/>
          <w:sz w:val="20"/>
        </w:rPr>
      </w:pPr>
      <w:r>
        <w:rPr>
          <w:rFonts w:ascii="Arial" w:hAnsi="Arial"/>
          <w:b/>
          <w:i/>
          <w:color w:val="000000"/>
          <w:sz w:val="20"/>
        </w:rPr>
        <w:t>Comparison of the Three Months Ended March 31, 2025 and 2024</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results of operations for the periods presented:</w:t>
      </w:r>
    </w:p>
    <w:tbl>
      <w:tblPr>
        <w:tblW w:w="8226" w:type="dxa"/>
        <w:jc w:val="left"/>
        <w:tblInd w:w="0" w:type="dxa"/>
        <w:tblLayout w:type="fixed"/>
        <w:tblCellMar>
          <w:top w:w="28" w:type="dxa"/>
          <w:left w:w="28" w:type="dxa"/>
          <w:bottom w:w="28" w:type="dxa"/>
          <w:right w:w="28" w:type="dxa"/>
        </w:tblCellMar>
      </w:tblPr>
      <w:tblGrid>
        <w:gridCol w:w="2871"/>
        <w:gridCol w:w="146"/>
        <w:gridCol w:w="211"/>
        <w:gridCol w:w="646"/>
        <w:gridCol w:w="166"/>
        <w:gridCol w:w="146"/>
        <w:gridCol w:w="211"/>
        <w:gridCol w:w="751"/>
        <w:gridCol w:w="166"/>
        <w:gridCol w:w="146"/>
        <w:gridCol w:w="211"/>
        <w:gridCol w:w="751"/>
        <w:gridCol w:w="166"/>
        <w:gridCol w:w="146"/>
        <w:gridCol w:w="201"/>
        <w:gridCol w:w="520"/>
        <w:gridCol w:w="77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216" w:type="dxa"/>
        <w:jc w:val="left"/>
        <w:tblInd w:w="0" w:type="dxa"/>
        <w:tblLayout w:type="fixed"/>
        <w:tblCellMar>
          <w:top w:w="28" w:type="dxa"/>
          <w:left w:w="28" w:type="dxa"/>
          <w:bottom w:w="28" w:type="dxa"/>
          <w:right w:w="28" w:type="dxa"/>
        </w:tblCellMar>
      </w:tblPr>
      <w:tblGrid>
        <w:gridCol w:w="4121"/>
        <w:gridCol w:w="146"/>
        <w:gridCol w:w="211"/>
        <w:gridCol w:w="586"/>
        <w:gridCol w:w="146"/>
        <w:gridCol w:w="146"/>
        <w:gridCol w:w="211"/>
        <w:gridCol w:w="691"/>
        <w:gridCol w:w="146"/>
        <w:gridCol w:w="146"/>
        <w:gridCol w:w="211"/>
        <w:gridCol w:w="751"/>
        <w:gridCol w:w="166"/>
        <w:gridCol w:w="146"/>
        <w:gridCol w:w="201"/>
        <w:gridCol w:w="520"/>
        <w:gridCol w:w="67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 programs and other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costs, including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Facilities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rFonts w:ascii="Arial" w:hAnsi="Arial"/>
          <w:color w:val="000000"/>
          <w:sz w:val="18"/>
        </w:rPr>
      </w:pPr>
      <w:r>
        <w:rPr>
          <w:rFonts w:ascii="Arial" w:hAnsi="Arial"/>
          <w:color w:val="000000"/>
          <w:sz w:val="18"/>
        </w:rPr>
        <w:t>*Not meaningful.</w:t>
      </w:r>
    </w:p>
    <w:p>
      <w:pPr>
        <w:pStyle w:val="TextBody"/>
        <w:bidi w:val="0"/>
        <w:spacing w:before="280" w:after="283"/>
        <w:jc w:val="both"/>
        <w:rPr>
          <w:rFonts w:ascii="Arial" w:hAnsi="Arial"/>
          <w:color w:val="000000"/>
          <w:sz w:val="20"/>
        </w:rPr>
      </w:pPr>
      <w:r>
        <w:rPr>
          <w:rFonts w:ascii="Arial" w:hAnsi="Arial"/>
          <w:color w:val="000000"/>
          <w:sz w:val="20"/>
        </w:rPr>
        <w:t>Research and development expenses decreased by $16.9 million, from $21.2 million for the three months ended March 31, 2024 to $4.3 million for the three months ended March 31, 2025. The decrease was driven primarily by decreases in fosgonimeton program costs of $13.0 million, personnel-related expenses of $3.0 million, preclinical and other direct costs of $1.5 million, facilities and other indirect costs of $0.3 million, and ATH-1020 program costs of $0.1 million. The decrease in fosgonimeton program costs of $13.0 million was driven by decreases in contract research organization and clinical site visit costs of $7.8 million following the completion of our Phase 2/3 LIFT-AD clinical trial and the conclusion of our corresponding open-label extension for our Phase 2 ACT-AD and Phase 2/3 LIFT-AD clinical trials in the prior year, a decrease in contract manufacturing costs of $3.1 million, and a decrease in fosgonimeton program consulting costs of $2.0 million. These decreases were partially offset by an increase in ATH-1105 program costs of $0.9 million.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decreased by approximately $1.3 million, from $6.5 million for the three months ended March 31, 2024 to $5.2 million for the three months ended March 31, 2025. The decrease was primarily due to a decrease in personnel-related expenses of $1.6 million and a decrease in business development expenses of $0.2 million. These decreases were partially offset by an increase in legal expenses of $0.6 million.</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Arial" w:hAnsi="Arial"/>
          <w:color w:val="000000"/>
          <w:sz w:val="20"/>
        </w:rPr>
      </w:pPr>
      <w:r>
        <w:rPr>
          <w:rFonts w:ascii="Arial" w:hAnsi="Arial"/>
          <w:color w:val="000000"/>
          <w:sz w:val="20"/>
        </w:rPr>
        <w:t>Other income, net, decreased by $1.0 million, from $1.4 million for the three months ended March 31, 2024 to $0.4 million for the three months ended March 31, 2025 due to lower income from accretion of discounts on debt securities purchased below par value and held to maturity and lower interest income earned on our available-for-sale securities. These decreases resulted primarily from lower balances of available-for-sale securities held during the three months ended March 31, 2025 compared to the three months ended March 31, 2024.</w:t>
      </w:r>
    </w:p>
    <w:p>
      <w:pPr>
        <w:pStyle w:val="TextBody"/>
        <w:bidi w:val="0"/>
        <w:spacing w:before="28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80" w:after="283"/>
        <w:jc w:val="both"/>
        <w:rPr>
          <w:rFonts w:ascii="Arial" w:hAnsi="Arial"/>
          <w:b/>
          <w:i/>
          <w:color w:val="000000"/>
          <w:sz w:val="20"/>
        </w:rPr>
      </w:pPr>
      <w:r>
        <w:rPr>
          <w:rFonts w:ascii="Arial" w:hAnsi="Arial"/>
          <w:b/>
          <w:i/>
          <w:color w:val="000000"/>
          <w:sz w:val="20"/>
        </w:rPr>
        <w:t>Sources of Liquidity</w:t>
      </w:r>
    </w:p>
    <w:p>
      <w:pPr>
        <w:pStyle w:val="TextBody"/>
        <w:bidi w:val="0"/>
        <w:spacing w:before="280" w:after="283"/>
        <w:jc w:val="both"/>
        <w:rPr>
          <w:rFonts w:ascii="Times New Roman" w:hAnsi="Times New Roman"/>
          <w:sz w:val="20"/>
        </w:rPr>
      </w:pPr>
      <w:r>
        <w:rPr>
          <w:rFonts w:ascii="Arial" w:hAnsi="Arial"/>
          <w:color w:val="000000"/>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March 31, 2025, we have raised aggregate net cash proceeds of $407.4 million primarily from the issuance of our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As of March 31, 2025, we had $36.7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28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280" w:after="283"/>
        <w:jc w:val="both"/>
        <w:rPr>
          <w:rFonts w:ascii="Arial" w:hAnsi="Arial"/>
          <w:color w:val="000000"/>
          <w:sz w:val="20"/>
        </w:rPr>
      </w:pPr>
      <w:r>
        <w:rPr>
          <w:rFonts w:ascii="Arial" w:hAnsi="Arial"/>
          <w:color w:val="000000"/>
          <w:sz w:val="20"/>
        </w:rPr>
        <w:t>Our material cash requirements include our operating leases for laboratory and office facilities. As of March 31, 2025, we had lease payment obligations of $1.2 million, with $0.5 million payable within 12 months. For additional information regarding our lease commitments, see Note 7 to our consolidated financial statements included elsewhere in this report.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anticipate that our research and development expenses and our general and administrative expenses will remain lower in the near-term as a result of our decision to pause further development of fosgonimeton and to shift our focus to the clinical development of ATH-1105, and our decrease in headcount as a result of the Restructuring.</w:t>
      </w:r>
    </w:p>
    <w:p>
      <w:pPr>
        <w:pStyle w:val="TextBody"/>
        <w:bidi w:val="0"/>
        <w:spacing w:before="280" w:after="283"/>
        <w:jc w:val="both"/>
        <w:rPr>
          <w:rFonts w:ascii="Times New Roman" w:hAnsi="Times New Roman"/>
          <w:sz w:val="20"/>
        </w:rPr>
      </w:pPr>
      <w:r>
        <w:rPr>
          <w:rFonts w:ascii="Arial" w:hAnsi="Arial"/>
          <w:color w:val="000000"/>
          <w:sz w:val="20"/>
        </w:rPr>
        <w:t>Based upon our current operating plan, we estimate that our $36.7 million of cash, cash equivalents and investments at March 31, 2025 will be sufficient to fund our operating expenses and capital expenditure requirements through at least the next 12 months. However, our resource requirements could materially change depending on the outcome of our ongoing strategic alternative review process, including to the extent we identify and enter into any potential strategic transaction.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LLC, or BTIG, to sell shares of our common stock having aggregate sales proceeds of up to $75.0 million, from time to time, subject to applicable limitations on sales pursuant to SEC rules and regulations,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at an earlier stage of development or on less favorable terms than we would otherwise choose. We cannot assure you that we will ever be profitable or generate positive cash flows from operating activities.</w:t>
      </w:r>
    </w:p>
    <w:p>
      <w:pPr>
        <w:pStyle w:val="TextBody"/>
        <w:bidi w:val="0"/>
        <w:spacing w:before="280" w:after="283"/>
        <w:jc w:val="both"/>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timing, progress and results of our ongoing preclinical studies and clinical trials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progress, results and costs of preclinical development, laboratory testing and clinical trials of other drug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establish and maintain collaborations,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timing and outcome of regulatory review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future commercialization activities, including drug product manufacturing, marketing, sales and distribution, for any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revenue, if any, received from commercial sales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related to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associated with any expansion of our laboratory and office facilities;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acquire or in-license other companies’ product candidates and technologies or engage in other strategic transactions.</w:t>
      </w:r>
    </w:p>
    <w:p>
      <w:pPr>
        <w:pStyle w:val="TextBody"/>
        <w:bidi w:val="0"/>
        <w:spacing w:before="280" w:after="283"/>
        <w:jc w:val="both"/>
        <w:rPr>
          <w:rFonts w:ascii="Arial" w:hAnsi="Arial"/>
          <w:color w:val="000000"/>
          <w:sz w:val="20"/>
        </w:rPr>
      </w:pPr>
      <w:r>
        <w:rPr>
          <w:rFonts w:ascii="Arial" w:hAnsi="Arial"/>
          <w:color w:val="000000"/>
          <w:sz w:val="20"/>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pStyle w:val="TextBody"/>
        <w:bidi w:val="0"/>
        <w:spacing w:before="280" w:after="283"/>
        <w:jc w:val="both"/>
        <w:rPr>
          <w:rFonts w:ascii="Arial" w:hAnsi="Arial"/>
          <w:b/>
          <w:i/>
          <w:color w:val="000000"/>
          <w:sz w:val="20"/>
        </w:rPr>
      </w:pPr>
      <w:r>
        <w:rPr>
          <w:rFonts w:ascii="Arial" w:hAnsi="Arial"/>
          <w:b/>
          <w:i/>
          <w:color w:val="000000"/>
          <w:sz w:val="20"/>
        </w:rPr>
        <w:t>Cash Flows</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cash flows for the periods indicated:</w:t>
      </w:r>
    </w:p>
    <w:p>
      <w:pPr>
        <w:pStyle w:val="TextBody"/>
        <w:bidi w:val="0"/>
        <w:jc w:val="both"/>
        <w:rPr/>
      </w:pPr>
      <w:r>
        <w:rPr/>
        <w:t> </w:t>
      </w:r>
    </w:p>
    <w:tbl>
      <w:tblPr>
        <w:tblW w:w="8465" w:type="dxa"/>
        <w:jc w:val="left"/>
        <w:tblInd w:w="0" w:type="dxa"/>
        <w:tblLayout w:type="fixed"/>
        <w:tblCellMar>
          <w:top w:w="28" w:type="dxa"/>
          <w:left w:w="28" w:type="dxa"/>
          <w:bottom w:w="28" w:type="dxa"/>
          <w:right w:w="28" w:type="dxa"/>
        </w:tblCellMar>
      </w:tblPr>
      <w:tblGrid>
        <w:gridCol w:w="5281"/>
        <w:gridCol w:w="146"/>
        <w:gridCol w:w="240"/>
        <w:gridCol w:w="856"/>
        <w:gridCol w:w="189"/>
        <w:gridCol w:w="166"/>
        <w:gridCol w:w="240"/>
        <w:gridCol w:w="856"/>
        <w:gridCol w:w="4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(14,665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(25,804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(7,351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(22,016</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Operating Activities</w:t>
      </w:r>
    </w:p>
    <w:p>
      <w:pPr>
        <w:pStyle w:val="TextBody"/>
        <w:bidi w:val="0"/>
        <w:spacing w:before="280" w:after="283"/>
        <w:jc w:val="both"/>
        <w:rPr>
          <w:rFonts w:ascii="Times New Roman" w:hAnsi="Times New Roman"/>
          <w:sz w:val="20"/>
        </w:rPr>
      </w:pPr>
      <w:r>
        <w:rPr>
          <w:rFonts w:ascii="Arial" w:hAnsi="Arial"/>
          <w:color w:val="000000"/>
          <w:sz w:val="20"/>
        </w:rPr>
        <w:t>During the three months ended March 31, 2025, net cash used in operating activities was $14.7 million. This consisted primarily of a net loss of $9.1 million, partially offset by non-cash charges of $1.9 million, and an increase in our net operating assets of $7.4 million. The non-cash charges primarily consisted of stock-based compensation expense, depreciation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expense, non-cash lease expense, and amortization of premiums and accretion of discounts on available-for-sale securities. The increase in our net operating assets was primarily due to a decrease in accrued expenses, partially offset by an increase in accounts payable and a decrease in prepaid expenses and other assets.</w:t>
      </w:r>
    </w:p>
    <w:p>
      <w:pPr>
        <w:pStyle w:val="TextBody"/>
        <w:bidi w:val="0"/>
        <w:spacing w:before="280" w:after="283"/>
        <w:jc w:val="both"/>
        <w:rPr>
          <w:rFonts w:ascii="Times New Roman" w:hAnsi="Times New Roman"/>
          <w:sz w:val="20"/>
        </w:rPr>
      </w:pPr>
      <w:r>
        <w:rPr>
          <w:rFonts w:ascii="Arial" w:hAnsi="Arial"/>
          <w:color w:val="000000"/>
          <w:sz w:val="20"/>
        </w:rPr>
        <w:t>During the three months ended March 31, 2024, net cash used in operating activities was $25.8 million. This consisted primarily of a net loss of $26.3 million, partially offset by non-cash charges of $2.7 million, and an increase in our net operating assets of $2.2 million. The non-cash charges primarily consisted of stock-based compensation expense, depreciation expense, and amortization of premiums and accretion of discounts on available-for-sale securities. The increase in our net operating assets was primarily due to a decrease in accounts payable and accrued expenses, partially offset by a decrease in prepaid expenses and other assets.</w:t>
      </w:r>
      <w:r>
        <w:rPr>
          <w:rFonts w:ascii="Times New Roman" w:hAnsi="Times New Roman"/>
          <w:color w:val="000000"/>
          <w:sz w:val="20"/>
        </w:rPr>
        <w:t xml:space="preserve"> </w:t>
      </w:r>
    </w:p>
    <w:p>
      <w:pPr>
        <w:pStyle w:val="TextBody"/>
        <w:bidi w:val="0"/>
        <w:spacing w:before="280" w:after="283"/>
        <w:jc w:val="both"/>
        <w:rPr>
          <w:rFonts w:ascii="Arial" w:hAnsi="Arial"/>
          <w:b/>
          <w:i/>
          <w:color w:val="000000"/>
          <w:sz w:val="20"/>
        </w:rPr>
      </w:pPr>
      <w:r>
        <w:rPr>
          <w:rFonts w:ascii="Arial" w:hAnsi="Arial"/>
          <w:b/>
          <w:i/>
          <w:color w:val="000000"/>
          <w:sz w:val="20"/>
        </w:rPr>
        <w:t>Investing Activities</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2025, net cash used in investing was $7.4 million. This consisted of purchases of available-for-sale securities of $10.2 million, partially offset by maturities of available-for-sale securities of $2.9 million.</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2024, net cash provided by investing was $13.0 million. This consisted of maturities of available-for-sale securities of $18.9 million, partially offset by purchases of available-for-sale securities of $5.9 million.</w:t>
      </w:r>
    </w:p>
    <w:p>
      <w:pPr>
        <w:pStyle w:val="TextBody"/>
        <w:bidi w:val="0"/>
        <w:spacing w:before="280" w:after="283"/>
        <w:jc w:val="both"/>
        <w:rPr>
          <w:rFonts w:ascii="Arial" w:hAnsi="Arial"/>
          <w:b/>
          <w:i/>
          <w:color w:val="000000"/>
          <w:sz w:val="20"/>
        </w:rPr>
      </w:pPr>
      <w:r>
        <w:rPr>
          <w:rFonts w:ascii="Arial" w:hAnsi="Arial"/>
          <w:b/>
          <w:i/>
          <w:color w:val="000000"/>
          <w:sz w:val="20"/>
        </w:rPr>
        <w:t>Financing Activities</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2025 and 2024, there was no cash provided by or used in financing activities.</w:t>
      </w:r>
    </w:p>
    <w:p>
      <w:pPr>
        <w:pStyle w:val="TextBody"/>
        <w:bidi w:val="0"/>
        <w:spacing w:before="28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280" w:after="283"/>
        <w:jc w:val="both"/>
        <w:rPr>
          <w:rFonts w:ascii="Times New Roman" w:hAnsi="Times New Roman"/>
          <w:sz w:val="20"/>
        </w:rPr>
      </w:pPr>
      <w:r>
        <w:rPr>
          <w:rFonts w:ascii="Arial" w:hAnsi="Arial"/>
          <w:color w:val="000000"/>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2025,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February 27, 2025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income taxes.</w:t>
      </w:r>
    </w:p>
    <w:p>
      <w:pPr>
        <w:pStyle w:val="TextBody"/>
        <w:bidi w:val="0"/>
        <w:spacing w:before="2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280" w:after="283"/>
        <w:jc w:val="both"/>
        <w:rPr>
          <w:rFonts w:ascii="Arial" w:hAnsi="Arial"/>
          <w:color w:val="000000"/>
          <w:sz w:val="20"/>
        </w:rPr>
      </w:pPr>
      <w:r>
        <w:rPr>
          <w:rFonts w:ascii="Arial" w:hAnsi="Arial"/>
          <w:color w:val="000000"/>
          <w:sz w:val="20"/>
        </w:rPr>
        <w:t>See Note 2 to our unaudited condensed consolidated financial statements included in "Part I, Item 1—Financial Statements (Unaudited)” of this report for additional information.</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Emerging Growth Company Status</w:t>
      </w:r>
    </w:p>
    <w:p>
      <w:pPr>
        <w:pStyle w:val="TextBody"/>
        <w:bidi w:val="0"/>
        <w:spacing w:before="280" w:after="283"/>
        <w:jc w:val="both"/>
        <w:rPr>
          <w:rFonts w:ascii="Times New Roman" w:hAnsi="Times New Roman"/>
          <w:sz w:val="20"/>
        </w:rPr>
      </w:pPr>
      <w:r>
        <w:rPr>
          <w:rFonts w:ascii="Arial" w:hAnsi="Arial"/>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December 31, 2025, the last day of the fiscal year in which the fifth anniversary of our initial public offering, or IPO, occurred.</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bookmarkStart w:id="10" w:name="item_3_quantitative_qualitative_disclos"/>
      <w:bookmarkEnd w:id="10"/>
      <w:r>
        <w:rPr>
          <w:rFonts w:ascii="Arial" w:hAnsi="Arial"/>
          <w:b/>
          <w:color w:val="000000"/>
          <w:sz w:val="20"/>
        </w:rPr>
        <w:t>Item 3. Quantitative and Qualitative Disclosures About Market Risk.</w:t>
      </w:r>
    </w:p>
    <w:p>
      <w:pPr>
        <w:pStyle w:val="TextBody"/>
        <w:bidi w:val="0"/>
        <w:spacing w:before="28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305 of Regulation S-K.</w:t>
      </w:r>
    </w:p>
    <w:p>
      <w:pPr>
        <w:pStyle w:val="TextBody"/>
        <w:bidi w:val="0"/>
        <w:spacing w:before="280" w:after="283"/>
        <w:jc w:val="both"/>
        <w:rPr>
          <w:rFonts w:ascii="Arial" w:hAnsi="Arial"/>
          <w:b/>
          <w:color w:val="000000"/>
          <w:sz w:val="20"/>
        </w:rPr>
      </w:pPr>
      <w:bookmarkStart w:id="11" w:name="item_4_controls_procedures"/>
      <w:bookmarkEnd w:id="11"/>
      <w:r>
        <w:rPr>
          <w:rFonts w:ascii="Arial" w:hAnsi="Arial"/>
          <w:b/>
          <w:color w:val="000000"/>
          <w:sz w:val="20"/>
        </w:rPr>
        <w:t>Item 4. Controls and Procedures.</w:t>
      </w:r>
    </w:p>
    <w:p>
      <w:pPr>
        <w:pStyle w:val="TextBody"/>
        <w:bidi w:val="0"/>
        <w:spacing w:before="2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28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8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8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280" w:after="283"/>
        <w:jc w:val="both"/>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both"/>
        <w:rPr>
          <w:rFonts w:ascii="Arial" w:hAnsi="Arial"/>
          <w:b/>
          <w:color w:val="000000"/>
          <w:sz w:val="20"/>
        </w:rPr>
      </w:pPr>
      <w:bookmarkStart w:id="13" w:name="item_1_legal_proceedings"/>
      <w:bookmarkEnd w:id="13"/>
      <w:r>
        <w:rPr>
          <w:rFonts w:ascii="Arial" w:hAnsi="Arial"/>
          <w:b/>
          <w:color w:val="000000"/>
          <w:sz w:val="20"/>
        </w:rPr>
        <w:t>Item 1. Legal Proceedings.</w:t>
      </w:r>
    </w:p>
    <w:p>
      <w:pPr>
        <w:pStyle w:val="TextBody"/>
        <w:bidi w:val="0"/>
        <w:spacing w:before="280" w:after="283"/>
        <w:jc w:val="both"/>
        <w:rPr>
          <w:rFonts w:ascii="Arial" w:hAnsi="Arial"/>
          <w:color w:val="000000"/>
          <w:sz w:val="20"/>
        </w:rPr>
      </w:pPr>
      <w:r>
        <w:rPr>
          <w:rFonts w:ascii="Arial" w:hAnsi="Arial"/>
          <w:color w:val="000000"/>
          <w:sz w:val="20"/>
        </w:rPr>
        <w:t>From time to time, we may be subject to various legal proceedings or claims that arise in the ordinary course of business. As of March 31, 2025,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pStyle w:val="TextBody"/>
        <w:bidi w:val="0"/>
        <w:spacing w:before="280" w:after="283"/>
        <w:jc w:val="both"/>
        <w:rPr>
          <w:rFonts w:ascii="Arial" w:hAnsi="Arial"/>
          <w:b/>
          <w:color w:val="000000"/>
          <w:sz w:val="20"/>
        </w:rPr>
      </w:pPr>
      <w:bookmarkStart w:id="14" w:name="item_1a_risk_factors"/>
      <w:bookmarkEnd w:id="14"/>
      <w:r>
        <w:rPr>
          <w:rFonts w:ascii="Arial" w:hAnsi="Arial"/>
          <w:b/>
          <w:color w:val="000000"/>
          <w:sz w:val="20"/>
        </w:rPr>
        <w:t>Item 1A. Risk Factors.</w:t>
      </w:r>
    </w:p>
    <w:p>
      <w:pPr>
        <w:pStyle w:val="TextBody"/>
        <w:bidi w:val="0"/>
        <w:spacing w:before="280" w:after="283"/>
        <w:jc w:val="both"/>
        <w:rPr>
          <w:rFonts w:ascii="Times New Roman" w:hAnsi="Times New Roman"/>
          <w:sz w:val="20"/>
        </w:rPr>
      </w:pPr>
      <w:r>
        <w:rPr>
          <w:rFonts w:ascii="Arial" w:hAnsi="Arial"/>
          <w:color w:val="231F20"/>
          <w:sz w:val="20"/>
        </w:rPr>
        <w:t xml:space="preserve">You should carefully consider the </w:t>
      </w:r>
      <w:r>
        <w:rPr>
          <w:rFonts w:ascii="Arial" w:hAnsi="Arial"/>
          <w:i/>
          <w:color w:val="231F20"/>
          <w:sz w:val="20"/>
        </w:rPr>
        <w:t xml:space="preserve">following risk factors, in addition to </w:t>
      </w:r>
      <w:r>
        <w:rPr>
          <w:rFonts w:ascii="Arial" w:hAnsi="Arial"/>
          <w:color w:val="231F20"/>
          <w:sz w:val="20"/>
        </w:rPr>
        <w:t xml:space="preserve">the other information </w:t>
      </w:r>
      <w:r>
        <w:rPr>
          <w:rFonts w:ascii="Arial" w:hAnsi="Arial"/>
          <w:i/>
          <w:color w:val="231F20"/>
          <w:sz w:val="20"/>
        </w:rPr>
        <w:t>contained in this report</w:t>
      </w:r>
      <w:r>
        <w:rPr>
          <w:rFonts w:ascii="Arial" w:hAnsi="Arial"/>
          <w:color w:val="231F20"/>
          <w:sz w:val="20"/>
        </w:rPr>
        <w:t xml:space="preserve">, </w:t>
      </w:r>
      <w:r>
        <w:rPr>
          <w:rFonts w:ascii="Arial" w:hAnsi="Arial"/>
          <w:i/>
          <w:color w:val="231F20"/>
          <w:sz w:val="20"/>
        </w:rPr>
        <w:t>including the “Management’s Discussion and Analysis of Financial Condition and Results of Operations”</w:t>
      </w:r>
      <w:r>
        <w:rPr>
          <w:rFonts w:ascii="Times New Roman" w:hAnsi="Times New Roman"/>
          <w:color w:val="231F20"/>
          <w:sz w:val="20"/>
        </w:rPr>
        <w:t xml:space="preserve"> </w:t>
      </w:r>
      <w:r>
        <w:rPr>
          <w:rFonts w:ascii="Arial" w:hAnsi="Arial"/>
          <w:i/>
          <w:color w:val="231F20"/>
          <w:sz w:val="20"/>
        </w:rPr>
        <w:t xml:space="preserve">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360" w:after="283"/>
        <w:jc w:val="both"/>
        <w:rPr>
          <w:rFonts w:ascii="Arial" w:hAnsi="Arial"/>
          <w:b/>
          <w:color w:val="000000"/>
          <w:sz w:val="20"/>
        </w:rPr>
      </w:pPr>
      <w:r>
        <w:rPr>
          <w:rFonts w:ascii="Arial" w:hAnsi="Arial"/>
          <w:b/>
          <w:color w:val="000000"/>
          <w:sz w:val="20"/>
        </w:rPr>
        <w:t>Risks Related to Our Business and the Development of Our Drug Candidates</w:t>
      </w:r>
    </w:p>
    <w:p>
      <w:pPr>
        <w:pStyle w:val="TextBody"/>
        <w:bidi w:val="0"/>
        <w:spacing w:before="120" w:after="283"/>
        <w:jc w:val="both"/>
        <w:rPr>
          <w:rFonts w:ascii="Arial" w:hAnsi="Arial"/>
          <w:b/>
          <w:i/>
          <w:color w:val="000000"/>
          <w:sz w:val="20"/>
        </w:rPr>
      </w:pPr>
      <w:r>
        <w:rPr>
          <w:rFonts w:ascii="Arial" w:hAnsi="Arial"/>
          <w:b/>
          <w:i/>
          <w:color w:val="000000"/>
          <w:sz w:val="20"/>
        </w:rPr>
        <w:t>We are a clinical-stage biopharmaceutical company with a limited operating history.</w:t>
      </w:r>
    </w:p>
    <w:p>
      <w:pPr>
        <w:pStyle w:val="TextBody"/>
        <w:bidi w:val="0"/>
        <w:spacing w:before="120" w:after="283"/>
        <w:jc w:val="both"/>
        <w:rPr>
          <w:rFonts w:ascii="Times New Roman" w:hAnsi="Times New Roman"/>
          <w:sz w:val="20"/>
        </w:rPr>
      </w:pPr>
      <w:r>
        <w:rPr>
          <w:rFonts w:ascii="Arial" w:hAnsi="Arial"/>
          <w:color w:val="000000"/>
          <w:sz w:val="20"/>
        </w:rPr>
        <w:t>We are a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currently focusing our efforts primarily on the development of ATH-1105 and we may fail to or be unable to design and execute clinical trials to support marketing approval of ATH-1105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 approval is secured for any of our drug candidates, the terms of such approval may limit the scope and use of our drug candidate, which may also limit its commercial potential.</w:t>
      </w:r>
    </w:p>
    <w:p>
      <w:pPr>
        <w:pStyle w:val="TextBody"/>
        <w:bidi w:val="0"/>
        <w:spacing w:before="360" w:after="283"/>
        <w:jc w:val="both"/>
        <w:rPr>
          <w:rFonts w:ascii="Arial" w:hAnsi="Arial"/>
          <w:b/>
          <w:i/>
          <w:color w:val="000000"/>
          <w:sz w:val="20"/>
        </w:rPr>
      </w:pPr>
      <w:r>
        <w:rPr>
          <w:rFonts w:ascii="Arial" w:hAnsi="Arial"/>
          <w:b/>
          <w:i/>
          <w:color w:val="000000"/>
          <w:sz w:val="20"/>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rFonts w:ascii="Times New Roman" w:hAnsi="Times New Roman"/>
          <w:sz w:val="20"/>
        </w:rPr>
      </w:pPr>
      <w:r>
        <w:rPr>
          <w:rFonts w:ascii="Arial" w:hAnsi="Arial"/>
          <w:color w:val="000000"/>
          <w:sz w:val="20"/>
        </w:rPr>
        <w:t>We have discovered and are developing a pipeline of small molecule drug candidates to treat neurodegenerative diseases.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candidates in applicable patients or that our clinical trials will provide sufficient evidence that our design approach results in the intended therapeutic effect.</w:t>
      </w:r>
    </w:p>
    <w:p>
      <w:pPr>
        <w:pStyle w:val="TextBody"/>
        <w:bidi w:val="0"/>
        <w:spacing w:before="240" w:after="283"/>
        <w:jc w:val="both"/>
        <w:rPr>
          <w:rFonts w:ascii="Arial" w:hAnsi="Arial"/>
          <w:color w:val="000000"/>
          <w:sz w:val="20"/>
        </w:rPr>
      </w:pPr>
      <w:r>
        <w:rPr>
          <w:rFonts w:ascii="Arial" w:hAnsi="Arial"/>
          <w:color w:val="000000"/>
          <w:sz w:val="20"/>
        </w:rPr>
        <w:t>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modified intent to treat, or mITT, population treated with fosgonimeton 40 mg once daily saw improvement in ADAS-Cog13 individually, and collectively improved compared with placebo (n=7 mITT, one-sided p=0.0321). Results for patients in the 70 mg dose group were inconsistent.</w:t>
      </w:r>
    </w:p>
    <w:p>
      <w:pPr>
        <w:pStyle w:val="TextBody"/>
        <w:bidi w:val="0"/>
        <w:spacing w:before="240" w:after="283"/>
        <w:jc w:val="both"/>
        <w:rPr>
          <w:rFonts w:ascii="Arial" w:hAnsi="Arial"/>
          <w:color w:val="000000"/>
          <w:sz w:val="20"/>
        </w:rPr>
      </w:pPr>
      <w:r>
        <w:rPr>
          <w:rFonts w:ascii="Arial" w:hAnsi="Arial"/>
          <w:color w:val="000000"/>
          <w:sz w:val="20"/>
        </w:rPr>
        <w:t>The topline data from our Phase 2/3 LIFT-AD clinical trial of fosgonimeton in AD showed that neither the trial’s primary endpoint (the Global Statistical Test, or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pStyle w:val="TextBody"/>
        <w:bidi w:val="0"/>
        <w:spacing w:before="240" w:after="283"/>
        <w:jc w:val="both"/>
        <w:rPr>
          <w:rFonts w:ascii="Arial" w:hAnsi="Arial"/>
          <w:color w:val="000000"/>
          <w:sz w:val="20"/>
        </w:rPr>
      </w:pPr>
      <w:r>
        <w:rPr>
          <w:rFonts w:ascii="Arial" w:hAnsi="Arial"/>
          <w:color w:val="000000"/>
          <w:sz w:val="20"/>
        </w:rPr>
        <w:t>Following the readout of topline data from LIFT-AD, in September 2024 we announced our intention to focus on advancing the clinical development program for ATH-1105 as a potential treatment for ALS. We completed our first-in-human Phase 1 clinical trial in healthy volunteers evaluating the safety and tolerability of ATH-1105, in November 2024. The results of the Phase 1 clinical trial showed that ATH-1105 demonstrated a favorable safety profile and was well-tolerated in healthy volunteers, supporting continued clinical development.</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ATH-1105 and other small molecules in our drug product pipeline. We or a future partner may ultimately determine that ATH-1105, or any of our other small molecules, does not possess certain properties required for therapeutic effectiveness. We or a future partner may spend substantial funds attempting to develop these drug candidates and never succeed in doing so.</w:t>
      </w:r>
    </w:p>
    <w:p>
      <w:pPr>
        <w:pStyle w:val="TextBody"/>
        <w:bidi w:val="0"/>
        <w:spacing w:before="360" w:after="283"/>
        <w:jc w:val="both"/>
        <w:rPr>
          <w:rFonts w:ascii="Arial" w:hAnsi="Arial"/>
          <w:b/>
          <w:i/>
          <w:color w:val="000000"/>
          <w:sz w:val="20"/>
        </w:rPr>
      </w:pPr>
      <w:r>
        <w:rPr>
          <w:rFonts w:ascii="Arial" w:hAnsi="Arial"/>
          <w:b/>
          <w:i/>
          <w:color w:val="000000"/>
          <w:sz w:val="20"/>
        </w:rPr>
        <w:t>Our development of ATH-1105 may never lead to a marketable product.</w:t>
      </w:r>
    </w:p>
    <w:p>
      <w:pPr>
        <w:pStyle w:val="TextBody"/>
        <w:bidi w:val="0"/>
        <w:spacing w:before="120" w:after="283"/>
        <w:jc w:val="both"/>
        <w:rPr>
          <w:rFonts w:ascii="Arial" w:hAnsi="Arial"/>
          <w:color w:val="000000"/>
          <w:sz w:val="20"/>
        </w:rPr>
      </w:pPr>
      <w:r>
        <w:rPr>
          <w:rFonts w:ascii="Arial" w:hAnsi="Arial"/>
          <w:color w:val="000000"/>
          <w:sz w:val="20"/>
        </w:rPr>
        <w:t>We are developing ATH-1105 as a small molecule aimed at restoring neuronal health. We have not received regulatory approval for ATH-1105 and cannot be certain that our approach will lead to the development of an approvable or marketable product, alone or in combination with other therapies.</w:t>
      </w:r>
    </w:p>
    <w:p>
      <w:pPr>
        <w:pStyle w:val="TextBody"/>
        <w:bidi w:val="0"/>
        <w:spacing w:before="240" w:after="283"/>
        <w:jc w:val="both"/>
        <w:rPr>
          <w:rFonts w:ascii="Arial" w:hAnsi="Arial"/>
          <w:color w:val="000000"/>
          <w:sz w:val="20"/>
        </w:rPr>
      </w:pPr>
      <w:r>
        <w:rPr>
          <w:rFonts w:ascii="Arial" w:hAnsi="Arial"/>
          <w:color w:val="000000"/>
          <w:sz w:val="20"/>
        </w:rPr>
        <w:t>Advancing ATH-1105 as a small molecule aimed at restoring neuronal health creates significant challenges for us or a future partner,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ATH-1105 is approved, educating medical personnel regarding the potential efficacy and safety benefits, as well as the challenges, of incorporating ATH-1105 into existing treatment regimens, including in combination with other treatments for ALS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the sales and marketing capabilities upon obtaining any marketing approvals to gain market acceptance.</w:t>
      </w:r>
    </w:p>
    <w:p>
      <w:pPr>
        <w:pStyle w:val="TextBody"/>
        <w:bidi w:val="0"/>
        <w:spacing w:before="240" w:after="283"/>
        <w:jc w:val="both"/>
        <w:rPr>
          <w:rFonts w:ascii="Times New Roman" w:hAnsi="Times New Roman"/>
          <w:sz w:val="20"/>
        </w:rPr>
      </w:pPr>
      <w:r>
        <w:rPr>
          <w:rFonts w:ascii="Arial" w:hAnsi="Arial"/>
          <w:color w:val="000000"/>
          <w:sz w:val="20"/>
        </w:rPr>
        <w:t>Our prospects as a standalone business are highly dependent on the successful development of ATH-1105.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ALS and other neurodegenerative diseases. Like fosgonimeton, ATH-1105 is a small molecule designed to positively modulate the HGF system. Although we are encouraged about the potential for ATH-1105 based on preclinical data, we or a future partner may decide to discontinue development of some or all of our product candidates, including if we or a future partner do not demonstrate the safety and efficacy of ATH-1105 in current and future clinical trials. We may pursue strategic alternatives to maximize stockholder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 xml:space="preserve">value, which could involve, without limitation, exploring the potential for a possible merger, business combination, investment, a purchase, license or other acquisition of assets or return of capital to stockholders. </w:t>
      </w:r>
    </w:p>
    <w:p>
      <w:pPr>
        <w:pStyle w:val="TextBody"/>
        <w:bidi w:val="0"/>
        <w:spacing w:before="36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ATH-1105 or any other drug candidates we may seek to develop.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and timely completion of nonclinical and clinical development of our drug candidates and any future drug candidates, as well as the associated costs, including any unforeseen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relationships with contract research organizations, or CROs, and clinical sites for the clinical development, both in the United States and internationally, of our drug candidates and any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timely submission of application for and receipt of marketing approvals from applicable regulatory authorities for any drug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developing an efficient and scalable manufacturing process for our drug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continued acceptable safety profile following any marketing approval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commercial acceptance of our drug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assessing and developing new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defending against third-party patent challenges, derivation proceedings, or interference or infringement claims,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negotiating favorable terms in any collaboration, licensing or other arrangement that may be necessary or desirable to develop, manufacture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coverage and adequate reimbursement by hospitals, government and third-party payors for drug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both"/>
        <w:rPr>
          <w:rFonts w:ascii="Arial" w:hAnsi="Arial"/>
          <w:color w:val="000000"/>
          <w:sz w:val="20"/>
        </w:rPr>
      </w:pPr>
      <w:r>
        <w:rPr>
          <w:rFonts w:ascii="Arial" w:hAnsi="Arial"/>
          <w:color w:val="00000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Times New Roman" w:hAnsi="Times New Roman"/>
          <w:sz w:val="20"/>
        </w:rPr>
      </w:pPr>
      <w:r>
        <w:rPr>
          <w:rFonts w:ascii="Arial" w:hAnsi="Arial"/>
          <w:color w:val="000000"/>
          <w:sz w:val="20"/>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both"/>
        <w:rPr>
          <w:rFonts w:ascii="Arial" w:hAnsi="Arial"/>
          <w:color w:val="000000"/>
          <w:sz w:val="20"/>
        </w:rPr>
      </w:pPr>
      <w:r>
        <w:rPr>
          <w:rFonts w:ascii="Arial" w:hAnsi="Arial"/>
          <w:color w:val="000000"/>
          <w:sz w:val="20"/>
        </w:rPr>
        <w:t>We have not previously submitted a new drug application, or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360" w:after="283"/>
        <w:jc w:val="both"/>
        <w:rPr>
          <w:rFonts w:ascii="Times New Roman" w:hAnsi="Times New Roman"/>
          <w:sz w:val="20"/>
        </w:rPr>
      </w:pPr>
      <w:r>
        <w:rPr>
          <w:rFonts w:ascii="Arial" w:hAnsi="Arial"/>
          <w:b/>
          <w:i/>
          <w:color w:val="000000"/>
          <w:sz w:val="20"/>
        </w:rPr>
        <w:t>We have concentrated our research and development efforts on the treatment of central and peripheral nervous system degenerative disorders, a field that has seen very limited success in product development.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360" w:after="283"/>
        <w:jc w:val="both"/>
        <w:rPr>
          <w:rFonts w:ascii="Arial" w:hAnsi="Arial"/>
          <w:b/>
          <w:i/>
          <w:color w:val="000000"/>
          <w:sz w:val="20"/>
        </w:rPr>
      </w:pPr>
      <w:r>
        <w:rPr>
          <w:rFonts w:ascii="Arial" w:hAnsi="Arial"/>
          <w:b/>
          <w:i/>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rFonts w:ascii="Arial" w:hAnsi="Arial"/>
          <w:color w:val="000000"/>
          <w:sz w:val="20"/>
        </w:rPr>
      </w:pPr>
      <w:r>
        <w:rPr>
          <w:rFonts w:ascii="Arial" w:hAnsi="Arial"/>
          <w:color w:val="000000"/>
          <w:sz w:val="20"/>
        </w:rPr>
        <w:t>Our lead drug candidate, ATH-1105, is currently in clinical development for the potential treatment of ALS. It is impossible to predict when or if any of our drug candidates will prove to be effective and safe in humans or will receive regulatory approval.</w:t>
      </w:r>
    </w:p>
    <w:p>
      <w:pPr>
        <w:pStyle w:val="TextBody"/>
        <w:bidi w:val="0"/>
        <w:spacing w:before="240" w:after="283"/>
        <w:jc w:val="both"/>
        <w:rPr>
          <w:rFonts w:ascii="Times New Roman" w:hAnsi="Times New Roman"/>
          <w:sz w:val="20"/>
        </w:rPr>
      </w:pPr>
      <w:r>
        <w:rPr>
          <w:rFonts w:ascii="Arial" w:hAnsi="Arial"/>
          <w:color w:val="000000"/>
          <w:sz w:val="20"/>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 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in our fosgonimeton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subsequent Phase 2 ACT-AD clinical trial in AD did not meet its primary endpoint of a change in ERP P300 latency for the full study population nor did it meet the secondary endpoints, and our Phase 2/3 LIFT-AD clinical trial in AD did not meet its primary endpoint (the GST, a combination of results from measures of cognition (ADAS-Cog11) and function (ADCS-ADL23)) nor its key secondary endpoints of ADAS-Cog11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ADCS-ADL23. Based on these results, we decided to pause further development of fosgonimeton and to shift our focus to the clinical development of ATH-1105.</w:t>
      </w:r>
    </w:p>
    <w:p>
      <w:pPr>
        <w:pStyle w:val="TextBody"/>
        <w:bidi w:val="0"/>
        <w:spacing w:before="240" w:after="283"/>
        <w:jc w:val="both"/>
        <w:rPr>
          <w:rFonts w:ascii="Arial" w:hAnsi="Arial"/>
          <w:color w:val="000000"/>
          <w:sz w:val="20"/>
        </w:rPr>
      </w:pPr>
      <w:r>
        <w:rPr>
          <w:rFonts w:ascii="Arial" w:hAnsi="Arial"/>
          <w:color w:val="000000"/>
          <w:sz w:val="20"/>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pStyle w:val="TextBody"/>
        <w:bidi w:val="0"/>
        <w:spacing w:before="240" w:after="283"/>
        <w:jc w:val="both"/>
        <w:rPr>
          <w:rFonts w:ascii="Arial" w:hAnsi="Arial"/>
          <w:color w:val="000000"/>
          <w:sz w:val="20"/>
        </w:rPr>
      </w:pPr>
      <w:r>
        <w:rPr>
          <w:rFonts w:ascii="Arial" w:hAnsi="Arial"/>
          <w:color w:val="000000"/>
          <w:sz w:val="20"/>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p>
    <w:p>
      <w:pPr>
        <w:pStyle w:val="TextBody"/>
        <w:bidi w:val="0"/>
        <w:spacing w:before="240" w:after="283"/>
        <w:jc w:val="both"/>
        <w:rPr>
          <w:rFonts w:ascii="Arial" w:hAnsi="Arial"/>
          <w:color w:val="000000"/>
          <w:sz w:val="20"/>
        </w:rPr>
      </w:pPr>
      <w:r>
        <w:rPr>
          <w:rFonts w:ascii="Arial" w:hAnsi="Arial"/>
          <w:color w:val="000000"/>
          <w:sz w:val="20"/>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color w:val="000000"/>
          <w:sz w:val="20"/>
        </w:rPr>
      </w:pPr>
      <w:r>
        <w:rPr>
          <w:rFonts w:ascii="Arial" w:hAnsi="Arial"/>
          <w:color w:val="000000"/>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with our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recruiting an adequate number of suitable patients to participate in a clinical trial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patients required for clinical trials of our drug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protocol deviations or non-compliance with good clinical practice, or GCP, requirements, or other data integrity reasons, that cause us or the FDA or other regulatory authorities to exclude data from non-compliant sites or investigators, which may cause the trial to be underpowered to meet the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by us or our CROs in qualifying or analyzing patient data at the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demonstrate a benefit from using a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adding a sufficient number of clinical trial sites; or</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sufficient supply of drug candidate for use in nonclinical studies or clinical trials from third-party suppliers.</w:t>
      </w:r>
    </w:p>
    <w:p>
      <w:pPr>
        <w:pStyle w:val="TextBody"/>
        <w:bidi w:val="0"/>
        <w:spacing w:before="240" w:after="283"/>
        <w:jc w:val="both"/>
        <w:rPr>
          <w:rFonts w:ascii="Arial" w:hAnsi="Arial"/>
          <w:color w:val="000000"/>
          <w:sz w:val="20"/>
        </w:rPr>
      </w:pPr>
      <w:r>
        <w:rPr>
          <w:rFonts w:ascii="Arial" w:hAnsi="Arial"/>
          <w:color w:val="000000"/>
          <w:sz w:val="20"/>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Arial" w:hAnsi="Arial"/>
          <w:color w:val="000000"/>
          <w:sz w:val="20"/>
        </w:rPr>
      </w:pPr>
      <w:r>
        <w:rPr>
          <w:rFonts w:ascii="Arial" w:hAnsi="Arial"/>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pStyle w:val="TextBody"/>
        <w:bidi w:val="0"/>
        <w:spacing w:before="240" w:after="283"/>
        <w:jc w:val="both"/>
        <w:rPr>
          <w:rFonts w:ascii="Arial" w:hAnsi="Arial"/>
          <w:color w:val="000000"/>
          <w:sz w:val="20"/>
        </w:rPr>
      </w:pPr>
      <w:r>
        <w:rPr>
          <w:rFonts w:ascii="Arial" w:hAnsi="Arial"/>
          <w:color w:val="000000"/>
          <w:sz w:val="20"/>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determine to limit or terminate clinical trials, including our open-label extension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delayed in or prevented from obtaining marketing approval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changes in the way the drug candidate is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have regulatory authorities withdraw their approval of the drug product or impose restrictions on its distribution in the form of a modified risk evaluation and mitigation strategy, or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damage to our reputation.</w:t>
      </w:r>
    </w:p>
    <w:p>
      <w:pPr>
        <w:pStyle w:val="TextBody"/>
        <w:bidi w:val="0"/>
        <w:spacing w:before="360" w:after="283"/>
        <w:jc w:val="both"/>
        <w:rPr>
          <w:rFonts w:ascii="Arial" w:hAnsi="Arial"/>
          <w:b/>
          <w:i/>
          <w:color w:val="000000"/>
          <w:sz w:val="20"/>
        </w:rPr>
      </w:pPr>
      <w:r>
        <w:rPr>
          <w:rFonts w:ascii="Arial" w:hAnsi="Arial"/>
          <w:b/>
          <w:i/>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rFonts w:ascii="Times New Roman" w:hAnsi="Times New Roman"/>
          <w:sz w:val="20"/>
        </w:rPr>
      </w:pPr>
      <w:r>
        <w:rPr>
          <w:rFonts w:ascii="Arial" w:hAnsi="Arial"/>
          <w:color w:val="000000"/>
          <w:sz w:val="20"/>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royalty arrangements in cases in which it would have been more advantageous for us to retain sole development and commercialization rights.</w:t>
      </w:r>
    </w:p>
    <w:p>
      <w:pPr>
        <w:pStyle w:val="TextBody"/>
        <w:bidi w:val="0"/>
        <w:spacing w:before="360" w:after="283"/>
        <w:jc w:val="both"/>
        <w:rPr>
          <w:rFonts w:ascii="Arial" w:hAnsi="Arial"/>
          <w:b/>
          <w:i/>
          <w:color w:val="000000"/>
          <w:sz w:val="20"/>
        </w:rPr>
      </w:pPr>
      <w:r>
        <w:rPr>
          <w:rFonts w:ascii="Arial" w:hAnsi="Arial"/>
          <w:b/>
          <w:i/>
          <w:color w:val="000000"/>
          <w:sz w:val="20"/>
        </w:rPr>
        <w:t>Our long-term prospects depend in part upon discovering, developing and commercializing additional drug candidates, which may fail in development or suffer delays that adversely affect their commercial viability.</w:t>
      </w:r>
    </w:p>
    <w:p>
      <w:pPr>
        <w:pStyle w:val="TextBody"/>
        <w:bidi w:val="0"/>
        <w:spacing w:before="120" w:after="283"/>
        <w:jc w:val="both"/>
        <w:rPr>
          <w:rFonts w:ascii="Arial" w:hAnsi="Arial"/>
          <w:color w:val="000000"/>
          <w:sz w:val="20"/>
        </w:rPr>
      </w:pPr>
      <w:r>
        <w:rPr>
          <w:rFonts w:ascii="Arial" w:hAnsi="Arial"/>
          <w:color w:val="000000"/>
          <w:sz w:val="20"/>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pStyle w:val="TextBody"/>
        <w:bidi w:val="0"/>
        <w:spacing w:before="240" w:after="283"/>
        <w:jc w:val="both"/>
        <w:rPr>
          <w:rFonts w:ascii="Arial" w:hAnsi="Arial"/>
          <w:color w:val="000000"/>
          <w:sz w:val="20"/>
        </w:rPr>
      </w:pPr>
      <w:r>
        <w:rPr>
          <w:rFonts w:ascii="Arial" w:hAnsi="Arial"/>
          <w:color w:val="000000"/>
          <w:sz w:val="20"/>
        </w:rPr>
        <w:t>The success of other future drug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timely manufacture of sufficient quantities of the drug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events in the clinical trials.</w:t>
      </w:r>
    </w:p>
    <w:p>
      <w:pPr>
        <w:pStyle w:val="TextBody"/>
        <w:bidi w:val="0"/>
        <w:spacing w:before="240" w:after="283"/>
        <w:jc w:val="both"/>
        <w:rPr>
          <w:rFonts w:ascii="Arial" w:hAnsi="Arial"/>
          <w:color w:val="000000"/>
          <w:sz w:val="20"/>
        </w:rPr>
      </w:pPr>
      <w:r>
        <w:rPr>
          <w:rFonts w:ascii="Arial" w:hAnsi="Arial"/>
          <w:color w:val="000000"/>
          <w:sz w:val="20"/>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pStyle w:val="TextBody"/>
        <w:bidi w:val="0"/>
        <w:spacing w:before="360" w:after="283"/>
        <w:jc w:val="both"/>
        <w:rPr>
          <w:rFonts w:ascii="Arial" w:hAnsi="Arial"/>
          <w:b/>
          <w:i/>
          <w:color w:val="000000"/>
          <w:sz w:val="20"/>
        </w:rPr>
      </w:pPr>
      <w:r>
        <w:rPr>
          <w:rFonts w:ascii="Arial" w:hAnsi="Arial"/>
          <w:b/>
          <w:i/>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240" w:after="283"/>
        <w:jc w:val="both"/>
        <w:rPr>
          <w:rFonts w:ascii="Arial" w:hAnsi="Arial"/>
          <w:color w:val="000000"/>
          <w:sz w:val="20"/>
        </w:rPr>
      </w:pPr>
      <w:r>
        <w:rPr>
          <w:rFonts w:ascii="Arial" w:hAnsi="Arial"/>
          <w:color w:val="000000"/>
          <w:sz w:val="20"/>
        </w:rPr>
        <w:t>In the ordinary course of business, we have been and may in the future be the subject of various legal claims, lawsuits, arbitration proceedings, government investigations, securities class action litigation and other legal, regulatory and administrative proceedings.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both"/>
        <w:rPr>
          <w:rFonts w:ascii="Arial" w:hAnsi="Arial"/>
          <w:color w:val="000000"/>
          <w:sz w:val="20"/>
        </w:rPr>
      </w:pPr>
      <w:r>
        <w:rPr>
          <w:rFonts w:ascii="Arial" w:hAnsi="Arial"/>
          <w:color w:val="000000"/>
          <w:sz w:val="20"/>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240" w:after="283"/>
        <w:jc w:val="both"/>
        <w:rPr>
          <w:rFonts w:ascii="Times New Roman" w:hAnsi="Times New Roman"/>
          <w:sz w:val="20"/>
        </w:rPr>
      </w:pPr>
      <w:r>
        <w:rPr>
          <w:rFonts w:ascii="Arial" w:hAnsi="Arial"/>
          <w:color w:val="000000"/>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vendors or other third-parties, we could incur material costs and expenses that could adversely affect our business, results of operations or financial condition.</w:t>
      </w:r>
    </w:p>
    <w:p>
      <w:pPr>
        <w:pStyle w:val="TextBody"/>
        <w:bidi w:val="0"/>
        <w:spacing w:before="240" w:after="283"/>
        <w:jc w:val="both"/>
        <w:rPr>
          <w:rFonts w:ascii="Times New Roman" w:hAnsi="Times New Roman"/>
          <w:sz w:val="20"/>
        </w:rPr>
      </w:pPr>
      <w:r>
        <w:rPr>
          <w:rFonts w:ascii="Arial" w:hAnsi="Arial"/>
          <w:b/>
          <w:i/>
          <w:color w:val="000000"/>
          <w:sz w:val="20"/>
        </w:rPr>
        <w:t>Washington State University, or WSU, previously announced that it had undertaken a review of prior claims of potential research misconduct involving our former chief executive officer’s doctoral research at WSU. We cannot predict what conclusions WSU has reached or may reach in the future, whether or when WSU would share its conclusions with us or the public, and what effect, if any, this review could have on our business and reputation</w:t>
      </w:r>
      <w:r>
        <w:rPr>
          <w:rFonts w:ascii="Arial" w:hAnsi="Arial"/>
          <w:color w:val="000000"/>
          <w:sz w:val="20"/>
        </w:rPr>
        <w:t>.</w:t>
      </w:r>
    </w:p>
    <w:p>
      <w:pPr>
        <w:pStyle w:val="TextBody"/>
        <w:bidi w:val="0"/>
        <w:spacing w:before="240" w:after="283"/>
        <w:jc w:val="both"/>
        <w:rPr>
          <w:rFonts w:ascii="Arial" w:hAnsi="Arial"/>
          <w:color w:val="000000"/>
          <w:sz w:val="20"/>
        </w:rPr>
      </w:pPr>
      <w:r>
        <w:rPr>
          <w:rFonts w:ascii="Arial" w:hAnsi="Arial"/>
          <w:color w:val="000000"/>
          <w:sz w:val="20"/>
        </w:rPr>
        <w:t>In connection with 2021 claims of potential research misconduct involving our former chief executive officer’s research at WSU, WSU previously announced that it would undertake a review of these claims. These claims precipitated an investigation by our board of directors, securities class action and shareholder derivative litigation, and a Department of Justice civil investigation that have all since been resolved. We cannot predict what, if any, effect this review may have on our business and reputation, including with regards to our in-licensed patents and our relationship with WSU, from which we in-license patents underlying our previous lead drug candidate, fosgonimeton.</w:t>
      </w:r>
    </w:p>
    <w:p>
      <w:pPr>
        <w:pStyle w:val="TextBody"/>
        <w:bidi w:val="0"/>
        <w:spacing w:before="36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both"/>
        <w:rPr>
          <w:rFonts w:ascii="Arial" w:hAnsi="Arial"/>
          <w:color w:val="000000"/>
          <w:sz w:val="20"/>
        </w:rPr>
      </w:pPr>
      <w:r>
        <w:rPr>
          <w:rFonts w:ascii="Arial" w:hAnsi="Arial"/>
          <w:color w:val="000000"/>
          <w:sz w:val="20"/>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Arial" w:hAnsi="Arial"/>
          <w:color w:val="000000"/>
          <w:sz w:val="20"/>
        </w:rPr>
      </w:pPr>
      <w:r>
        <w:rPr>
          <w:rFonts w:ascii="Arial" w:hAnsi="Arial"/>
          <w:color w:val="000000"/>
          <w:sz w:val="20"/>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 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pStyle w:val="TextBody"/>
        <w:bidi w:val="0"/>
        <w:spacing w:before="240" w:after="283"/>
        <w:jc w:val="both"/>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Our reporting of topline or final data for our clinical trials may be delayed and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projected timeline for announcing our topline data for ATH-1105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color w:val="000000"/>
          <w:sz w:val="20"/>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ATH-1105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36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use of clinical research organizations, and procurement of operational resources. As a result, our competitors may discover, develop, license or commercialize products before or more successfully than we do.</w:t>
      </w:r>
    </w:p>
    <w:p>
      <w:pPr>
        <w:pStyle w:val="TextBody"/>
        <w:bidi w:val="0"/>
        <w:spacing w:before="280" w:after="283"/>
        <w:jc w:val="both"/>
        <w:rPr>
          <w:rFonts w:ascii="Times New Roman" w:hAnsi="Times New Roman"/>
          <w:sz w:val="20"/>
        </w:rPr>
      </w:pPr>
      <w:r>
        <w:rPr>
          <w:rFonts w:ascii="Arial" w:hAnsi="Arial"/>
          <w:color w:val="000000"/>
          <w:sz w:val="20"/>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Centers for Medicare &amp; Medicaid Services, or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 – Competition” in our Annual Report on Form 10-K filed with the SEC on February 27,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develop drug candidates in combination with other therapies, which exposes us to additional risks.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pStyle w:val="TextBody"/>
        <w:bidi w:val="0"/>
        <w:spacing w:before="240" w:after="283"/>
        <w:jc w:val="both"/>
        <w:rPr>
          <w:rFonts w:ascii="Arial" w:hAnsi="Arial"/>
          <w:color w:val="000000"/>
          <w:sz w:val="20"/>
        </w:rPr>
      </w:pPr>
      <w:r>
        <w:rPr>
          <w:rFonts w:ascii="Arial" w:hAnsi="Arial"/>
          <w:color w:val="000000"/>
          <w:sz w:val="20"/>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 ATH-1105,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pStyle w:val="TextBody"/>
        <w:bidi w:val="0"/>
        <w:spacing w:before="360" w:after="283"/>
        <w:jc w:val="both"/>
        <w:rPr>
          <w:rFonts w:ascii="Arial" w:hAnsi="Arial"/>
          <w:b/>
          <w:color w:val="000000"/>
          <w:sz w:val="20"/>
        </w:rPr>
      </w:pPr>
      <w:r>
        <w:rPr>
          <w:rFonts w:ascii="Arial" w:hAnsi="Arial"/>
          <w:b/>
          <w:color w:val="000000"/>
          <w:sz w:val="20"/>
        </w:rPr>
        <w:t>Risks Related to Our Financial Position and Capital Needs</w:t>
      </w:r>
    </w:p>
    <w:p>
      <w:pPr>
        <w:pStyle w:val="TextBody"/>
        <w:bidi w:val="0"/>
        <w:spacing w:before="120" w:after="283"/>
        <w:jc w:val="both"/>
        <w:rPr>
          <w:rFonts w:ascii="Arial" w:hAnsi="Arial"/>
          <w:b/>
          <w:i/>
          <w:color w:val="000000"/>
          <w:sz w:val="20"/>
        </w:rPr>
      </w:pPr>
      <w:r>
        <w:rPr>
          <w:rFonts w:ascii="Arial" w:hAnsi="Arial"/>
          <w:b/>
          <w:i/>
          <w:color w:val="000000"/>
          <w:sz w:val="20"/>
        </w:rPr>
        <w:t>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p>
    <w:p>
      <w:pPr>
        <w:pStyle w:val="TextBody"/>
        <w:bidi w:val="0"/>
        <w:spacing w:before="120" w:after="283"/>
        <w:jc w:val="both"/>
        <w:rPr>
          <w:rFonts w:ascii="Times New Roman" w:hAnsi="Times New Roman"/>
          <w:sz w:val="20"/>
        </w:rPr>
      </w:pPr>
      <w:r>
        <w:rPr>
          <w:rFonts w:ascii="Arial" w:hAnsi="Arial"/>
          <w:color w:val="000000"/>
          <w:sz w:val="20"/>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ATH-1105. Developing ATH-1105 and conducting clinical trials for the potential treatment of ALS, and any other indications that we may pursue in the future will require substantial amounts of capital and we are actively seeking a partner to assist with the development of ATH-1105 through a joint collaboration agreement, provision of non-dilutive funding, or a combination of these and other structures. In addition, if we or a future partner obtain marketing approval for ATH-1105 or any future drug candidates, we expect this would result in significant commercialization expenses related to sales, marketing, manufacturing, and distribution. Furthermore, we expect to continue to incur additional costs associated with operating as a public company</w:t>
      </w:r>
      <w:r>
        <w:rPr>
          <w:rFonts w:ascii="Arial" w:hAnsi="Arial"/>
          <w:color w:val="212529"/>
          <w:sz w:val="20"/>
        </w:rPr>
        <w:t>.</w:t>
      </w:r>
      <w:r>
        <w:rPr>
          <w:rFonts w:ascii="Times New Roman" w:hAnsi="Times New Roman"/>
          <w:color w:val="212529"/>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Accordingly, we will need to obtain substantial additional funding in connection with our continuing operations. As of March 31, 2025, we had cash, cash equivalents and investments of $36.7 million. Based upon our current operating plan, we estimate that our existing cash, cash equivalents and investments will be sufficient to fund our operating expenses and capital expenditure requirements through at least the next 12 months.</w:t>
      </w:r>
    </w:p>
    <w:p>
      <w:pPr>
        <w:pStyle w:val="TextBody"/>
        <w:bidi w:val="0"/>
        <w:spacing w:before="240" w:after="283"/>
        <w:jc w:val="both"/>
        <w:rPr>
          <w:rFonts w:ascii="Times New Roman" w:hAnsi="Times New Roman"/>
          <w:sz w:val="20"/>
        </w:rPr>
      </w:pPr>
      <w:r>
        <w:rPr>
          <w:rFonts w:ascii="Arial" w:hAnsi="Arial"/>
          <w:color w:val="212529"/>
          <w:sz w:val="20"/>
        </w:rPr>
        <w:t xml:space="preserve">The </w:t>
      </w:r>
      <w:r>
        <w:rPr>
          <w:rFonts w:ascii="Arial" w:hAnsi="Arial"/>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costs, clinical trial design, results of and timing of our ATH-1105 and other clinical trials, including for potential additional indications that we may pursue beyond ALS, such as AD;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willingness of the FDA and EMA to accept ATH-1105 clinical trial data, as well as data from any completed and planned clinical and nonclinical studies and other work, as the basis for review and approval of ATH-1105 for ALS and the potential need for additional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outcome, costs and timing of seeking and obtaining FDA, EMA and any other regulatory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characteristics of drug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manufacture sufficient quantities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expand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of acquiring, licensing or investing in businesses, drug candidates and technologies;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effect of competing drugs and drug candidates and other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implement additional internal systems and infrastructure, including financial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Arial" w:hAnsi="Arial"/>
          <w:color w:val="000000"/>
          <w:sz w:val="20"/>
        </w:rPr>
      </w:pPr>
      <w:r>
        <w:rPr>
          <w:rFonts w:ascii="Arial" w:hAnsi="Arial"/>
          <w:color w:val="000000"/>
          <w:sz w:val="20"/>
        </w:rPr>
        <w:t>Because we have undertaken a process to assess strategic alternatives, the timing of which is uncertain, our future capital requirements may vary significantly from what we expect. If a strategic transaction is not consummated, we will require substantial additional funding to support our continuing operations and development. In addition, even if we are successful in completing a strategic transaction, we may still need to raise additional funds for any research and development or clinical programs we choose to pursue. 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pStyle w:val="TextBody"/>
        <w:bidi w:val="0"/>
        <w:spacing w:before="240" w:after="283"/>
        <w:jc w:val="both"/>
        <w:rPr>
          <w:rFonts w:ascii="Times New Roman" w:hAnsi="Times New Roman"/>
          <w:sz w:val="20"/>
        </w:rPr>
      </w:pPr>
      <w:r>
        <w:rPr>
          <w:rFonts w:ascii="Arial" w:hAnsi="Arial"/>
          <w:color w:val="000000"/>
          <w:sz w:val="20"/>
        </w:rPr>
        <w:t xml:space="preserve">In January 2023, we entered into a sales agreement with Cantor Fitzgerald and BTIG to sell shares of our common stock having aggregate sales proceeds of up to $75.0 million, from time to time, subject to applicable limitations on sales pursuant to SEC rules and regulations,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color w:val="212529"/>
          <w:sz w:val="20"/>
        </w:rPr>
        <w:t xml:space="preserve">unable </w:t>
      </w:r>
      <w:r>
        <w:rPr>
          <w:rFonts w:ascii="Arial" w:hAnsi="Arial"/>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will depend on financial, economic and other factors, many of which are beyond our control. For example, the current inflationary economic environment and health epidemics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in the future by, among other things, SEC rules and regulations impacting the eligibility of smaller companies to use Form S-3 for primary offerings of securities.</w:t>
      </w:r>
    </w:p>
    <w:p>
      <w:pPr>
        <w:pStyle w:val="TextBody"/>
        <w:bidi w:val="0"/>
        <w:spacing w:before="36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rFonts w:ascii="Times New Roman" w:hAnsi="Times New Roman"/>
          <w:sz w:val="20"/>
        </w:rPr>
      </w:pPr>
      <w:r>
        <w:rPr>
          <w:rFonts w:ascii="Arial" w:hAnsi="Arial"/>
          <w:color w:val="000000"/>
          <w:sz w:val="20"/>
        </w:rPr>
        <w:t>We have not generated any revenue from drug product sales and our drug candidates will require substantial additional investment before they may provide us with any revenue. We had net losses of $9.1 million and $26.3 million for the three months ended March 31, 2025 and 2024</w:t>
      </w:r>
      <w:r>
        <w:rPr>
          <w:rFonts w:ascii="Arial" w:hAnsi="Arial"/>
          <w:color w:val="212529"/>
          <w:sz w:val="20"/>
        </w:rPr>
        <w:t>, respectively, and an accumulated deficit of $415.3 million as of March 31, 2025.</w:t>
      </w:r>
    </w:p>
    <w:p>
      <w:pPr>
        <w:pStyle w:val="TextBody"/>
        <w:bidi w:val="0"/>
        <w:spacing w:before="240" w:after="283"/>
        <w:jc w:val="both"/>
        <w:rPr>
          <w:rFonts w:ascii="Times New Roman" w:hAnsi="Times New Roman"/>
          <w:sz w:val="20"/>
        </w:rPr>
      </w:pPr>
      <w:r>
        <w:rPr>
          <w:rFonts w:ascii="Arial" w:hAnsi="Arial"/>
          <w:color w:val="212529"/>
          <w:sz w:val="20"/>
        </w:rPr>
        <w:t xml:space="preserve">We have devoted most of our financial resources to research and development, including our clinical and nonclinical development </w:t>
      </w:r>
      <w:r>
        <w:rPr>
          <w:rFonts w:ascii="Arial" w:hAnsi="Arial"/>
          <w:color w:val="000000"/>
          <w:sz w:val="20"/>
        </w:rPr>
        <w:t>activities. To date, we have financed our operations primarily with proceeds from the sale and issuance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color w:val="000000"/>
          <w:sz w:val="20"/>
        </w:rPr>
        <w:t>We expect to incur significant expenses and operating losses for the foreseeable future, including as a result of the following actions that we may take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our research and nonclinical and clinical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the scope of our clinical studies for our current and prospective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initiate additional nonclinical, clinical or other studies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 or add additional manufacturers or suppliers and manufacture drug supply and drug product for clinical trials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and marketing approvals for any of our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to identify and validate additional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acquire or in-license other drug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make milestone or other payments under our in-license or other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create additional infrastructure to support our operations and our drug product development efforts;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expenses in connection with potential future legal proceedings, and addressing potential stockholder activism.</w:t>
      </w:r>
    </w:p>
    <w:p>
      <w:pPr>
        <w:pStyle w:val="TextBody"/>
        <w:bidi w:val="0"/>
        <w:spacing w:before="240" w:after="283"/>
        <w:jc w:val="both"/>
        <w:rPr>
          <w:rFonts w:ascii="Times New Roman" w:hAnsi="Times New Roman"/>
          <w:sz w:val="20"/>
        </w:rPr>
      </w:pPr>
      <w:r>
        <w:rPr>
          <w:rFonts w:ascii="Arial" w:hAnsi="Arial"/>
          <w:color w:val="000000"/>
          <w:sz w:val="20"/>
        </w:rPr>
        <w:t xml:space="preserve">Our expenses could increase beyond expectations for a variety of reasons, including if we experience any delays or encounter issues with any of the above, are required by the FDA, the European Medicines Agency, or EMA, or other regulatory agencies, domestic or foreign, to perform clinical and other </w:t>
      </w:r>
      <w:r>
        <w:rPr>
          <w:rFonts w:ascii="Arial" w:hAnsi="Arial"/>
          <w:color w:val="212529"/>
          <w:sz w:val="20"/>
        </w:rPr>
        <w:t xml:space="preserve">studies </w:t>
      </w:r>
      <w:r>
        <w:rPr>
          <w:rFonts w:ascii="Arial" w:hAnsi="Arial"/>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360" w:after="283"/>
        <w:jc w:val="both"/>
        <w:rPr>
          <w:rFonts w:ascii="Arial" w:hAnsi="Arial"/>
          <w:b/>
          <w:i/>
          <w:color w:val="000000"/>
          <w:sz w:val="20"/>
        </w:rPr>
      </w:pPr>
      <w:r>
        <w:rPr>
          <w:rFonts w:ascii="Arial" w:hAnsi="Arial"/>
          <w:b/>
          <w:i/>
          <w:color w:val="000000"/>
          <w:sz w:val="20"/>
        </w:rPr>
        <w:t>Adverse events or perceptions affecting the financial services industry could adversely affect our operating results, liquidity, financial condition and prospects.</w:t>
      </w:r>
    </w:p>
    <w:p>
      <w:pPr>
        <w:pStyle w:val="TextBody"/>
        <w:bidi w:val="0"/>
        <w:spacing w:before="120" w:after="283"/>
        <w:jc w:val="both"/>
        <w:rPr>
          <w:rFonts w:ascii="Arial" w:hAnsi="Arial"/>
          <w:color w:val="000000"/>
          <w:sz w:val="20"/>
        </w:rPr>
      </w:pPr>
      <w:r>
        <w:rPr>
          <w:rFonts w:ascii="Arial" w:hAnsi="Arial"/>
          <w:color w:val="000000"/>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termination of cash management arrangements or delays in accessing or actual loss of funds subject to cash management arrangements.</w:t>
      </w:r>
    </w:p>
    <w:p>
      <w:pPr>
        <w:pStyle w:val="TextBody"/>
        <w:bidi w:val="0"/>
        <w:spacing w:before="240" w:after="283"/>
        <w:jc w:val="both"/>
        <w:rPr>
          <w:rFonts w:ascii="Times New Roman" w:hAnsi="Times New Roman"/>
          <w:sz w:val="20"/>
        </w:rPr>
      </w:pPr>
      <w:r>
        <w:rPr>
          <w:rFonts w:ascii="Arial" w:hAnsi="Arial"/>
          <w:color w:val="000000"/>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commercial agreements may be unable to satisfy their obligations to, or enter into new commercial arrangements with, us.</w:t>
      </w:r>
    </w:p>
    <w:p>
      <w:pPr>
        <w:pStyle w:val="TextBody"/>
        <w:bidi w:val="0"/>
        <w:spacing w:before="240" w:after="283"/>
        <w:jc w:val="both"/>
        <w:rPr>
          <w:rFonts w:ascii="Times New Roman" w:hAnsi="Times New Roman"/>
          <w:sz w:val="20"/>
        </w:rPr>
      </w:pPr>
      <w:r>
        <w:rPr>
          <w:rFonts w:ascii="Arial" w:hAnsi="Arial"/>
          <w:color w:val="000000"/>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risks could materially impact our operating results, liquidity, financial condition and prospects.</w:t>
      </w:r>
      <w:r>
        <w:rPr>
          <w:rFonts w:ascii="Times New Roman" w:hAnsi="Times New Roman"/>
          <w:color w:val="000000"/>
          <w:sz w:val="20"/>
        </w:rPr>
        <w:t xml:space="preserve"> </w:t>
      </w:r>
    </w:p>
    <w:p>
      <w:pPr>
        <w:pStyle w:val="TextBody"/>
        <w:bidi w:val="0"/>
        <w:spacing w:before="36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120" w:after="283"/>
        <w:jc w:val="both"/>
        <w:rPr>
          <w:rFonts w:ascii="Arial" w:hAnsi="Arial"/>
          <w:color w:val="212529"/>
          <w:sz w:val="20"/>
        </w:rPr>
      </w:pPr>
      <w:r>
        <w:rPr>
          <w:rFonts w:ascii="Arial" w:hAnsi="Arial"/>
          <w:color w:val="212529"/>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both"/>
        <w:rPr>
          <w:rFonts w:ascii="Arial" w:hAnsi="Arial"/>
          <w:color w:val="212529"/>
          <w:sz w:val="20"/>
        </w:rPr>
      </w:pPr>
      <w:r>
        <w:rPr>
          <w:rFonts w:ascii="Arial" w:hAnsi="Arial"/>
          <w:color w:val="212529"/>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360" w:after="283"/>
        <w:jc w:val="both"/>
        <w:rPr>
          <w:rFonts w:ascii="Times New Roman" w:hAnsi="Times New Roman"/>
          <w:sz w:val="20"/>
        </w:rPr>
      </w:pPr>
      <w:r>
        <w:rPr>
          <w:rFonts w:ascii="Arial" w:hAnsi="Arial"/>
          <w:b/>
          <w:i/>
          <w:color w:val="212529"/>
          <w:sz w:val="20"/>
        </w:rPr>
        <w:t xml:space="preserve">Our ability to use net operating </w:t>
      </w:r>
      <w:r>
        <w:rPr>
          <w:rFonts w:ascii="Arial" w:hAnsi="Arial"/>
          <w:b/>
          <w:i/>
          <w:color w:val="000000"/>
          <w:sz w:val="20"/>
        </w:rPr>
        <w:t>losses</w:t>
      </w:r>
      <w:r>
        <w:rPr>
          <w:rFonts w:ascii="Times New Roman" w:hAnsi="Times New Roman"/>
          <w:color w:val="212529"/>
          <w:sz w:val="20"/>
        </w:rPr>
        <w:t xml:space="preserve"> </w:t>
      </w:r>
      <w:r>
        <w:rPr>
          <w:rFonts w:ascii="Arial" w:hAnsi="Arial"/>
          <w:b/>
          <w:i/>
          <w:color w:val="212529"/>
          <w:sz w:val="20"/>
        </w:rPr>
        <w:t>to offset future taxable income may be subject to certain limitations.</w:t>
      </w:r>
      <w:r>
        <w:rPr>
          <w:rFonts w:ascii="Times New Roman" w:hAnsi="Times New Roman"/>
          <w:color w:val="212529"/>
          <w:sz w:val="20"/>
        </w:rPr>
        <w:t xml:space="preserve"> </w:t>
      </w:r>
    </w:p>
    <w:p>
      <w:pPr>
        <w:pStyle w:val="TextBody"/>
        <w:bidi w:val="0"/>
        <w:spacing w:before="120" w:after="283"/>
        <w:jc w:val="both"/>
        <w:rPr>
          <w:rFonts w:ascii="Times New Roman" w:hAnsi="Times New Roman"/>
          <w:sz w:val="20"/>
        </w:rPr>
      </w:pPr>
      <w:r>
        <w:rPr>
          <w:rFonts w:ascii="Arial" w:hAnsi="Arial"/>
          <w:color w:val="212529"/>
          <w:sz w:val="20"/>
        </w:rPr>
        <w:t>As of December 31, 2024, we had federal net operating loss carryforwards, or NOLs, to offset future taxable income of approximately $9.5 million and federal tax credit carryforwards of approximately $16.5 million, which expire over a period of 7 to 13 years. Federal NOLs of $196.0 million generated after the 2017 tax year will carry forward indefinitely and will be subject to the 80% of taxable income limitation. As of December 31, 2024, we also had state NOLs of $3.9 million, which expire over a period of 17 to 20 years. A lack of future taxable income would adversely affect our ability to utilize these NOLs.</w:t>
      </w:r>
      <w:r>
        <w:rPr>
          <w:rFonts w:ascii="Times New Roman" w:hAnsi="Times New Roman"/>
          <w:color w:val="212529"/>
          <w:sz w:val="20"/>
        </w:rPr>
        <w:t xml:space="preserve"> </w:t>
      </w:r>
    </w:p>
    <w:p>
      <w:pPr>
        <w:pStyle w:val="TextBody"/>
        <w:bidi w:val="0"/>
        <w:spacing w:before="120" w:after="283"/>
        <w:jc w:val="both"/>
        <w:rPr>
          <w:rFonts w:ascii="Arial" w:hAnsi="Arial"/>
          <w:color w:val="212529"/>
          <w:sz w:val="20"/>
        </w:rPr>
      </w:pPr>
      <w:r>
        <w:rPr>
          <w:rFonts w:ascii="Arial" w:hAnsi="Arial"/>
          <w:color w:val="212529"/>
          <w:sz w:val="20"/>
        </w:rPr>
        <w:t>In addition, under Section 382 of the Internal Revenue Code of 1986, as amended, or 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pStyle w:val="TextBody"/>
        <w:bidi w:val="0"/>
        <w:spacing w:before="120" w:after="283"/>
        <w:jc w:val="both"/>
        <w:rPr>
          <w:rFonts w:ascii="Arial" w:hAnsi="Arial"/>
          <w:color w:val="212529"/>
          <w:sz w:val="20"/>
        </w:rPr>
      </w:pPr>
      <w:r>
        <w:rPr>
          <w:rFonts w:ascii="Arial" w:hAnsi="Arial"/>
          <w:color w:val="212529"/>
          <w:sz w:val="20"/>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bidi w:val="0"/>
        <w:spacing w:before="360" w:after="283"/>
        <w:jc w:val="both"/>
        <w:rPr>
          <w:rFonts w:ascii="Arial" w:hAnsi="Arial"/>
          <w:b/>
          <w:i/>
          <w:color w:val="212529"/>
          <w:sz w:val="20"/>
        </w:rPr>
      </w:pPr>
      <w:r>
        <w:rPr>
          <w:rFonts w:ascii="Arial" w:hAnsi="Arial"/>
          <w:b/>
          <w:i/>
          <w:color w:val="212529"/>
          <w:sz w:val="20"/>
        </w:rPr>
        <w:t>Changes in tax laws could have a material adverse effect on our business, cash flows, results of operations or financial condition.</w:t>
      </w:r>
    </w:p>
    <w:p>
      <w:pPr>
        <w:pStyle w:val="TextBody"/>
        <w:bidi w:val="0"/>
        <w:spacing w:before="120" w:after="283"/>
        <w:jc w:val="both"/>
        <w:rPr>
          <w:rFonts w:ascii="Times New Roman" w:hAnsi="Times New Roman"/>
          <w:sz w:val="20"/>
        </w:rPr>
      </w:pPr>
      <w:r>
        <w:rPr>
          <w:rFonts w:ascii="Arial" w:hAnsi="Arial"/>
          <w:color w:val="212529"/>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 or IRA,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Additionally, many countries and local jurisdictions and organizations such as the Organization for Economic Cooperation and Development have proposed or implemented new</w:t>
      </w:r>
      <w:r>
        <w:rPr>
          <w:rFonts w:ascii="Times New Roman" w:hAnsi="Times New Roman"/>
          <w:color w:val="212529"/>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212529"/>
          <w:sz w:val="20"/>
        </w:rPr>
      </w:pPr>
      <w:r>
        <w:rPr>
          <w:rFonts w:ascii="Arial" w:hAnsi="Arial"/>
          <w:color w:val="212529"/>
          <w:sz w:val="20"/>
        </w:rPr>
        <w:t>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pStyle w:val="TextBody"/>
        <w:bidi w:val="0"/>
        <w:spacing w:before="360" w:after="283"/>
        <w:jc w:val="both"/>
        <w:rPr>
          <w:rFonts w:ascii="Arial" w:hAnsi="Arial"/>
          <w:b/>
          <w:color w:val="000000"/>
          <w:sz w:val="20"/>
        </w:rPr>
      </w:pPr>
      <w:r>
        <w:rPr>
          <w:rFonts w:ascii="Arial" w:hAnsi="Arial"/>
          <w:b/>
          <w:color w:val="000000"/>
          <w:sz w:val="20"/>
        </w:rPr>
        <w:t>Risks Related to Strategic Process and Potential Strategic Transaction</w:t>
      </w:r>
    </w:p>
    <w:p>
      <w:pPr>
        <w:pStyle w:val="TextBody"/>
        <w:bidi w:val="0"/>
        <w:spacing w:before="360" w:after="283"/>
        <w:jc w:val="both"/>
        <w:rPr>
          <w:rFonts w:ascii="Arial" w:hAnsi="Arial"/>
          <w:b/>
          <w:i/>
          <w:color w:val="000000"/>
          <w:sz w:val="20"/>
        </w:rPr>
      </w:pPr>
      <w:r>
        <w:rPr>
          <w:rFonts w:ascii="Arial" w:hAnsi="Arial"/>
          <w:b/>
          <w:i/>
          <w:color w:val="000000"/>
          <w:sz w:val="20"/>
        </w:rPr>
        <w:t>We may not be successful in identifying and implementing any strategic transaction and any strategic transactions that we may consummate in the future may not be successful.</w:t>
      </w:r>
    </w:p>
    <w:p>
      <w:pPr>
        <w:pStyle w:val="TextBody"/>
        <w:bidi w:val="0"/>
        <w:spacing w:before="120" w:after="283"/>
        <w:jc w:val="both"/>
        <w:rPr>
          <w:rFonts w:ascii="Arial" w:hAnsi="Arial"/>
          <w:color w:val="212529"/>
          <w:sz w:val="20"/>
        </w:rPr>
      </w:pPr>
      <w:r>
        <w:rPr>
          <w:rFonts w:ascii="Arial" w:hAnsi="Arial"/>
          <w:color w:val="212529"/>
          <w:sz w:val="20"/>
        </w:rPr>
        <w:t>Following our receipt of the topline results of LIFT-AD, we made the determination to explore strategic alternatives focused on maximizing stockholder value. As part of this process, we are exploring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However, there can be no assurance that we will be able to successfully consummate any particular strategic transaction. The process of continuing to evaluate these strategic options is costly, time-consuming and complex and we have incurred and may continue to incur significant costs related to this continued evaluation. We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our business and may diminish or delay any potential cash distributions to our stockholders. In addition, we may not be able to adequately limit or avoid future liabilities, including future costs relating to the lease on our headquarters, which may impair the value of any potential transaction or present additional challenges to completing a strategic transaction.</w:t>
      </w:r>
    </w:p>
    <w:p>
      <w:pPr>
        <w:pStyle w:val="TextBody"/>
        <w:bidi w:val="0"/>
        <w:spacing w:before="120" w:after="283"/>
        <w:jc w:val="both"/>
        <w:rPr>
          <w:rFonts w:ascii="Arial" w:hAnsi="Arial"/>
          <w:color w:val="212529"/>
          <w:sz w:val="20"/>
        </w:rPr>
      </w:pPr>
      <w:r>
        <w:rPr>
          <w:rFonts w:ascii="Arial" w:hAnsi="Arial"/>
          <w:color w:val="212529"/>
          <w:sz w:val="20"/>
        </w:rPr>
        <w:t>There can be no assurances that any particular course of action, business arrangement or transaction, or series of transactions, will be pursued, successfully consummated, lead to increased stockholder value, or achieve the anticipated results. Any failure of such potential transaction to achieve the anticipated results could significantly impair our ability to enter into any future strategic transactions and may significantly reduce or delay any future distributions to our stockholders.</w:t>
      </w:r>
    </w:p>
    <w:p>
      <w:pPr>
        <w:pStyle w:val="TextBody"/>
        <w:bidi w:val="0"/>
        <w:spacing w:before="120" w:after="283"/>
        <w:jc w:val="both"/>
        <w:rPr>
          <w:rFonts w:ascii="Arial" w:hAnsi="Arial"/>
          <w:b/>
          <w:i/>
          <w:color w:val="000000"/>
          <w:sz w:val="20"/>
        </w:rPr>
      </w:pPr>
      <w:r>
        <w:rPr>
          <w:rFonts w:ascii="Arial" w:hAnsi="Arial"/>
          <w:b/>
          <w:i/>
          <w:color w:val="000000"/>
          <w:sz w:val="20"/>
        </w:rPr>
        <w:t>We may not realize any additional value in a strategic transaction.</w:t>
      </w:r>
    </w:p>
    <w:p>
      <w:pPr>
        <w:pStyle w:val="TextBody"/>
        <w:bidi w:val="0"/>
        <w:spacing w:before="120" w:after="283"/>
        <w:jc w:val="both"/>
        <w:rPr>
          <w:rFonts w:ascii="Arial" w:hAnsi="Arial"/>
          <w:color w:val="212529"/>
          <w:sz w:val="20"/>
        </w:rPr>
      </w:pPr>
      <w:r>
        <w:rPr>
          <w:rFonts w:ascii="Arial" w:hAnsi="Arial"/>
          <w:color w:val="212529"/>
          <w:sz w:val="20"/>
        </w:rPr>
        <w:t>The market capitalization of our company is currently below the value of our current cash, cash equivalents and short-term investments. Potential counterparties in a strategic transaction involving our company may place minimal or no value on our assets, including ATH-1105. Further, the development and any potential commercialization of our product candidates would require substantial additional cash to fund the costs associated with conducting the necessary preclinical and clinical testing and obtaining regulatory approval. Consequently, any potential counterparty in a strategic transaction involving our company may choose not to spend the additional resources necessary to continue developing our product candidates and may attribute little or no value, in such a transaction, to those product candidates.</w:t>
      </w:r>
    </w:p>
    <w:p>
      <w:pPr>
        <w:pStyle w:val="TextBody"/>
        <w:bidi w:val="0"/>
        <w:spacing w:before="120" w:after="283"/>
        <w:jc w:val="both"/>
        <w:rPr>
          <w:rFonts w:ascii="Arial" w:hAnsi="Arial"/>
          <w:b/>
          <w:i/>
          <w:color w:val="000000"/>
          <w:sz w:val="20"/>
        </w:rPr>
      </w:pPr>
      <w:r>
        <w:rPr>
          <w:rFonts w:ascii="Arial" w:hAnsi="Arial"/>
          <w:b/>
          <w:i/>
          <w:color w:val="000000"/>
          <w:sz w:val="20"/>
        </w:rPr>
        <w:t>If we are successful in completing a strategic transaction, we may be exposed to other operational and financial risks.</w:t>
      </w:r>
    </w:p>
    <w:p>
      <w:pPr>
        <w:pStyle w:val="TextBody"/>
        <w:bidi w:val="0"/>
        <w:spacing w:before="120" w:after="283"/>
        <w:jc w:val="both"/>
        <w:rPr>
          <w:rFonts w:ascii="Arial" w:hAnsi="Arial"/>
          <w:color w:val="212529"/>
          <w:sz w:val="20"/>
        </w:rPr>
      </w:pPr>
      <w:r>
        <w:rPr>
          <w:rFonts w:ascii="Arial" w:hAnsi="Arial"/>
          <w:color w:val="212529"/>
          <w:sz w:val="20"/>
        </w:rPr>
        <w:t>Although there can be no assurance that a strategic transaction will result from the process we have undertaken to assess strategic alternatives, the negotiation and consummation of any such transaction will require significant time on the part of our management, and the diversion of management’s attention may disrupt the orderly operation of our company. The negotiation and consummation of any such transaction may also require more time or greater cash resources than we anticipate and expose us to other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near-term and long-term expenditures;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exposure to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higher than expected acquisition, disposition or integration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incurrence of substantial debt or dilutive issuances of equity securities to fund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write-downs of assets or incurrence of non-recurring, impairment or other charges;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difficulty and cost in combining the operations and personnel of any acquired business with our operations and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impairment of relationships with key suppliers or customers of any acquired business due to changes in management and ownership;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inability to retain key employees of our company or any acquired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possibility of future litigation.</w:t>
      </w:r>
    </w:p>
    <w:p>
      <w:pPr>
        <w:pStyle w:val="TextBody"/>
        <w:bidi w:val="0"/>
        <w:spacing w:before="120" w:after="283"/>
        <w:jc w:val="both"/>
        <w:rPr>
          <w:rFonts w:ascii="Times New Roman" w:hAnsi="Times New Roman"/>
          <w:sz w:val="20"/>
        </w:rPr>
      </w:pPr>
      <w:r>
        <w:rPr>
          <w:rFonts w:ascii="Arial" w:hAnsi="Arial"/>
          <w:color w:val="212529"/>
          <w:sz w:val="20"/>
        </w:rPr>
        <w:t>Any of the foregoing risks could have a material adverse effect on our business, financial condition and prospects.</w:t>
      </w:r>
      <w:r>
        <w:rPr>
          <w:rFonts w:ascii="Times New Roman" w:hAnsi="Times New Roman"/>
          <w:color w:val="212529"/>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i/>
          <w:color w:val="000000"/>
          <w:sz w:val="20"/>
        </w:rPr>
      </w:pPr>
      <w:r>
        <w:rPr>
          <w:rFonts w:ascii="Arial" w:hAnsi="Arial"/>
          <w:b/>
          <w:i/>
          <w:color w:val="000000"/>
          <w:sz w:val="20"/>
        </w:rPr>
        <w:t>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120" w:after="283"/>
        <w:jc w:val="both"/>
        <w:rPr>
          <w:rFonts w:ascii="Arial" w:hAnsi="Arial"/>
          <w:color w:val="212529"/>
          <w:sz w:val="20"/>
        </w:rPr>
      </w:pPr>
      <w:r>
        <w:rPr>
          <w:rFonts w:ascii="Arial" w:hAnsi="Arial"/>
          <w:color w:val="212529"/>
          <w:sz w:val="20"/>
        </w:rPr>
        <w:t>There can be no assurance that a strategic transaction will be pursued or completed, and, whether or not such strategic transaction is completed, our board of directors may decide to pursue a dissolution and liquidation of our company.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pStyle w:val="TextBody"/>
        <w:bidi w:val="0"/>
        <w:spacing w:before="360" w:after="283"/>
        <w:jc w:val="both"/>
        <w:rPr>
          <w:rFonts w:ascii="Arial" w:hAnsi="Arial"/>
          <w:b/>
          <w:color w:val="000000"/>
          <w:sz w:val="20"/>
        </w:rPr>
      </w:pPr>
      <w:r>
        <w:rPr>
          <w:rFonts w:ascii="Arial" w:hAnsi="Arial"/>
          <w:b/>
          <w:color w:val="000000"/>
          <w:sz w:val="20"/>
        </w:rPr>
        <w:t>Risks Related to Regulatory Approval and Other Legal Compliance Matters</w:t>
      </w:r>
    </w:p>
    <w:p>
      <w:pPr>
        <w:pStyle w:val="TextBody"/>
        <w:bidi w:val="0"/>
        <w:spacing w:before="12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pStyle w:val="TextBody"/>
        <w:bidi w:val="0"/>
        <w:spacing w:before="240" w:after="283"/>
        <w:jc w:val="both"/>
        <w:rPr>
          <w:rFonts w:ascii="Arial" w:hAnsi="Arial"/>
          <w:color w:val="000000"/>
          <w:sz w:val="20"/>
        </w:rPr>
      </w:pPr>
      <w:r>
        <w:rPr>
          <w:rFonts w:ascii="Arial" w:hAnsi="Arial"/>
          <w:color w:val="000000"/>
          <w:sz w:val="20"/>
        </w:rPr>
        <w:t>Applications for our drug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demonstrate to the FDA or other comparable foreign regulatory authorities that our drug candidate’s risk-benefit ratio for its proposed indication is acceptable;</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240" w:after="283"/>
        <w:jc w:val="both"/>
        <w:rPr>
          <w:rFonts w:ascii="Arial" w:hAnsi="Arial"/>
          <w:color w:val="000000"/>
          <w:sz w:val="20"/>
        </w:rPr>
      </w:pPr>
      <w:r>
        <w:rPr>
          <w:rFonts w:ascii="Arial" w:hAnsi="Arial"/>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Further, under the new leadership at the U.S. Department of Health and Human Services, or HHS, under the Trump administration, agency reorganization and mass layoffs due to the federal government reduction in force initiative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Fewer agency guidance documents could interfere with FDA programs or lead to more Complete Response Letters or refusals to approve products. It is unclear how our industry and our clinical programs will be impacted by policies and regulations implemented under the Trump administration and the new FDA commissioner, Dr. Martin Makary, or other executive orders. There is significant uncertainty in the industry and how federal agencies like the FDA will change in the coming years under the Trump administration. To the extent the agency reorganization and other agency changes lead to disruptions in FDA’s operations, including changes in funding for certain programs at the FDA, correspondence and regulatory review processes with the FDA may be materially delayed.</w:t>
      </w:r>
    </w:p>
    <w:p>
      <w:pPr>
        <w:pStyle w:val="TextBody"/>
        <w:bidi w:val="0"/>
        <w:spacing w:before="360" w:after="283"/>
        <w:jc w:val="both"/>
        <w:rPr>
          <w:rFonts w:ascii="Times New Roman" w:hAnsi="Times New Roman"/>
          <w:sz w:val="20"/>
        </w:rPr>
      </w:pPr>
      <w:r>
        <w:rPr>
          <w:rFonts w:ascii="Arial" w:hAnsi="Arial"/>
          <w:b/>
          <w:i/>
          <w:color w:val="000000"/>
          <w:sz w:val="20"/>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pStyle w:val="TextBody"/>
        <w:bidi w:val="0"/>
        <w:spacing w:before="240" w:after="283"/>
        <w:jc w:val="both"/>
        <w:rPr>
          <w:rFonts w:ascii="Arial" w:hAnsi="Arial"/>
          <w:color w:val="000000"/>
          <w:sz w:val="20"/>
        </w:rPr>
      </w:pPr>
      <w:r>
        <w:rPr>
          <w:rFonts w:ascii="Arial" w:hAnsi="Arial"/>
          <w:color w:val="000000"/>
          <w:sz w:val="20"/>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color w:val="000000"/>
          <w:sz w:val="20"/>
        </w:rPr>
      </w:pPr>
      <w:r>
        <w:rPr>
          <w:rFonts w:ascii="Arial" w:hAnsi="Arial"/>
          <w:color w:val="000000"/>
          <w:sz w:val="20"/>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pStyle w:val="TextBody"/>
        <w:bidi w:val="0"/>
        <w:spacing w:before="360" w:after="283"/>
        <w:jc w:val="both"/>
        <w:rPr>
          <w:rFonts w:ascii="Times New Roman" w:hAnsi="Times New Roman"/>
          <w:sz w:val="20"/>
        </w:rPr>
      </w:pPr>
      <w:r>
        <w:rPr>
          <w:rFonts w:ascii="Arial" w:hAnsi="Arial"/>
          <w:b/>
          <w:i/>
          <w:color w:val="000000"/>
          <w:sz w:val="20"/>
        </w:rPr>
        <w:t>Obtaining and maintaining regulatory approval of our drug candidates in one jurisdiction does not mean that we will be successful in obtaining regulatory approval of our drug candidates in other jurisdictions.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pStyle w:val="TextBody"/>
        <w:bidi w:val="0"/>
        <w:spacing w:before="240" w:after="283"/>
        <w:jc w:val="both"/>
        <w:rPr>
          <w:rFonts w:ascii="Arial" w:hAnsi="Arial"/>
          <w:color w:val="000000"/>
          <w:sz w:val="20"/>
        </w:rPr>
      </w:pPr>
      <w:r>
        <w:rPr>
          <w:rFonts w:ascii="Arial" w:hAnsi="Arial"/>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360" w:after="283"/>
        <w:jc w:val="both"/>
        <w:rPr>
          <w:rFonts w:ascii="Times New Roman" w:hAnsi="Times New Roman"/>
          <w:sz w:val="20"/>
        </w:rPr>
      </w:pPr>
      <w:r>
        <w:rPr>
          <w:rFonts w:ascii="Arial" w:hAnsi="Arial"/>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GCP regulations for any clinical trials that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our drug candidates, withdrawal of the drug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requirements to conduct additional post-market clinical trials to assess the safety of the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our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Recently,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mass layoffs, agency reorganizations, increased attrition, and changes in the leadership of the FDA and other federal agencies under the Trump administration may lead to new policies and changes in the regulations that could increase our compliance costs or delay our clinical development and timelines.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240" w:after="283"/>
        <w:jc w:val="both"/>
        <w:rPr>
          <w:rFonts w:ascii="Times New Roman" w:hAnsi="Times New Roman"/>
          <w:sz w:val="20"/>
        </w:rPr>
      </w:pPr>
      <w:r>
        <w:rPr>
          <w:rFonts w:ascii="Arial" w:hAnsi="Arial"/>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Disruptions at the FDA, the SEC and other government agencies under the current administration, funding cuts or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ability of the FDA to review and approve new products can be affected by a variety of factors, including changes in the administration, changes in the agency leadership, agency reorganization, mass layoffs, budget cuts and other initiatives implemented by the Department of Government Efficiency, changes in government budget and funding levels,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To the extent the FDA’s normal operations are disrupted or delayed, for example due to executive orders and other policies promulgated by the administration, travel restrictions, public health or geopolitical issues, staffing shortages or layoffs, or changes in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6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both"/>
        <w:rPr>
          <w:rFonts w:ascii="Arial" w:hAnsi="Arial"/>
          <w:color w:val="000000"/>
          <w:sz w:val="20"/>
        </w:rPr>
      </w:pPr>
      <w:r>
        <w:rPr>
          <w:rFonts w:ascii="Arial" w:hAnsi="Arial"/>
          <w:color w:val="000000"/>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pStyle w:val="TextBody"/>
        <w:bidi w:val="0"/>
        <w:spacing w:before="240" w:after="283"/>
        <w:jc w:val="both"/>
        <w:rPr>
          <w:rFonts w:ascii="Arial" w:hAnsi="Arial"/>
          <w:color w:val="000000"/>
          <w:sz w:val="20"/>
        </w:rPr>
      </w:pPr>
      <w:r>
        <w:rPr>
          <w:rFonts w:ascii="Arial" w:hAnsi="Arial"/>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General, or OIG, raised concerns with FDA’s accelerated approval of three of the 24 drugs review by OIG. It is unclear how this OIG report, future policy changes, changes in the leadership of FDA, and new FDA regulations, including those that may be implemented under the Trump administration, will impact NDAs and our clinical development programs.</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additions or modifications to drug product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recall or discontinuation of our drug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record-keeping requirements. If any such changes were to be imposed, they could adversely affect the operation of our business.</w:t>
      </w:r>
    </w:p>
    <w:p>
      <w:pPr>
        <w:pStyle w:val="TextBody"/>
        <w:bidi w:val="0"/>
        <w:spacing w:before="240" w:after="283"/>
        <w:jc w:val="both"/>
        <w:rPr>
          <w:rFonts w:ascii="Arial" w:hAnsi="Arial"/>
          <w:color w:val="000000"/>
          <w:sz w:val="20"/>
        </w:rPr>
      </w:pPr>
      <w:r>
        <w:rPr>
          <w:rFonts w:ascii="Arial" w:hAnsi="Arial"/>
          <w:color w:val="000000"/>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Arial" w:hAnsi="Arial"/>
          <w:color w:val="000000"/>
          <w:sz w:val="20"/>
        </w:rPr>
      </w:pPr>
      <w:r>
        <w:rPr>
          <w:rFonts w:ascii="Arial" w:hAnsi="Arial"/>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Trump administration will impact the ACA. Complying with any new legislation and regulatory requirements could be time-intensive and expensive, resulting in a material adverse effect on our business.</w:t>
      </w:r>
    </w:p>
    <w:p>
      <w:pPr>
        <w:pStyle w:val="TextBody"/>
        <w:bidi w:val="0"/>
        <w:spacing w:before="240" w:after="283"/>
        <w:jc w:val="both"/>
        <w:rPr>
          <w:rFonts w:ascii="Times New Roman" w:hAnsi="Times New Roman"/>
          <w:sz w:val="20"/>
        </w:rPr>
      </w:pPr>
      <w:r>
        <w:rPr>
          <w:rFonts w:ascii="Arial" w:hAnsi="Arial"/>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pStyle w:val="TextBody"/>
        <w:bidi w:val="0"/>
        <w:spacing w:before="240" w:after="283"/>
        <w:jc w:val="both"/>
        <w:rPr>
          <w:rFonts w:ascii="Times New Roman" w:hAnsi="Times New Roman"/>
          <w:sz w:val="20"/>
        </w:rPr>
      </w:pPr>
      <w:r>
        <w:rPr>
          <w:rFonts w:ascii="Arial" w:hAnsi="Arial"/>
          <w:color w:val="000000"/>
          <w:sz w:val="20"/>
        </w:rPr>
        <w:t xml:space="preserve">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judicial challenges in view of the Supreme Court’s overruling of the </w:t>
      </w:r>
      <w:r>
        <w:rPr>
          <w:rFonts w:ascii="Arial" w:hAnsi="Arial"/>
          <w:i/>
          <w:color w:val="000000"/>
          <w:sz w:val="20"/>
        </w:rPr>
        <w:t>Chevron</w:t>
      </w:r>
      <w:r>
        <w:rPr>
          <w:rFonts w:ascii="Times New Roman" w:hAnsi="Times New Roman"/>
          <w:color w:val="000000"/>
          <w:sz w:val="20"/>
        </w:rPr>
        <w:t xml:space="preserve"> </w:t>
      </w:r>
      <w:r>
        <w:rPr>
          <w:rFonts w:ascii="Arial" w:hAnsi="Arial"/>
          <w:color w:val="000000"/>
          <w:sz w:val="20"/>
        </w:rPr>
        <w:t>doctrine, other legislative, executive, and administrative actions and any future healthcare measures and agency rules implemented by the Trump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pStyle w:val="TextBody"/>
        <w:bidi w:val="0"/>
        <w:spacing w:before="240" w:after="283"/>
        <w:jc w:val="both"/>
        <w:rPr>
          <w:rFonts w:ascii="Arial" w:hAnsi="Arial"/>
          <w:color w:val="000000"/>
          <w:sz w:val="20"/>
        </w:rPr>
      </w:pPr>
      <w:r>
        <w:rPr>
          <w:rFonts w:ascii="Arial" w:hAnsi="Arial"/>
          <w:color w:val="000000"/>
          <w:sz w:val="20"/>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pStyle w:val="TextBody"/>
        <w:bidi w:val="0"/>
        <w:spacing w:before="240" w:after="283"/>
        <w:jc w:val="both"/>
        <w:rPr>
          <w:rFonts w:ascii="Arial" w:hAnsi="Arial"/>
          <w:color w:val="000000"/>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Times New Roman" w:hAnsi="Times New Roman"/>
          <w:sz w:val="20"/>
        </w:rPr>
      </w:pPr>
      <w:r>
        <w:rPr>
          <w:rFonts w:ascii="Arial" w:hAnsi="Arial"/>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demand for our drug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set a price that we believe is fair for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coverage and reimbursement approval for a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capital.</w:t>
      </w:r>
    </w:p>
    <w:p>
      <w:pPr>
        <w:pStyle w:val="TextBody"/>
        <w:bidi w:val="0"/>
        <w:spacing w:before="240" w:after="283"/>
        <w:jc w:val="both"/>
        <w:rPr>
          <w:rFonts w:ascii="Arial" w:hAnsi="Arial"/>
          <w:color w:val="000000"/>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Arial" w:hAnsi="Arial"/>
          <w:color w:val="000000"/>
          <w:sz w:val="20"/>
        </w:rPr>
      </w:pPr>
      <w:r>
        <w:rPr>
          <w:rFonts w:ascii="Arial" w:hAnsi="Arial"/>
          <w:color w:val="000000"/>
          <w:sz w:val="20"/>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36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color w:val="000000"/>
          <w:sz w:val="20"/>
        </w:rPr>
      </w:pPr>
      <w:r>
        <w:rPr>
          <w:rFonts w:ascii="Arial" w:hAnsi="Arial"/>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federal civil and criminal false claims laws, including the FCA, which can be enforced through civil “qui tam” or “whistleblower” actions, and civil monetary penalty laws, impose criminal and civil penalties against individuals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36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36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360" w:after="283"/>
        <w:jc w:val="both"/>
        <w:rPr>
          <w:rFonts w:ascii="Arial" w:hAnsi="Arial"/>
          <w:b/>
          <w:color w:val="000000"/>
          <w:sz w:val="20"/>
        </w:rPr>
      </w:pPr>
      <w:r>
        <w:rPr>
          <w:rFonts w:ascii="Arial" w:hAnsi="Arial"/>
          <w:b/>
          <w:color w:val="000000"/>
          <w:sz w:val="20"/>
        </w:rPr>
        <w:t>Risks Related to Our Reliance on Third Parties</w:t>
      </w:r>
    </w:p>
    <w:p>
      <w:pPr>
        <w:pStyle w:val="TextBody"/>
        <w:bidi w:val="0"/>
        <w:spacing w:before="120" w:after="283"/>
        <w:jc w:val="both"/>
        <w:rPr>
          <w:rFonts w:ascii="Arial" w:hAnsi="Arial"/>
          <w:b/>
          <w:i/>
          <w:color w:val="000000"/>
          <w:sz w:val="20"/>
        </w:rPr>
      </w:pPr>
      <w:r>
        <w:rPr>
          <w:rFonts w:ascii="Arial" w:hAnsi="Arial"/>
          <w:b/>
          <w:i/>
          <w:color w:val="000000"/>
          <w:sz w:val="20"/>
        </w:rPr>
        <w:t>We may use strategic collaborations, licensing arrangements or partnerships to accelerate the development and maximize the commercial potential of our programs, and we may not realize the benefits of such collaborations, arrangements or partnerships.</w:t>
      </w:r>
    </w:p>
    <w:p>
      <w:pPr>
        <w:pStyle w:val="TextBody"/>
        <w:bidi w:val="0"/>
        <w:spacing w:before="120" w:after="283"/>
        <w:jc w:val="both"/>
        <w:rPr>
          <w:rFonts w:ascii="Arial" w:hAnsi="Arial"/>
          <w:color w:val="000000"/>
          <w:sz w:val="20"/>
        </w:rPr>
      </w:pPr>
      <w:r>
        <w:rPr>
          <w:rFonts w:ascii="Arial" w:hAnsi="Arial"/>
          <w:color w:val="000000"/>
          <w:sz w:val="20"/>
        </w:rPr>
        <w:t>We own or in-license worldwide intellectual property rights to our pipeline of small molecule candidates. Where appropriate, we may use strategic collaborations, licensing arrangements or partnerships to accelerate the development and maximize the commercial potential of our programs. For example, we are actively seeking a partner to assist with the development of ATH-1105 through a joint collaboration agreement, provision of non-dilutive funding, or a combination of these and other structures.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both"/>
        <w:rPr>
          <w:rFonts w:ascii="Arial" w:hAnsi="Arial"/>
          <w:color w:val="000000"/>
          <w:sz w:val="20"/>
        </w:rPr>
      </w:pPr>
      <w:r>
        <w:rPr>
          <w:rFonts w:ascii="Arial" w:hAnsi="Arial"/>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pStyle w:val="TextBody"/>
        <w:bidi w:val="0"/>
        <w:spacing w:before="120" w:after="283"/>
        <w:jc w:val="both"/>
        <w:rPr>
          <w:rFonts w:ascii="Arial" w:hAnsi="Arial"/>
          <w:color w:val="000000"/>
          <w:sz w:val="20"/>
        </w:rPr>
      </w:pPr>
      <w:r>
        <w:rPr>
          <w:rFonts w:ascii="Arial" w:hAnsi="Arial"/>
          <w:color w:val="000000"/>
          <w:sz w:val="20"/>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pStyle w:val="TextBody"/>
        <w:bidi w:val="0"/>
        <w:spacing w:before="120" w:after="283"/>
        <w:jc w:val="both"/>
        <w:rPr>
          <w:rFonts w:ascii="Arial" w:hAnsi="Arial"/>
          <w:color w:val="000000"/>
          <w:sz w:val="20"/>
        </w:rPr>
      </w:pPr>
      <w:r>
        <w:rPr>
          <w:rFonts w:ascii="Arial" w:hAnsi="Arial"/>
          <w:color w:val="000000"/>
          <w:sz w:val="20"/>
        </w:rPr>
        <w:t>Even if we are successful in entering into collaborations involving our drug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delay clinical trials, provide insufficient funding for a clinical trial, stop a clinical trial, abandon a drug candidate, repeat or conduct new clinical trials or require a new formulation of a drug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could independently develop, or develop with third parties, products that compete directly or indirectly with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collaborator with marketing and distribution rights to one or more drug products may not commit sufficient resources to their marketing and distribution;</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own or co-own intellectual property covering our drug products that results from our collaborating with them, and in such cases, we would not have the exclusive right to commercialize such intellectual property.</w:t>
      </w:r>
    </w:p>
    <w:p>
      <w:pPr>
        <w:pStyle w:val="TextBody"/>
        <w:bidi w:val="0"/>
        <w:spacing w:before="120" w:after="283"/>
        <w:jc w:val="both"/>
        <w:rPr>
          <w:rFonts w:ascii="Arial" w:hAnsi="Arial"/>
          <w:color w:val="000000"/>
          <w:sz w:val="20"/>
        </w:rPr>
      </w:pPr>
      <w:r>
        <w:rPr>
          <w:rFonts w:ascii="Arial" w:hAnsi="Arial"/>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pStyle w:val="TextBody"/>
        <w:bidi w:val="0"/>
        <w:spacing w:before="120" w:after="283"/>
        <w:jc w:val="both"/>
        <w:rPr/>
      </w:pPr>
      <w:r>
        <w:rPr/>
        <w:t> </w:t>
      </w:r>
    </w:p>
    <w:p>
      <w:pPr>
        <w:pStyle w:val="TextBody"/>
        <w:bidi w:val="0"/>
        <w:spacing w:before="12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rFonts w:ascii="Arial" w:hAnsi="Arial"/>
          <w:color w:val="000000"/>
          <w:sz w:val="20"/>
        </w:rPr>
      </w:pPr>
      <w:r>
        <w:rPr>
          <w:rFonts w:ascii="Arial" w:hAnsi="Arial"/>
          <w:color w:val="000000"/>
          <w:sz w:val="20"/>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Arial" w:hAnsi="Arial"/>
          <w:color w:val="000000"/>
          <w:sz w:val="20"/>
        </w:rPr>
      </w:pPr>
      <w:r>
        <w:rPr>
          <w:rFonts w:ascii="Arial" w:hAnsi="Arial"/>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36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Arial" w:hAnsi="Arial"/>
          <w:color w:val="000000"/>
          <w:sz w:val="20"/>
        </w:rPr>
      </w:pPr>
      <w:r>
        <w:rPr>
          <w:rFonts w:ascii="Arial" w:hAnsi="Arial"/>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pStyle w:val="TextBody"/>
        <w:bidi w:val="0"/>
        <w:spacing w:before="240" w:after="283"/>
        <w:jc w:val="both"/>
        <w:rPr>
          <w:rFonts w:ascii="Arial" w:hAnsi="Arial"/>
          <w:color w:val="000000"/>
          <w:sz w:val="20"/>
        </w:rPr>
      </w:pPr>
      <w:r>
        <w:rPr>
          <w:rFonts w:ascii="Arial" w:hAnsi="Arial"/>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360" w:after="283"/>
        <w:jc w:val="both"/>
        <w:rPr>
          <w:rFonts w:ascii="Arial" w:hAnsi="Arial"/>
          <w:b/>
          <w:i/>
          <w:color w:val="000000"/>
          <w:sz w:val="20"/>
        </w:rPr>
      </w:pPr>
      <w:r>
        <w:rPr>
          <w:rFonts w:ascii="Arial" w:hAnsi="Arial"/>
          <w:b/>
          <w:i/>
          <w:color w:val="000000"/>
          <w:sz w:val="20"/>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pStyle w:val="TextBody"/>
        <w:bidi w:val="0"/>
        <w:spacing w:before="120" w:after="283"/>
        <w:jc w:val="both"/>
        <w:rPr>
          <w:rFonts w:ascii="Arial" w:hAnsi="Arial"/>
          <w:color w:val="000000"/>
          <w:sz w:val="20"/>
        </w:rPr>
      </w:pPr>
      <w:r>
        <w:rPr>
          <w:rFonts w:ascii="Arial" w:hAnsi="Arial"/>
          <w:color w:val="000000"/>
          <w:sz w:val="20"/>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reduction or termination of production or deliveries by suppliers, or the raising of prices or renegotiation of terms;</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misappropriation of our proprietary information, including our trade secrets and know-how.</w:t>
      </w:r>
    </w:p>
    <w:p>
      <w:pPr>
        <w:pStyle w:val="TextBody"/>
        <w:bidi w:val="0"/>
        <w:spacing w:before="240" w:after="283"/>
        <w:jc w:val="both"/>
        <w:rPr>
          <w:rFonts w:ascii="Arial" w:hAnsi="Arial"/>
          <w:color w:val="000000"/>
          <w:sz w:val="20"/>
        </w:rPr>
      </w:pPr>
      <w:r>
        <w:rPr>
          <w:rFonts w:ascii="Arial" w:hAnsi="Arial"/>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pStyle w:val="TextBody"/>
        <w:bidi w:val="0"/>
        <w:spacing w:before="240" w:after="283"/>
        <w:jc w:val="both"/>
        <w:rPr>
          <w:rFonts w:ascii="Times New Roman" w:hAnsi="Times New Roman"/>
          <w:sz w:val="20"/>
        </w:rPr>
      </w:pPr>
      <w:r>
        <w:rPr>
          <w:rFonts w:ascii="Arial" w:hAnsi="Arial"/>
          <w:color w:val="000000"/>
          <w:sz w:val="20"/>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in 2024, legislative proposals were passed in the House of Representatives and referred to the Senate that would have limited the extension of certain specific types of government contracts or renewals, loans, or grants, to companies that may do business with select Chinese biotechnology equipment or service providers.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may limit our ability to seek foreign regulatory approvals for our drug candidates, or may cause significant industry-wide supply delays or capacity limitations that could materially disrupt our operations, supply chain, and ability to produce, sell and distribute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 recent example of a change in policy that may impact our reliance on foreign third parties, the U.S. government instituted a new set of rules, effective April 8, 2025, that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require U.S. businesses to seek assurances from all foreign parties with which they share sensitive data (under certain types of agreements) 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pStyle w:val="TextBody"/>
        <w:bidi w:val="0"/>
        <w:spacing w:before="240" w:after="283"/>
        <w:jc w:val="both"/>
        <w:rPr>
          <w:rFonts w:ascii="Arial" w:hAnsi="Arial"/>
          <w:color w:val="000000"/>
          <w:sz w:val="20"/>
        </w:rPr>
      </w:pPr>
      <w:r>
        <w:rPr>
          <w:rFonts w:ascii="Arial" w:hAnsi="Arial"/>
          <w:color w:val="000000"/>
          <w:sz w:val="20"/>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Relatedly, the United States has recently enacted and proposed to enact significant new tariffs on a number of countries.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have caused and may continue to cause significant volatility in global financial markets and may have a material adverse effect on global economic conditions, and may significantly reduce global trade and, in particular, trade between the impacted nations and the U.S. Any of these factors could depress economic activity and restrict our access to third party services. In addition, we rely on third parties located outside of the United States to source and manufacture our drug candidates. To the extent their business is impacted by global market or economic volatility, the cost and supply of our drug candidates could be materially and adversely affected.</w:t>
      </w:r>
    </w:p>
    <w:p>
      <w:pPr>
        <w:pStyle w:val="TextBody"/>
        <w:bidi w:val="0"/>
        <w:spacing w:before="240" w:after="283"/>
        <w:jc w:val="both"/>
        <w:rPr>
          <w:rFonts w:ascii="Arial" w:hAnsi="Arial"/>
          <w:color w:val="000000"/>
          <w:sz w:val="20"/>
        </w:rPr>
      </w:pPr>
      <w:r>
        <w:rPr>
          <w:rFonts w:ascii="Arial" w:hAnsi="Arial"/>
          <w:color w:val="000000"/>
          <w:sz w:val="20"/>
        </w:rPr>
        <w:t>We cannot predict what products and services may be subject to such actions or what actions may be taken by the other countries in retaliation, any of which may materially and adversely affect our business, financial condition, results of operations, and cash flows.</w:t>
      </w:r>
    </w:p>
    <w:p>
      <w:pPr>
        <w:pStyle w:val="TextBody"/>
        <w:bidi w:val="0"/>
        <w:spacing w:before="36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36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120" w:after="283"/>
        <w:jc w:val="both"/>
        <w:rPr>
          <w:rFonts w:ascii="Arial" w:hAnsi="Arial"/>
          <w:color w:val="000000"/>
          <w:sz w:val="20"/>
        </w:rPr>
      </w:pPr>
      <w:r>
        <w:rPr>
          <w:rFonts w:ascii="Arial" w:hAnsi="Arial"/>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360" w:after="283"/>
        <w:jc w:val="both"/>
        <w:rPr>
          <w:rFonts w:ascii="Arial" w:hAnsi="Arial"/>
          <w:b/>
          <w:color w:val="000000"/>
          <w:sz w:val="20"/>
        </w:rPr>
      </w:pPr>
      <w:r>
        <w:rPr>
          <w:rFonts w:ascii="Arial" w:hAnsi="Arial"/>
          <w:b/>
          <w:color w:val="000000"/>
          <w:sz w:val="20"/>
        </w:rPr>
        <w:t>Risks Related to Our Ability to Commercialize our Drug Products</w:t>
      </w:r>
    </w:p>
    <w:p>
      <w:pPr>
        <w:pStyle w:val="TextBody"/>
        <w:bidi w:val="0"/>
        <w:spacing w:before="120" w:after="283"/>
        <w:jc w:val="both"/>
        <w:rPr>
          <w:rFonts w:ascii="Times New Roman" w:hAnsi="Times New Roman"/>
          <w:sz w:val="20"/>
        </w:rPr>
      </w:pPr>
      <w:r>
        <w:rPr>
          <w:rFonts w:ascii="Arial" w:hAnsi="Arial"/>
          <w:b/>
          <w:i/>
          <w:color w:val="000000"/>
          <w:sz w:val="20"/>
        </w:rPr>
        <w:t>Even if approved, our drug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of market introduction of the drug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clinical indications for which the drug candidate is approved;</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extent of physician acceptance of FDA-approved therapies for target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use of our drug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and perceived advantages of our drug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the approved drug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unfavorable publicity relating to our drug products or drug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of other new therapies for the same indications.</w:t>
      </w:r>
    </w:p>
    <w:p>
      <w:pPr>
        <w:pStyle w:val="TextBody"/>
        <w:bidi w:val="0"/>
        <w:spacing w:before="240" w:after="283"/>
        <w:jc w:val="both"/>
        <w:rPr>
          <w:rFonts w:ascii="Times New Roman" w:hAnsi="Times New Roman"/>
          <w:sz w:val="20"/>
        </w:rPr>
      </w:pPr>
      <w:r>
        <w:rPr>
          <w:rFonts w:ascii="Arial" w:hAnsi="Arial"/>
          <w:color w:val="000000"/>
          <w:sz w:val="20"/>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hAnsi="Arial"/>
          <w:color w:val="212529"/>
          <w:sz w:val="20"/>
        </w:rPr>
        <w:t xml:space="preserve">results </w:t>
      </w:r>
      <w:r>
        <w:rPr>
          <w:rFonts w:ascii="Arial" w:hAnsi="Arial"/>
          <w:color w:val="000000"/>
          <w:sz w:val="20"/>
        </w:rPr>
        <w:t>could be negatively impacted.</w:t>
      </w:r>
    </w:p>
    <w:p>
      <w:pPr>
        <w:pStyle w:val="TextBody"/>
        <w:bidi w:val="0"/>
        <w:spacing w:before="360" w:after="283"/>
        <w:jc w:val="both"/>
        <w:rPr>
          <w:rFonts w:ascii="Times New Roman" w:hAnsi="Times New Roman"/>
          <w:sz w:val="20"/>
        </w:rPr>
      </w:pPr>
      <w:r>
        <w:rPr>
          <w:rFonts w:ascii="Arial" w:hAnsi="Arial"/>
          <w:b/>
          <w:i/>
          <w:color w:val="000000"/>
          <w:sz w:val="20"/>
        </w:rPr>
        <w:t>We have never commercialized a drug candidate before and may lack the necessary expertise, personnel and resources to successfully commercialize any drug products on our own or together with suitable collaborators.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hAnsi="Arial"/>
          <w:color w:val="212529"/>
          <w:sz w:val="20"/>
        </w:rPr>
        <w:t>.</w:t>
      </w:r>
    </w:p>
    <w:p>
      <w:pPr>
        <w:pStyle w:val="TextBody"/>
        <w:bidi w:val="0"/>
        <w:spacing w:before="240" w:after="283"/>
        <w:jc w:val="both"/>
        <w:rPr>
          <w:rFonts w:ascii="Times New Roman" w:hAnsi="Times New Roman"/>
          <w:sz w:val="20"/>
        </w:rPr>
      </w:pPr>
      <w:r>
        <w:rPr>
          <w:rFonts w:ascii="Arial" w:hAnsi="Arial"/>
          <w:color w:val="212529"/>
          <w:sz w:val="20"/>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hAnsi="Arial"/>
          <w:color w:val="000000"/>
          <w:sz w:val="20"/>
        </w:rPr>
        <w:t>.</w:t>
      </w:r>
    </w:p>
    <w:p>
      <w:pPr>
        <w:pStyle w:val="TextBody"/>
        <w:bidi w:val="0"/>
        <w:spacing w:before="360" w:after="283"/>
        <w:jc w:val="both"/>
        <w:rPr>
          <w:rFonts w:ascii="Arial" w:hAnsi="Arial"/>
          <w:b/>
          <w:i/>
          <w:color w:val="000000"/>
          <w:sz w:val="20"/>
        </w:rPr>
      </w:pPr>
      <w:r>
        <w:rPr>
          <w:rFonts w:ascii="Arial" w:hAnsi="Arial"/>
          <w:b/>
          <w:i/>
          <w:color w:val="000000"/>
          <w:sz w:val="20"/>
        </w:rPr>
        <w:t>If the market opportunity for any drug candidate that we develop is smaller than we believe, our revenue may be adversely affected and our business may suffer.</w:t>
      </w:r>
    </w:p>
    <w:p>
      <w:pPr>
        <w:pStyle w:val="TextBody"/>
        <w:bidi w:val="0"/>
        <w:spacing w:before="120" w:after="283"/>
        <w:jc w:val="both"/>
        <w:rPr>
          <w:rFonts w:ascii="Arial" w:hAnsi="Arial"/>
          <w:color w:val="000000"/>
          <w:sz w:val="20"/>
        </w:rPr>
      </w:pPr>
      <w:r>
        <w:rPr>
          <w:rFonts w:ascii="Arial" w:hAnsi="Arial"/>
          <w:color w:val="000000"/>
          <w:sz w:val="20"/>
        </w:rPr>
        <w:t>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decreased demand for our drug candidates or drug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drug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inability to commercialize any drug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decline in our share price.</w:t>
      </w:r>
    </w:p>
    <w:p>
      <w:pPr>
        <w:pStyle w:val="TextBody"/>
        <w:bidi w:val="0"/>
        <w:spacing w:before="280" w:after="283"/>
        <w:jc w:val="both"/>
        <w:rPr>
          <w:rFonts w:ascii="Times New Roman" w:hAnsi="Times New Roman"/>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hAnsi="Arial"/>
          <w:color w:val="212529"/>
          <w:sz w:val="20"/>
        </w:rPr>
        <w:t>collaborators</w:t>
      </w:r>
      <w:r>
        <w:rPr>
          <w:rFonts w:ascii="Arial" w:hAnsi="Arial"/>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pStyle w:val="TextBody"/>
        <w:bidi w:val="0"/>
        <w:spacing w:before="240" w:after="283"/>
        <w:jc w:val="both"/>
        <w:rPr>
          <w:rFonts w:ascii="Times New Roman" w:hAnsi="Times New Roman"/>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color w:val="212529"/>
          <w:sz w:val="20"/>
        </w:rPr>
        <w:t>prices</w:t>
      </w:r>
      <w:r>
        <w:rPr>
          <w:rFonts w:ascii="Times New Roman" w:hAnsi="Times New Roman"/>
          <w:color w:val="000000"/>
          <w:sz w:val="20"/>
        </w:rPr>
        <w:t xml:space="preserve"> </w:t>
      </w:r>
      <w:r>
        <w:rPr>
          <w:rFonts w:ascii="Arial" w:hAnsi="Arial"/>
          <w:color w:val="000000"/>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hAnsi="Arial"/>
          <w:color w:val="212529"/>
          <w:sz w:val="20"/>
        </w:rPr>
        <w:t>.</w:t>
      </w:r>
    </w:p>
    <w:p>
      <w:pPr>
        <w:pStyle w:val="TextBody"/>
        <w:bidi w:val="0"/>
        <w:spacing w:before="240" w:after="283"/>
        <w:jc w:val="both"/>
        <w:rPr>
          <w:rFonts w:ascii="Arial" w:hAnsi="Arial"/>
          <w:color w:val="212529"/>
          <w:sz w:val="20"/>
        </w:rPr>
      </w:pPr>
      <w:r>
        <w:rPr>
          <w:rFonts w:ascii="Arial" w:hAnsi="Arial"/>
          <w:color w:val="212529"/>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pStyle w:val="TextBody"/>
        <w:bidi w:val="0"/>
        <w:spacing w:before="240" w:after="283"/>
        <w:jc w:val="both"/>
        <w:rPr>
          <w:rFonts w:ascii="Times New Roman" w:hAnsi="Times New Roman"/>
          <w:sz w:val="20"/>
        </w:rPr>
      </w:pPr>
      <w:r>
        <w:rPr>
          <w:rFonts w:ascii="Arial" w:hAnsi="Arial"/>
          <w:color w:val="212529"/>
          <w:sz w:val="20"/>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w:t>
      </w:r>
      <w:r>
        <w:rPr>
          <w:rFonts w:ascii="Times New Roman" w:hAnsi="Times New Roman"/>
          <w:color w:val="212529"/>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212529"/>
          <w:sz w:val="20"/>
        </w:rPr>
        <w:t>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r>
        <w:rPr>
          <w:rFonts w:ascii="Arial" w:hAnsi="Arial"/>
          <w:color w:val="000000"/>
          <w:sz w:val="20"/>
        </w:rPr>
        <w:t>.</w:t>
      </w:r>
    </w:p>
    <w:p>
      <w:pPr>
        <w:pStyle w:val="TextBody"/>
        <w:bidi w:val="0"/>
        <w:spacing w:before="360" w:after="283"/>
        <w:jc w:val="both"/>
        <w:rPr>
          <w:rFonts w:ascii="Times New Roman" w:hAnsi="Times New Roman"/>
          <w:sz w:val="20"/>
        </w:rPr>
      </w:pPr>
      <w:r>
        <w:rPr>
          <w:rFonts w:ascii="Arial" w:hAnsi="Arial"/>
          <w:b/>
          <w:i/>
          <w:color w:val="000000"/>
          <w:sz w:val="20"/>
        </w:rPr>
        <w:t>A variety of risks associated with marketing our drug candidates internationally may materially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 xml:space="preserve">We plan to eventually seek regulatory approval of our drug candidates outside of the United States and, accordingly, we </w:t>
      </w:r>
      <w:r>
        <w:rPr>
          <w:rFonts w:ascii="Arial" w:hAnsi="Arial"/>
          <w:color w:val="212529"/>
          <w:sz w:val="20"/>
        </w:rPr>
        <w:t xml:space="preserve">expect </w:t>
      </w:r>
      <w:r>
        <w:rPr>
          <w:rFonts w:ascii="Arial" w:hAnsi="Arial"/>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impact of health epidemics on our ability to produce our drug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U.S. or non-U.S. tariffs, trade barriers, price and exchange controls and other regulatory requirements, including any changes that nations may impose as a result of political tensions;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color w:val="000000"/>
          <w:sz w:val="20"/>
        </w:rPr>
        <w:t xml:space="preserve">These and other risks associated with international operations may materially adversely affect our ability to attain or maintain </w:t>
      </w:r>
      <w:r>
        <w:rPr>
          <w:rFonts w:ascii="Arial" w:hAnsi="Arial"/>
          <w:color w:val="212529"/>
          <w:sz w:val="20"/>
        </w:rPr>
        <w:t xml:space="preserve">profitable </w:t>
      </w:r>
      <w:r>
        <w:rPr>
          <w:rFonts w:ascii="Arial" w:hAnsi="Arial"/>
          <w:color w:val="000000"/>
          <w:sz w:val="20"/>
        </w:rPr>
        <w:t>operations.</w:t>
      </w:r>
    </w:p>
    <w:p>
      <w:pPr>
        <w:pStyle w:val="TextBody"/>
        <w:bidi w:val="0"/>
        <w:spacing w:before="360" w:after="283"/>
        <w:jc w:val="both"/>
        <w:rPr>
          <w:rFonts w:ascii="Arial" w:hAnsi="Arial"/>
          <w:b/>
          <w:color w:val="000000"/>
          <w:sz w:val="20"/>
        </w:rPr>
      </w:pPr>
      <w:r>
        <w:rPr>
          <w:rFonts w:ascii="Arial" w:hAnsi="Arial"/>
          <w:b/>
          <w:color w:val="000000"/>
          <w:sz w:val="20"/>
        </w:rPr>
        <w:t>Risks Related to Our Intellectual Property</w:t>
      </w:r>
    </w:p>
    <w:p>
      <w:pPr>
        <w:pStyle w:val="TextBody"/>
        <w:bidi w:val="0"/>
        <w:spacing w:before="12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patent laws in the United States or in other countries may limit the ability to obtain, defend or enforce patents, or may apply retroactively to affect the term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color w:val="000000"/>
          <w:sz w:val="20"/>
        </w:rPr>
      </w:pPr>
      <w:r>
        <w:rPr>
          <w:rFonts w:ascii="Arial" w:hAnsi="Arial"/>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80" w:after="283"/>
        <w:jc w:val="both"/>
        <w:rPr>
          <w:rFonts w:ascii="Arial" w:hAnsi="Arial"/>
          <w:color w:val="000000"/>
          <w:sz w:val="20"/>
        </w:rPr>
      </w:pPr>
      <w:r>
        <w:rPr>
          <w:rFonts w:ascii="Arial" w:hAnsi="Arial"/>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both"/>
        <w:rPr>
          <w:rFonts w:ascii="Times New Roman" w:hAnsi="Times New Roman"/>
          <w:sz w:val="20"/>
        </w:rPr>
      </w:pPr>
      <w:r>
        <w:rPr>
          <w:rFonts w:ascii="Arial" w:hAnsi="Arial"/>
          <w:color w:val="000000"/>
          <w:sz w:val="20"/>
        </w:rPr>
        <w:t>Given the amount of time required for the development, testing and regulatory review of new drug candidates, patents protecting such candidates or their use might expire before or shortly after such candidates are commercialized. As a result,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intellectual property may not provide us with sufficient rights to exclude others from commercializing products similar or identical to ours.</w:t>
      </w:r>
    </w:p>
    <w:p>
      <w:pPr>
        <w:pStyle w:val="TextBody"/>
        <w:bidi w:val="0"/>
        <w:spacing w:before="360" w:after="283"/>
        <w:jc w:val="both"/>
        <w:rPr>
          <w:rFonts w:ascii="Times New Roman" w:hAnsi="Times New Roman"/>
          <w:sz w:val="20"/>
        </w:rPr>
      </w:pPr>
      <w:r>
        <w:rPr>
          <w:rFonts w:ascii="Arial" w:hAnsi="Arial"/>
          <w:b/>
          <w:i/>
          <w:color w:val="000000"/>
          <w:sz w:val="20"/>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pStyle w:val="TextBody"/>
        <w:bidi w:val="0"/>
        <w:spacing w:before="240" w:after="283"/>
        <w:jc w:val="both"/>
        <w:rPr>
          <w:rFonts w:ascii="Arial" w:hAnsi="Arial"/>
          <w:color w:val="000000"/>
          <w:sz w:val="20"/>
        </w:rPr>
      </w:pPr>
      <w:r>
        <w:rPr>
          <w:rFonts w:ascii="Arial" w:hAnsi="Arial"/>
          <w:color w:val="000000"/>
          <w:sz w:val="20"/>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challenging our patent rights. An adverse determination in any such submission, proceeding or litigation could reduce the scope or term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color w:val="000000"/>
          <w:sz w:val="20"/>
        </w:rPr>
        <w:t>For example, third parties may challenge the validity or enforceability of our current or future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current or future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though we own patents and patent applications covering our small molecule drug candidates, our patents and any future patents we obtain may not effectively prevent others from developing or commercializing products similar to our drug candidates. Third parties may seek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be able to develop products that are similar to our drug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both"/>
        <w:rPr>
          <w:rFonts w:ascii="Arial" w:hAnsi="Arial"/>
          <w:color w:val="000000"/>
          <w:sz w:val="20"/>
        </w:rPr>
      </w:pPr>
      <w:r>
        <w:rPr>
          <w:rFonts w:ascii="Arial" w:hAnsi="Arial"/>
          <w:color w:val="000000"/>
          <w:sz w:val="20"/>
        </w:rPr>
        <w:t>Should any of these events occur, it could significantly harm our business, results of operations and prospects.</w:t>
      </w:r>
    </w:p>
    <w:p>
      <w:pPr>
        <w:pStyle w:val="TextBody"/>
        <w:bidi w:val="0"/>
        <w:spacing w:before="36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pStyle w:val="TextBody"/>
        <w:bidi w:val="0"/>
        <w:spacing w:before="240" w:after="283"/>
        <w:jc w:val="both"/>
        <w:rPr>
          <w:rFonts w:ascii="Times New Roman" w:hAnsi="Times New Roman"/>
          <w:sz w:val="20"/>
        </w:rPr>
      </w:pPr>
      <w:r>
        <w:rPr>
          <w:rFonts w:ascii="Arial" w:hAnsi="Arial"/>
          <w:color w:val="000000"/>
          <w:sz w:val="20"/>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us from commercializing any of our drug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color w:val="000000"/>
          <w:sz w:val="20"/>
        </w:rPr>
      </w:pPr>
      <w:r>
        <w:rPr>
          <w:rFonts w:ascii="Arial" w:hAnsi="Arial"/>
          <w:color w:val="000000"/>
          <w:sz w:val="20"/>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not be successful in obtaining or maintaining necessary rights to our drug candidates through acquisitions and in-licenses.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color w:val="000000"/>
          <w:sz w:val="20"/>
        </w:rPr>
      </w:pPr>
      <w:r>
        <w:rPr>
          <w:rFonts w:ascii="Arial" w:hAnsi="Arial"/>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pStyle w:val="TextBody"/>
        <w:bidi w:val="0"/>
        <w:spacing w:before="240" w:after="283"/>
        <w:jc w:val="both"/>
        <w:rPr>
          <w:rFonts w:ascii="Arial" w:hAnsi="Arial"/>
          <w:color w:val="000000"/>
          <w:sz w:val="20"/>
        </w:rPr>
      </w:pPr>
      <w:r>
        <w:rPr>
          <w:rFonts w:ascii="Arial" w:hAnsi="Arial"/>
          <w:color w:val="000000"/>
          <w:sz w:val="20"/>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pStyle w:val="TextBody"/>
        <w:bidi w:val="0"/>
        <w:spacing w:before="240" w:after="283"/>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the issuance of a patent does not give us the right to practice the patented invention. Third parties may have blocking patents that could prevent us from marketing our own patented drug product and practicing our own patented technology.</w:t>
      </w:r>
    </w:p>
    <w:p>
      <w:pPr>
        <w:pStyle w:val="TextBody"/>
        <w:bidi w:val="0"/>
        <w:spacing w:before="36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120" w:after="283"/>
        <w:jc w:val="both"/>
        <w:rPr>
          <w:rFonts w:ascii="Arial" w:hAnsi="Arial"/>
          <w:color w:val="000000"/>
          <w:sz w:val="20"/>
        </w:rPr>
      </w:pPr>
      <w:r>
        <w:rPr>
          <w:rFonts w:ascii="Arial" w:hAnsi="Arial"/>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pStyle w:val="TextBody"/>
        <w:bidi w:val="0"/>
        <w:spacing w:before="36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pStyle w:val="TextBody"/>
        <w:bidi w:val="0"/>
        <w:spacing w:before="240" w:after="283"/>
        <w:jc w:val="both"/>
        <w:rPr>
          <w:rFonts w:ascii="Arial" w:hAnsi="Arial"/>
          <w:color w:val="000000"/>
          <w:sz w:val="20"/>
        </w:rPr>
      </w:pPr>
      <w:r>
        <w:rPr>
          <w:rFonts w:ascii="Arial" w:hAnsi="Arial"/>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Arial" w:hAnsi="Arial"/>
          <w:color w:val="000000"/>
          <w:sz w:val="20"/>
        </w:rPr>
      </w:pPr>
      <w:r>
        <w:rPr>
          <w:rFonts w:ascii="Arial" w:hAnsi="Arial"/>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sz w:val="20"/>
        </w:rPr>
      </w:pPr>
      <w:r>
        <w:rPr>
          <w:rFonts w:ascii="Arial" w:hAnsi="Arial"/>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360" w:after="283"/>
        <w:jc w:val="both"/>
        <w:rPr>
          <w:rFonts w:ascii="Times New Roman" w:hAnsi="Times New Roman"/>
          <w:sz w:val="20"/>
        </w:rPr>
      </w:pPr>
      <w:r>
        <w:rPr>
          <w:rFonts w:ascii="Arial" w:hAnsi="Arial"/>
          <w:b/>
          <w:i/>
          <w:color w:val="000000"/>
          <w:sz w:val="20"/>
        </w:rPr>
        <w:t>Patent terms may be inadequate to protect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pStyle w:val="TextBody"/>
        <w:bidi w:val="0"/>
        <w:spacing w:before="360" w:after="283"/>
        <w:jc w:val="both"/>
        <w:rPr>
          <w:rFonts w:ascii="Times New Roman" w:hAnsi="Times New Roman"/>
          <w:sz w:val="20"/>
        </w:rPr>
      </w:pPr>
      <w:r>
        <w:rPr>
          <w:rFonts w:ascii="Arial" w:hAnsi="Arial"/>
          <w:b/>
          <w:i/>
          <w:color w:val="000000"/>
          <w:sz w:val="20"/>
        </w:rPr>
        <w:t>If we do not obtain patent term extension for our drug candidates, our business may be materially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pStyle w:val="TextBody"/>
        <w:bidi w:val="0"/>
        <w:spacing w:before="36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Arial" w:hAnsi="Arial"/>
          <w:color w:val="000000"/>
          <w:sz w:val="20"/>
        </w:rPr>
      </w:pPr>
      <w:r>
        <w:rPr>
          <w:rFonts w:ascii="Arial" w:hAnsi="Arial"/>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both"/>
        <w:rPr>
          <w:rFonts w:ascii="Arial" w:hAnsi="Arial"/>
          <w:color w:val="000000"/>
          <w:sz w:val="20"/>
        </w:rPr>
      </w:pPr>
      <w:r>
        <w:rPr>
          <w:rFonts w:ascii="Arial" w:hAnsi="Arial"/>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36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Arial" w:hAnsi="Arial"/>
          <w:color w:val="000000"/>
          <w:sz w:val="20"/>
        </w:rPr>
      </w:pPr>
      <w:r>
        <w:rPr>
          <w:rFonts w:ascii="Arial" w:hAnsi="Arial"/>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360" w:after="283"/>
        <w:jc w:val="both"/>
        <w:rPr>
          <w:rFonts w:ascii="Times New Roman" w:hAnsi="Times New Roman"/>
          <w:sz w:val="20"/>
        </w:rPr>
      </w:pPr>
      <w:r>
        <w:rPr>
          <w:rFonts w:ascii="Arial" w:hAnsi="Arial"/>
          <w:b/>
          <w:i/>
          <w:color w:val="000000"/>
          <w:sz w:val="20"/>
        </w:rPr>
        <w:t>Our rights to develop and commercialize our drug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pStyle w:val="TextBody"/>
        <w:bidi w:val="0"/>
        <w:spacing w:before="240" w:after="283"/>
        <w:jc w:val="both"/>
        <w:rPr>
          <w:rFonts w:ascii="Arial" w:hAnsi="Arial"/>
          <w:color w:val="000000"/>
          <w:sz w:val="20"/>
        </w:rPr>
      </w:pPr>
      <w:r>
        <w:rPr>
          <w:rFonts w:ascii="Arial" w:hAnsi="Arial"/>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120" w:after="283"/>
        <w:jc w:val="both"/>
        <w:rPr>
          <w:rFonts w:ascii="Arial" w:hAnsi="Arial"/>
          <w:color w:val="000000"/>
          <w:sz w:val="20"/>
        </w:rPr>
      </w:pPr>
      <w:r>
        <w:rPr>
          <w:rFonts w:ascii="Arial" w:hAnsi="Arial"/>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and the extent to which our drug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both"/>
        <w:rPr>
          <w:rFonts w:ascii="Arial" w:hAnsi="Arial"/>
          <w:color w:val="000000"/>
          <w:sz w:val="20"/>
        </w:rPr>
      </w:pPr>
      <w:r>
        <w:rPr>
          <w:rFonts w:ascii="Arial" w:hAnsi="Arial"/>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The patent protection and patent prosecution for some of our drug candidates may be dependent on third parties.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36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Pursuant to the Bayh-Dole Act of 1980, or the Bayh-Dole Act, the U.S. government may have certain rights in any invention developed or reduced to practice with government funding. We have in the past discovered, developed, acquired, or licensed new intellectual property that has been generated through the use of U.S. government funding or grants in which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U.S. government may have certain rights pursuant to the Bayh-Dole Act, and we may do so in the future.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pStyle w:val="TextBody"/>
        <w:bidi w:val="0"/>
        <w:spacing w:before="360" w:after="283"/>
        <w:jc w:val="both"/>
        <w:rPr>
          <w:rFonts w:ascii="Arial" w:hAnsi="Arial"/>
          <w:b/>
          <w:color w:val="000000"/>
          <w:sz w:val="20"/>
        </w:rPr>
      </w:pPr>
      <w:r>
        <w:rPr>
          <w:rFonts w:ascii="Arial" w:hAnsi="Arial"/>
          <w:b/>
          <w:color w:val="000000"/>
          <w:sz w:val="20"/>
        </w:rPr>
        <w:t>Risks Related to Cybersecurity</w:t>
      </w:r>
    </w:p>
    <w:p>
      <w:pPr>
        <w:pStyle w:val="TextBody"/>
        <w:bidi w:val="0"/>
        <w:spacing w:before="12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discussed in the section titled "Part 1, Item 1.C—Cybersecurity" in our Annual Report on Form 10-K filed with the SEC on February 27, 2025,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Times New Roman" w:hAnsi="Times New Roman"/>
          <w:sz w:val="20"/>
        </w:rPr>
      </w:pPr>
      <w:r>
        <w:rPr>
          <w:rFonts w:ascii="Arial" w:hAnsi="Arial"/>
          <w:color w:val="000000"/>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color w:val="000000"/>
          <w:sz w:val="20"/>
        </w:rPr>
      </w:pPr>
      <w:r>
        <w:rPr>
          <w:rFonts w:ascii="Arial" w:hAnsi="Arial"/>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color w:val="000000"/>
          <w:sz w:val="20"/>
        </w:rPr>
      </w:pPr>
      <w:r>
        <w:rPr>
          <w:rFonts w:ascii="Arial" w:hAnsi="Arial"/>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both"/>
        <w:rPr>
          <w:rFonts w:ascii="Times New Roman" w:hAnsi="Times New Roman"/>
          <w:sz w:val="20"/>
        </w:rPr>
      </w:pPr>
      <w:r>
        <w:rPr>
          <w:rFonts w:ascii="Arial" w:hAnsi="Arial"/>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color w:val="000000"/>
          <w:sz w:val="20"/>
        </w:rPr>
      </w:pPr>
      <w:r>
        <w:rPr>
          <w:rFonts w:ascii="Arial" w:hAnsi="Arial"/>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Arial" w:hAnsi="Arial"/>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360" w:after="283"/>
        <w:jc w:val="both"/>
        <w:rPr>
          <w:rFonts w:ascii="Arial" w:hAnsi="Arial"/>
          <w:b/>
          <w:color w:val="000000"/>
          <w:sz w:val="20"/>
        </w:rPr>
      </w:pPr>
      <w:r>
        <w:rPr>
          <w:rFonts w:ascii="Arial" w:hAnsi="Arial"/>
          <w:b/>
          <w:color w:val="000000"/>
          <w:sz w:val="20"/>
        </w:rPr>
        <w:t>Risks Related to Ownership of Our Common Stock</w:t>
      </w:r>
    </w:p>
    <w:p>
      <w:pPr>
        <w:pStyle w:val="TextBody"/>
        <w:bidi w:val="0"/>
        <w:spacing w:before="120" w:after="283"/>
        <w:jc w:val="both"/>
        <w:rPr>
          <w:rFonts w:ascii="Times New Roman" w:hAnsi="Times New Roman"/>
          <w:sz w:val="20"/>
        </w:rPr>
      </w:pPr>
      <w:r>
        <w:rPr>
          <w:rFonts w:ascii="Arial" w:hAnsi="Arial"/>
          <w:b/>
          <w:i/>
          <w:color w:val="000000"/>
          <w:sz w:val="20"/>
        </w:rPr>
        <w:t>If we do not regain compliance with or continue to satisfy the Nasdaq continued listing requirements, our common stock could be delisted from the Nasdaq, which may make it more difficult for investors to sell shares of our common stock and consequently may negatively impact the price of our common stock.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in the past and may in the future fail to comply with the Nasdaq listing rules. For example, from September 4, 2024 to May 8, 2025, our common stock has had a closing bid price below the minimum $1.00 requirement. We received a deficiency notice from Nasdaq with respect to the closing bid price requirement on October 16, 2024 and were given 180 days, or until April 14, 2025, to regain compliance with the closing bid price requirement. We filed an application to transfer the listing of our common stock from the Nasdaq Global Market to the Nasdaq Capital Market on April 4, 2025, which transfer was approved and occurred on April 17, 2025. As a result of the transfer, we have been granted an additional 180-day grace period, or until October 13, 2025, to regain compliance with the closing bid price requirement.</w:t>
      </w:r>
    </w:p>
    <w:p>
      <w:pPr>
        <w:pStyle w:val="TextBody"/>
        <w:bidi w:val="0"/>
        <w:spacing w:before="120" w:after="283"/>
        <w:jc w:val="both"/>
        <w:rPr>
          <w:rFonts w:ascii="Arial" w:hAnsi="Arial"/>
          <w:color w:val="000000"/>
          <w:sz w:val="20"/>
        </w:rPr>
      </w:pPr>
      <w:r>
        <w:rPr>
          <w:rFonts w:ascii="Arial" w:hAnsi="Arial"/>
          <w:color w:val="000000"/>
          <w:sz w:val="20"/>
        </w:rPr>
        <w:t>We intend to monitor the closing bid price of our common stock and consider available options to resolve the noncompliance with the closing bid price requirement, which could include seeking to effect a reverse stock split. As more fully described in our definitive proxy statement filed with the SEC on April 14, 2025, we are requesting that stockholders approve proposed amendments to our Amended and Restated Certificate of Incorporation at our 2025 annual meeting of stockholders that would permit, but not require, us to effect a reverse stock split of our outstanding common stock.</w:t>
      </w:r>
    </w:p>
    <w:p>
      <w:pPr>
        <w:pStyle w:val="TextBody"/>
        <w:bidi w:val="0"/>
        <w:spacing w:before="120" w:after="283"/>
        <w:jc w:val="both"/>
        <w:rPr>
          <w:rFonts w:ascii="Arial" w:hAnsi="Arial"/>
          <w:color w:val="000000"/>
          <w:sz w:val="20"/>
        </w:rPr>
      </w:pPr>
      <w:r>
        <w:rPr>
          <w:rFonts w:ascii="Arial" w:hAnsi="Arial"/>
          <w:color w:val="000000"/>
          <w:sz w:val="20"/>
        </w:rPr>
        <w:t>If our common stock ceases to be listed for trading on the Nasdaq for failure to comply with the minimum $1.00 per share closing bid price requirement, another Nasdaq listing rule, or for any other reason, it may adversely affect our stock price, increase the volatility of our stock price, decrease the level of trading activity and make it more difficult for investors to buy or sell shares of our common stock. If we are not listed on the Nasdaq, our ability to raise capital will be adversely impacted. Trading in our common stock may also be halted or suspended in the future on the Nasdaq due to market or trading conditions at the discretion of the Nasdaq. Any halt or suspension in the trading in our common stock may negatively impact the market price of our common stock.</w:t>
      </w:r>
    </w:p>
    <w:p>
      <w:pPr>
        <w:pStyle w:val="TextBody"/>
        <w:bidi w:val="0"/>
        <w:spacing w:before="36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The market price of our common stock has been and may continue to be volatile, which could result in substantial losses for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and results of clinical trials for our current drug candidates and any future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commencement or termination of collaborations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or discontinuation of any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results of nonclinical studies, clinical trials or regulatory approvals of drug candidates of our competitors, or announcements about new research programs or drug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recruitment or departure of key personnel, including in connection with our workforce reduction announced in September 2024;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negative press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commencement of any litigation and/or governmental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expenses related to any of our research programs,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results of our efforts to develop additional drug candidates or drug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impact of health epidemics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 or indirect impacts on our business, our suppliers and other third parties and our clinical sites as a result of geopolitical events, including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regulations and customs, tariffs or trade barriers, or the perception that any such changes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other factors described in this “Part II, Item 1A – 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and certain of our directors and executive officers have previously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and certain of our executive officers and directors have in the past been and may in the future be named as defendants in lawsuits concerning our business. Such litigation has caused, and may in the future cause, our management and board of directors to divert time and attention to the litigation and could adversely impact our reputation and further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resolution of litigation in a manner adverse to us and for which we incur substantial costs or damages not covered by our directors’ and officers’ liability insurance would have a material adverse effect on our financial condition and business.</w:t>
      </w:r>
    </w:p>
    <w:p>
      <w:pPr>
        <w:pStyle w:val="TextBody"/>
        <w:bidi w:val="0"/>
        <w:spacing w:before="36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120" w:after="283"/>
        <w:jc w:val="both"/>
        <w:rPr>
          <w:rFonts w:ascii="Times New Roman" w:hAnsi="Times New Roman"/>
          <w:sz w:val="20"/>
        </w:rPr>
      </w:pPr>
      <w:r>
        <w:rPr>
          <w:rFonts w:ascii="Arial" w:hAnsi="Arial"/>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strive to maintain constructive communications with our stockholders and welcome their views and opinions with the goal of enhancing value for all stockholders. However, a proxy contest or other activist behaviors could have an adverse effect on us because: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may interfere with any efforts that we undertake in the future to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could cause significant fluctuations in our stock price based on temporary or speculative market perceptions or other factors that do not necessarily reflect the underlying fundamentals and prospects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individuals are elected to our board of directors with a specific agenda as a result of a proxy contest, it may adversely affect our ability to effectively implement our business strategy and to create additional value for our stockholders.</w:t>
      </w:r>
    </w:p>
    <w:p>
      <w:pPr>
        <w:pStyle w:val="TextBody"/>
        <w:bidi w:val="0"/>
        <w:spacing w:before="240" w:after="283"/>
        <w:jc w:val="both"/>
        <w:rPr>
          <w:rFonts w:ascii="Arial" w:hAnsi="Arial"/>
          <w:color w:val="000000"/>
          <w:sz w:val="20"/>
        </w:rPr>
      </w:pPr>
      <w:r>
        <w:rPr>
          <w:rFonts w:ascii="Arial" w:hAnsi="Arial"/>
          <w:color w:val="000000"/>
          <w:sz w:val="20"/>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36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Our directors, executive officers and significant stockholders own a substantial percentage of our common stock, which could limit your ability to affect the outcome of key transactions, including a change of control.</w:t>
      </w:r>
    </w:p>
    <w:p>
      <w:pPr>
        <w:pStyle w:val="TextBody"/>
        <w:bidi w:val="0"/>
        <w:spacing w:before="120" w:after="283"/>
        <w:jc w:val="both"/>
        <w:rPr>
          <w:rFonts w:ascii="Times New Roman" w:hAnsi="Times New Roman"/>
          <w:sz w:val="20"/>
        </w:rPr>
      </w:pPr>
      <w:r>
        <w:rPr>
          <w:rFonts w:ascii="Arial" w:hAnsi="Arial"/>
          <w:color w:val="000000"/>
          <w:sz w:val="20"/>
        </w:rPr>
        <w:t>Our directors, executive officers, significant holders of our outstanding common stock and their respective affiliates beneficially own a substantial amount of our outstanding common stock as of March 31, 2025.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are an “emerging growth company,” and the reduced disclosure requirements applicable to emerging growth companies may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the Sarbanes-Oxley Act,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a public company, we operate in an increasingly demanding regulatory environment, which requires us to comply with the Sarbanes-Oxley Act, the regulations of The Nasdaq Capital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Arial" w:hAnsi="Arial"/>
          <w:color w:val="000000"/>
          <w:sz w:val="20"/>
        </w:rPr>
      </w:pPr>
      <w:r>
        <w:rPr>
          <w:rFonts w:ascii="Arial" w:hAnsi="Arial"/>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Arial" w:hAnsi="Arial"/>
          <w:color w:val="000000"/>
          <w:sz w:val="20"/>
        </w:rPr>
      </w:pPr>
      <w:r>
        <w:rPr>
          <w:rFonts w:ascii="Arial" w:hAnsi="Arial"/>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36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both"/>
        <w:rPr>
          <w:rFonts w:ascii="Times New Roman" w:hAnsi="Times New Roman"/>
          <w:sz w:val="20"/>
        </w:rPr>
      </w:pPr>
      <w:r>
        <w:rPr>
          <w:rFonts w:ascii="Arial" w:hAnsi="Arial"/>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Arial" w:hAnsi="Arial"/>
          <w:color w:val="000000"/>
          <w:sz w:val="20"/>
        </w:rPr>
      </w:pPr>
      <w:r>
        <w:rPr>
          <w:rFonts w:ascii="Arial" w:hAnsi="Arial"/>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bidi w:val="0"/>
        <w:spacing w:before="360" w:after="283"/>
        <w:jc w:val="both"/>
        <w:rPr>
          <w:rFonts w:ascii="Arial" w:hAnsi="Arial"/>
          <w:b/>
          <w:color w:val="000000"/>
          <w:sz w:val="20"/>
        </w:rPr>
      </w:pPr>
      <w:r>
        <w:rPr>
          <w:rFonts w:ascii="Arial" w:hAnsi="Arial"/>
          <w:b/>
          <w:color w:val="000000"/>
          <w:sz w:val="20"/>
        </w:rPr>
        <w:t>General Risk Factors</w:t>
      </w:r>
    </w:p>
    <w:p>
      <w:pPr>
        <w:pStyle w:val="TextBody"/>
        <w:bidi w:val="0"/>
        <w:spacing w:before="360" w:after="283"/>
        <w:jc w:val="both"/>
        <w:rPr>
          <w:rFonts w:ascii="Arial" w:hAnsi="Arial"/>
          <w:b/>
          <w:i/>
          <w:color w:val="212529"/>
          <w:sz w:val="20"/>
        </w:rPr>
      </w:pPr>
      <w:r>
        <w:rPr>
          <w:rFonts w:ascii="Arial" w:hAnsi="Arial"/>
          <w:b/>
          <w:i/>
          <w:color w:val="212529"/>
          <w:sz w:val="20"/>
        </w:rPr>
        <w:t>The loss of any of our key personnel could significantly harm our business, results of operations and competitive position.</w:t>
      </w:r>
    </w:p>
    <w:p>
      <w:pPr>
        <w:pStyle w:val="TextBody"/>
        <w:bidi w:val="0"/>
        <w:spacing w:before="120" w:after="283"/>
        <w:jc w:val="both"/>
        <w:rPr>
          <w:rFonts w:ascii="Arial" w:hAnsi="Arial"/>
          <w:color w:val="000000"/>
          <w:sz w:val="20"/>
        </w:rPr>
      </w:pPr>
      <w:r>
        <w:rPr>
          <w:rFonts w:ascii="Arial" w:hAnsi="Arial"/>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pStyle w:val="TextBody"/>
        <w:bidi w:val="0"/>
        <w:spacing w:before="240" w:after="283"/>
        <w:jc w:val="both"/>
        <w:rPr>
          <w:rFonts w:ascii="Arial" w:hAnsi="Arial"/>
          <w:color w:val="000000"/>
          <w:sz w:val="20"/>
        </w:rPr>
      </w:pPr>
      <w:r>
        <w:rPr>
          <w:rFonts w:ascii="Arial" w:hAnsi="Arial"/>
          <w:color w:val="000000"/>
          <w:sz w:val="20"/>
        </w:rPr>
        <w:t>In addition, the organizational restructuring we undertook in September 2024 that significantly reduced our workforce, including the departure of our chief business officer and chief financial officer and our chief operating officer and chief development officer,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key priorities, as well as lead to litigation.</w:t>
      </w:r>
    </w:p>
    <w:p>
      <w:pPr>
        <w:pStyle w:val="TextBody"/>
        <w:bidi w:val="0"/>
        <w:spacing w:before="36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120" w:after="283"/>
        <w:jc w:val="both"/>
        <w:rPr>
          <w:rFonts w:ascii="Times New Roman" w:hAnsi="Times New Roman"/>
          <w:sz w:val="20"/>
        </w:rPr>
      </w:pPr>
      <w:r>
        <w:rPr>
          <w:rFonts w:ascii="Arial" w:hAnsi="Arial"/>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color w:val="000000"/>
          <w:sz w:val="20"/>
        </w:rPr>
        <w:t>divergent</w:t>
      </w:r>
      <w:r>
        <w:rPr>
          <w:rFonts w:ascii="Times New Roman" w:hAnsi="Times New Roman"/>
          <w:color w:val="212529"/>
          <w:sz w:val="20"/>
        </w:rPr>
        <w:t xml:space="preserve"> </w:t>
      </w:r>
      <w:r>
        <w:rPr>
          <w:rFonts w:ascii="Arial" w:hAnsi="Arial"/>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36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The potential effects of health epidemics could adversely impact our business, including our nonclinical studies and clinical trials.</w:t>
      </w:r>
    </w:p>
    <w:p>
      <w:pPr>
        <w:pStyle w:val="TextBody"/>
        <w:bidi w:val="0"/>
        <w:spacing w:before="120" w:after="283"/>
        <w:jc w:val="both"/>
        <w:rPr>
          <w:rFonts w:ascii="Arial" w:hAnsi="Arial"/>
          <w:color w:val="000000"/>
          <w:sz w:val="20"/>
        </w:rPr>
      </w:pPr>
      <w:r>
        <w:rPr>
          <w:rFonts w:ascii="Arial" w:hAnsi="Arial"/>
          <w:color w:val="000000"/>
          <w:sz w:val="20"/>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enrolling and retaining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interruption or delays in the operations of the FDA or other regulatory authorities, which may impact review and approval timelines;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or delays in receiving, supplies of our drug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clinical site procedures and requirements as well as regulatory requirements for conducting clinical trials during the pandemic.</w:t>
      </w:r>
    </w:p>
    <w:p>
      <w:pPr>
        <w:pStyle w:val="TextBody"/>
        <w:bidi w:val="0"/>
        <w:spacing w:before="240" w:after="283"/>
        <w:jc w:val="both"/>
        <w:rPr>
          <w:rFonts w:ascii="Arial" w:hAnsi="Arial"/>
          <w:color w:val="000000"/>
          <w:sz w:val="20"/>
        </w:rPr>
      </w:pPr>
      <w:r>
        <w:rPr>
          <w:rFonts w:ascii="Arial" w:hAnsi="Arial"/>
          <w:color w:val="000000"/>
          <w:sz w:val="20"/>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pStyle w:val="TextBody"/>
        <w:bidi w:val="0"/>
        <w:spacing w:before="240" w:after="283"/>
        <w:jc w:val="both"/>
        <w:rPr>
          <w:rFonts w:ascii="Arial" w:hAnsi="Arial"/>
          <w:color w:val="000000"/>
          <w:sz w:val="20"/>
        </w:rPr>
      </w:pPr>
      <w:r>
        <w:rPr>
          <w:rFonts w:ascii="Arial" w:hAnsi="Arial"/>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80" w:after="283"/>
        <w:jc w:val="both"/>
        <w:rPr>
          <w:rFonts w:ascii="Arial" w:hAnsi="Arial"/>
          <w:b/>
          <w:color w:val="000000"/>
          <w:sz w:val="20"/>
        </w:rPr>
      </w:pPr>
      <w:bookmarkStart w:id="15" w:name="item_2_unregistered_sales_equity_securit"/>
      <w:bookmarkEnd w:id="15"/>
      <w:r>
        <w:rPr>
          <w:rFonts w:ascii="Arial" w:hAnsi="Arial"/>
          <w:b/>
          <w:color w:val="000000"/>
          <w:sz w:val="20"/>
        </w:rPr>
        <w:t>Item 2. Unregistered Sales of Equity Securities and Use of Proceeds.</w:t>
      </w:r>
    </w:p>
    <w:p>
      <w:pPr>
        <w:pStyle w:val="TextBody"/>
        <w:bidi w:val="0"/>
        <w:spacing w:before="280" w:after="283"/>
        <w:jc w:val="both"/>
        <w:rPr>
          <w:rFonts w:ascii="Arial" w:hAnsi="Arial"/>
          <w:b/>
          <w:i/>
          <w:color w:val="000000"/>
          <w:sz w:val="20"/>
        </w:rPr>
      </w:pPr>
      <w:r>
        <w:rPr>
          <w:rFonts w:ascii="Arial" w:hAnsi="Arial"/>
          <w:b/>
          <w:i/>
          <w:color w:val="000000"/>
          <w:sz w:val="20"/>
        </w:rPr>
        <w:t>Recent Sales of Unregistered Equity Securities</w:t>
      </w:r>
    </w:p>
    <w:p>
      <w:pPr>
        <w:pStyle w:val="TextBody"/>
        <w:bidi w:val="0"/>
        <w:spacing w:before="280" w:after="283"/>
        <w:jc w:val="both"/>
        <w:rPr>
          <w:rFonts w:ascii="Arial" w:hAnsi="Arial"/>
          <w:color w:val="000000"/>
          <w:sz w:val="20"/>
        </w:rPr>
      </w:pPr>
      <w:r>
        <w:rPr>
          <w:rFonts w:ascii="Arial" w:hAnsi="Arial"/>
          <w:color w:val="000000"/>
          <w:sz w:val="20"/>
        </w:rPr>
        <w:t>None.</w:t>
      </w:r>
    </w:p>
    <w:p>
      <w:pPr>
        <w:pStyle w:val="TextBody"/>
        <w:bidi w:val="0"/>
        <w:spacing w:before="280" w:after="283"/>
        <w:jc w:val="both"/>
        <w:rPr>
          <w:rFonts w:ascii="Arial" w:hAnsi="Arial"/>
          <w:b/>
          <w:color w:val="000000"/>
          <w:sz w:val="20"/>
        </w:rPr>
      </w:pPr>
      <w:bookmarkStart w:id="16" w:name="item_3_defaults_upon_senior_securities"/>
      <w:bookmarkEnd w:id="16"/>
      <w:r>
        <w:rPr>
          <w:rFonts w:ascii="Arial" w:hAnsi="Arial"/>
          <w:b/>
          <w:color w:val="000000"/>
          <w:sz w:val="20"/>
        </w:rPr>
        <w:t>Item 3. Defaults Upon Senior Securities.</w:t>
      </w:r>
    </w:p>
    <w:p>
      <w:pPr>
        <w:pStyle w:val="TextBody"/>
        <w:bidi w:val="0"/>
        <w:spacing w:before="280" w:after="283"/>
        <w:jc w:val="both"/>
        <w:rPr>
          <w:rFonts w:ascii="Arial" w:hAnsi="Arial"/>
          <w:color w:val="000000"/>
          <w:sz w:val="20"/>
        </w:rPr>
      </w:pPr>
      <w:r>
        <w:rPr>
          <w:rFonts w:ascii="Arial" w:hAnsi="Arial"/>
          <w:color w:val="000000"/>
          <w:sz w:val="20"/>
        </w:rPr>
        <w:t>Not applicable.</w:t>
      </w:r>
    </w:p>
    <w:p>
      <w:pPr>
        <w:pStyle w:val="TextBody"/>
        <w:bidi w:val="0"/>
        <w:spacing w:before="280" w:after="283"/>
        <w:jc w:val="both"/>
        <w:rPr>
          <w:rFonts w:ascii="Arial" w:hAnsi="Arial"/>
          <w:b/>
          <w:color w:val="000000"/>
          <w:sz w:val="20"/>
        </w:rPr>
      </w:pPr>
      <w:bookmarkStart w:id="17" w:name="item_4_mine_safety_disclosures"/>
      <w:bookmarkEnd w:id="17"/>
      <w:r>
        <w:rPr>
          <w:rFonts w:ascii="Arial" w:hAnsi="Arial"/>
          <w:b/>
          <w:color w:val="000000"/>
          <w:sz w:val="20"/>
        </w:rPr>
        <w:t>Item 4. Mine Safety Disclosures.</w:t>
      </w:r>
    </w:p>
    <w:p>
      <w:pPr>
        <w:pStyle w:val="TextBody"/>
        <w:bidi w:val="0"/>
        <w:spacing w:before="280" w:after="283"/>
        <w:jc w:val="both"/>
        <w:rPr>
          <w:rFonts w:ascii="Arial" w:hAnsi="Arial"/>
          <w:color w:val="000000"/>
          <w:sz w:val="20"/>
        </w:rPr>
      </w:pPr>
      <w:r>
        <w:rPr>
          <w:rFonts w:ascii="Arial" w:hAnsi="Arial"/>
          <w:color w:val="000000"/>
          <w:sz w:val="20"/>
        </w:rPr>
        <w:t>Not applicable.</w:t>
      </w:r>
    </w:p>
    <w:p>
      <w:pPr>
        <w:pStyle w:val="TextBody"/>
        <w:bidi w:val="0"/>
        <w:spacing w:before="280" w:after="283"/>
        <w:jc w:val="both"/>
        <w:rPr>
          <w:rFonts w:ascii="Arial" w:hAnsi="Arial"/>
          <w:b/>
          <w:color w:val="000000"/>
          <w:sz w:val="20"/>
        </w:rPr>
      </w:pPr>
      <w:bookmarkStart w:id="18" w:name="item_5_or_information"/>
      <w:bookmarkEnd w:id="18"/>
      <w:r>
        <w:rPr>
          <w:rFonts w:ascii="Arial" w:hAnsi="Arial"/>
          <w:b/>
          <w:color w:val="000000"/>
          <w:sz w:val="20"/>
        </w:rPr>
        <w:t>Item 5. Other Information.</w:t>
      </w:r>
    </w:p>
    <w:p>
      <w:pPr>
        <w:pStyle w:val="TextBody"/>
        <w:bidi w:val="0"/>
        <w:spacing w:before="280" w:after="283"/>
        <w:jc w:val="both"/>
        <w:rPr>
          <w:rFonts w:ascii="Times New Roman" w:hAnsi="Times New Roman"/>
          <w:sz w:val="20"/>
        </w:rPr>
      </w:pPr>
      <w:r>
        <w:rPr>
          <w:rFonts w:ascii="Arial" w:hAnsi="Arial"/>
          <w:color w:val="000000"/>
          <w:sz w:val="20"/>
        </w:rPr>
        <w:t>During our last fiscal quarter, no director or officer, as defined in Rule 16a-1(f) of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any “non-Rule 10b5-1 trading arrangement,” each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19" w:name="item_6_exhibits"/>
      <w:bookmarkEnd w:id="19"/>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6103"/>
        <w:gridCol w:w="526"/>
        <w:gridCol w:w="729"/>
        <w:gridCol w:w="661"/>
        <w:gridCol w:w="1250"/>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6"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790"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103"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72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250"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12, 2020</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to the Amended and Restated Certificate of Incorporation of the Company dated May 23,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29, 2024</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Amended and Restated Bylaws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18, 2022</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2.htm">
              <w:r>
                <w:rPr>
                  <w:rStyle w:val="InternetLink"/>
                  <w:rFonts w:ascii="Arial" w:hAnsi="Arial"/>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2.htm">
              <w:r>
                <w:rPr>
                  <w:rStyle w:val="InternetLink"/>
                  <w:rFonts w:ascii="Arial" w:hAnsi="Arial"/>
                  <w:color w:val="0000FF"/>
                  <w:sz w:val="20"/>
                  <w:u w:val="single"/>
                </w:rPr>
                <w:t>Certification of Principal Accounting and Financial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in Inline XBRL and included in Exhibit 101)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Arial" w:hAnsi="Arial"/>
          <w:color w:val="000000"/>
          <w:sz w:val="16"/>
        </w:rPr>
      </w:pPr>
      <w:r>
        <w:rPr>
          <w:rFonts w:ascii="Arial" w:hAnsi="Arial"/>
          <w:color w:val="000000"/>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0" w:name="signatures"/>
      <w:bookmarkEnd w:id="20"/>
      <w:r>
        <w:rPr>
          <w:rFonts w:ascii="Arial" w:hAnsi="Arial"/>
          <w:b/>
          <w:color w:val="000000"/>
          <w:sz w:val="20"/>
        </w:rPr>
        <w:t>SIGNATURES</w:t>
      </w:r>
    </w:p>
    <w:p>
      <w:pPr>
        <w:pStyle w:val="TextBody"/>
        <w:bidi w:val="0"/>
        <w:spacing w:before="2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08"/>
        <w:gridCol w:w="109"/>
        <w:gridCol w:w="405"/>
        <w:gridCol w:w="7983"/>
      </w:tblGrid>
      <w:tr>
        <w:trPr/>
        <w:tc>
          <w:tcPr>
            <w:tcW w:w="1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983"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Athira Pharma, Inc.</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9,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9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Litton</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Litton</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0"/>
              </w:rPr>
              <w:t>President and Chief Executive Officer (</w:t>
            </w:r>
            <w:r>
              <w:rPr>
                <w:rFonts w:ascii="Arial" w:hAnsi="Arial"/>
                <w:i/>
                <w:color w:val="000000"/>
                <w:sz w:val="20"/>
              </w:rPr>
              <w:t>Principal Executive Officer</w:t>
            </w:r>
            <w:r>
              <w:rPr>
                <w:rFonts w:ascii="Arial" w:hAnsi="Arial"/>
                <w:color w:val="000000"/>
                <w:sz w:val="20"/>
              </w:rPr>
              <w:t>)</w:t>
            </w:r>
            <w:r>
              <w:rPr>
                <w:rFonts w:ascii="Times New Roman" w:hAnsi="Times New Roman"/>
                <w:color w:val="000000"/>
                <w:sz w:val="24"/>
              </w:rPr>
              <w:t xml:space="preserve">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9,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9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Robert Renninger</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Robert Renninger</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Senior Vice President, Finance and Accounting (</w:t>
            </w:r>
            <w:r>
              <w:rPr>
                <w:rFonts w:ascii="Arial" w:hAnsi="Arial"/>
                <w:i/>
                <w:color w:val="000000"/>
                <w:sz w:val="20"/>
              </w:rPr>
              <w:t>Principal Financial and Accounting Officer</w:t>
            </w: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bookmarkStart w:id="21" w:name="atha-ex31_1.htm"/>
      <w:bookmarkStart w:id="22" w:name="ksatha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EXECUTIVE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Litton,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Date: May 9, 2025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atha-ex31_2.htm"/>
      <w:bookmarkStart w:id="24" w:name="ksatha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FINANCIAL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Robert Renninger,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Date: May 9, 2025</w:t>
      </w:r>
    </w:p>
    <w:tbl>
      <w:tblPr>
        <w:tblW w:w="4197" w:type="dxa"/>
        <w:jc w:val="left"/>
        <w:tblInd w:w="0" w:type="dxa"/>
        <w:tblLayout w:type="fixed"/>
        <w:tblCellMar>
          <w:top w:w="28" w:type="dxa"/>
          <w:left w:w="28" w:type="dxa"/>
          <w:bottom w:w="28" w:type="dxa"/>
          <w:right w:w="28" w:type="dxa"/>
        </w:tblCellMar>
      </w:tblPr>
      <w:tblGrid>
        <w:gridCol w:w="4006"/>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Robert Renninger</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Robert Renninger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Senior Vice President, Finance and Accounting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tha-ex32_1.htm"/>
      <w:bookmarkStart w:id="26" w:name="ksatha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March 31, 2025, as filed with the Securities and Exchange Commission on the date hereof (the “Report”), I, Mark Litton, President and Chief Executive Officer </w:t>
      </w:r>
      <w:r>
        <w:rPr>
          <w:rFonts w:ascii="Times New Roman" w:hAnsi="Times New Roman"/>
          <w:i/>
          <w:color w:val="000000"/>
          <w:sz w:val="20"/>
        </w:rPr>
        <w:t>(Principal Executive Officer)</w:t>
      </w:r>
      <w:r>
        <w:rPr>
          <w:rFonts w:ascii="Times New Roman" w:hAnsi="Times New Roman"/>
          <w:color w:val="000000"/>
          <w:sz w:val="20"/>
        </w:rPr>
        <w:t xml:space="preserve"> of the Company, certify, pursuant to 18 U.S.C. Section 1350, as adopted pursuant to Section 906 of the Sarbanes-Oxley Act of 2002, that, to my knowledge: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Date: May 9, 2025</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tha-ex32_2.htm"/>
      <w:bookmarkStart w:id="28" w:name="ksatha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March 31, 2025, as filed with the Securities and Exchange Commission on the date hereof (the “Report”), I, Robert Renninger, Senior Vice President, Finance and Accounting </w:t>
      </w:r>
      <w:r>
        <w:rPr>
          <w:rFonts w:ascii="Times New Roman" w:hAnsi="Times New Roman"/>
          <w:i/>
          <w:color w:val="000000"/>
          <w:sz w:val="20"/>
        </w:rPr>
        <w:t xml:space="preserve">(Principal Financial and Accounting Officer) </w:t>
      </w:r>
      <w:r>
        <w:rPr>
          <w:rFonts w:ascii="Times New Roman" w:hAnsi="Times New Roman"/>
          <w:color w:val="000000"/>
          <w:sz w:val="20"/>
        </w:rPr>
        <w:t xml:space="preserve">of the Company, certify, pursuant to 18 U.S.C. Section 1350, as adopted pursuant to Section 906 of the Sarbanes-Oxley Act of 2002, that, to my knowledge: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Date: May 9, 2025</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283"/>
              <w:jc w:val="left"/>
              <w:rPr>
                <w:sz w:val="4"/>
                <w:szCs w:val="4"/>
              </w:rPr>
            </w:pPr>
            <w:r>
              <w:rPr>
                <w:sz w:val="4"/>
                <w:szCs w:val="4"/>
              </w:rPr>
            </w:r>
          </w:p>
        </w:tc>
      </w:tr>
      <w:tr>
        <w:trPr/>
        <w:tc>
          <w:tcPr>
            <w:tcW w:w="405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Robert Renninger</w:t>
            </w:r>
          </w:p>
        </w:tc>
      </w:tr>
      <w:tr>
        <w:trPr/>
        <w:tc>
          <w:tcPr>
            <w:tcW w:w="405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Robert Renninger</w:t>
            </w:r>
          </w:p>
        </w:tc>
      </w:tr>
      <w:tr>
        <w:trPr/>
        <w:tc>
          <w:tcPr>
            <w:tcW w:w="40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Senior Vice President, Finance and Accounting</w:t>
            </w:r>
          </w:p>
        </w:tc>
      </w:tr>
      <w:tr>
        <w:trPr/>
        <w:tc>
          <w:tcPr>
            <w:tcW w:w="40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ix?doc=/Archives/edgar/data/1620463/000095017024065914/atha-20240523.htm" TargetMode="External"/><Relationship Id="rId5" Type="http://schemas.openxmlformats.org/officeDocument/2006/relationships/hyperlink" Target="https://www.sec.gov/Archives/edgar/data/1620463/000095017022025442/atha-ex3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62013</Words>
  <Characters>347041</Characters>
  <CharactersWithSpaces>408693</CharactersWithSpaces>
  <Paragraphs>4599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