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31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1304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58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Renninger Robert</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06/30/2025</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577"/>
        <w:spacing w:after="0"/>
        <w:rPr>
          <w:sz w:val="20"/>
          <w:szCs w:val="20"/>
          <w:color w:val="auto"/>
        </w:rPr>
      </w:pPr>
      <w:r>
        <w:rPr>
          <w:rFonts w:ascii="Times New Roman" w:cs="Times New Roman" w:eastAsia="Times New Roman" w:hAnsi="Times New Roman"/>
          <w:sz w:val="17"/>
          <w:szCs w:val="17"/>
          <w:color w:val="0000FF"/>
        </w:rPr>
        <w:t>SVP, Finance and Accounting</w:t>
      </w:r>
    </w:p>
    <w:p>
      <w:pPr>
        <w:spacing w:after="0" w:line="396" w:lineRule="exact"/>
        <w:rPr>
          <w:sz w:val="20"/>
          <w:szCs w:val="20"/>
          <w:color w:val="auto"/>
        </w:rPr>
      </w:pPr>
    </w:p>
    <w:p>
      <w:pPr>
        <w:sectPr>
          <w:pgSz w:w="11900" w:h="16838" w:orient="portrait"/>
          <w:cols w:equalWidth="0" w:num="2">
            <w:col w:w="7660" w:space="63"/>
            <w:col w:w="3357"/>
          </w:cols>
          <w:pgMar w:left="460" w:top="217" w:right="359" w:bottom="58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3"/>
              </w:rPr>
              <w:t>05/19/2025</w:t>
            </w:r>
            <w:r>
              <w:rPr>
                <w:rFonts w:ascii="Times New Roman" w:cs="Times New Roman" w:eastAsia="Times New Roman" w:hAnsi="Times New Roman"/>
                <w:sz w:val="21"/>
                <w:szCs w:val="21"/>
                <w:color w:val="008000"/>
                <w:w w:val="93"/>
                <w:vertAlign w:val="superscript"/>
              </w:rPr>
              <w:t>(2)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8"/>
              </w:rPr>
              <w:t>10,000</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0.2312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99,724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06/30/2025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Pr>
          <w:p>
            <w:pPr>
              <w:spacing w:after="0"/>
              <w:rPr>
                <w:sz w:val="22"/>
                <w:szCs w:val="22"/>
                <w:color w:val="auto"/>
              </w:rPr>
            </w:pP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0000FF"/>
                <w:w w:val="98"/>
              </w:rPr>
              <w:t>12,359</w:t>
            </w:r>
          </w:p>
        </w:tc>
        <w:tc>
          <w:tcPr>
            <w:tcW w:w="6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112,083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07/01/2025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2,897</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0.2935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109,186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12,359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06/30/2025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12,359</w:t>
            </w:r>
          </w:p>
        </w:tc>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300" w:type="dxa"/>
            <w:vAlign w:val="bottom"/>
          </w:tcPr>
          <w:p>
            <w:pPr>
              <w:spacing w:after="0"/>
              <w:rPr>
                <w:sz w:val="12"/>
                <w:szCs w:val="1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12,359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("ESPP"),for the ESPP Purchase Period (as defined in the ESPP) of November 18, 2024 through May 19, 2025. This transaction is exempt under Rule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March 19, 2025 and is the Purchase Period comprising the Offering Period (as defined in the ESPP) that began November 18, 2024.</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19, 2025.</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$0.2854 to $0.3031,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37,077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07/02/2025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6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7968"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2025-07-02T15:36:01Z</dcterms:created>
  <dcterms:modified xsi:type="dcterms:W3CDTF">2025-07-02T15:36:01Z</dcterms:modified>
</cp:coreProperties>
</file>