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ind w:right="60"/>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Common Stock, $0.0001 par value</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04746L104</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33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80" w:hanging="33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2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240" w:right="140" w:hanging="230"/>
        <w:spacing w:after="0" w:line="277" w:lineRule="auto"/>
        <w:rPr>
          <w:sz w:val="24"/>
          <w:szCs w:val="24"/>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868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60" w:type="dxa"/>
            <w:vAlign w:val="bottom"/>
            <w:tcBorders>
              <w:right w:val="single" w:sz="8" w:color="FEFEFE"/>
            </w:tcBorders>
            <w:shd w:val="clear" w:color="auto" w:fill="FEFEFE"/>
          </w:tcPr>
          <w:p>
            <w:pPr>
              <w:ind w:left="1660"/>
              <w:spacing w:after="0"/>
              <w:rPr>
                <w:sz w:val="20"/>
                <w:szCs w:val="20"/>
                <w:color w:val="auto"/>
              </w:rPr>
            </w:pPr>
            <w:r>
              <w:rPr>
                <w:rFonts w:ascii="Arial" w:cs="Arial" w:eastAsia="Arial" w:hAnsi="Arial"/>
                <w:sz w:val="18"/>
                <w:szCs w:val="18"/>
                <w:color w:val="auto"/>
                <w:w w:val="84"/>
              </w:rPr>
              <w:t>Page 2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12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Venrock Healthcare Capital Partners II, L.P.</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12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line="280"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 xml:space="preserve"> (b) </w:t>
            </w:r>
            <w:r>
              <w:rPr>
                <w:rFonts w:ascii="MS PGothic" w:cs="MS PGothic" w:eastAsia="MS PGothic" w:hAnsi="MS PGothic"/>
                <w:sz w:val="18"/>
                <w:szCs w:val="18"/>
                <w:color w:val="auto"/>
                <w:w w:val="88"/>
              </w:rPr>
              <w:t>☐</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71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71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150"/>
              <w:spacing w:after="0" w:line="175" w:lineRule="exact"/>
              <w:rPr>
                <w:sz w:val="20"/>
                <w:szCs w:val="20"/>
                <w:color w:val="auto"/>
              </w:rPr>
            </w:pPr>
            <w:r>
              <w:rPr>
                <w:rFonts w:ascii="Arial" w:cs="Arial" w:eastAsia="Arial" w:hAnsi="Arial"/>
                <w:sz w:val="18"/>
                <w:szCs w:val="18"/>
                <w:color w:val="auto"/>
              </w:rPr>
              <w:t>7.</w:t>
            </w:r>
          </w:p>
        </w:tc>
        <w:tc>
          <w:tcPr>
            <w:tcW w:w="714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71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1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12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868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60" w:type="dxa"/>
            <w:vAlign w:val="bottom"/>
            <w:tcBorders>
              <w:right w:val="single" w:sz="8" w:color="FEFEFE"/>
            </w:tcBorders>
            <w:shd w:val="clear" w:color="auto" w:fill="FEFEFE"/>
          </w:tcPr>
          <w:p>
            <w:pPr>
              <w:ind w:left="1660"/>
              <w:spacing w:after="0"/>
              <w:rPr>
                <w:sz w:val="20"/>
                <w:szCs w:val="20"/>
                <w:color w:val="auto"/>
              </w:rPr>
            </w:pPr>
            <w:r>
              <w:rPr>
                <w:rFonts w:ascii="Arial" w:cs="Arial" w:eastAsia="Arial" w:hAnsi="Arial"/>
                <w:sz w:val="18"/>
                <w:szCs w:val="18"/>
                <w:color w:val="auto"/>
                <w:w w:val="84"/>
              </w:rPr>
              <w:t>Page 3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12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VHCP Co-Investment Holdings II, LLC</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12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line="280"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 xml:space="preserve"> (b) </w:t>
            </w:r>
            <w:r>
              <w:rPr>
                <w:rFonts w:ascii="MS PGothic" w:cs="MS PGothic" w:eastAsia="MS PGothic" w:hAnsi="MS PGothic"/>
                <w:sz w:val="18"/>
                <w:szCs w:val="18"/>
                <w:color w:val="auto"/>
                <w:w w:val="88"/>
              </w:rPr>
              <w:t>☐</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71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71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150"/>
              <w:spacing w:after="0" w:line="175" w:lineRule="exact"/>
              <w:rPr>
                <w:sz w:val="20"/>
                <w:szCs w:val="20"/>
                <w:color w:val="auto"/>
              </w:rPr>
            </w:pPr>
            <w:r>
              <w:rPr>
                <w:rFonts w:ascii="Arial" w:cs="Arial" w:eastAsia="Arial" w:hAnsi="Arial"/>
                <w:sz w:val="18"/>
                <w:szCs w:val="18"/>
                <w:color w:val="auto"/>
              </w:rPr>
              <w:t>7.</w:t>
            </w:r>
          </w:p>
        </w:tc>
        <w:tc>
          <w:tcPr>
            <w:tcW w:w="714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71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1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12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9"/>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868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60" w:type="dxa"/>
            <w:vAlign w:val="bottom"/>
            <w:tcBorders>
              <w:right w:val="single" w:sz="8" w:color="FEFEFE"/>
            </w:tcBorders>
            <w:shd w:val="clear" w:color="auto" w:fill="FEFEFE"/>
          </w:tcPr>
          <w:p>
            <w:pPr>
              <w:ind w:left="1660"/>
              <w:spacing w:after="0"/>
              <w:rPr>
                <w:sz w:val="20"/>
                <w:szCs w:val="20"/>
                <w:color w:val="auto"/>
              </w:rPr>
            </w:pPr>
            <w:r>
              <w:rPr>
                <w:rFonts w:ascii="Arial" w:cs="Arial" w:eastAsia="Arial" w:hAnsi="Arial"/>
                <w:sz w:val="18"/>
                <w:szCs w:val="18"/>
                <w:color w:val="auto"/>
                <w:w w:val="84"/>
              </w:rPr>
              <w:t>Page 4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12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Venrock Healthcare Capital Partners III, L.P.</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12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line="280"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 xml:space="preserve"> (b) </w:t>
            </w:r>
            <w:r>
              <w:rPr>
                <w:rFonts w:ascii="MS PGothic" w:cs="MS PGothic" w:eastAsia="MS PGothic" w:hAnsi="MS PGothic"/>
                <w:sz w:val="18"/>
                <w:szCs w:val="18"/>
                <w:color w:val="auto"/>
                <w:w w:val="88"/>
              </w:rPr>
              <w:t>☐</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71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71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150"/>
              <w:spacing w:after="0" w:line="175" w:lineRule="exact"/>
              <w:rPr>
                <w:sz w:val="20"/>
                <w:szCs w:val="20"/>
                <w:color w:val="auto"/>
              </w:rPr>
            </w:pPr>
            <w:r>
              <w:rPr>
                <w:rFonts w:ascii="Arial" w:cs="Arial" w:eastAsia="Arial" w:hAnsi="Arial"/>
                <w:sz w:val="18"/>
                <w:szCs w:val="18"/>
                <w:color w:val="auto"/>
              </w:rPr>
              <w:t>7.</w:t>
            </w:r>
          </w:p>
        </w:tc>
        <w:tc>
          <w:tcPr>
            <w:tcW w:w="714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71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1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12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760" w:type="dxa"/>
            <w:vAlign w:val="bottom"/>
            <w:tcBorders>
              <w:left w:val="single" w:sz="8" w:color="FEFEFE"/>
              <w:right w:val="single" w:sz="8" w:color="FEFEFE"/>
            </w:tcBorders>
            <w:gridSpan w:val="5"/>
            <w:shd w:val="clear" w:color="auto" w:fill="FEFEFE"/>
          </w:tcPr>
          <w:p>
            <w:pPr>
              <w:ind w:left="20"/>
              <w:spacing w:after="0"/>
              <w:rPr>
                <w:sz w:val="20"/>
                <w:szCs w:val="20"/>
                <w:color w:val="auto"/>
              </w:rPr>
            </w:pPr>
            <w:r>
              <w:rPr>
                <w:rFonts w:ascii="Arial" w:cs="Arial" w:eastAsia="Arial" w:hAnsi="Arial"/>
                <w:sz w:val="18"/>
                <w:szCs w:val="18"/>
                <w:b w:val="1"/>
                <w:bCs w:val="1"/>
                <w:color w:val="auto"/>
                <w:w w:val="91"/>
              </w:rPr>
              <w:t>CUSIP No. 04746L104</w:t>
            </w:r>
          </w:p>
        </w:tc>
        <w:tc>
          <w:tcPr>
            <w:tcW w:w="9480" w:type="dxa"/>
            <w:vAlign w:val="bottom"/>
            <w:tcBorders>
              <w:right w:val="single" w:sz="8" w:color="FEFEFE"/>
            </w:tcBorders>
            <w:shd w:val="clear" w:color="auto" w:fill="FEFEFE"/>
          </w:tcPr>
          <w:p>
            <w:pPr>
              <w:ind w:left="8580"/>
              <w:spacing w:after="0"/>
              <w:rPr>
                <w:sz w:val="20"/>
                <w:szCs w:val="20"/>
                <w:color w:val="auto"/>
              </w:rPr>
            </w:pPr>
            <w:r>
              <w:rPr>
                <w:rFonts w:ascii="Arial" w:cs="Arial" w:eastAsia="Arial" w:hAnsi="Arial"/>
                <w:sz w:val="18"/>
                <w:szCs w:val="18"/>
                <w:color w:val="auto"/>
                <w:w w:val="84"/>
              </w:rPr>
              <w:t>Page 5 of 17</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8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3"/>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VHCP Co-Investment Holdings III, LLC</w:t>
            </w:r>
          </w:p>
        </w:tc>
        <w:tc>
          <w:tcPr>
            <w:tcW w:w="0" w:type="dxa"/>
            <w:vAlign w:val="bottom"/>
          </w:tcPr>
          <w:p>
            <w:pPr>
              <w:spacing w:after="0"/>
              <w:rPr>
                <w:sz w:val="1"/>
                <w:szCs w:val="1"/>
                <w:color w:val="auto"/>
              </w:rPr>
            </w:pPr>
          </w:p>
        </w:tc>
      </w:tr>
      <w:tr>
        <w:trPr>
          <w:trHeight w:val="205"/>
        </w:trPr>
        <w:tc>
          <w:tcPr>
            <w:tcW w:w="440" w:type="dxa"/>
            <w:vAlign w:val="bottom"/>
            <w:tcBorders>
              <w:lef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7"/>
                <w:szCs w:val="17"/>
                <w:color w:val="auto"/>
              </w:rPr>
            </w:pPr>
          </w:p>
        </w:tc>
        <w:tc>
          <w:tcPr>
            <w:tcW w:w="1068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8"/>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line="28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8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8"/>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50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79"/>
              </w:rPr>
              <w:t>5.</w:t>
            </w:r>
          </w:p>
        </w:tc>
        <w:tc>
          <w:tcPr>
            <w:tcW w:w="9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8"/>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2"/>
                <w:szCs w:val="22"/>
                <w:color w:val="auto"/>
              </w:rPr>
            </w:pPr>
          </w:p>
        </w:tc>
        <w:tc>
          <w:tcPr>
            <w:tcW w:w="5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79"/>
              </w:rPr>
              <w:t>6.</w:t>
            </w:r>
          </w:p>
        </w:tc>
        <w:tc>
          <w:tcPr>
            <w:tcW w:w="9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gridSpan w:val="2"/>
          </w:tcPr>
          <w:p>
            <w:pPr>
              <w:jc w:val="center"/>
              <w:ind w:right="290"/>
              <w:spacing w:after="0" w:line="175"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50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w w:val="79"/>
              </w:rPr>
              <w:t>7.</w:t>
            </w:r>
          </w:p>
        </w:tc>
        <w:tc>
          <w:tcPr>
            <w:tcW w:w="948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2"/>
        </w:trPr>
        <w:tc>
          <w:tcPr>
            <w:tcW w:w="12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right w:val="single" w:sz="8" w:color="auto"/>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79"/>
              </w:rPr>
              <w:t>8.</w:t>
            </w:r>
          </w:p>
        </w:tc>
        <w:tc>
          <w:tcPr>
            <w:tcW w:w="9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9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92"/>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w w:val="79"/>
              </w:rPr>
              <w:t>10.</w:t>
            </w:r>
          </w:p>
        </w:tc>
        <w:tc>
          <w:tcPr>
            <w:tcW w:w="12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0"/>
        </w:trPr>
        <w:tc>
          <w:tcPr>
            <w:tcW w:w="440" w:type="dxa"/>
            <w:vAlign w:val="bottom"/>
            <w:tcBorders>
              <w:left w:val="single" w:sz="8" w:color="auto"/>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9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w w:val="79"/>
              </w:rPr>
              <w:t>11.</w:t>
            </w:r>
          </w:p>
        </w:tc>
        <w:tc>
          <w:tcPr>
            <w:tcW w:w="12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w w:val="79"/>
              </w:rPr>
              <w:t>12.</w:t>
            </w:r>
          </w:p>
        </w:tc>
        <w:tc>
          <w:tcPr>
            <w:tcW w:w="12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8"/>
        </w:trPr>
        <w:tc>
          <w:tcPr>
            <w:tcW w:w="4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50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868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60" w:type="dxa"/>
            <w:vAlign w:val="bottom"/>
            <w:tcBorders>
              <w:right w:val="single" w:sz="8" w:color="FEFEFE"/>
            </w:tcBorders>
            <w:shd w:val="clear" w:color="auto" w:fill="FEFEFE"/>
          </w:tcPr>
          <w:p>
            <w:pPr>
              <w:ind w:left="1660"/>
              <w:spacing w:after="0"/>
              <w:rPr>
                <w:sz w:val="20"/>
                <w:szCs w:val="20"/>
                <w:color w:val="auto"/>
              </w:rPr>
            </w:pPr>
            <w:r>
              <w:rPr>
                <w:rFonts w:ascii="Arial" w:cs="Arial" w:eastAsia="Arial" w:hAnsi="Arial"/>
                <w:sz w:val="18"/>
                <w:szCs w:val="18"/>
                <w:color w:val="auto"/>
                <w:w w:val="84"/>
              </w:rPr>
              <w:t>Page 6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12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Venrock Healthcare Capital Partners EG, L.P.</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12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line="280"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 xml:space="preserve"> (b) </w:t>
            </w:r>
            <w:r>
              <w:rPr>
                <w:rFonts w:ascii="MS PGothic" w:cs="MS PGothic" w:eastAsia="MS PGothic" w:hAnsi="MS PGothic"/>
                <w:sz w:val="18"/>
                <w:szCs w:val="18"/>
                <w:color w:val="auto"/>
                <w:w w:val="88"/>
              </w:rPr>
              <w:t>☐</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71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71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150"/>
              <w:spacing w:after="0" w:line="175" w:lineRule="exact"/>
              <w:rPr>
                <w:sz w:val="20"/>
                <w:szCs w:val="20"/>
                <w:color w:val="auto"/>
              </w:rPr>
            </w:pPr>
            <w:r>
              <w:rPr>
                <w:rFonts w:ascii="Arial" w:cs="Arial" w:eastAsia="Arial" w:hAnsi="Arial"/>
                <w:sz w:val="18"/>
                <w:szCs w:val="18"/>
                <w:color w:val="auto"/>
              </w:rPr>
              <w:t>7.</w:t>
            </w:r>
          </w:p>
        </w:tc>
        <w:tc>
          <w:tcPr>
            <w:tcW w:w="714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71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1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12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2240" w:type="dxa"/>
            <w:vAlign w:val="bottom"/>
            <w:tcBorders>
              <w:left w:val="single" w:sz="8" w:color="FEFEFE"/>
              <w:right w:val="single" w:sz="8" w:color="FEFEFE"/>
            </w:tcBorders>
            <w:gridSpan w:val="4"/>
            <w:shd w:val="clear" w:color="auto" w:fill="FEFEFE"/>
          </w:tcPr>
          <w:p>
            <w:pPr>
              <w:jc w:val="right"/>
              <w:ind w:right="350"/>
              <w:spacing w:after="0"/>
              <w:rPr>
                <w:sz w:val="20"/>
                <w:szCs w:val="20"/>
                <w:color w:val="auto"/>
              </w:rPr>
            </w:pPr>
            <w:r>
              <w:rPr>
                <w:rFonts w:ascii="Arial" w:cs="Arial" w:eastAsia="Arial" w:hAnsi="Arial"/>
                <w:sz w:val="18"/>
                <w:szCs w:val="18"/>
                <w:b w:val="1"/>
                <w:bCs w:val="1"/>
                <w:color w:val="auto"/>
                <w:w w:val="96"/>
              </w:rPr>
              <w:t>CUSIP No. 04746L104</w:t>
            </w:r>
          </w:p>
        </w:tc>
        <w:tc>
          <w:tcPr>
            <w:tcW w:w="9000" w:type="dxa"/>
            <w:vAlign w:val="bottom"/>
            <w:tcBorders>
              <w:right w:val="single" w:sz="8" w:color="FEFEFE"/>
            </w:tcBorders>
            <w:shd w:val="clear" w:color="auto" w:fill="FEFEFE"/>
          </w:tcPr>
          <w:p>
            <w:pPr>
              <w:ind w:left="8100"/>
              <w:spacing w:after="0"/>
              <w:rPr>
                <w:sz w:val="20"/>
                <w:szCs w:val="20"/>
                <w:color w:val="auto"/>
              </w:rPr>
            </w:pPr>
            <w:r>
              <w:rPr>
                <w:rFonts w:ascii="Arial" w:cs="Arial" w:eastAsia="Arial" w:hAnsi="Arial"/>
                <w:sz w:val="18"/>
                <w:szCs w:val="18"/>
                <w:color w:val="auto"/>
                <w:w w:val="84"/>
              </w:rPr>
              <w:t>Page 7 of 17</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VHCP Management II, LLC</w:t>
            </w:r>
          </w:p>
        </w:tc>
        <w:tc>
          <w:tcPr>
            <w:tcW w:w="0" w:type="dxa"/>
            <w:vAlign w:val="bottom"/>
          </w:tcPr>
          <w:p>
            <w:pPr>
              <w:spacing w:after="0"/>
              <w:rPr>
                <w:sz w:val="1"/>
                <w:szCs w:val="1"/>
                <w:color w:val="auto"/>
              </w:rPr>
            </w:pPr>
          </w:p>
        </w:tc>
      </w:tr>
      <w:tr>
        <w:trPr>
          <w:trHeight w:val="205"/>
        </w:trPr>
        <w:tc>
          <w:tcPr>
            <w:tcW w:w="400" w:type="dxa"/>
            <w:vAlign w:val="bottom"/>
            <w:tcBorders>
              <w:left w:val="single" w:sz="8" w:color="auto"/>
            </w:tcBorders>
          </w:tcPr>
          <w:p>
            <w:pPr>
              <w:jc w:val="right"/>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40" w:type="dxa"/>
            <w:vAlign w:val="bottom"/>
            <w:tcBorders>
              <w:right w:val="single" w:sz="8" w:color="auto"/>
            </w:tcBorders>
            <w:gridSpan w:val="3"/>
          </w:tcPr>
          <w:p>
            <w:pPr>
              <w:ind w:left="40"/>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line="280" w:lineRule="exact"/>
              <w:rPr>
                <w:sz w:val="20"/>
                <w:szCs w:val="20"/>
                <w:color w:val="auto"/>
              </w:rPr>
            </w:pPr>
            <w:r>
              <w:rPr>
                <w:rFonts w:ascii="Arial" w:cs="Arial" w:eastAsia="Arial" w:hAnsi="Arial"/>
                <w:sz w:val="18"/>
                <w:szCs w:val="18"/>
                <w:color w:val="auto"/>
                <w:w w:val="96"/>
              </w:rPr>
              <w:t xml:space="preserve">(a) </w:t>
            </w:r>
            <w:r>
              <w:rPr>
                <w:rFonts w:ascii="MS PGothic" w:cs="MS PGothic" w:eastAsia="MS PGothic" w:hAnsi="MS PGothic"/>
                <w:sz w:val="18"/>
                <w:szCs w:val="18"/>
                <w:color w:val="auto"/>
                <w:w w:val="96"/>
              </w:rPr>
              <w:t>☒</w:t>
            </w:r>
            <w:r>
              <w:rPr>
                <w:rFonts w:ascii="Arial" w:cs="Arial" w:eastAsia="Arial" w:hAnsi="Arial"/>
                <w:sz w:val="29"/>
                <w:szCs w:val="29"/>
                <w:color w:val="auto"/>
                <w:w w:val="96"/>
                <w:vertAlign w:val="superscript"/>
              </w:rPr>
              <w:t>1</w:t>
            </w:r>
            <w:r>
              <w:rPr>
                <w:rFonts w:ascii="Arial" w:cs="Arial" w:eastAsia="Arial" w:hAnsi="Arial"/>
                <w:sz w:val="18"/>
                <w:szCs w:val="18"/>
                <w:color w:val="auto"/>
                <w:w w:val="96"/>
              </w:rPr>
              <w:t xml:space="preserve"> (b) </w:t>
            </w:r>
            <w:r>
              <w:rPr>
                <w:rFonts w:ascii="MS PGothic" w:cs="MS PGothic" w:eastAsia="MS PGothic" w:hAnsi="MS PGothic"/>
                <w:sz w:val="18"/>
                <w:szCs w:val="18"/>
                <w:color w:val="auto"/>
                <w:w w:val="96"/>
              </w:rPr>
              <w:t>☐</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9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Delaware</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Number of</w:t>
            </w:r>
          </w:p>
        </w:tc>
        <w:tc>
          <w:tcPr>
            <w:tcW w:w="5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Beneficially</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1"/>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right w:val="single" w:sz="8" w:color="auto"/>
            </w:tcBorders>
          </w:tcPr>
          <w:p>
            <w:pPr>
              <w:jc w:val="center"/>
              <w:ind w:right="470"/>
              <w:spacing w:after="0" w:line="175" w:lineRule="exact"/>
              <w:rPr>
                <w:sz w:val="20"/>
                <w:szCs w:val="20"/>
                <w:color w:val="auto"/>
              </w:rPr>
            </w:pPr>
            <w:r>
              <w:rPr>
                <w:rFonts w:ascii="Arial" w:cs="Arial" w:eastAsia="Arial" w:hAnsi="Arial"/>
                <w:sz w:val="18"/>
                <w:szCs w:val="18"/>
                <w:color w:val="auto"/>
                <w:w w:val="82"/>
              </w:rPr>
              <w:t>Each</w:t>
            </w:r>
          </w:p>
        </w:tc>
        <w:tc>
          <w:tcPr>
            <w:tcW w:w="54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900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89"/>
              </w:rPr>
              <w:t>Reporting</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2"/>
        </w:trPr>
        <w:tc>
          <w:tcPr>
            <w:tcW w:w="4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540" w:type="dxa"/>
            <w:vAlign w:val="bottom"/>
            <w:tcBorders>
              <w:bottom w:val="single" w:sz="8" w:color="auto"/>
              <w:right w:val="single" w:sz="8" w:color="auto"/>
            </w:tcBorders>
          </w:tcPr>
          <w:p>
            <w:pPr>
              <w:spacing w:after="0"/>
              <w:rPr>
                <w:sz w:val="5"/>
                <w:szCs w:val="5"/>
                <w:color w:val="auto"/>
              </w:rPr>
            </w:pPr>
          </w:p>
        </w:tc>
        <w:tc>
          <w:tcPr>
            <w:tcW w:w="9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8.</w:t>
            </w:r>
          </w:p>
        </w:tc>
        <w:tc>
          <w:tcPr>
            <w:tcW w:w="9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2"/>
              </w:rPr>
              <w:t>9.</w:t>
            </w:r>
          </w:p>
        </w:tc>
        <w:tc>
          <w:tcPr>
            <w:tcW w:w="200" w:type="dxa"/>
            <w:vAlign w:val="bottom"/>
            <w:tcBorders>
              <w:right w:val="single" w:sz="8" w:color="auto"/>
            </w:tcBorders>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Aggregate Amount</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92"/>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10.</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0"/>
        </w:trPr>
        <w:tc>
          <w:tcPr>
            <w:tcW w:w="40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6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11.</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12.</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OO</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2240" w:type="dxa"/>
            <w:vAlign w:val="bottom"/>
            <w:tcBorders>
              <w:left w:val="single" w:sz="8" w:color="FEFEFE"/>
              <w:right w:val="single" w:sz="8" w:color="FEFEFE"/>
            </w:tcBorders>
            <w:gridSpan w:val="4"/>
            <w:shd w:val="clear" w:color="auto" w:fill="FEFEFE"/>
          </w:tcPr>
          <w:p>
            <w:pPr>
              <w:jc w:val="right"/>
              <w:ind w:right="350"/>
              <w:spacing w:after="0"/>
              <w:rPr>
                <w:sz w:val="20"/>
                <w:szCs w:val="20"/>
                <w:color w:val="auto"/>
              </w:rPr>
            </w:pPr>
            <w:r>
              <w:rPr>
                <w:rFonts w:ascii="Arial" w:cs="Arial" w:eastAsia="Arial" w:hAnsi="Arial"/>
                <w:sz w:val="18"/>
                <w:szCs w:val="18"/>
                <w:b w:val="1"/>
                <w:bCs w:val="1"/>
                <w:color w:val="auto"/>
                <w:w w:val="96"/>
              </w:rPr>
              <w:t>CUSIP No. 04746L104</w:t>
            </w:r>
          </w:p>
        </w:tc>
        <w:tc>
          <w:tcPr>
            <w:tcW w:w="9000" w:type="dxa"/>
            <w:vAlign w:val="bottom"/>
            <w:tcBorders>
              <w:right w:val="single" w:sz="8" w:color="FEFEFE"/>
            </w:tcBorders>
            <w:shd w:val="clear" w:color="auto" w:fill="FEFEFE"/>
          </w:tcPr>
          <w:p>
            <w:pPr>
              <w:ind w:left="8100"/>
              <w:spacing w:after="0"/>
              <w:rPr>
                <w:sz w:val="20"/>
                <w:szCs w:val="20"/>
                <w:color w:val="auto"/>
              </w:rPr>
            </w:pPr>
            <w:r>
              <w:rPr>
                <w:rFonts w:ascii="Arial" w:cs="Arial" w:eastAsia="Arial" w:hAnsi="Arial"/>
                <w:sz w:val="18"/>
                <w:szCs w:val="18"/>
                <w:color w:val="auto"/>
                <w:w w:val="84"/>
              </w:rPr>
              <w:t>Page 8 of 17</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05"/>
        </w:trPr>
        <w:tc>
          <w:tcPr>
            <w:tcW w:w="400" w:type="dxa"/>
            <w:vAlign w:val="bottom"/>
            <w:tcBorders>
              <w:left w:val="single" w:sz="8" w:color="auto"/>
            </w:tcBorders>
          </w:tcPr>
          <w:p>
            <w:pPr>
              <w:jc w:val="right"/>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40" w:type="dxa"/>
            <w:vAlign w:val="bottom"/>
            <w:tcBorders>
              <w:right w:val="single" w:sz="8" w:color="auto"/>
            </w:tcBorders>
            <w:gridSpan w:val="3"/>
          </w:tcPr>
          <w:p>
            <w:pPr>
              <w:ind w:left="40"/>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line="280" w:lineRule="exact"/>
              <w:rPr>
                <w:sz w:val="20"/>
                <w:szCs w:val="20"/>
                <w:color w:val="auto"/>
              </w:rPr>
            </w:pPr>
            <w:r>
              <w:rPr>
                <w:rFonts w:ascii="Arial" w:cs="Arial" w:eastAsia="Arial" w:hAnsi="Arial"/>
                <w:sz w:val="18"/>
                <w:szCs w:val="18"/>
                <w:color w:val="auto"/>
                <w:w w:val="96"/>
              </w:rPr>
              <w:t xml:space="preserve">(a) </w:t>
            </w:r>
            <w:r>
              <w:rPr>
                <w:rFonts w:ascii="MS PGothic" w:cs="MS PGothic" w:eastAsia="MS PGothic" w:hAnsi="MS PGothic"/>
                <w:sz w:val="18"/>
                <w:szCs w:val="18"/>
                <w:color w:val="auto"/>
                <w:w w:val="96"/>
              </w:rPr>
              <w:t>☒</w:t>
            </w:r>
            <w:r>
              <w:rPr>
                <w:rFonts w:ascii="Arial" w:cs="Arial" w:eastAsia="Arial" w:hAnsi="Arial"/>
                <w:sz w:val="29"/>
                <w:szCs w:val="29"/>
                <w:color w:val="auto"/>
                <w:w w:val="96"/>
                <w:vertAlign w:val="superscript"/>
              </w:rPr>
              <w:t>1</w:t>
            </w:r>
            <w:r>
              <w:rPr>
                <w:rFonts w:ascii="Arial" w:cs="Arial" w:eastAsia="Arial" w:hAnsi="Arial"/>
                <w:sz w:val="18"/>
                <w:szCs w:val="18"/>
                <w:color w:val="auto"/>
                <w:w w:val="96"/>
              </w:rPr>
              <w:t xml:space="preserve"> (b) </w:t>
            </w:r>
            <w:r>
              <w:rPr>
                <w:rFonts w:ascii="MS PGothic" w:cs="MS PGothic" w:eastAsia="MS PGothic" w:hAnsi="MS PGothic"/>
                <w:sz w:val="18"/>
                <w:szCs w:val="18"/>
                <w:color w:val="auto"/>
                <w:w w:val="96"/>
              </w:rPr>
              <w:t>☐</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9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Delaware</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Number of</w:t>
            </w:r>
          </w:p>
        </w:tc>
        <w:tc>
          <w:tcPr>
            <w:tcW w:w="5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Beneficially</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1"/>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right w:val="single" w:sz="8" w:color="auto"/>
            </w:tcBorders>
          </w:tcPr>
          <w:p>
            <w:pPr>
              <w:jc w:val="center"/>
              <w:ind w:right="470"/>
              <w:spacing w:after="0" w:line="175" w:lineRule="exact"/>
              <w:rPr>
                <w:sz w:val="20"/>
                <w:szCs w:val="20"/>
                <w:color w:val="auto"/>
              </w:rPr>
            </w:pPr>
            <w:r>
              <w:rPr>
                <w:rFonts w:ascii="Arial" w:cs="Arial" w:eastAsia="Arial" w:hAnsi="Arial"/>
                <w:sz w:val="18"/>
                <w:szCs w:val="18"/>
                <w:color w:val="auto"/>
                <w:w w:val="82"/>
              </w:rPr>
              <w:t>Each</w:t>
            </w:r>
          </w:p>
        </w:tc>
        <w:tc>
          <w:tcPr>
            <w:tcW w:w="54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900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89"/>
              </w:rPr>
              <w:t>Reporting</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w:t>
            </w:r>
          </w:p>
        </w:tc>
        <w:tc>
          <w:tcPr>
            <w:tcW w:w="540" w:type="dxa"/>
            <w:vAlign w:val="bottom"/>
            <w:tcBorders>
              <w:right w:val="single" w:sz="8" w:color="auto"/>
            </w:tcBorders>
          </w:tcPr>
          <w:p>
            <w:pPr>
              <w:spacing w:after="0"/>
              <w:rPr>
                <w:sz w:val="18"/>
                <w:szCs w:val="18"/>
                <w:color w:val="auto"/>
              </w:rPr>
            </w:pPr>
          </w:p>
        </w:tc>
        <w:tc>
          <w:tcPr>
            <w:tcW w:w="9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2"/>
        </w:trPr>
        <w:tc>
          <w:tcPr>
            <w:tcW w:w="4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540" w:type="dxa"/>
            <w:vAlign w:val="bottom"/>
            <w:tcBorders>
              <w:bottom w:val="single" w:sz="8" w:color="auto"/>
              <w:right w:val="single" w:sz="8" w:color="auto"/>
            </w:tcBorders>
          </w:tcPr>
          <w:p>
            <w:pPr>
              <w:spacing w:after="0"/>
              <w:rPr>
                <w:sz w:val="5"/>
                <w:szCs w:val="5"/>
                <w:color w:val="auto"/>
              </w:rPr>
            </w:pPr>
          </w:p>
        </w:tc>
        <w:tc>
          <w:tcPr>
            <w:tcW w:w="9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8.</w:t>
            </w:r>
          </w:p>
        </w:tc>
        <w:tc>
          <w:tcPr>
            <w:tcW w:w="90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2"/>
              </w:rPr>
              <w:t>9.</w:t>
            </w:r>
          </w:p>
        </w:tc>
        <w:tc>
          <w:tcPr>
            <w:tcW w:w="200" w:type="dxa"/>
            <w:vAlign w:val="bottom"/>
            <w:tcBorders>
              <w:right w:val="single" w:sz="8" w:color="auto"/>
            </w:tcBorders>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Aggregate Amount</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92"/>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10.</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0"/>
        </w:trPr>
        <w:tc>
          <w:tcPr>
            <w:tcW w:w="40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06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11.</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87"/>
              </w:rPr>
              <w:t>12.</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8"/>
        </w:trPr>
        <w:tc>
          <w:tcPr>
            <w:tcW w:w="40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OO</w:t>
            </w: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868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60" w:type="dxa"/>
            <w:vAlign w:val="bottom"/>
            <w:tcBorders>
              <w:right w:val="single" w:sz="8" w:color="FEFEFE"/>
            </w:tcBorders>
            <w:shd w:val="clear" w:color="auto" w:fill="FEFEFE"/>
          </w:tcPr>
          <w:p>
            <w:pPr>
              <w:ind w:left="1660"/>
              <w:spacing w:after="0"/>
              <w:rPr>
                <w:sz w:val="20"/>
                <w:szCs w:val="20"/>
                <w:color w:val="auto"/>
              </w:rPr>
            </w:pPr>
            <w:r>
              <w:rPr>
                <w:rFonts w:ascii="Arial" w:cs="Arial" w:eastAsia="Arial" w:hAnsi="Arial"/>
                <w:sz w:val="18"/>
                <w:szCs w:val="18"/>
                <w:color w:val="auto"/>
                <w:w w:val="84"/>
              </w:rPr>
              <w:t>Page 9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12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VHCP Management EG, LLC</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12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line="280"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 xml:space="preserve"> (b) </w:t>
            </w:r>
            <w:r>
              <w:rPr>
                <w:rFonts w:ascii="MS PGothic" w:cs="MS PGothic" w:eastAsia="MS PGothic" w:hAnsi="MS PGothic"/>
                <w:sz w:val="18"/>
                <w:szCs w:val="18"/>
                <w:color w:val="auto"/>
                <w:w w:val="88"/>
              </w:rPr>
              <w:t>☐</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1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71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714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714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150"/>
              <w:spacing w:after="0" w:line="175" w:lineRule="exact"/>
              <w:rPr>
                <w:sz w:val="20"/>
                <w:szCs w:val="20"/>
                <w:color w:val="auto"/>
              </w:rPr>
            </w:pPr>
            <w:r>
              <w:rPr>
                <w:rFonts w:ascii="Arial" w:cs="Arial" w:eastAsia="Arial" w:hAnsi="Arial"/>
                <w:sz w:val="18"/>
                <w:szCs w:val="18"/>
                <w:color w:val="auto"/>
              </w:rPr>
              <w:t>7.</w:t>
            </w:r>
          </w:p>
        </w:tc>
        <w:tc>
          <w:tcPr>
            <w:tcW w:w="714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71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1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1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1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12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864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600" w:type="dxa"/>
            <w:vAlign w:val="bottom"/>
            <w:tcBorders>
              <w:right w:val="single" w:sz="8" w:color="FEFEFE"/>
            </w:tcBorders>
            <w:shd w:val="clear" w:color="auto" w:fill="FEFEFE"/>
          </w:tcPr>
          <w:p>
            <w:pPr>
              <w:ind w:left="1600"/>
              <w:spacing w:after="0"/>
              <w:rPr>
                <w:sz w:val="20"/>
                <w:szCs w:val="20"/>
                <w:color w:val="auto"/>
              </w:rPr>
            </w:pPr>
            <w:r>
              <w:rPr>
                <w:rFonts w:ascii="Arial" w:cs="Arial" w:eastAsia="Arial" w:hAnsi="Arial"/>
                <w:sz w:val="18"/>
                <w:szCs w:val="18"/>
                <w:color w:val="auto"/>
                <w:w w:val="85"/>
              </w:rPr>
              <w:t>Page 10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Shah, Nimish</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6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9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60" w:type="dxa"/>
            <w:vAlign w:val="bottom"/>
            <w:tcBorders>
              <w:left w:val="single" w:sz="8" w:color="auto"/>
              <w:bottom w:val="single" w:sz="8" w:color="auto"/>
              <w:right w:val="single" w:sz="8" w:color="auto"/>
            </w:tcBorders>
          </w:tcPr>
          <w:p>
            <w:pPr>
              <w:spacing w:after="0"/>
              <w:rPr>
                <w:sz w:val="9"/>
                <w:szCs w:val="9"/>
                <w:color w:val="auto"/>
              </w:rPr>
            </w:pPr>
          </w:p>
        </w:tc>
        <w:tc>
          <w:tcPr>
            <w:tcW w:w="8080" w:type="dxa"/>
            <w:vAlign w:val="bottom"/>
            <w:tcBorders>
              <w:bottom w:val="single" w:sz="8" w:color="auto"/>
            </w:tcBorders>
            <w:gridSpan w:val="3"/>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0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United States</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6980" w:type="dxa"/>
            <w:vAlign w:val="bottom"/>
          </w:tcPr>
          <w:p>
            <w:pPr>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w:t>
            </w:r>
          </w:p>
        </w:tc>
        <w:tc>
          <w:tcPr>
            <w:tcW w:w="6980" w:type="dxa"/>
            <w:vAlign w:val="bottom"/>
          </w:tcPr>
          <w:p>
            <w:pPr>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tcPr>
          <w:p>
            <w:pPr>
              <w:spacing w:after="0"/>
              <w:rPr>
                <w:sz w:val="18"/>
                <w:szCs w:val="18"/>
                <w:color w:val="auto"/>
              </w:rPr>
            </w:pPr>
          </w:p>
        </w:tc>
        <w:tc>
          <w:tcPr>
            <w:tcW w:w="6980" w:type="dxa"/>
            <w:vAlign w:val="bottom"/>
            <w:vMerge w:val="restart"/>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98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90"/>
              <w:spacing w:after="0" w:line="175" w:lineRule="exact"/>
              <w:rPr>
                <w:sz w:val="20"/>
                <w:szCs w:val="20"/>
                <w:color w:val="auto"/>
              </w:rPr>
            </w:pPr>
            <w:r>
              <w:rPr>
                <w:rFonts w:ascii="Arial" w:cs="Arial" w:eastAsia="Arial" w:hAnsi="Arial"/>
                <w:sz w:val="18"/>
                <w:szCs w:val="18"/>
                <w:color w:val="auto"/>
              </w:rPr>
              <w:t>7.</w:t>
            </w:r>
          </w:p>
        </w:tc>
        <w:tc>
          <w:tcPr>
            <w:tcW w:w="6980" w:type="dxa"/>
            <w:vAlign w:val="bottom"/>
          </w:tcPr>
          <w:p>
            <w:pPr>
              <w:spacing w:after="0" w:line="175"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69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right w:val="single" w:sz="8" w:color="auto"/>
            </w:tcBorders>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560" w:type="dxa"/>
            <w:vAlign w:val="bottom"/>
            <w:tcBorders>
              <w:bottom w:val="single" w:sz="8" w:color="auto"/>
              <w:right w:val="single" w:sz="8" w:color="auto"/>
            </w:tcBorders>
          </w:tcPr>
          <w:p>
            <w:pPr>
              <w:spacing w:after="0"/>
              <w:rPr>
                <w:sz w:val="5"/>
                <w:szCs w:val="5"/>
                <w:color w:val="auto"/>
              </w:rPr>
            </w:pPr>
          </w:p>
        </w:tc>
        <w:tc>
          <w:tcPr>
            <w:tcW w:w="69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69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69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0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5.2%</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08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5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864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600" w:type="dxa"/>
            <w:vAlign w:val="bottom"/>
            <w:tcBorders>
              <w:right w:val="single" w:sz="8" w:color="FEFEFE"/>
            </w:tcBorders>
            <w:shd w:val="clear" w:color="auto" w:fill="FEFEFE"/>
          </w:tcPr>
          <w:p>
            <w:pPr>
              <w:ind w:left="1600"/>
              <w:spacing w:after="0"/>
              <w:rPr>
                <w:sz w:val="20"/>
                <w:szCs w:val="20"/>
                <w:color w:val="auto"/>
              </w:rPr>
            </w:pPr>
            <w:r>
              <w:rPr>
                <w:rFonts w:ascii="Arial" w:cs="Arial" w:eastAsia="Arial" w:hAnsi="Arial"/>
                <w:sz w:val="18"/>
                <w:szCs w:val="18"/>
                <w:color w:val="auto"/>
                <w:w w:val="85"/>
              </w:rPr>
              <w:t>Page 11 of 17</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Koh, Bong</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6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9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60" w:type="dxa"/>
            <w:vAlign w:val="bottom"/>
            <w:tcBorders>
              <w:left w:val="single" w:sz="8" w:color="auto"/>
              <w:bottom w:val="single" w:sz="8" w:color="auto"/>
              <w:right w:val="single" w:sz="8" w:color="auto"/>
            </w:tcBorders>
          </w:tcPr>
          <w:p>
            <w:pPr>
              <w:spacing w:after="0"/>
              <w:rPr>
                <w:sz w:val="9"/>
                <w:szCs w:val="9"/>
                <w:color w:val="auto"/>
              </w:rPr>
            </w:pPr>
          </w:p>
        </w:tc>
        <w:tc>
          <w:tcPr>
            <w:tcW w:w="8080" w:type="dxa"/>
            <w:vAlign w:val="bottom"/>
            <w:tcBorders>
              <w:bottom w:val="single" w:sz="8" w:color="auto"/>
            </w:tcBorders>
            <w:gridSpan w:val="3"/>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w:t>
            </w:r>
          </w:p>
        </w:tc>
        <w:tc>
          <w:tcPr>
            <w:tcW w:w="80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United States</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6980" w:type="dxa"/>
            <w:vAlign w:val="bottom"/>
          </w:tcPr>
          <w:p>
            <w:pPr>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w:t>
            </w:r>
          </w:p>
        </w:tc>
        <w:tc>
          <w:tcPr>
            <w:tcW w:w="6980" w:type="dxa"/>
            <w:vAlign w:val="bottom"/>
          </w:tcPr>
          <w:p>
            <w:pPr>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tcPr>
          <w:p>
            <w:pPr>
              <w:spacing w:after="0"/>
              <w:rPr>
                <w:sz w:val="18"/>
                <w:szCs w:val="18"/>
                <w:color w:val="auto"/>
              </w:rPr>
            </w:pPr>
          </w:p>
        </w:tc>
        <w:tc>
          <w:tcPr>
            <w:tcW w:w="6980" w:type="dxa"/>
            <w:vAlign w:val="bottom"/>
            <w:vMerge w:val="restart"/>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698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0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90"/>
              <w:spacing w:after="0" w:line="175" w:lineRule="exact"/>
              <w:rPr>
                <w:sz w:val="20"/>
                <w:szCs w:val="20"/>
                <w:color w:val="auto"/>
              </w:rPr>
            </w:pPr>
            <w:r>
              <w:rPr>
                <w:rFonts w:ascii="Arial" w:cs="Arial" w:eastAsia="Arial" w:hAnsi="Arial"/>
                <w:sz w:val="18"/>
                <w:szCs w:val="18"/>
                <w:color w:val="auto"/>
              </w:rPr>
              <w:t>7.</w:t>
            </w:r>
          </w:p>
        </w:tc>
        <w:tc>
          <w:tcPr>
            <w:tcW w:w="6980" w:type="dxa"/>
            <w:vAlign w:val="bottom"/>
          </w:tcPr>
          <w:p>
            <w:pPr>
              <w:spacing w:after="0" w:line="175"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69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right w:val="single" w:sz="8" w:color="auto"/>
            </w:tcBorders>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1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560" w:type="dxa"/>
            <w:vAlign w:val="bottom"/>
            <w:tcBorders>
              <w:bottom w:val="single" w:sz="8" w:color="auto"/>
              <w:right w:val="single" w:sz="8" w:color="auto"/>
            </w:tcBorders>
          </w:tcPr>
          <w:p>
            <w:pPr>
              <w:spacing w:after="0"/>
              <w:rPr>
                <w:sz w:val="5"/>
                <w:szCs w:val="5"/>
                <w:color w:val="auto"/>
              </w:rPr>
            </w:pPr>
          </w:p>
        </w:tc>
        <w:tc>
          <w:tcPr>
            <w:tcW w:w="69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69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69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1,691,623</w:t>
            </w:r>
            <w:r>
              <w:rPr>
                <w:rFonts w:ascii="Arial" w:cs="Arial" w:eastAsia="Arial" w:hAnsi="Arial"/>
                <w:sz w:val="29"/>
                <w:szCs w:val="29"/>
                <w:color w:val="auto"/>
                <w:vertAlign w:val="superscript"/>
              </w:rPr>
              <w:t>2</w:t>
            </w: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80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5.2%</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12.</w:t>
            </w:r>
          </w:p>
        </w:tc>
        <w:tc>
          <w:tcPr>
            <w:tcW w:w="808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5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540" w:hanging="228"/>
        <w:spacing w:after="0" w:line="286" w:lineRule="auto"/>
        <w:tabs>
          <w:tab w:leader="none" w:pos="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240" w:hanging="228"/>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w:t>
      </w:r>
    </w:p>
    <w:p>
      <w:pPr>
        <w:spacing w:after="0" w:line="211" w:lineRule="exact"/>
        <w:rPr>
          <w:sz w:val="20"/>
          <w:szCs w:val="20"/>
          <w:color w:val="auto"/>
        </w:rPr>
      </w:pPr>
    </w:p>
    <w:p>
      <w:pPr>
        <w:ind w:left="240" w:right="480" w:hanging="228"/>
        <w:spacing w:after="0" w:line="308" w:lineRule="auto"/>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 w:name="page12"/>
    <w:bookmarkEnd w:id="11"/>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Introductory Note: This Schedule 13G/A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 LLC, a limited liability company organized under the laws of the State of Delaware (“VHCP Management II”), VHCP Management III, LLC, a limited liability company organized under the laws of the State of Delaware (“VHCP Management III”), VHCP Management EG, LLC, a limited liability company organized under the laws of the State of Delaware (“VHCP Management EG” and collectively with VHCP II LP, VHCP Co-Investment II, VHCP III LP, VHCP Co-Investment III, VHCP EG, VHCP Management II and VHCP Management III, the “Venrock Entities”), Nimish Shah (“Shah”) and Bong Koh (“Koh”) in respect of Common Stock of Athira Pharma,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4000 Mason Road, Suite 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Nimish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Address of Principal Business Office or, if none, Residence</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New York Office: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Palo Alto Office:</w:t>
      </w:r>
    </w:p>
    <w:p>
      <w:pPr>
        <w:spacing w:after="0" w:line="200" w:lineRule="exact"/>
        <w:rPr>
          <w:sz w:val="20"/>
          <w:szCs w:val="20"/>
          <w:color w:val="auto"/>
        </w:rPr>
      </w:pPr>
    </w:p>
    <w:p>
      <w:pPr>
        <w:sectPr>
          <w:pgSz w:w="11900" w:h="16838" w:orient="portrait"/>
          <w:cols w:equalWidth="0" w:num="2">
            <w:col w:w="4700" w:space="720"/>
            <w:col w:w="5820"/>
          </w:cols>
          <w:pgMar w:left="320" w:top="904" w:right="339" w:bottom="1440" w:gutter="0" w:footer="0" w:header="0"/>
          <w:type w:val="continuous"/>
        </w:sectPr>
      </w:pPr>
    </w:p>
    <w:p>
      <w:pPr>
        <w:spacing w:after="0" w:line="3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7 Bryant Park</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23rd Floor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New York, NY 10018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3340 Hillview Avenue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94304</w:t>
      </w:r>
    </w:p>
    <w:p>
      <w:pPr>
        <w:spacing w:after="0" w:line="404" w:lineRule="exact"/>
        <w:rPr>
          <w:sz w:val="20"/>
          <w:szCs w:val="20"/>
          <w:color w:val="auto"/>
        </w:rPr>
      </w:pPr>
    </w:p>
    <w:p>
      <w:pPr>
        <w:sectPr>
          <w:pgSz w:w="11900" w:h="16838" w:orient="portrait"/>
          <w:cols w:equalWidth="0" w:num="2">
            <w:col w:w="4700" w:space="720"/>
            <w:col w:w="5820"/>
          </w:cols>
          <w:pgMar w:left="320" w:top="904" w:right="339" w:bottom="1440" w:gutter="0" w:footer="0" w:header="0"/>
          <w:type w:val="continuous"/>
        </w:sectPr>
      </w:pP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Citizenship</w:t>
      </w:r>
    </w:p>
    <w:p>
      <w:pPr>
        <w:sectPr>
          <w:pgSz w:w="11900" w:h="16838" w:orient="portrait"/>
          <w:cols w:equalWidth="0" w:num="1">
            <w:col w:w="11240"/>
          </w:cols>
          <w:pgMar w:left="320" w:top="904"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All of the Venrock Entities were organized in Delaware. The individuals are both United States citizens.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ind w:left="240"/>
        <w:spacing w:after="0"/>
        <w:rPr>
          <w:sz w:val="20"/>
          <w:szCs w:val="20"/>
          <w:color w:val="auto"/>
        </w:rPr>
      </w:pPr>
      <w:r>
        <w:rPr>
          <w:rFonts w:ascii="Arial" w:cs="Arial" w:eastAsia="Arial" w:hAnsi="Arial"/>
          <w:sz w:val="18"/>
          <w:szCs w:val="18"/>
          <w:color w:val="auto"/>
        </w:rPr>
        <w:t>(d) Title of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$0.0001 per share</w:t>
      </w:r>
    </w:p>
    <w:p>
      <w:pPr>
        <w:spacing w:after="0" w:line="225" w:lineRule="exact"/>
        <w:rPr>
          <w:sz w:val="20"/>
          <w:szCs w:val="20"/>
          <w:color w:val="auto"/>
        </w:rPr>
      </w:pPr>
    </w:p>
    <w:p>
      <w:pPr>
        <w:ind w:right="9580" w:firstLine="242"/>
        <w:spacing w:after="0" w:line="498" w:lineRule="auto"/>
        <w:tabs>
          <w:tab w:leader="none" w:pos="5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CUSIP Number 04746L104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2200" w:type="dxa"/>
            <w:vAlign w:val="bottom"/>
          </w:tcPr>
          <w:p>
            <w:pPr>
              <w:spacing w:after="0"/>
              <w:rPr>
                <w:sz w:val="20"/>
                <w:szCs w:val="20"/>
                <w:color w:val="auto"/>
              </w:rPr>
            </w:pPr>
          </w:p>
        </w:tc>
      </w:tr>
      <w:tr>
        <w:trPr>
          <w:trHeight w:val="432"/>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4.  Ownership</w:t>
            </w:r>
          </w:p>
        </w:tc>
        <w:tc>
          <w:tcPr>
            <w:tcW w:w="2200" w:type="dxa"/>
            <w:vAlign w:val="bottom"/>
          </w:tcPr>
          <w:p>
            <w:pPr>
              <w:spacing w:after="0"/>
              <w:rPr>
                <w:sz w:val="24"/>
                <w:szCs w:val="24"/>
                <w:color w:val="auto"/>
              </w:rPr>
            </w:pPr>
          </w:p>
        </w:tc>
      </w:tr>
      <w:tr>
        <w:trPr>
          <w:trHeight w:val="432"/>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 Amount Beneficially Owned as of December 31, 2020:</w:t>
            </w:r>
          </w:p>
        </w:tc>
        <w:tc>
          <w:tcPr>
            <w:tcW w:w="22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30"/>
        </w:trPr>
        <w:tc>
          <w:tcPr>
            <w:tcW w:w="26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Bong Koh</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ind w:left="240"/>
              <w:spacing w:after="0"/>
              <w:rPr>
                <w:sz w:val="20"/>
                <w:szCs w:val="20"/>
                <w:color w:val="auto"/>
              </w:rPr>
            </w:pPr>
            <w:r>
              <w:rPr>
                <w:rFonts w:ascii="Arial" w:cs="Arial" w:eastAsia="Arial" w:hAnsi="Arial"/>
                <w:sz w:val="18"/>
                <w:szCs w:val="18"/>
                <w:color w:val="auto"/>
              </w:rPr>
              <w:t>(b) Percent of Class as of December 31, 2020:</w:t>
            </w:r>
          </w:p>
        </w:tc>
        <w:tc>
          <w:tcPr>
            <w:tcW w:w="1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Management EG, LLC</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Bong Koh</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20"/>
                <w:szCs w:val="20"/>
                <w:color w:val="auto"/>
              </w:rPr>
            </w:pPr>
          </w:p>
        </w:tc>
      </w:tr>
      <w:tr>
        <w:trPr>
          <w:trHeight w:val="418"/>
        </w:trPr>
        <w:tc>
          <w:tcPr>
            <w:tcW w:w="8060" w:type="dxa"/>
            <w:vAlign w:val="bottom"/>
            <w:gridSpan w:val="2"/>
          </w:tcPr>
          <w:p>
            <w:pPr>
              <w:ind w:left="240"/>
              <w:spacing w:after="0"/>
              <w:rPr>
                <w:sz w:val="20"/>
                <w:szCs w:val="20"/>
                <w:color w:val="auto"/>
              </w:rPr>
            </w:pPr>
            <w:r>
              <w:rPr>
                <w:rFonts w:ascii="Arial" w:cs="Arial" w:eastAsia="Arial" w:hAnsi="Arial"/>
                <w:sz w:val="18"/>
                <w:szCs w:val="18"/>
                <w:color w:val="auto"/>
              </w:rPr>
              <w:t>(c) Number of shares as to which the person has, as of December 31, 2020:</w:t>
            </w: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060" w:type="dxa"/>
            <w:vAlign w:val="bottom"/>
            <w:gridSpan w:val="2"/>
          </w:tcPr>
          <w:p>
            <w:pPr>
              <w:ind w:left="240"/>
              <w:spacing w:after="0"/>
              <w:rPr>
                <w:sz w:val="20"/>
                <w:szCs w:val="20"/>
                <w:color w:val="auto"/>
              </w:rPr>
            </w:pPr>
            <w:r>
              <w:rPr>
                <w:rFonts w:ascii="Arial" w:cs="Arial" w:eastAsia="Arial" w:hAnsi="Arial"/>
                <w:sz w:val="18"/>
                <w:szCs w:val="18"/>
                <w:color w:val="auto"/>
              </w:rPr>
              <w:t>(i) Sole power to vote or to direct the vote</w:t>
            </w: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VHCP Management EG, LLC</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Bong Koh</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20"/>
                <w:szCs w:val="20"/>
                <w:color w:val="auto"/>
              </w:rPr>
            </w:pPr>
          </w:p>
        </w:tc>
      </w:tr>
      <w:tr>
        <w:trPr>
          <w:trHeight w:val="661"/>
        </w:trPr>
        <w:tc>
          <w:tcPr>
            <w:tcW w:w="3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gridSpan w:val="2"/>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200" w:type="dxa"/>
            <w:vAlign w:val="bottom"/>
            <w:shd w:val="clear" w:color="auto" w:fill="FEFEFE"/>
          </w:tcPr>
          <w:p>
            <w:pPr>
              <w:spacing w:after="0"/>
              <w:rPr>
                <w:sz w:val="18"/>
                <w:szCs w:val="18"/>
                <w:color w:val="auto"/>
              </w:rPr>
            </w:pPr>
          </w:p>
        </w:tc>
        <w:tc>
          <w:tcPr>
            <w:tcW w:w="1900" w:type="dxa"/>
            <w:vAlign w:val="bottom"/>
            <w:shd w:val="clear" w:color="auto" w:fill="FEFEFE"/>
          </w:tcPr>
          <w:p>
            <w:pPr>
              <w:ind w:left="900"/>
              <w:spacing w:after="0"/>
              <w:rPr>
                <w:sz w:val="20"/>
                <w:szCs w:val="20"/>
                <w:color w:val="auto"/>
              </w:rPr>
            </w:pPr>
            <w:r>
              <w:rPr>
                <w:rFonts w:ascii="Arial" w:cs="Arial" w:eastAsia="Arial" w:hAnsi="Arial"/>
                <w:sz w:val="18"/>
                <w:szCs w:val="18"/>
                <w:color w:val="auto"/>
                <w:w w:val="87"/>
              </w:rPr>
              <w:t>Page 14 of 17</w:t>
            </w:r>
          </w:p>
        </w:tc>
      </w:tr>
      <w:tr>
        <w:trPr>
          <w:trHeight w:val="432"/>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(ii) Shared power to vote or to direct the vote</w:t>
            </w: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Bong Koh</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c>
          <w:tcPr>
            <w:tcW w:w="1900" w:type="dxa"/>
            <w:vAlign w:val="bottom"/>
          </w:tcPr>
          <w:p>
            <w:pPr>
              <w:spacing w:after="0"/>
              <w:rPr>
                <w:sz w:val="20"/>
                <w:szCs w:val="20"/>
                <w:color w:val="auto"/>
              </w:rPr>
            </w:pPr>
          </w:p>
        </w:tc>
      </w:tr>
    </w:tbl>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800" w:type="dxa"/>
            <w:vAlign w:val="bottom"/>
          </w:tcPr>
          <w:p>
            <w:pPr>
              <w:spacing w:after="0"/>
              <w:rPr>
                <w:sz w:val="20"/>
                <w:szCs w:val="20"/>
                <w:color w:val="auto"/>
              </w:rPr>
            </w:pPr>
          </w:p>
        </w:tc>
      </w:tr>
      <w:tr>
        <w:trPr>
          <w:trHeight w:val="216"/>
        </w:trPr>
        <w:tc>
          <w:tcPr>
            <w:tcW w:w="30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0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Bong Koh</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200" w:type="dxa"/>
            <w:vAlign w:val="bottom"/>
          </w:tcPr>
          <w:p>
            <w:pPr>
              <w:spacing w:after="0"/>
              <w:rPr>
                <w:sz w:val="20"/>
                <w:szCs w:val="20"/>
                <w:color w:val="auto"/>
              </w:rPr>
            </w:pPr>
          </w:p>
        </w:tc>
      </w:tr>
      <w:tr>
        <w:trPr>
          <w:trHeight w:val="216"/>
        </w:trPr>
        <w:tc>
          <w:tcPr>
            <w:tcW w:w="23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r>
        <w:trPr>
          <w:trHeight w:val="216"/>
        </w:trPr>
        <w:tc>
          <w:tcPr>
            <w:tcW w:w="23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1,691,623(1)</w:t>
            </w:r>
          </w:p>
        </w:tc>
      </w:tr>
      <w:tr>
        <w:trPr>
          <w:trHeight w:val="230"/>
        </w:trPr>
        <w:tc>
          <w:tcPr>
            <w:tcW w:w="23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Bong Koh</w:t>
            </w:r>
          </w:p>
        </w:tc>
        <w:tc>
          <w:tcPr>
            <w:tcW w:w="2200" w:type="dxa"/>
            <w:vAlign w:val="bottom"/>
          </w:tcPr>
          <w:p>
            <w:pPr>
              <w:jc w:val="right"/>
              <w:spacing w:after="0"/>
              <w:rPr>
                <w:sz w:val="20"/>
                <w:szCs w:val="20"/>
                <w:color w:val="auto"/>
              </w:rPr>
            </w:pPr>
            <w:r>
              <w:rPr>
                <w:rFonts w:ascii="Arial" w:cs="Arial" w:eastAsia="Arial" w:hAnsi="Arial"/>
                <w:sz w:val="18"/>
                <w:szCs w:val="18"/>
                <w:color w:val="auto"/>
              </w:rPr>
              <w:t>1,691,623(1)</w:t>
            </w:r>
          </w:p>
        </w:tc>
      </w:tr>
    </w:tbl>
    <w:p>
      <w:pPr>
        <w:spacing w:after="0" w:line="187" w:lineRule="exact"/>
        <w:rPr>
          <w:sz w:val="20"/>
          <w:szCs w:val="20"/>
          <w:color w:val="auto"/>
        </w:rPr>
      </w:pPr>
    </w:p>
    <w:p>
      <w:pPr>
        <w:ind w:left="240" w:hanging="228"/>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560" w:hanging="318"/>
        <w:spacing w:after="0"/>
        <w:tabs>
          <w:tab w:leader="none" w:pos="5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1,223,678 shares held by Venrock Healthcare Capital Partners III, L.P., (iv) 122,315 shares held by VHCP Co-Investment Holdings III, LLC and</w:t>
      </w:r>
    </w:p>
    <w:p>
      <w:pPr>
        <w:spacing w:after="0" w:line="32" w:lineRule="exact"/>
        <w:rPr>
          <w:rFonts w:ascii="Arial" w:cs="Arial" w:eastAsia="Arial" w:hAnsi="Arial"/>
          <w:sz w:val="16"/>
          <w:szCs w:val="16"/>
          <w:color w:val="auto"/>
        </w:rPr>
      </w:pPr>
    </w:p>
    <w:p>
      <w:pPr>
        <w:ind w:left="240" w:right="180" w:firstLine="2"/>
        <w:spacing w:after="0" w:line="253" w:lineRule="auto"/>
        <w:tabs>
          <w:tab w:leader="none" w:pos="4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85,650 shares held by Venrock Healthcare Capital Partners EG, L.P.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 LLC, VHCP Management III, LLC and VHCP Management EG, LLC.</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right="40" w:hanging="674"/>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5" w:name="page16"/>
    <w:bookmarkEnd w:id="15"/>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16,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3"/>
          </w:tcPr>
          <w:p>
            <w:pPr>
              <w:ind w:left="20"/>
              <w:spacing w:after="0"/>
              <w:rPr>
                <w:sz w:val="20"/>
                <w:szCs w:val="20"/>
                <w:color w:val="auto"/>
              </w:rPr>
            </w:pPr>
            <w:r>
              <w:rPr>
                <w:rFonts w:ascii="Arial" w:cs="Arial" w:eastAsia="Arial" w:hAnsi="Arial"/>
                <w:sz w:val="18"/>
                <w:szCs w:val="18"/>
                <w:b w:val="1"/>
                <w:bCs w:val="1"/>
                <w:color w:val="auto"/>
              </w:rPr>
              <w:t>Venrock Healthcare Capital Partners II, L.P.</w:t>
            </w:r>
          </w:p>
        </w:tc>
        <w:tc>
          <w:tcPr>
            <w:tcW w:w="54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8"/>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VHCP Management II, LLC</w:t>
            </w:r>
          </w:p>
        </w:tc>
        <w:tc>
          <w:tcPr>
            <w:tcW w:w="5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rPr>
              <w:t>Its:</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General Partner</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5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Name: David L. Stepp</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28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18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Co-Investment Holdings II, LLC</w:t>
            </w:r>
          </w:p>
        </w:tc>
        <w:tc>
          <w:tcPr>
            <w:tcW w:w="54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8"/>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VHCP Management II, LLC</w:t>
            </w:r>
          </w:p>
        </w:tc>
        <w:tc>
          <w:tcPr>
            <w:tcW w:w="5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rPr>
              <w:t>Its:</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Manager</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5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Name: David L. Stepp</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28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18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Management II, LLC</w:t>
            </w:r>
          </w:p>
        </w:tc>
        <w:tc>
          <w:tcPr>
            <w:tcW w:w="54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III, LLC</w:t>
            </w:r>
          </w:p>
        </w:tc>
        <w:tc>
          <w:tcPr>
            <w:tcW w:w="0" w:type="dxa"/>
            <w:vAlign w:val="bottom"/>
          </w:tcPr>
          <w:p>
            <w:pPr>
              <w:spacing w:after="0"/>
              <w:rPr>
                <w:sz w:val="1"/>
                <w:szCs w:val="1"/>
                <w:color w:val="auto"/>
              </w:rPr>
            </w:pPr>
          </w:p>
        </w:tc>
      </w:tr>
      <w:tr>
        <w:trPr>
          <w:trHeight w:val="432"/>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5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Name: David L. Stepp</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28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180" w:type="dxa"/>
            <w:vAlign w:val="bottom"/>
            <w:gridSpan w:val="3"/>
          </w:tcPr>
          <w:p>
            <w:pPr>
              <w:ind w:left="20"/>
              <w:spacing w:after="0"/>
              <w:rPr>
                <w:sz w:val="20"/>
                <w:szCs w:val="20"/>
                <w:color w:val="auto"/>
              </w:rPr>
            </w:pPr>
            <w:r>
              <w:rPr>
                <w:rFonts w:ascii="Arial" w:cs="Arial" w:eastAsia="Arial" w:hAnsi="Arial"/>
                <w:sz w:val="18"/>
                <w:szCs w:val="18"/>
                <w:b w:val="1"/>
                <w:bCs w:val="1"/>
                <w:color w:val="auto"/>
              </w:rPr>
              <w:t>Venrock Healthcare Capital Partners EG, L.P.</w:t>
            </w:r>
          </w:p>
        </w:tc>
        <w:tc>
          <w:tcPr>
            <w:tcW w:w="54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EG, LLC</w:t>
            </w:r>
          </w:p>
        </w:tc>
        <w:tc>
          <w:tcPr>
            <w:tcW w:w="0" w:type="dxa"/>
            <w:vAlign w:val="bottom"/>
          </w:tcPr>
          <w:p>
            <w:pPr>
              <w:spacing w:after="0"/>
              <w:rPr>
                <w:sz w:val="1"/>
                <w:szCs w:val="1"/>
                <w:color w:val="auto"/>
              </w:rPr>
            </w:pPr>
          </w:p>
        </w:tc>
      </w:tr>
      <w:tr>
        <w:trPr>
          <w:trHeight w:val="432"/>
        </w:trPr>
        <w:tc>
          <w:tcPr>
            <w:tcW w:w="500" w:type="dxa"/>
            <w:vAlign w:val="bottom"/>
          </w:tcPr>
          <w:p>
            <w:pPr>
              <w:ind w:left="2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VHCP Management EG, LLC</w:t>
            </w:r>
          </w:p>
        </w:tc>
        <w:tc>
          <w:tcPr>
            <w:tcW w:w="540" w:type="dxa"/>
            <w:vAlign w:val="bottom"/>
          </w:tcPr>
          <w:p>
            <w:pPr>
              <w:spacing w:after="0"/>
              <w:rPr>
                <w:sz w:val="24"/>
                <w:szCs w:val="24"/>
                <w:color w:val="auto"/>
              </w:rPr>
            </w:pPr>
          </w:p>
        </w:tc>
        <w:tc>
          <w:tcPr>
            <w:tcW w:w="5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ind w:left="20"/>
              <w:spacing w:after="0" w:line="195" w:lineRule="exact"/>
              <w:rPr>
                <w:sz w:val="20"/>
                <w:szCs w:val="20"/>
                <w:color w:val="auto"/>
              </w:rPr>
            </w:pPr>
            <w:r>
              <w:rPr>
                <w:rFonts w:ascii="Arial" w:cs="Arial" w:eastAsia="Arial" w:hAnsi="Arial"/>
                <w:sz w:val="18"/>
                <w:szCs w:val="18"/>
                <w:color w:val="auto"/>
              </w:rPr>
              <w:t>Its:</w:t>
            </w:r>
          </w:p>
        </w:tc>
        <w:tc>
          <w:tcPr>
            <w:tcW w:w="4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General Partner</w:t>
            </w:r>
          </w:p>
        </w:tc>
        <w:tc>
          <w:tcPr>
            <w:tcW w:w="540" w:type="dxa"/>
            <w:vAlign w:val="bottom"/>
          </w:tcPr>
          <w:p>
            <w:pPr>
              <w:spacing w:after="0"/>
              <w:rPr>
                <w:sz w:val="16"/>
                <w:szCs w:val="16"/>
                <w:color w:val="auto"/>
              </w:rPr>
            </w:pPr>
          </w:p>
        </w:tc>
        <w:tc>
          <w:tcPr>
            <w:tcW w:w="5520" w:type="dxa"/>
            <w:vAlign w:val="bottom"/>
            <w:gridSpan w:val="3"/>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180" w:type="dxa"/>
            <w:vAlign w:val="bottom"/>
            <w:gridSpan w:val="3"/>
            <w:vMerge w:val="restart"/>
          </w:tcPr>
          <w:p>
            <w:pPr>
              <w:ind w:left="20"/>
              <w:spacing w:after="0"/>
              <w:rPr>
                <w:sz w:val="20"/>
                <w:szCs w:val="20"/>
                <w:color w:val="auto"/>
              </w:rPr>
            </w:pPr>
            <w:r>
              <w:rPr>
                <w:rFonts w:ascii="Arial" w:cs="Arial" w:eastAsia="Arial" w:hAnsi="Arial"/>
                <w:sz w:val="18"/>
                <w:szCs w:val="18"/>
                <w:color w:val="auto"/>
              </w:rPr>
              <w:t>/s/ David L. Stepp</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Name: David L. Stepp</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rPr>
              <w:t>Its:</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Authorized Signatory</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Bong Koh</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 Stepp, Attorney-in-fact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60" w:hanging="348"/>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of Schedule 13G filed on November 16, 2020)</w:t>
      </w:r>
    </w:p>
    <w:p>
      <w:pPr>
        <w:spacing w:after="0" w:line="225" w:lineRule="exact"/>
        <w:rPr>
          <w:rFonts w:ascii="Arial" w:cs="Arial" w:eastAsia="Arial" w:hAnsi="Arial"/>
          <w:sz w:val="18"/>
          <w:szCs w:val="18"/>
          <w:color w:val="auto"/>
        </w:rPr>
      </w:pPr>
    </w:p>
    <w:p>
      <w:pPr>
        <w:ind w:left="360" w:hanging="348"/>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Power of Attorney for Nimish Shah (incorporated by reference to Exhibit B of Schedule 13G filed on November 16, 2020)</w:t>
      </w:r>
    </w:p>
    <w:p>
      <w:pPr>
        <w:spacing w:after="0" w:line="225" w:lineRule="exact"/>
        <w:rPr>
          <w:rFonts w:ascii="Arial" w:cs="Arial" w:eastAsia="Arial" w:hAnsi="Arial"/>
          <w:sz w:val="18"/>
          <w:szCs w:val="18"/>
          <w:color w:val="auto"/>
        </w:rPr>
      </w:pPr>
    </w:p>
    <w:p>
      <w:pPr>
        <w:ind w:left="360" w:hanging="348"/>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Power of Attorney for Bong Koh (incorporated by reference to Exhibit C of Schedule 13G filed on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bullet"/>
      <w:start w:val="1"/>
    </w:lvl>
  </w:abstractNum>
  <w:abstractNum w:abstractNumId="4">
    <w:nsid w:val="B03E0C6"/>
    <w:multiLevelType w:val="hybridMultilevel"/>
    <w:lvl w:ilvl="0">
      <w:lvlJc w:val="left"/>
      <w:lvlText w:val="2"/>
      <w:numFmt w:val="bullet"/>
      <w:start w:val="1"/>
    </w:lvl>
    <w:lvl w:ilvl="1">
      <w:lvlJc w:val="left"/>
      <w:lvlText w:val="(%2)"/>
      <w:numFmt w:val="lowerRoman"/>
      <w:start w:val="3"/>
    </w:lvl>
  </w:abstractNum>
  <w:abstractNum w:abstractNumId="5">
    <w:nsid w:val="189A769B"/>
    <w:multiLevelType w:val="hybridMultilevel"/>
    <w:lvl w:ilvl="0">
      <w:lvlJc w:val="left"/>
      <w:lvlText w:val="2"/>
      <w:numFmt w:val="bullet"/>
      <w:start w:val="1"/>
    </w:lvl>
    <w:lvl w:ilvl="1">
      <w:lvlJc w:val="left"/>
      <w:lvlText w:val="(%2)"/>
      <w:numFmt w:val="lowerRoman"/>
      <w:start w:val="5"/>
    </w:lvl>
  </w:abstractNum>
  <w:abstractNum w:abstractNumId="6">
    <w:nsid w:val="54E49EB4"/>
    <w:multiLevelType w:val="hybridMultilevel"/>
    <w:lvl w:ilvl="0">
      <w:lvlJc w:val="left"/>
      <w:lvlText w:val="3"/>
      <w:numFmt w:val="bullet"/>
      <w:start w:val="1"/>
    </w:lvl>
  </w:abstractNum>
  <w:abstractNum w:abstractNumId="7">
    <w:nsid w:val="71F32454"/>
    <w:multiLevelType w:val="hybridMultilevel"/>
    <w:lvl w:ilvl="0">
      <w:lvlJc w:val="left"/>
      <w:lvlText w:val="1"/>
      <w:numFmt w:val="bullet"/>
      <w:start w:val="1"/>
    </w:lvl>
  </w:abstractNum>
  <w:abstractNum w:abstractNumId="8">
    <w:nsid w:val="2CA88611"/>
    <w:multiLevelType w:val="hybridMultilevel"/>
    <w:lvl w:ilvl="0">
      <w:lvlJc w:val="left"/>
      <w:lvlText w:val="2"/>
      <w:numFmt w:val="bullet"/>
      <w:start w:val="1"/>
    </w:lvl>
    <w:lvl w:ilvl="1">
      <w:lvlJc w:val="left"/>
      <w:lvlText w:val="(%2)"/>
      <w:numFmt w:val="lowerRoman"/>
      <w:start w:val="3"/>
    </w:lvl>
  </w:abstractNum>
  <w:abstractNum w:abstractNumId="9">
    <w:nsid w:val="836C40E"/>
    <w:multiLevelType w:val="hybridMultilevel"/>
    <w:lvl w:ilvl="0">
      <w:lvlJc w:val="left"/>
      <w:lvlText w:val="2"/>
      <w:numFmt w:val="bullet"/>
      <w:start w:val="1"/>
    </w:lvl>
    <w:lvl w:ilvl="1">
      <w:lvlJc w:val="left"/>
      <w:lvlText w:val="(%2)"/>
      <w:numFmt w:val="lowerRoman"/>
      <w:start w:val="5"/>
    </w:lvl>
  </w:abstractNum>
  <w:abstractNum w:abstractNumId="10">
    <w:nsid w:val="2901D82"/>
    <w:multiLevelType w:val="hybridMultilevel"/>
    <w:lvl w:ilvl="0">
      <w:lvlJc w:val="left"/>
      <w:lvlText w:val="3"/>
      <w:numFmt w:val="bullet"/>
      <w:start w:val="1"/>
    </w:lvl>
  </w:abstractNum>
  <w:abstractNum w:abstractNumId="11">
    <w:nsid w:val="3A95F874"/>
    <w:multiLevelType w:val="hybridMultilevel"/>
    <w:lvl w:ilvl="0">
      <w:lvlJc w:val="left"/>
      <w:lvlText w:val="1"/>
      <w:numFmt w:val="bullet"/>
      <w:start w:val="1"/>
    </w:lvl>
  </w:abstractNum>
  <w:abstractNum w:abstractNumId="12">
    <w:nsid w:val="8138641"/>
    <w:multiLevelType w:val="hybridMultilevel"/>
    <w:lvl w:ilvl="0">
      <w:lvlJc w:val="left"/>
      <w:lvlText w:val="2"/>
      <w:numFmt w:val="bullet"/>
      <w:start w:val="1"/>
    </w:lvl>
    <w:lvl w:ilvl="1">
      <w:lvlJc w:val="left"/>
      <w:lvlText w:val="(%2)"/>
      <w:numFmt w:val="lowerRoman"/>
      <w:start w:val="3"/>
    </w:lvl>
  </w:abstractNum>
  <w:abstractNum w:abstractNumId="13">
    <w:nsid w:val="1E7FF521"/>
    <w:multiLevelType w:val="hybridMultilevel"/>
    <w:lvl w:ilvl="0">
      <w:lvlJc w:val="left"/>
      <w:lvlText w:val="2"/>
      <w:numFmt w:val="bullet"/>
      <w:start w:val="1"/>
    </w:lvl>
    <w:lvl w:ilvl="1">
      <w:lvlJc w:val="left"/>
      <w:lvlText w:val="(%2)"/>
      <w:numFmt w:val="lowerRoman"/>
      <w:start w:val="5"/>
    </w:lvl>
  </w:abstractNum>
  <w:abstractNum w:abstractNumId="14">
    <w:nsid w:val="7C3DBD3D"/>
    <w:multiLevelType w:val="hybridMultilevel"/>
    <w:lvl w:ilvl="0">
      <w:lvlJc w:val="left"/>
      <w:lvlText w:val="3"/>
      <w:numFmt w:val="bullet"/>
      <w:start w:val="1"/>
    </w:lvl>
  </w:abstractNum>
  <w:abstractNum w:abstractNumId="15">
    <w:nsid w:val="737B8DDC"/>
    <w:multiLevelType w:val="hybridMultilevel"/>
    <w:lvl w:ilvl="0">
      <w:lvlJc w:val="left"/>
      <w:lvlText w:val="1"/>
      <w:numFmt w:val="bullet"/>
      <w:start w:val="1"/>
    </w:lvl>
  </w:abstractNum>
  <w:abstractNum w:abstractNumId="16">
    <w:nsid w:val="6CEAF087"/>
    <w:multiLevelType w:val="hybridMultilevel"/>
    <w:lvl w:ilvl="0">
      <w:lvlJc w:val="left"/>
      <w:lvlText w:val="2"/>
      <w:numFmt w:val="bullet"/>
      <w:start w:val="1"/>
    </w:lvl>
    <w:lvl w:ilvl="1">
      <w:lvlJc w:val="left"/>
      <w:lvlText w:val="(%2)"/>
      <w:numFmt w:val="lowerRoman"/>
      <w:start w:val="3"/>
    </w:lvl>
  </w:abstractNum>
  <w:abstractNum w:abstractNumId="17">
    <w:nsid w:val="22221A70"/>
    <w:multiLevelType w:val="hybridMultilevel"/>
    <w:lvl w:ilvl="0">
      <w:lvlJc w:val="left"/>
      <w:lvlText w:val="2"/>
      <w:numFmt w:val="bullet"/>
      <w:start w:val="1"/>
    </w:lvl>
    <w:lvl w:ilvl="1">
      <w:lvlJc w:val="left"/>
      <w:lvlText w:val="(%2)"/>
      <w:numFmt w:val="lowerRoman"/>
      <w:start w:val="5"/>
    </w:lvl>
  </w:abstractNum>
  <w:abstractNum w:abstractNumId="18">
    <w:nsid w:val="4516DDE9"/>
    <w:multiLevelType w:val="hybridMultilevel"/>
    <w:lvl w:ilvl="0">
      <w:lvlJc w:val="left"/>
      <w:lvlText w:val="3"/>
      <w:numFmt w:val="bullet"/>
      <w:start w:val="1"/>
    </w:lvl>
  </w:abstractNum>
  <w:abstractNum w:abstractNumId="19">
    <w:nsid w:val="3006C83E"/>
    <w:multiLevelType w:val="hybridMultilevel"/>
    <w:lvl w:ilvl="0">
      <w:lvlJc w:val="left"/>
      <w:lvlText w:val="1"/>
      <w:numFmt w:val="bullet"/>
      <w:start w:val="1"/>
    </w:lvl>
  </w:abstractNum>
  <w:abstractNum w:abstractNumId="20">
    <w:nsid w:val="614FD4A1"/>
    <w:multiLevelType w:val="hybridMultilevel"/>
    <w:lvl w:ilvl="0">
      <w:lvlJc w:val="left"/>
      <w:lvlText w:val="2"/>
      <w:numFmt w:val="bullet"/>
      <w:start w:val="1"/>
    </w:lvl>
    <w:lvl w:ilvl="1">
      <w:lvlJc w:val="left"/>
      <w:lvlText w:val="(%2)"/>
      <w:numFmt w:val="lowerRoman"/>
      <w:start w:val="3"/>
    </w:lvl>
  </w:abstractNum>
  <w:abstractNum w:abstractNumId="21">
    <w:nsid w:val="419AC241"/>
    <w:multiLevelType w:val="hybridMultilevel"/>
    <w:lvl w:ilvl="0">
      <w:lvlJc w:val="left"/>
      <w:lvlText w:val="2"/>
      <w:numFmt w:val="bullet"/>
      <w:start w:val="1"/>
    </w:lvl>
    <w:lvl w:ilvl="1">
      <w:lvlJc w:val="left"/>
      <w:lvlText w:val="(%2)"/>
      <w:numFmt w:val="lowerRoman"/>
      <w:start w:val="5"/>
    </w:lvl>
  </w:abstractNum>
  <w:abstractNum w:abstractNumId="22">
    <w:nsid w:val="5577F8E1"/>
    <w:multiLevelType w:val="hybridMultilevel"/>
    <w:lvl w:ilvl="0">
      <w:lvlJc w:val="left"/>
      <w:lvlText w:val="3"/>
      <w:numFmt w:val="bullet"/>
      <w:start w:val="1"/>
    </w:lvl>
  </w:abstractNum>
  <w:abstractNum w:abstractNumId="23">
    <w:nsid w:val="440BADFC"/>
    <w:multiLevelType w:val="hybridMultilevel"/>
    <w:lvl w:ilvl="0">
      <w:lvlJc w:val="left"/>
      <w:lvlText w:val="1"/>
      <w:numFmt w:val="bullet"/>
      <w:start w:val="1"/>
    </w:lvl>
  </w:abstractNum>
  <w:abstractNum w:abstractNumId="24">
    <w:nsid w:val="5072367"/>
    <w:multiLevelType w:val="hybridMultilevel"/>
    <w:lvl w:ilvl="0">
      <w:lvlJc w:val="left"/>
      <w:lvlText w:val="2"/>
      <w:numFmt w:val="bullet"/>
      <w:start w:val="1"/>
    </w:lvl>
    <w:lvl w:ilvl="1">
      <w:lvlJc w:val="left"/>
      <w:lvlText w:val="(%2)"/>
      <w:numFmt w:val="lowerRoman"/>
      <w:start w:val="3"/>
    </w:lvl>
  </w:abstractNum>
  <w:abstractNum w:abstractNumId="25">
    <w:nsid w:val="3804823E"/>
    <w:multiLevelType w:val="hybridMultilevel"/>
    <w:lvl w:ilvl="0">
      <w:lvlJc w:val="left"/>
      <w:lvlText w:val="2"/>
      <w:numFmt w:val="bullet"/>
      <w:start w:val="1"/>
    </w:lvl>
    <w:lvl w:ilvl="1">
      <w:lvlJc w:val="left"/>
      <w:lvlText w:val="(%2)"/>
      <w:numFmt w:val="lowerRoman"/>
      <w:start w:val="5"/>
    </w:lvl>
  </w:abstractNum>
  <w:abstractNum w:abstractNumId="26">
    <w:nsid w:val="77465F01"/>
    <w:multiLevelType w:val="hybridMultilevel"/>
    <w:lvl w:ilvl="0">
      <w:lvlJc w:val="left"/>
      <w:lvlText w:val="3"/>
      <w:numFmt w:val="bullet"/>
      <w:start w:val="1"/>
    </w:lvl>
  </w:abstractNum>
  <w:abstractNum w:abstractNumId="27">
    <w:nsid w:val="7724C67E"/>
    <w:multiLevelType w:val="hybridMultilevel"/>
    <w:lvl w:ilvl="0">
      <w:lvlJc w:val="left"/>
      <w:lvlText w:val="1"/>
      <w:numFmt w:val="bullet"/>
      <w:start w:val="1"/>
    </w:lvl>
  </w:abstractNum>
  <w:abstractNum w:abstractNumId="28">
    <w:nsid w:val="5C482A97"/>
    <w:multiLevelType w:val="hybridMultilevel"/>
    <w:lvl w:ilvl="0">
      <w:lvlJc w:val="left"/>
      <w:lvlText w:val="2"/>
      <w:numFmt w:val="bullet"/>
      <w:start w:val="1"/>
    </w:lvl>
    <w:lvl w:ilvl="1">
      <w:lvlJc w:val="left"/>
      <w:lvlText w:val="(%2)"/>
      <w:numFmt w:val="lowerRoman"/>
      <w:start w:val="3"/>
    </w:lvl>
  </w:abstractNum>
  <w:abstractNum w:abstractNumId="29">
    <w:nsid w:val="2463B9EA"/>
    <w:multiLevelType w:val="hybridMultilevel"/>
    <w:lvl w:ilvl="0">
      <w:lvlJc w:val="left"/>
      <w:lvlText w:val="2"/>
      <w:numFmt w:val="bullet"/>
      <w:start w:val="1"/>
    </w:lvl>
    <w:lvl w:ilvl="1">
      <w:lvlJc w:val="left"/>
      <w:lvlText w:val="(%2)"/>
      <w:numFmt w:val="lowerRoman"/>
      <w:start w:val="5"/>
    </w:lvl>
  </w:abstractNum>
  <w:abstractNum w:abstractNumId="30">
    <w:nsid w:val="5E884ADC"/>
    <w:multiLevelType w:val="hybridMultilevel"/>
    <w:lvl w:ilvl="0">
      <w:lvlJc w:val="left"/>
      <w:lvlText w:val="3"/>
      <w:numFmt w:val="bullet"/>
      <w:start w:val="1"/>
    </w:lvl>
  </w:abstractNum>
  <w:abstractNum w:abstractNumId="31">
    <w:nsid w:val="51EAD36B"/>
    <w:multiLevelType w:val="hybridMultilevel"/>
    <w:lvl w:ilvl="0">
      <w:lvlJc w:val="left"/>
      <w:lvlText w:val="1"/>
      <w:numFmt w:val="bullet"/>
      <w:start w:val="1"/>
    </w:lvl>
  </w:abstractNum>
  <w:abstractNum w:abstractNumId="32">
    <w:nsid w:val="2D517796"/>
    <w:multiLevelType w:val="hybridMultilevel"/>
    <w:lvl w:ilvl="0">
      <w:lvlJc w:val="left"/>
      <w:lvlText w:val="2"/>
      <w:numFmt w:val="bullet"/>
      <w:start w:val="1"/>
    </w:lvl>
    <w:lvl w:ilvl="1">
      <w:lvlJc w:val="left"/>
      <w:lvlText w:val="(%2)"/>
      <w:numFmt w:val="lowerRoman"/>
      <w:start w:val="3"/>
    </w:lvl>
  </w:abstractNum>
  <w:abstractNum w:abstractNumId="33">
    <w:nsid w:val="580BD78F"/>
    <w:multiLevelType w:val="hybridMultilevel"/>
    <w:lvl w:ilvl="0">
      <w:lvlJc w:val="left"/>
      <w:lvlText w:val="2"/>
      <w:numFmt w:val="bullet"/>
      <w:start w:val="1"/>
    </w:lvl>
    <w:lvl w:ilvl="1">
      <w:lvlJc w:val="left"/>
      <w:lvlText w:val="(%2)"/>
      <w:numFmt w:val="lowerRoman"/>
      <w:start w:val="5"/>
    </w:lvl>
  </w:abstractNum>
  <w:abstractNum w:abstractNumId="34">
    <w:nsid w:val="153EA438"/>
    <w:multiLevelType w:val="hybridMultilevel"/>
    <w:lvl w:ilvl="0">
      <w:lvlJc w:val="left"/>
      <w:lvlText w:val="3"/>
      <w:numFmt w:val="bullet"/>
      <w:start w:val="1"/>
    </w:lvl>
  </w:abstractNum>
  <w:abstractNum w:abstractNumId="35">
    <w:nsid w:val="3855585C"/>
    <w:multiLevelType w:val="hybridMultilevel"/>
    <w:lvl w:ilvl="0">
      <w:lvlJc w:val="left"/>
      <w:lvlText w:val="1"/>
      <w:numFmt w:val="bullet"/>
      <w:start w:val="1"/>
    </w:lvl>
  </w:abstractNum>
  <w:abstractNum w:abstractNumId="36">
    <w:nsid w:val="70A64E2A"/>
    <w:multiLevelType w:val="hybridMultilevel"/>
    <w:lvl w:ilvl="0">
      <w:lvlJc w:val="left"/>
      <w:lvlText w:val="2"/>
      <w:numFmt w:val="bullet"/>
      <w:start w:val="1"/>
    </w:lvl>
    <w:lvl w:ilvl="1">
      <w:lvlJc w:val="left"/>
      <w:lvlText w:val="(%2)"/>
      <w:numFmt w:val="lowerRoman"/>
      <w:start w:val="3"/>
    </w:lvl>
  </w:abstractNum>
  <w:abstractNum w:abstractNumId="37">
    <w:nsid w:val="6A2342EC"/>
    <w:multiLevelType w:val="hybridMultilevel"/>
    <w:lvl w:ilvl="0">
      <w:lvlJc w:val="left"/>
      <w:lvlText w:val="2"/>
      <w:numFmt w:val="bullet"/>
      <w:start w:val="1"/>
    </w:lvl>
    <w:lvl w:ilvl="1">
      <w:lvlJc w:val="left"/>
      <w:lvlText w:val="(%2)"/>
      <w:numFmt w:val="lowerRoman"/>
      <w:start w:val="5"/>
    </w:lvl>
  </w:abstractNum>
  <w:abstractNum w:abstractNumId="38">
    <w:nsid w:val="2A487CB0"/>
    <w:multiLevelType w:val="hybridMultilevel"/>
    <w:lvl w:ilvl="0">
      <w:lvlJc w:val="left"/>
      <w:lvlText w:val="3"/>
      <w:numFmt w:val="bullet"/>
      <w:start w:val="1"/>
    </w:lvl>
  </w:abstractNum>
  <w:abstractNum w:abstractNumId="39">
    <w:nsid w:val="1D4ED43B"/>
    <w:multiLevelType w:val="hybridMultilevel"/>
    <w:lvl w:ilvl="0">
      <w:lvlJc w:val="left"/>
      <w:lvlText w:val="1"/>
      <w:numFmt w:val="bullet"/>
      <w:start w:val="1"/>
    </w:lvl>
  </w:abstractNum>
  <w:abstractNum w:abstractNumId="40">
    <w:nsid w:val="725A06FB"/>
    <w:multiLevelType w:val="hybridMultilevel"/>
    <w:lvl w:ilvl="0">
      <w:lvlJc w:val="left"/>
      <w:lvlText w:val="2"/>
      <w:numFmt w:val="bullet"/>
      <w:start w:val="1"/>
    </w:lvl>
    <w:lvl w:ilvl="1">
      <w:lvlJc w:val="left"/>
      <w:lvlText w:val="(%2)"/>
      <w:numFmt w:val="lowerRoman"/>
      <w:start w:val="3"/>
    </w:lvl>
  </w:abstractNum>
  <w:abstractNum w:abstractNumId="41">
    <w:nsid w:val="2CD89A32"/>
    <w:multiLevelType w:val="hybridMultilevel"/>
    <w:lvl w:ilvl="0">
      <w:lvlJc w:val="left"/>
      <w:lvlText w:val="2"/>
      <w:numFmt w:val="bullet"/>
      <w:start w:val="1"/>
    </w:lvl>
    <w:lvl w:ilvl="1">
      <w:lvlJc w:val="left"/>
      <w:lvlText w:val="(%2)"/>
      <w:numFmt w:val="lowerRoman"/>
      <w:start w:val="5"/>
    </w:lvl>
  </w:abstractNum>
  <w:abstractNum w:abstractNumId="42">
    <w:nsid w:val="57E4CCAF"/>
    <w:multiLevelType w:val="hybridMultilevel"/>
    <w:lvl w:ilvl="0">
      <w:lvlJc w:val="left"/>
      <w:lvlText w:val="3"/>
      <w:numFmt w:val="bullet"/>
      <w:start w:val="1"/>
    </w:lvl>
  </w:abstractNum>
  <w:abstractNum w:abstractNumId="43">
    <w:nsid w:val="7A6D8D3C"/>
    <w:multiLevelType w:val="hybridMultilevel"/>
    <w:lvl w:ilvl="0">
      <w:lvlJc w:val="left"/>
      <w:lvlText w:val="(%1)"/>
      <w:numFmt w:val="lowerLetter"/>
      <w:start w:val="5"/>
    </w:lvl>
  </w:abstractNum>
  <w:abstractNum w:abstractNumId="44">
    <w:nsid w:val="4B588F54"/>
    <w:multiLevelType w:val="hybridMultilevel"/>
    <w:lvl w:ilvl="0">
      <w:lvlJc w:val="left"/>
      <w:lvlText w:val="(%1)"/>
      <w:numFmt w:val="decimal"/>
      <w:start w:val="1"/>
    </w:lvl>
    <w:lvl w:ilvl="1">
      <w:lvlJc w:val="left"/>
      <w:lvlText w:val="(%2)"/>
      <w:numFmt w:val="lowerRoman"/>
      <w:start w:val="3"/>
    </w:lvl>
  </w:abstractNum>
  <w:abstractNum w:abstractNumId="45">
    <w:nsid w:val="542289EC"/>
    <w:multiLevelType w:val="hybridMultilevel"/>
    <w:lvl w:ilvl="0">
      <w:lvlJc w:val="left"/>
      <w:lvlText w:val="%1"/>
      <w:numFmt w:val="decimal"/>
      <w:start w:val="1"/>
    </w:lvl>
    <w:lvl w:ilvl="1">
      <w:lvlJc w:val="left"/>
      <w:lvlText w:val="(%2)"/>
      <w:numFmt w:val="lowerRoman"/>
      <w:start w:val="5"/>
    </w:lvl>
  </w:abstractNum>
  <w:abstractNum w:abstractNumId="46">
    <w:nsid w:val="6DE91B1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2021-02-16T16:12:20Z</dcterms:created>
  <dcterms:modified xsi:type="dcterms:W3CDTF">2021-02-16T16:12:20Z</dcterms:modified>
</cp:coreProperties>
</file>