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9669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50"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320" w:type="dxa"/>
            <w:vAlign w:val="bottom"/>
            <w:gridSpan w:val="3"/>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Lenington Rachel</w:t>
              </w:r>
            </w:hyperlink>
          </w:p>
        </w:tc>
        <w:tc>
          <w:tcPr>
            <w:tcW w:w="1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Athira Pharma,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ATHA</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320" w:type="dxa"/>
            <w:vAlign w:val="bottom"/>
            <w:gridSpan w:val="3"/>
            <w:vMerge w:val="continue"/>
          </w:tcPr>
          <w:p>
            <w:pPr>
              <w:spacing w:after="0"/>
              <w:rPr>
                <w:sz w:val="5"/>
                <w:szCs w:val="5"/>
                <w:color w:val="auto"/>
              </w:rPr>
            </w:pPr>
          </w:p>
        </w:tc>
        <w:tc>
          <w:tcPr>
            <w:tcW w:w="13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680" w:type="dxa"/>
            <w:vAlign w:val="bottom"/>
            <w:tcBorders>
              <w:top w:val="single" w:sz="8" w:color="0000EE"/>
            </w:tcBorders>
          </w:tcPr>
          <w:p>
            <w:pPr>
              <w:spacing w:after="0"/>
              <w:rPr>
                <w:sz w:val="5"/>
                <w:szCs w:val="5"/>
                <w:color w:val="auto"/>
              </w:rPr>
            </w:pPr>
          </w:p>
        </w:tc>
        <w:tc>
          <w:tcPr>
            <w:tcW w:w="20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780" w:type="dxa"/>
            <w:vAlign w:val="bottom"/>
            <w:tcBorders>
              <w:top w:val="single" w:sz="8" w:color="0000EE"/>
              <w:bottom w:val="single" w:sz="8" w:color="9A9A9A"/>
            </w:tcBorders>
          </w:tcPr>
          <w:p>
            <w:pPr>
              <w:spacing w:after="0"/>
              <w:rPr>
                <w:sz w:val="16"/>
                <w:szCs w:val="16"/>
                <w:color w:val="auto"/>
              </w:rPr>
            </w:pPr>
          </w:p>
        </w:tc>
        <w:tc>
          <w:tcPr>
            <w:tcW w:w="740" w:type="dxa"/>
            <w:vAlign w:val="bottom"/>
            <w:tcBorders>
              <w:top w:val="single" w:sz="8" w:color="0000EE"/>
              <w:bottom w:val="single" w:sz="8" w:color="9A9A9A"/>
            </w:tcBorders>
          </w:tcPr>
          <w:p>
            <w:pPr>
              <w:spacing w:after="0"/>
              <w:rPr>
                <w:sz w:val="16"/>
                <w:szCs w:val="16"/>
                <w:color w:val="auto"/>
              </w:rPr>
            </w:pPr>
          </w:p>
        </w:tc>
        <w:tc>
          <w:tcPr>
            <w:tcW w:w="800" w:type="dxa"/>
            <w:vAlign w:val="bottom"/>
            <w:tcBorders>
              <w:bottom w:val="single" w:sz="8" w:color="9A9A9A"/>
            </w:tcBorders>
          </w:tcPr>
          <w:p>
            <w:pPr>
              <w:spacing w:after="0"/>
              <w:rPr>
                <w:sz w:val="16"/>
                <w:szCs w:val="16"/>
                <w:color w:val="auto"/>
              </w:rPr>
            </w:pPr>
          </w:p>
        </w:tc>
        <w:tc>
          <w:tcPr>
            <w:tcW w:w="132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740" w:type="dxa"/>
            <w:vAlign w:val="bottom"/>
            <w:tcBorders>
              <w:top w:val="single" w:sz="8" w:color="EEEEEE"/>
            </w:tcBorders>
          </w:tcPr>
          <w:p>
            <w:pPr>
              <w:spacing w:after="0"/>
              <w:rPr>
                <w:sz w:val="2"/>
                <w:szCs w:val="2"/>
                <w:color w:val="auto"/>
              </w:rPr>
            </w:pPr>
          </w:p>
        </w:tc>
        <w:tc>
          <w:tcPr>
            <w:tcW w:w="800" w:type="dxa"/>
            <w:vAlign w:val="bottom"/>
            <w:tcBorders>
              <w:top w:val="single" w:sz="8" w:color="EEEEEE"/>
            </w:tcBorders>
          </w:tcPr>
          <w:p>
            <w:pPr>
              <w:spacing w:after="0"/>
              <w:rPr>
                <w:sz w:val="2"/>
                <w:szCs w:val="2"/>
                <w:color w:val="auto"/>
              </w:rPr>
            </w:pPr>
          </w:p>
        </w:tc>
        <w:tc>
          <w:tcPr>
            <w:tcW w:w="132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680" w:type="dxa"/>
            <w:vAlign w:val="bottom"/>
            <w:tcBorders>
              <w:bottom w:val="single" w:sz="8" w:color="2C2C2C"/>
            </w:tcBorders>
          </w:tcPr>
          <w:p>
            <w:pPr>
              <w:spacing w:after="0"/>
              <w:rPr>
                <w:sz w:val="2"/>
                <w:szCs w:val="2"/>
                <w:color w:val="auto"/>
              </w:rPr>
            </w:pPr>
          </w:p>
        </w:tc>
        <w:tc>
          <w:tcPr>
            <w:tcW w:w="206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54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320" w:type="dxa"/>
            <w:vAlign w:val="bottom"/>
          </w:tcPr>
          <w:p>
            <w:pPr>
              <w:ind w:left="1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23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ATHIRA PHARMA, INC.</w:t>
            </w:r>
          </w:p>
        </w:tc>
        <w:tc>
          <w:tcPr>
            <w:tcW w:w="1320" w:type="dxa"/>
            <w:vAlign w:val="bottom"/>
          </w:tcPr>
          <w:p>
            <w:pPr>
              <w:spacing w:after="0"/>
              <w:rPr>
                <w:sz w:val="19"/>
                <w:szCs w:val="19"/>
                <w:color w:val="auto"/>
              </w:rPr>
            </w:pPr>
          </w:p>
        </w:tc>
        <w:tc>
          <w:tcPr>
            <w:tcW w:w="184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06/22/2022</w:t>
            </w:r>
          </w:p>
        </w:tc>
        <w:tc>
          <w:tcPr>
            <w:tcW w:w="2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40" w:type="dxa"/>
            <w:vAlign w:val="bottom"/>
          </w:tcPr>
          <w:p>
            <w:pPr>
              <w:spacing w:after="0"/>
              <w:rPr>
                <w:sz w:val="8"/>
                <w:szCs w:val="8"/>
                <w:color w:val="auto"/>
              </w:rPr>
            </w:pPr>
          </w:p>
        </w:tc>
        <w:tc>
          <w:tcPr>
            <w:tcW w:w="2320" w:type="dxa"/>
            <w:vAlign w:val="bottom"/>
            <w:gridSpan w:val="3"/>
            <w:vMerge w:val="continue"/>
          </w:tcPr>
          <w:p>
            <w:pPr>
              <w:spacing w:after="0"/>
              <w:rPr>
                <w:sz w:val="8"/>
                <w:szCs w:val="8"/>
                <w:color w:val="auto"/>
              </w:rPr>
            </w:pPr>
          </w:p>
        </w:tc>
        <w:tc>
          <w:tcPr>
            <w:tcW w:w="13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680" w:type="dxa"/>
            <w:vAlign w:val="bottom"/>
          </w:tcPr>
          <w:p>
            <w:pPr>
              <w:spacing w:after="0"/>
              <w:rPr>
                <w:sz w:val="8"/>
                <w:szCs w:val="8"/>
                <w:color w:val="auto"/>
              </w:rPr>
            </w:pPr>
          </w:p>
        </w:tc>
        <w:tc>
          <w:tcPr>
            <w:tcW w:w="20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18706 NORTH CREEK PARKWAY, SUITE 104</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0"/>
          <w:szCs w:val="20"/>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Operating Officer</w:t>
      </w:r>
    </w:p>
    <w:p>
      <w:pPr>
        <w:spacing w:after="0" w:line="408"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540" w:type="dxa"/>
            <w:vAlign w:val="bottom"/>
            <w:gridSpan w:val="6"/>
          </w:tcPr>
          <w:p>
            <w:pPr>
              <w:jc w:val="right"/>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15"/>
                <w:szCs w:val="15"/>
                <w:color w:val="auto"/>
              </w:rPr>
            </w:pPr>
          </w:p>
        </w:tc>
        <w:tc>
          <w:tcPr>
            <w:tcW w:w="3560" w:type="dxa"/>
            <w:vAlign w:val="bottom"/>
            <w:gridSpan w:val="9"/>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gridSpan w:val="3"/>
          </w:tcPr>
          <w:p>
            <w:pPr>
              <w:ind w:left="220"/>
              <w:spacing w:after="0"/>
              <w:rPr>
                <w:sz w:val="20"/>
                <w:szCs w:val="20"/>
                <w:color w:val="auto"/>
              </w:rPr>
            </w:pPr>
            <w:r>
              <w:rPr>
                <w:rFonts w:ascii="Arial" w:cs="Arial" w:eastAsia="Arial" w:hAnsi="Arial"/>
                <w:sz w:val="13"/>
                <w:szCs w:val="13"/>
                <w:color w:val="auto"/>
              </w:rPr>
              <w:t>Line)</w:t>
            </w: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7"/>
            <w:vMerge w:val="restart"/>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BOTHELL</w:t>
            </w:r>
          </w:p>
        </w:tc>
        <w:tc>
          <w:tcPr>
            <w:tcW w:w="1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WA</w:t>
            </w: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98011</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224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7800" w:type="dxa"/>
            <w:vAlign w:val="bottom"/>
            <w:tcBorders>
              <w:top w:val="single" w:sz="8" w:color="2C2C2C"/>
            </w:tcBorders>
            <w:gridSpan w:val="15"/>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0" w:type="dxa"/>
            <w:vAlign w:val="bottom"/>
            <w:gridSpan w:val="3"/>
          </w:tcPr>
          <w:p>
            <w:pPr>
              <w:ind w:left="7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ind w:left="840"/>
              <w:spacing w:after="0"/>
              <w:rPr>
                <w:sz w:val="20"/>
                <w:szCs w:val="20"/>
                <w:color w:val="auto"/>
              </w:rPr>
            </w:pPr>
            <w:r>
              <w:rPr>
                <w:rFonts w:ascii="Times New Roman" w:cs="Times New Roman" w:eastAsia="Times New Roman" w:hAnsi="Times New Roman"/>
                <w:sz w:val="17"/>
                <w:szCs w:val="17"/>
                <w:color w:val="0000FF"/>
              </w:rPr>
              <w:t>06/22/2022</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10,000</w:t>
            </w:r>
            <w:r>
              <w:rPr>
                <w:rFonts w:ascii="Times New Roman" w:cs="Times New Roman" w:eastAsia="Times New Roman" w:hAnsi="Times New Roman"/>
                <w:sz w:val="22"/>
                <w:szCs w:val="22"/>
                <w:color w:val="008000"/>
                <w:vertAlign w:val="superscript"/>
              </w:rPr>
              <w:t>(1)</w:t>
            </w:r>
          </w:p>
        </w:tc>
        <w:tc>
          <w:tcPr>
            <w:tcW w:w="42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A</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3"/>
          </w:tcPr>
          <w:p>
            <w:pPr>
              <w:jc w:val="center"/>
              <w:ind w:right="55"/>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10,000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ind w:left="840"/>
              <w:spacing w:after="0"/>
              <w:rPr>
                <w:sz w:val="20"/>
                <w:szCs w:val="20"/>
                <w:color w:val="auto"/>
              </w:rPr>
            </w:pPr>
            <w:r>
              <w:rPr>
                <w:rFonts w:ascii="Times New Roman" w:cs="Times New Roman" w:eastAsia="Times New Roman" w:hAnsi="Times New Roman"/>
                <w:sz w:val="17"/>
                <w:szCs w:val="17"/>
                <w:color w:val="0000FF"/>
              </w:rPr>
              <w:t>06/23/2022</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0"/>
              <w:spacing w:after="0"/>
              <w:rPr>
                <w:sz w:val="20"/>
                <w:szCs w:val="20"/>
                <w:color w:val="auto"/>
              </w:rPr>
            </w:pPr>
            <w:r>
              <w:rPr>
                <w:rFonts w:ascii="Times New Roman" w:cs="Times New Roman" w:eastAsia="Times New Roman" w:hAnsi="Times New Roman"/>
                <w:sz w:val="26"/>
                <w:szCs w:val="26"/>
                <w:color w:val="0000FF"/>
                <w:w w:val="88"/>
                <w:vertAlign w:val="subscript"/>
              </w:rPr>
              <w:t>S</w:t>
            </w:r>
            <w:r>
              <w:rPr>
                <w:rFonts w:ascii="Times New Roman" w:cs="Times New Roman" w:eastAsia="Times New Roman" w:hAnsi="Times New Roman"/>
                <w:sz w:val="11"/>
                <w:szCs w:val="11"/>
                <w:color w:val="008000"/>
                <w:w w:val="88"/>
              </w:rPr>
              <w:t>(2)</w:t>
            </w:r>
          </w:p>
        </w:tc>
        <w:tc>
          <w:tcPr>
            <w:tcW w:w="760" w:type="dxa"/>
            <w:vAlign w:val="bottom"/>
            <w:tcBorders>
              <w:bottom w:val="single" w:sz="8" w:color="2C2C2C"/>
            </w:tcBorders>
          </w:tcPr>
          <w:p>
            <w:pPr>
              <w:jc w:val="right"/>
              <w:ind w:right="73"/>
              <w:spacing w:after="0"/>
              <w:rPr>
                <w:sz w:val="20"/>
                <w:szCs w:val="20"/>
                <w:color w:val="auto"/>
              </w:rPr>
            </w:pPr>
            <w:r>
              <w:rPr>
                <w:rFonts w:ascii="Times New Roman" w:cs="Times New Roman" w:eastAsia="Times New Roman" w:hAnsi="Times New Roman"/>
                <w:sz w:val="17"/>
                <w:szCs w:val="17"/>
                <w:color w:val="0000FF"/>
              </w:rPr>
              <w:t>4,193</w:t>
            </w:r>
          </w:p>
        </w:tc>
        <w:tc>
          <w:tcPr>
            <w:tcW w:w="42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2.69</w:t>
            </w:r>
            <w:r>
              <w:rPr>
                <w:rFonts w:ascii="Times New Roman" w:cs="Times New Roman" w:eastAsia="Times New Roman" w:hAnsi="Times New Roman"/>
                <w:sz w:val="22"/>
                <w:szCs w:val="22"/>
                <w:color w:val="008000"/>
                <w:w w:val="92"/>
                <w:vertAlign w:val="superscript"/>
              </w:rPr>
              <w:t>(3)</w:t>
            </w:r>
          </w:p>
        </w:tc>
        <w:tc>
          <w:tcPr>
            <w:tcW w:w="3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5,807</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jc w:val="center"/>
              <w:ind w:right="617"/>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174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w w:val="97"/>
              </w:rPr>
              <w:t>8. Price of</w:t>
            </w:r>
          </w:p>
        </w:tc>
        <w:tc>
          <w:tcPr>
            <w:tcW w:w="174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Derivative</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80" w:type="dxa"/>
            <w:vAlign w:val="bottom"/>
          </w:tcPr>
          <w:p>
            <w:pPr>
              <w:spacing w:after="0"/>
              <w:rPr>
                <w:sz w:val="3"/>
                <w:szCs w:val="3"/>
                <w:color w:val="auto"/>
              </w:rPr>
            </w:pPr>
          </w:p>
        </w:tc>
        <w:tc>
          <w:tcPr>
            <w:tcW w:w="82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jc w:val="both"/>
        <w:ind w:left="40" w:right="240" w:firstLine="7"/>
        <w:spacing w:after="0" w:line="244"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November 3, 2021, the reporting person was granted restricted stock units ("RSUs") representing 30,000 shares of Common Stock of the Issuer. The RSUs were scheduled to vest according to the following schedule: (1) one third (1/3rd) of the number of shares subject to the RSU award vest at the completion of the public readout of topline results of the Issuer's ACT-AD Phase 2 clinical trial; (2) one third (1/3rd) of the number of shares subject to the RSU award vest at the completion of the public readout of topline results of the Issuer's LIFT-AD Phase 2/3 clinical trial (the "LIFT-AD Readout") and (3) one third (1/3rd) of the number of shares subject to the RSU award vest six (6) months after the LIFT-AD Readout, in each case subject to continued service with the Issuer through the applicable vesting date. On June 22, 2022, the Issuer completed the public readout of topline results of the ACT-AD Phase 2 clinical trial and 10,000 RSUs vested and settled on such date.</w:t>
      </w:r>
    </w:p>
    <w:p>
      <w:pPr>
        <w:spacing w:after="0" w:line="26" w:lineRule="exact"/>
        <w:rPr>
          <w:rFonts w:ascii="Times New Roman" w:cs="Times New Roman" w:eastAsia="Times New Roman" w:hAnsi="Times New Roman"/>
          <w:sz w:val="13"/>
          <w:szCs w:val="13"/>
          <w:color w:val="008000"/>
        </w:rPr>
      </w:pPr>
    </w:p>
    <w:p>
      <w:pPr>
        <w:ind w:left="40" w:right="1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shares were sold to cover the Issuer's tax withholding obligations in connection with the vesting of RSUs. Such sale was made pursuant to an Issuer-mandated policy and was not subject to discretion.</w:t>
      </w:r>
    </w:p>
    <w:p>
      <w:pPr>
        <w:spacing w:after="0" w:line="7" w:lineRule="exact"/>
        <w:rPr>
          <w:rFonts w:ascii="Times New Roman" w:cs="Times New Roman" w:eastAsia="Times New Roman" w:hAnsi="Times New Roman"/>
          <w:sz w:val="13"/>
          <w:szCs w:val="13"/>
          <w:color w:val="008000"/>
        </w:rPr>
      </w:pPr>
    </w:p>
    <w:p>
      <w:pPr>
        <w:ind w:left="40" w:right="2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"Amount" and "Price" reported in this Column 4 reflect the aggregate number and weighted-average price, respectively, of shares sold. These shares were sold in multiple transactions at prices ranging from $2.62 to $2.78, inclusive. The reporting person undertakes to provide to the Issuer, any security holder of the Issuer, or the SEC staff, upon request, full information regarding the number of shares sold at each separate price within the range set forth herein.</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7" w:lineRule="auto"/>
        <w:rPr>
          <w:sz w:val="20"/>
          <w:szCs w:val="20"/>
          <w:color w:val="auto"/>
        </w:rPr>
      </w:pPr>
      <w:r>
        <w:rPr>
          <w:rFonts w:ascii="Times New Roman" w:cs="Times New Roman" w:eastAsia="Times New Roman" w:hAnsi="Times New Roman"/>
          <w:sz w:val="17"/>
          <w:szCs w:val="17"/>
          <w:color w:val="0000FF"/>
        </w:rPr>
        <w:t xml:space="preserve">/s/ Glenna Mileson, Attorney-  </w:t>
      </w:r>
      <w:r>
        <w:rPr>
          <w:rFonts w:ascii="Times New Roman" w:cs="Times New Roman" w:eastAsia="Times New Roman" w:hAnsi="Times New Roman"/>
          <w:sz w:val="34"/>
          <w:szCs w:val="34"/>
          <w:color w:val="0000FF"/>
          <w:vertAlign w:val="subscript"/>
        </w:rPr>
        <w:t>06/24/2022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195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1953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 for Rachel Lenington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2553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5539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61194" TargetMode="External"/><Relationship Id="rId13" Type="http://schemas.openxmlformats.org/officeDocument/2006/relationships/hyperlink" Target="http://www.sec.gov/cgi-bin/browse-edgar?action=getcompany&amp;CIK=000162046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2022-06-24T18:53:55Z</dcterms:created>
  <dcterms:modified xsi:type="dcterms:W3CDTF">2022-06-24T18:53:55Z</dcterms:modified>
</cp:coreProperties>
</file>