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66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660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Worthington Mark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ATHIRA PHARMA,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18706 NORTH CREEK PARKWAY, SUITE 104</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BOTHELL</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98011</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Athira Pharma,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ATHA</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60" w:type="dxa"/>
            <w:vAlign w:val="bottom"/>
            <w:tcBorders>
              <w:bottom w:val="single" w:sz="8" w:color="0000EE"/>
            </w:tcBorders>
          </w:tcPr>
          <w:p>
            <w:pPr>
              <w:spacing w:after="0"/>
              <w:rPr>
                <w:sz w:val="3"/>
                <w:szCs w:val="3"/>
                <w:color w:val="auto"/>
              </w:rPr>
            </w:pPr>
          </w:p>
        </w:tc>
        <w:tc>
          <w:tcPr>
            <w:tcW w:w="2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7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01/04/2024</w:t>
            </w:r>
          </w:p>
        </w:tc>
        <w:tc>
          <w:tcPr>
            <w:tcW w:w="2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General Counsel</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20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620" w:type="dxa"/>
            <w:vAlign w:val="bottom"/>
            <w:gridSpan w:val="3"/>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05/18/2023</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3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V</w:t>
            </w:r>
          </w:p>
        </w:tc>
        <w:tc>
          <w:tcPr>
            <w:tcW w:w="76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17"/>
                <w:szCs w:val="17"/>
                <w:color w:val="0000FF"/>
              </w:rPr>
              <w:t>7,767</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2.41</w:t>
            </w:r>
            <w:r>
              <w:rPr>
                <w:rFonts w:ascii="Times New Roman" w:cs="Times New Roman" w:eastAsia="Times New Roman" w:hAnsi="Times New Roman"/>
                <w:sz w:val="22"/>
                <w:szCs w:val="22"/>
                <w:color w:val="008000"/>
                <w:w w:val="92"/>
                <w:vertAlign w:val="superscript"/>
              </w:rPr>
              <w:t>(3)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26,864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01/04/2024</w:t>
            </w:r>
            <w:r>
              <w:rPr>
                <w:rFonts w:ascii="Times New Roman" w:cs="Times New Roman" w:eastAsia="Times New Roman" w:hAnsi="Times New Roman"/>
                <w:sz w:val="22"/>
                <w:szCs w:val="22"/>
                <w:color w:val="008000"/>
                <w:vertAlign w:val="superscript"/>
              </w:rPr>
              <w:t>(4)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3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17"/>
                <w:szCs w:val="17"/>
                <w:color w:val="0000FF"/>
                <w:w w:val="93"/>
              </w:rPr>
              <w:t>10,000</w:t>
            </w:r>
            <w:r>
              <w:rPr>
                <w:rFonts w:ascii="Times New Roman" w:cs="Times New Roman" w:eastAsia="Times New Roman" w:hAnsi="Times New Roman"/>
                <w:sz w:val="22"/>
                <w:szCs w:val="22"/>
                <w:color w:val="008000"/>
                <w:w w:val="93"/>
                <w:vertAlign w:val="superscript"/>
              </w:rPr>
              <w:t>(5)</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2"/>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36,864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01/05/2024</w:t>
            </w:r>
            <w:r>
              <w:rPr>
                <w:rFonts w:ascii="Times New Roman" w:cs="Times New Roman" w:eastAsia="Times New Roman" w:hAnsi="Times New Roman"/>
                <w:sz w:val="22"/>
                <w:szCs w:val="22"/>
                <w:color w:val="008000"/>
                <w:vertAlign w:val="superscript"/>
              </w:rPr>
              <w:t>(5)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(6)</w:t>
            </w:r>
          </w:p>
        </w:tc>
        <w:tc>
          <w:tcPr>
            <w:tcW w:w="3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17"/>
                <w:szCs w:val="17"/>
                <w:color w:val="0000FF"/>
              </w:rPr>
              <w:t>2,412</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2.91</w:t>
            </w:r>
            <w:r>
              <w:rPr>
                <w:rFonts w:ascii="Times New Roman" w:cs="Times New Roman" w:eastAsia="Times New Roman" w:hAnsi="Times New Roman"/>
                <w:sz w:val="22"/>
                <w:szCs w:val="22"/>
                <w:color w:val="008000"/>
                <w:w w:val="92"/>
                <w:vertAlign w:val="superscript"/>
              </w:rPr>
              <w:t>(7)</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34,452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12"/>
          </w:tcPr>
          <w:p>
            <w:pPr>
              <w:jc w:val="center"/>
              <w:ind w:left="23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3"/>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voluntarily reporting the acquisition of shares of the issuer's common stock pursuant to the Athira Pharma, Inc. 2020 Employee Stock Purchase Plan ("ESPP"), for the ESPP Purchase Period (as defined in the ESPP) of November 18, 2022 through May 18, 2023. This transaction is also exempt under Rule 16b-3(c).</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Purchase Period ended May 18, 2023 and is the Purchase Period comprising the Offering Period (as defined in the ESPP) that began November 18, 2022.</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ESPP, these shares were purchased based on 85% of the closing price on May 18, 2023.</w:t>
      </w:r>
    </w:p>
    <w:p>
      <w:pPr>
        <w:spacing w:after="0" w:line="50" w:lineRule="exact"/>
        <w:rPr>
          <w:rFonts w:ascii="Times New Roman" w:cs="Times New Roman" w:eastAsia="Times New Roman" w:hAnsi="Times New Roman"/>
          <w:sz w:val="13"/>
          <w:szCs w:val="13"/>
          <w:color w:val="008000"/>
        </w:rPr>
      </w:pPr>
    </w:p>
    <w:p>
      <w:pPr>
        <w:ind w:left="40" w:right="16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3, 2021, the reporting person was granted restricted stock units ("RSUs") representing 30,000 shares of Common Stock of the Issuer. The RSUs are scheduled to vest according to the following amended vesting schedule: (1) one third (1/3rd) of the number of shares subject to the RSU award vest at the completion of the public readout of topline results of the Issuer's ACT-AD Phase 2 clinical trial; (2) one third (1/3rd) of the number of shares subject to the RSU award vest as of the date the Compensation Committee (the "Committee") determines that enrollment of the Company's LIFT-AD Phase 2/3 clinical trial has been completed, and (3) one third (1/3rd) of the number of shares subject to the RSU award vest as of the completion of the public readout of topline results of the Issuer's LIFT-AD Phase 2/3 clinical trial (the "LIFT-AD Readout"), in each case subject to continued service with the Issuer through the applicable vesting date.</w:t>
      </w:r>
    </w:p>
    <w:p>
      <w:pPr>
        <w:spacing w:after="0" w:line="2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4, 2023, the Committee determined that enrollment of the Company's LIFT-AD Phase 2/3 clinical trial had been completed and 10,000 RSUs vested and settled on such date.</w:t>
      </w:r>
    </w:p>
    <w:p>
      <w:pPr>
        <w:spacing w:after="0" w:line="50"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were sold to cover the Issuer's tax withholding obligations in connection with the vesting of RSUs. Such sale was made pursuant to an Issuer-mandated policy and was not subject to discretion.</w:t>
      </w:r>
    </w:p>
    <w:p>
      <w:pPr>
        <w:spacing w:after="0" w:line="7"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and "Price" reported in this Column 4 reflect the aggregate number and weighted-average price, respectively, of shares sold. These shares were sold in multiple transactions at prices ranging from $2.84 to $3.01,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Mark Worthington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01/08/2024</w:t>
            </w:r>
          </w:p>
        </w:tc>
      </w:tr>
      <w:tr>
        <w:trPr>
          <w:trHeight w:val="20"/>
        </w:trPr>
        <w:tc>
          <w:tcPr>
            <w:tcW w:w="1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1464" TargetMode="External"/><Relationship Id="rId13"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2024-01-08T15:56:43Z</dcterms:created>
  <dcterms:modified xsi:type="dcterms:W3CDTF">2024-01-08T15:56:43Z</dcterms:modified>
</cp:coreProperties>
</file>