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32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324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CHURCH KEVIN</w:t>
              </w:r>
            </w:hyperlink>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40" w:type="dxa"/>
            <w:vAlign w:val="bottom"/>
          </w:tcPr>
          <w:p>
            <w:pPr>
              <w:spacing w:after="0"/>
              <w:rPr>
                <w:sz w:val="19"/>
                <w:szCs w:val="19"/>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12/31/2025</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80" w:type="dxa"/>
            <w:vAlign w:val="bottom"/>
            <w:gridSpan w:val="3"/>
            <w:vMerge w:val="continue"/>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98011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(1)(2)</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3"/>
              </w:rPr>
              <w:t>11/18/2025</w:t>
            </w:r>
            <w:r>
              <w:rPr>
                <w:rFonts w:ascii="Times New Roman" w:cs="Times New Roman" w:eastAsia="Times New Roman" w:hAnsi="Times New Roman"/>
                <w:sz w:val="21"/>
                <w:szCs w:val="21"/>
                <w:color w:val="008000"/>
                <w:w w:val="93"/>
                <w:vertAlign w:val="superscript"/>
              </w:rPr>
              <w:t>(3)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580" w:type="dxa"/>
            <w:vAlign w:val="bottom"/>
            <w:tcBorders>
              <w:bottom w:val="single" w:sz="8" w:color="2C2C2C"/>
            </w:tcBorders>
          </w:tcPr>
          <w:p>
            <w:pPr>
              <w:jc w:val="center"/>
              <w:ind w:left="132"/>
              <w:spacing w:after="0"/>
              <w:rPr>
                <w:sz w:val="20"/>
                <w:szCs w:val="20"/>
                <w:color w:val="auto"/>
              </w:rPr>
            </w:pPr>
            <w:r>
              <w:rPr>
                <w:rFonts w:ascii="Times New Roman" w:cs="Times New Roman" w:eastAsia="Times New Roman" w:hAnsi="Times New Roman"/>
                <w:sz w:val="17"/>
                <w:szCs w:val="17"/>
                <w:color w:val="0000FF"/>
                <w:w w:val="99"/>
              </w:rPr>
              <w:t>1,000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2.31</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17,890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12/31/2025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w w:val="99"/>
              </w:rPr>
              <w:t>3,667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21,557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01/02/2026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3"/>
              </w:rPr>
              <w:t>876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6.88</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20,681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Exercisable  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3,667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3,667</w:t>
            </w:r>
          </w:p>
        </w:tc>
        <w:tc>
          <w:tcPr>
            <w:tcW w:w="560" w:type="dxa"/>
            <w:vAlign w:val="bottom"/>
            <w:gridSpan w:val="2"/>
          </w:tcPr>
          <w:p>
            <w:pPr>
              <w:jc w:val="center"/>
              <w:ind w:left="62"/>
              <w:spacing w:after="0"/>
              <w:rPr>
                <w:sz w:val="20"/>
                <w:szCs w:val="20"/>
                <w:color w:val="auto"/>
              </w:rPr>
            </w:pPr>
            <w:r>
              <w:rPr>
                <w:rFonts w:ascii="Times New Roman" w:cs="Times New Roman" w:eastAsia="Times New Roman" w:hAnsi="Times New Roman"/>
                <w:sz w:val="11"/>
                <w:szCs w:val="11"/>
                <w:color w:val="008000"/>
                <w:w w:val="93"/>
              </w:rPr>
              <w:t>(9)</w:t>
            </w:r>
          </w:p>
        </w:tc>
        <w:tc>
          <w:tcPr>
            <w:tcW w:w="3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(7)</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19, 2025 through November 18, 2025. This transaction is also exempt under Rule 16b-3(c).</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shares in this Form 4 has been adjusted to reflect the impact of the Issuer's 10-for-1 reverse stock split completed on September 17, 2025 (the "Reverse Stock Split").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November 18, 2025 and is the Purchase Period comprising the Offering Period (as defined in the ESPP) that began May 19,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18, 2025.</w:t>
      </w:r>
    </w:p>
    <w:p>
      <w:pPr>
        <w:spacing w:after="0" w:line="45" w:lineRule="exact"/>
        <w:rPr>
          <w:rFonts w:ascii="Times New Roman" w:cs="Times New Roman" w:eastAsia="Times New Roman" w:hAnsi="Times New Roman"/>
          <w:sz w:val="13"/>
          <w:szCs w:val="13"/>
          <w:color w:val="008000"/>
        </w:rPr>
      </w:pPr>
    </w:p>
    <w:p>
      <w:pPr>
        <w:ind w:left="40" w:right="14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 No additional shares of common stock were sold by the reporting person and the shares of common stock received upon settlement of the RSUs are subject to a lock-up agreement with Cantor Fitzgerald &amp;amp; Co. entered into in connection with the Issuer's private placement in December 2025.</w:t>
      </w:r>
    </w:p>
    <w:p>
      <w:pPr>
        <w:spacing w:after="0" w:line="28"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$6.60 to $7.56,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11,000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54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Kevin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605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2499"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2026-01-05T19:51:27Z</dcterms:created>
  <dcterms:modified xsi:type="dcterms:W3CDTF">2026-01-05T19:51:27Z</dcterms:modified>
</cp:coreProperties>
</file>