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45-3368487</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18706 North Creek Parkway, Suite 104</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Bothell, WA 98011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 221-8112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184150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09"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ATHA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Grant Pickering to the Board of Directors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27, 2022, the board of directors of Athira Pharma, Inc. (the “Company” or “Athira”), upon recommendation from the nominating and corporate governance committee of the Company’s board of directors (the “Board”), appointed Grant Pickering as a director of the Company, effective immediately. Mr. Pickering was appointed as a Class II director with a term expiring at the Company’s 2022 annual meeting of stockholders. Mr. Pickering was also appointed to the compensation committee of the Board.</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There are no transactions and no proposed transactions between Mr. Pickering or any member of his immediate family and the Company or any of its subsidiaries, and there is no arrangement or understanding between Mr. Pickering and any other person or entity pursuant to which Mr. Pickering was appointed as a director of the Company.</w:t>
      </w:r>
    </w:p>
    <w:p>
      <w:pPr>
        <w:spacing w:after="0" w:line="184"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Mr. Pickering will enter into the Company’s standard form of indemnification agreement for directors and executive officers and participate in the Company’s amended standard compensation plan for non-employee directors, including an initial stock option grant, which was granted to</w:t>
      </w:r>
    </w:p>
    <w:p>
      <w:pPr>
        <w:ind w:right="360"/>
        <w:spacing w:after="0" w:line="260" w:lineRule="auto"/>
        <w:rPr>
          <w:sz w:val="20"/>
          <w:szCs w:val="20"/>
          <w:color w:val="auto"/>
        </w:rPr>
      </w:pPr>
      <w:r>
        <w:rPr>
          <w:rFonts w:ascii="Arial" w:cs="Arial" w:eastAsia="Arial" w:hAnsi="Arial"/>
          <w:sz w:val="18"/>
          <w:szCs w:val="18"/>
          <w:color w:val="auto"/>
        </w:rPr>
        <w:t>Mr. Pickering effective as of January 27, 2022. The terms of the standard compensation plan for non-employee directors, as amended, are described below in the section titled “Item 8.01 – Other Events” of this Current Report on Form 8-K.</w:t>
      </w:r>
    </w:p>
    <w:p>
      <w:pPr>
        <w:spacing w:after="0" w:line="1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press release announcing Mr. Pickering’s appointment to the board of directors is attached hereto as Exhibit 99.1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On January 27, 2022, the Board, upon recommendation of the compensation committee of the Board, approved the Company’s entry into an Amended and Restated Change in Control and Severance Agreement with Dr. Mark Litton, Athira’s president and chief executive officer (the “Amended Litton Change in Control Agreement”). A summary of the Amended Litton Change in Control Agreement is set forth below.</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the terms of the Amended Litton Change in Control Agreement, if Dr. Litton’s employment is terminated outside the period beginning one month prior to the date of a change in control and ending 12 months following that change in control (the “Change in Control Period”) either (1) by Athira without “cause” (excluding by reason of death or disability) or (2) by Dr. Litton for “good reason” (as such terms are defined in the Amended Litton Change in Control Agreement), Dr. Litton will receive the following benefits if he timely signs and does not revoke a release of claims in Athira’s favor:</w:t>
      </w:r>
    </w:p>
    <w:p>
      <w:pPr>
        <w:spacing w:after="0" w:line="93" w:lineRule="exact"/>
        <w:rPr>
          <w:sz w:val="20"/>
          <w:szCs w:val="20"/>
          <w:color w:val="auto"/>
        </w:rPr>
      </w:pPr>
    </w:p>
    <w:p>
      <w:pPr>
        <w:ind w:left="960" w:right="20" w:hanging="424"/>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lump-sum payment equal to 12 months of his annual base salary as in effect immediately prior to such termination (or if such termination is due to a resignation for good reason based on a material reduction in base salary, then as in effect immediately prior to the reduction);</w:t>
      </w:r>
    </w:p>
    <w:p>
      <w:pPr>
        <w:spacing w:after="0" w:line="29" w:lineRule="exact"/>
        <w:rPr>
          <w:rFonts w:ascii="Arial" w:cs="Arial" w:eastAsia="Arial" w:hAnsi="Arial"/>
          <w:sz w:val="16"/>
          <w:szCs w:val="16"/>
          <w:color w:val="auto"/>
        </w:rPr>
      </w:pPr>
    </w:p>
    <w:p>
      <w:pPr>
        <w:ind w:left="960" w:right="5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Dr. Litton and his eligible dependents, if any, for up to 12 months; and</w:t>
      </w:r>
    </w:p>
    <w:p>
      <w:pPr>
        <w:spacing w:after="0" w:line="75"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25% accelerated vesting of the shares subject to Dr. Litton’s 2019 Company option award to the extent outstanding and unvested as of the date of the qualifying termination.</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during the Change in Control Period, Dr. Litton’s employment is terminated either (1) by Athira without cause (excluding by reason of death or disability) or (2) by Dr. Litton for good reason, he will receive the following benefits if he timely signs and does not revoke a separation agreement and release of claims in Athira’s favor:</w:t>
      </w:r>
    </w:p>
    <w:p>
      <w:pPr>
        <w:spacing w:after="0" w:line="89" w:lineRule="exact"/>
        <w:rPr>
          <w:sz w:val="20"/>
          <w:szCs w:val="20"/>
          <w:color w:val="auto"/>
        </w:rPr>
      </w:pPr>
    </w:p>
    <w:p>
      <w:pPr>
        <w:ind w:left="960" w:right="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lump-sum payment equal to 18 months of his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89"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lump-sum payment equal to 150% of Dr. Litton’s target annual bonus as in effect for the fiscal year in which such termination occurs or if greater, at the level in effect, immediately prior to the change in control;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of premiums for coverage under COBRA for Dr. Litton and his eligible dependents, if any, for up to 18 months;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ind w:left="964" w:right="20" w:hanging="424"/>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100% accelerated vesting and exercisability of all Athira equity awards with service-based vesting (but that are not subject to performance-based vesting) that are outstanding and unvested as of the date of the qualifying termination.</w:t>
      </w:r>
    </w:p>
    <w:p>
      <w:pPr>
        <w:spacing w:after="0" w:line="170"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In addition, the Amended Litton Change in Control Agreement provides for 100% accelerated vesting and exercisability of Athira equity awards granted under its 2014 Equity Incentive Plan and held by Dr. Litton to the extent such awards are not assumed or substituted for by the successor corporation in a change in control.</w:t>
      </w:r>
    </w:p>
    <w:p>
      <w:pPr>
        <w:spacing w:after="0" w:line="184"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If any of the amounts provided for under the Amended Litton Change in Control Agreement would constitute “parachute payments” within the meaning of Section 280G of the Internal Revenue Code and could be subject to the related excise tax, Dr. Litton would be entitled to receive either full payment of benefits or such lesser amount which would result in no portion of the benefits being subject to the excise tax, whichever results in the greater amount of after-tax benefits to Dr. Litton. The agreement does not require Athira to provide any tax gross-up payments.</w:t>
      </w:r>
    </w:p>
    <w:p>
      <w:pPr>
        <w:spacing w:after="0" w:line="171" w:lineRule="exact"/>
        <w:rPr>
          <w:sz w:val="20"/>
          <w:szCs w:val="20"/>
          <w:color w:val="auto"/>
        </w:rPr>
      </w:pPr>
    </w:p>
    <w:p>
      <w:pPr>
        <w:ind w:left="4" w:right="140"/>
        <w:spacing w:after="0" w:line="293" w:lineRule="auto"/>
        <w:rPr>
          <w:sz w:val="20"/>
          <w:szCs w:val="20"/>
          <w:color w:val="auto"/>
        </w:rPr>
      </w:pPr>
      <w:r>
        <w:rPr>
          <w:rFonts w:ascii="Arial" w:cs="Arial" w:eastAsia="Arial" w:hAnsi="Arial"/>
          <w:sz w:val="16"/>
          <w:szCs w:val="16"/>
          <w:color w:val="auto"/>
        </w:rPr>
        <w:t>Pursuant to the terms of the Amended Litton Change in Control Agreement, “cause” generally means Dr. Litton’s: indictment or conviction of any felony or any crime involving dishonesty or moral turpitude; participation in any fraud against Athira or other dishonesty which is not the result of an innocent or inadvertent mistake by Dr. Litton with respect to Athira; willful violation of Dr. Litton’s obligations to Athira after there has been delivered to Dr. Litton a written demand for performance from the board of directors; continued violation or breach of any material written company policy, agreement with Athira, or any statutory or fiduciary duty to Athira after Athira has delivered to Dr. Litton a written notification of such violation or breach; or damaging or misappropriating or attempting to damage or misappropriate any of Athira’s property, including intellectual property.</w:t>
      </w:r>
    </w:p>
    <w:p>
      <w:pPr>
        <w:spacing w:after="0" w:line="164"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Pursuant to the terms of the Amended Litton Change in Control Agreement, “good reason” generally means that Dr. Litton resigns from Athira within 30 days following the end of Athira’s cure period as a result of any of the following that occurs without his consent: a material reduction in Dr. Litton’s duties or responsibilities that is inconsistent with his position, provided that a mere change of title alone will not constitute such a material reduction; the requirement that Dr. Litton change his principal office to a facility that increases his commute by more than 40 miles from his commute to the location at which Dr. Litton was employed prior to such change; or a material reduction in base salary or a material reduction in his employee benefits (other than</w:t>
      </w:r>
    </w:p>
    <w:p>
      <w:pPr>
        <w:spacing w:after="0" w:line="2" w:lineRule="exact"/>
        <w:rPr>
          <w:sz w:val="20"/>
          <w:szCs w:val="20"/>
          <w:color w:val="auto"/>
        </w:rPr>
      </w:pPr>
    </w:p>
    <w:p>
      <w:pPr>
        <w:ind w:left="4" w:right="40" w:hanging="4"/>
        <w:spacing w:after="0" w:line="253"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a general decrease in salary (or employee benefits, as applicable) of all similarly situated employees, and (2) following Athira’s change in control, to the extent necessary to make his salary (or employee benefits, as applicable) commensurate with those of Athira’s other employees or Athira’s successor entity or parent entity who are similarly situated with him). For a resignation to qualify as “good reason,” Dr. Litton also must provide written notice within 90 days following the initial existence of the good reason condition, and Athira must have failed to materially remedy such event within 30 days after receipt of such notice.</w:t>
      </w:r>
    </w:p>
    <w:p>
      <w:pPr>
        <w:spacing w:after="0" w:line="191" w:lineRule="exact"/>
        <w:rPr>
          <w:sz w:val="20"/>
          <w:szCs w:val="20"/>
          <w:color w:val="auto"/>
        </w:rPr>
      </w:pPr>
    </w:p>
    <w:p>
      <w:pPr>
        <w:ind w:left="4" w:right="280"/>
        <w:spacing w:after="0" w:line="308" w:lineRule="auto"/>
        <w:rPr>
          <w:sz w:val="20"/>
          <w:szCs w:val="20"/>
          <w:color w:val="auto"/>
        </w:rPr>
      </w:pPr>
      <w:r>
        <w:rPr>
          <w:rFonts w:ascii="Arial" w:cs="Arial" w:eastAsia="Arial" w:hAnsi="Arial"/>
          <w:sz w:val="17"/>
          <w:szCs w:val="17"/>
          <w:color w:val="auto"/>
        </w:rPr>
        <w:t>The foregoing description of the Amended Litton Change in Control Agreement is not complete and is qualified in its entirety by reference to the full text thereof, a copy of which is filed as exhibit 10.1 to this Current Report on Form 8-K and is incorporated herein by reference.</w:t>
      </w:r>
    </w:p>
    <w:p>
      <w:pPr>
        <w:spacing w:after="0" w:line="146" w:lineRule="exact"/>
        <w:rPr>
          <w:sz w:val="20"/>
          <w:szCs w:val="20"/>
          <w:color w:val="auto"/>
        </w:rPr>
      </w:pPr>
    </w:p>
    <w:p>
      <w:pPr>
        <w:ind w:left="4" w:right="160"/>
        <w:spacing w:after="0" w:line="291" w:lineRule="auto"/>
        <w:rPr>
          <w:sz w:val="20"/>
          <w:szCs w:val="20"/>
          <w:color w:val="auto"/>
        </w:rPr>
      </w:pPr>
      <w:r>
        <w:rPr>
          <w:rFonts w:ascii="Arial" w:cs="Arial" w:eastAsia="Arial" w:hAnsi="Arial"/>
          <w:sz w:val="16"/>
          <w:szCs w:val="16"/>
          <w:color w:val="auto"/>
        </w:rPr>
        <w:t>On January 27, 2022, the Board, on recommendation of the compensation committee of the Board, also approved the 2022 base salary and 2022 bonus target pursuant to the Company’s Executive Incentive Compensation Plan (the “Bonus Plan”) for Dr. Litton, which consisted of an increase to</w:t>
      </w:r>
    </w:p>
    <w:p>
      <w:pPr>
        <w:ind w:left="4" w:right="200"/>
        <w:spacing w:after="0" w:line="253" w:lineRule="auto"/>
        <w:rPr>
          <w:sz w:val="20"/>
          <w:szCs w:val="20"/>
          <w:color w:val="auto"/>
        </w:rPr>
      </w:pPr>
      <w:r>
        <w:rPr>
          <w:rFonts w:ascii="Arial" w:cs="Arial" w:eastAsia="Arial" w:hAnsi="Arial"/>
          <w:sz w:val="18"/>
          <w:szCs w:val="18"/>
          <w:color w:val="auto"/>
        </w:rPr>
        <w:t>Dr. Litton’s annual base salary from $510,000 to $543,400, effective as of January 1, 2022, as well as an increase to Dr. Litton’s target annual bonus amount under the Bonus Plan from 40% to 50% of Dr. Litton’s annual base salary. For additional information regarding the Company’s executive compensation matters, please see the section captioned “Executive Compensation” of Athira’s Definitive Proxy Statement on Schedule 14A filed with the Securities and Exchange Commission on April 16, 2021.</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301" w:right="43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Athira’s standard compensation policy for non-employee directors was originally adopted in connection with the Company’s initial public offering in September 2020. On January 27, 2022, upon recommendation of the compensation committee of the Board, the Board adopted certain amendments to the policy. A description of the policy, as amended (the “Outside Director Compensation Policy”), is set forth below. The following description of the Outside Director Compensation Policy is not complete and is qualified in its entirety by reference to the full text thereof, a copy of which is filed as exhibit 10.2 to this Current Report on Form 8-K and is incorporated herein by reference.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Athira’s non-employee directors:</w:t>
      </w:r>
    </w:p>
    <w:p>
      <w:pPr>
        <w:spacing w:after="0" w:line="131"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$35,000 per year for service as a non-employee director;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$30,000 per year for service as chair of the board of directors;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$15,000 per year for service as chair of the audit committee;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$7,500 per year for service as a member of the audit committee;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$10,000 per year for service as chair of the compensation committee;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$5,000 per year for service as a member of the compensation committee;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Each non-employee director who serves as a committee chair receives only the cash retainer fee as the chair of the committee but not the cash retainer fee as a member of that committee. These fees to Athira’s non-employee directors are paid quarterly in arrears on a prorated basis. Under the Outside Director Compensation Policy, the Company also reimburses its non-employee directors for reasonable travel expenses to attend meetings of the board of directors and its committees. The above-listed fees for service as chair or members of committees are payable in addition to the non-employee director retainer.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i w:val="1"/>
          <w:iCs w:val="1"/>
          <w:color w:val="auto"/>
        </w:rPr>
        <w:t>Initial Award</w:t>
      </w:r>
      <w:r>
        <w:rPr>
          <w:rFonts w:ascii="Arial" w:cs="Arial" w:eastAsia="Arial" w:hAnsi="Arial"/>
          <w:sz w:val="17"/>
          <w:szCs w:val="17"/>
          <w:color w:val="auto"/>
        </w:rPr>
        <w:t>. Pursuant to Athira’s Outside Director Compensation Policy, each person who first becomes a non-employee director will receive, on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trading day on or after the date that the person first becomes a non-employee director, an initial award (or, the “Initial Award”) of stock options to purchase 27,742 shares of Athira’s common stock. The Initial Award vests in equal installments as to 1/36</w:t>
      </w:r>
      <w:r>
        <w:rPr>
          <w:rFonts w:ascii="Arial" w:cs="Arial" w:eastAsia="Arial" w:hAnsi="Arial"/>
          <w:sz w:val="14"/>
          <w:szCs w:val="14"/>
          <w:color w:val="auto"/>
        </w:rPr>
        <w:t>th</w:t>
      </w:r>
      <w:r>
        <w:rPr>
          <w:rFonts w:ascii="Arial" w:cs="Arial" w:eastAsia="Arial" w:hAnsi="Arial"/>
          <w:sz w:val="17"/>
          <w:szCs w:val="17"/>
          <w:color w:val="auto"/>
        </w:rPr>
        <w:t xml:space="preserve"> of the shares of Athira’s common stock subject to the Initial Award on a monthly basis following the Initial Award’s grant date, on the same day of the month as the grant date, subject to continued services to Athira through the applicable vesting dates. If the person was a member of Athira’s board of directors and also an employee, then becoming a non-employee director due to termination of employment will not entitle the person to an Initial Award.</w:t>
      </w:r>
    </w:p>
    <w:p>
      <w:pPr>
        <w:spacing w:after="0" w:line="178"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Each non-employee director who, as of the date of each annual meeting of Athira’s stockholders, has been in continuous service as</w:t>
      </w:r>
      <w:r>
        <w:rPr>
          <w:rFonts w:ascii="Arial" w:cs="Arial" w:eastAsia="Arial" w:hAnsi="Arial"/>
          <w:sz w:val="16"/>
          <w:szCs w:val="16"/>
          <w:i w:val="1"/>
          <w:iCs w:val="1"/>
          <w:color w:val="auto"/>
        </w:rPr>
        <w:t xml:space="preserve"> </w:t>
      </w:r>
      <w:r>
        <w:rPr>
          <w:rFonts w:ascii="Arial" w:cs="Arial" w:eastAsia="Arial" w:hAnsi="Arial"/>
          <w:sz w:val="16"/>
          <w:szCs w:val="16"/>
          <w:color w:val="auto"/>
        </w:rPr>
        <w:t>a non-employee director since the date of the most recently preceding annual meeting, automatically will be granted an annual award of stock options to purchase 13,871 shares of Athira’s common stock. Each non-employee director who, as of the date of such annual meeting, has not been in continuous service as a non-employee director since the date of the most recently preceding annual meeting, automatically will be granted a prorated award of options, with the number of options granted pursuant to such prorated award equal to the product of 13,871 multiplied by the quotient of (i) the number of whole months of continuous service as a non-employee director completed as of the date of such annual meeting divided by (ii) 12, rounded down to the nearest whole share. The awards described in this paragraph are each referred to as an “Annual Award.” Each Annual Award vests on the earlier of the one-year anniversary of the grant date, or the day immediately before the day of the next annual meeting of Athira’s stockholders that occurs after the grant date of the Annual Award, subject to continued services to the Company through the applicable vesting date.</w:t>
      </w:r>
    </w:p>
    <w:p>
      <w:pPr>
        <w:spacing w:after="0" w:line="166"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of the Company, as defined in Athira’s 2020 Equity Incentive Plan, each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then outstanding equity awards covering shares of Athira’s common stock will accelerate vesting in full, provided that he or she remains a non-employee director through the date of Athira’s change in control.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97" w:right="439" w:bottom="1440" w:gutter="0" w:footer="0" w:header="0"/>
        </w:sectPr>
      </w:pPr>
    </w:p>
    <w:bookmarkStart w:id="4" w:name="page5"/>
    <w:bookmarkEnd w:id="4"/>
    <w:p>
      <w:pPr>
        <w:ind w:firstLine="440"/>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Award Terms</w:t>
      </w:r>
      <w:r>
        <w:rPr>
          <w:rFonts w:ascii="Arial" w:cs="Arial" w:eastAsia="Arial" w:hAnsi="Arial"/>
          <w:sz w:val="17"/>
          <w:szCs w:val="17"/>
          <w:color w:val="auto"/>
        </w:rPr>
        <w:t>. Each Initial Award and Annual Award will be granted under the 2020 Equity Incentive Plan (or its successor plan, as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and form of award agreement under such plan. These awards will have a maximum term to expiration of 10 years from their grant and a per share exercise price equal to 100% of the fair market value of a share of Athira’s common stock on the award’s grant date.</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040" w:type="dxa"/>
            <w:vAlign w:val="bottom"/>
            <w:gridSpan w:val="2"/>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8360" w:type="dxa"/>
            <w:vAlign w:val="bottom"/>
            <w:gridSpan w:val="5"/>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2"/>
                <w:szCs w:val="22"/>
                <w:color w:val="auto"/>
              </w:rPr>
            </w:pPr>
          </w:p>
        </w:tc>
        <w:tc>
          <w:tcPr>
            <w:tcW w:w="8360" w:type="dxa"/>
            <w:vAlign w:val="bottom"/>
            <w:gridSpan w:val="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Amended and Restated Change in Control and Severance Agreement between the Company and Mark Litton, Ph.D.</w:t>
              </w:r>
            </w:hyperlink>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Outside Director Compensation Policy, as amended</w:t>
              </w:r>
            </w:hyperlink>
          </w:p>
        </w:tc>
        <w:tc>
          <w:tcPr>
            <w:tcW w:w="4620" w:type="dxa"/>
            <w:vAlign w:val="bottom"/>
            <w:tcBorders>
              <w:top w:val="single" w:sz="8" w:color="0000EE"/>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836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Athira Pharma, Inc. press release dated January 31, 2022</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364"/>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340" w:type="dxa"/>
            <w:vAlign w:val="bottom"/>
            <w:gridSpan w:val="4"/>
          </w:tcPr>
          <w:p>
            <w:pPr>
              <w:ind w:left="44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bl>
    <w:p>
      <w:pPr>
        <w:sectPr>
          <w:pgSz w:w="11900" w:h="16838" w:orient="portrait"/>
          <w:cols w:equalWidth="0" w:num="1">
            <w:col w:w="10900"/>
          </w:cols>
          <w:pgMar w:left="440" w:top="301" w:right="5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Athira Pharma, Inc.</w:t>
      </w:r>
    </w:p>
    <w:p>
      <w:pPr>
        <w:spacing w:after="0" w:line="229" w:lineRule="exact"/>
        <w:rPr>
          <w:sz w:val="20"/>
          <w:szCs w:val="20"/>
          <w:color w:val="auto"/>
        </w:rPr>
      </w:pPr>
    </w:p>
    <w:p>
      <w:pPr>
        <w:ind w:left="180"/>
        <w:spacing w:after="0"/>
        <w:tabs>
          <w:tab w:leader="none" w:pos="5600" w:val="left"/>
          <w:tab w:leader="none" w:pos="6040" w:val="left"/>
        </w:tabs>
        <w:rPr>
          <w:sz w:val="20"/>
          <w:szCs w:val="20"/>
          <w:color w:val="auto"/>
        </w:rPr>
      </w:pPr>
      <w:r>
        <w:rPr>
          <w:rFonts w:ascii="Arial" w:cs="Arial" w:eastAsia="Arial" w:hAnsi="Arial"/>
          <w:sz w:val="18"/>
          <w:szCs w:val="18"/>
          <w:color w:val="auto"/>
        </w:rPr>
        <w:t>Date: January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Litton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97"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CHANGE IN CONTROL AND SEVERANCE AGREEMENT</w:t>
      </w:r>
    </w:p>
    <w:p>
      <w:pPr>
        <w:spacing w:after="0" w:line="229"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This Amended and Restated Change in Control and Severance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January 31, 2022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amends and restates the Change in Control and Severance Agreement by and between Athira Pharma,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Mark Litton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September 8, 2020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84" w:lineRule="exact"/>
        <w:rPr>
          <w:sz w:val="20"/>
          <w:szCs w:val="20"/>
          <w:color w:val="auto"/>
        </w:rPr>
      </w:pPr>
    </w:p>
    <w:p>
      <w:pPr>
        <w:ind w:right="580" w:firstLine="440"/>
        <w:spacing w:after="0" w:line="263" w:lineRule="auto"/>
        <w:rPr>
          <w:sz w:val="20"/>
          <w:szCs w:val="20"/>
          <w:color w:val="auto"/>
        </w:rPr>
      </w:pPr>
      <w:r>
        <w:rPr>
          <w:rFonts w:ascii="Arial" w:cs="Arial" w:eastAsia="Arial" w:hAnsi="Arial"/>
          <w:sz w:val="18"/>
          <w:szCs w:val="18"/>
          <w:color w:val="auto"/>
        </w:rPr>
        <w:t>This Agreement provides certain protections to Executive in connection with a change in control of the Company or in connection with the involuntary termination of Executive’s employment under the circumstances described in this Agreement. Certain capitalized terms used in this Agreement are defined in Section 7 below.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Executive agree as follows:</w:t>
      </w:r>
    </w:p>
    <w:p>
      <w:pPr>
        <w:spacing w:after="0" w:line="117" w:lineRule="exact"/>
        <w:rPr>
          <w:sz w:val="20"/>
          <w:szCs w:val="20"/>
          <w:color w:val="auto"/>
        </w:rPr>
      </w:pPr>
    </w:p>
    <w:p>
      <w:pPr>
        <w:ind w:right="220" w:firstLine="436"/>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0" w:lineRule="exact"/>
        <w:rPr>
          <w:rFonts w:ascii="Arial" w:cs="Arial" w:eastAsia="Arial" w:hAnsi="Arial"/>
          <w:sz w:val="18"/>
          <w:szCs w:val="18"/>
          <w:color w:val="auto"/>
        </w:rPr>
      </w:pPr>
    </w:p>
    <w:p>
      <w:pPr>
        <w:ind w:right="160" w:firstLine="436"/>
        <w:spacing w:after="0" w:line="25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Qualifying Termination Outside of the Change in Control Period</w:t>
      </w:r>
      <w:r>
        <w:rPr>
          <w:rFonts w:ascii="Arial" w:cs="Arial" w:eastAsia="Arial" w:hAnsi="Arial"/>
          <w:sz w:val="18"/>
          <w:szCs w:val="18"/>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84" w:lineRule="exact"/>
        <w:rPr>
          <w:sz w:val="20"/>
          <w:szCs w:val="20"/>
          <w:color w:val="auto"/>
        </w:rPr>
      </w:pPr>
    </w:p>
    <w:p>
      <w:pPr>
        <w:ind w:left="1680" w:hanging="252"/>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Salary Severance</w:t>
      </w:r>
      <w:r>
        <w:rPr>
          <w:rFonts w:ascii="Arial" w:cs="Arial" w:eastAsia="Arial" w:hAnsi="Arial"/>
          <w:sz w:val="18"/>
          <w:szCs w:val="18"/>
          <w:color w:val="auto"/>
        </w:rPr>
        <w:t>. A single, lump sum, cash payment equal to one hundred percent (100%) of Executive’s Salary.</w:t>
      </w:r>
    </w:p>
    <w:p>
      <w:pPr>
        <w:spacing w:after="0" w:line="225" w:lineRule="exact"/>
        <w:rPr>
          <w:rFonts w:ascii="Arial" w:cs="Arial" w:eastAsia="Arial" w:hAnsi="Arial"/>
          <w:sz w:val="18"/>
          <w:szCs w:val="18"/>
          <w:color w:val="auto"/>
        </w:rPr>
      </w:pPr>
    </w:p>
    <w:p>
      <w:pPr>
        <w:ind w:right="180" w:firstLine="1428"/>
        <w:spacing w:after="0" w:line="273" w:lineRule="auto"/>
        <w:tabs>
          <w:tab w:leader="none" w:pos="1687"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COBRA Severance</w:t>
      </w:r>
      <w:r>
        <w:rPr>
          <w:rFonts w:ascii="Arial" w:cs="Arial" w:eastAsia="Arial" w:hAnsi="Arial"/>
          <w:sz w:val="17"/>
          <w:szCs w:val="17"/>
          <w:color w:val="auto"/>
        </w:rPr>
        <w:t>. Subject to Executive timely electing continuation coverage under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and further subject to Section 5.3, Executive will receive Company-paid group health, dental and vision coverage for Executive and any of Executive’s eligible dependents, as applicable (the “</w:t>
      </w:r>
      <w:r>
        <w:rPr>
          <w:rFonts w:ascii="Arial" w:cs="Arial" w:eastAsia="Arial" w:hAnsi="Arial"/>
          <w:sz w:val="17"/>
          <w:szCs w:val="17"/>
          <w:u w:val="single" w:color="auto"/>
          <w:color w:val="auto"/>
        </w:rPr>
        <w:t>COBRA Severance</w:t>
      </w:r>
      <w:r>
        <w:rPr>
          <w:rFonts w:ascii="Arial" w:cs="Arial" w:eastAsia="Arial" w:hAnsi="Arial"/>
          <w:sz w:val="17"/>
          <w:szCs w:val="17"/>
          <w:color w:val="auto"/>
        </w:rPr>
        <w:t>”), following the Qualifying Termination until the earliest of: (i) twelve (12)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ectPr>
          <w:pgSz w:w="11900" w:h="16838" w:orient="portrait"/>
          <w:cols w:equalWidth="0" w:num="1">
            <w:col w:w="11020"/>
          </w:cols>
          <w:pgMar w:left="440" w:top="121" w:right="439" w:bottom="1440" w:gutter="0" w:footer="0" w:header="0"/>
        </w:sectPr>
      </w:pPr>
    </w:p>
    <w:bookmarkStart w:id="7" w:name="page8"/>
    <w:bookmarkEnd w:id="7"/>
    <w:p>
      <w:pPr>
        <w:ind w:right="320" w:firstLine="1428"/>
        <w:spacing w:after="0" w:line="342" w:lineRule="auto"/>
        <w:tabs>
          <w:tab w:leader="none" w:pos="167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Vesting Acceleration of Certain Equity Awards</w:t>
      </w:r>
      <w:r>
        <w:rPr>
          <w:rFonts w:ascii="Arial" w:cs="Arial" w:eastAsia="Arial" w:hAnsi="Arial"/>
          <w:sz w:val="16"/>
          <w:szCs w:val="16"/>
          <w:color w:val="auto"/>
        </w:rPr>
        <w:t>. Vesting acceleration of twenty-five percent (25%) of the shares subject to the stock option Award granted to Executive on August 15, 2019, that are outstanding and unvested as of the date of the Qualifying Termination.</w:t>
      </w:r>
    </w:p>
    <w:p>
      <w:pPr>
        <w:spacing w:after="0" w:line="124"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Qualifying Termination During the Change in Control Period</w:t>
      </w:r>
      <w:r>
        <w:rPr>
          <w:rFonts w:ascii="Arial" w:cs="Arial" w:eastAsia="Arial" w:hAnsi="Arial"/>
          <w:sz w:val="16"/>
          <w:szCs w:val="16"/>
          <w:color w:val="auto"/>
        </w:rPr>
        <w:t>. In the event of a Qualifying Termination that occurs during the Change in Control Period, Executive will receive the following payments and benefits from the Company, subject to the requirements of this Agreement:</w:t>
      </w:r>
    </w:p>
    <w:p>
      <w:pPr>
        <w:spacing w:after="0" w:line="16" w:lineRule="exact"/>
        <w:rPr>
          <w:sz w:val="20"/>
          <w:szCs w:val="20"/>
          <w:color w:val="auto"/>
        </w:rPr>
      </w:pPr>
    </w:p>
    <w:p>
      <w:pPr>
        <w:ind w:left="1680" w:hanging="252"/>
        <w:spacing w:after="0"/>
        <w:tabs>
          <w:tab w:leader="none" w:pos="168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Salary Severance</w:t>
      </w:r>
      <w:r>
        <w:rPr>
          <w:rFonts w:ascii="Arial" w:cs="Arial" w:eastAsia="Arial" w:hAnsi="Arial"/>
          <w:sz w:val="17"/>
          <w:szCs w:val="17"/>
          <w:color w:val="auto"/>
        </w:rPr>
        <w:t>. A single, lump sum, cash payment equal to one hundred fifty percent (150%) of Executive’s Salary.</w:t>
      </w:r>
    </w:p>
    <w:p>
      <w:pPr>
        <w:spacing w:after="0" w:line="236" w:lineRule="exact"/>
        <w:rPr>
          <w:rFonts w:ascii="Arial" w:cs="Arial" w:eastAsia="Arial" w:hAnsi="Arial"/>
          <w:sz w:val="17"/>
          <w:szCs w:val="17"/>
          <w:color w:val="auto"/>
        </w:rPr>
      </w:pPr>
    </w:p>
    <w:p>
      <w:pPr>
        <w:ind w:left="1680" w:hanging="252"/>
        <w:spacing w:after="0"/>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Bonus Severance</w:t>
      </w:r>
      <w:r>
        <w:rPr>
          <w:rFonts w:ascii="Arial" w:cs="Arial" w:eastAsia="Arial" w:hAnsi="Arial"/>
          <w:sz w:val="16"/>
          <w:szCs w:val="16"/>
          <w:color w:val="auto"/>
        </w:rPr>
        <w:t>. A single, lump sum, cash payment equal to one hundred fifty percent (150%) of Executive’s Target Bonus.</w:t>
      </w:r>
    </w:p>
    <w:p>
      <w:pPr>
        <w:spacing w:after="0" w:line="248" w:lineRule="exact"/>
        <w:rPr>
          <w:rFonts w:ascii="Arial" w:cs="Arial" w:eastAsia="Arial" w:hAnsi="Arial"/>
          <w:sz w:val="16"/>
          <w:szCs w:val="16"/>
          <w:color w:val="auto"/>
        </w:rPr>
      </w:pPr>
    </w:p>
    <w:p>
      <w:pPr>
        <w:jc w:val="both"/>
        <w:ind w:firstLine="1428"/>
        <w:spacing w:after="0" w:line="279" w:lineRule="auto"/>
        <w:tabs>
          <w:tab w:leader="none" w:pos="1677"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COBRA Severance</w:t>
      </w:r>
      <w:r>
        <w:rPr>
          <w:rFonts w:ascii="Arial" w:cs="Arial" w:eastAsia="Arial" w:hAnsi="Arial"/>
          <w:sz w:val="17"/>
          <w:szCs w:val="17"/>
          <w:color w:val="auto"/>
        </w:rPr>
        <w:t>. Subject to Executive timely electing continuation coverage under COBRA and further subject to Section 5.3, Executive will receive COBRA Severance until the earliest of: (i) eighteen (18)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71" w:lineRule="exact"/>
        <w:rPr>
          <w:rFonts w:ascii="Arial" w:cs="Arial" w:eastAsia="Arial" w:hAnsi="Arial"/>
          <w:sz w:val="17"/>
          <w:szCs w:val="17"/>
          <w:color w:val="auto"/>
        </w:rPr>
      </w:pPr>
    </w:p>
    <w:p>
      <w:pPr>
        <w:ind w:right="20" w:firstLine="1428"/>
        <w:spacing w:after="0" w:line="277" w:lineRule="auto"/>
        <w:tabs>
          <w:tab w:leader="none" w:pos="168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Vesting Acceleration of Service-based Awards</w:t>
      </w:r>
      <w:r>
        <w:rPr>
          <w:rFonts w:ascii="Arial" w:cs="Arial" w:eastAsia="Arial" w:hAnsi="Arial"/>
          <w:sz w:val="18"/>
          <w:szCs w:val="18"/>
          <w:color w:val="auto"/>
        </w:rPr>
        <w:t>. Vesting acceleration of one hundred percent (100%) of any Service-based Awards that are outstanding and unvested as of the date of the Qualifying Termination.</w:t>
      </w:r>
    </w:p>
    <w:p>
      <w:pPr>
        <w:spacing w:after="0" w:line="170" w:lineRule="exact"/>
        <w:rPr>
          <w:sz w:val="20"/>
          <w:szCs w:val="20"/>
          <w:color w:val="auto"/>
        </w:rPr>
      </w:pPr>
    </w:p>
    <w:p>
      <w:pPr>
        <w:ind w:right="120" w:firstLine="1432"/>
        <w:spacing w:after="0" w:line="272" w:lineRule="auto"/>
        <w:rPr>
          <w:sz w:val="20"/>
          <w:szCs w:val="20"/>
          <w:color w:val="auto"/>
        </w:rPr>
      </w:pPr>
      <w:r>
        <w:rPr>
          <w:rFonts w:ascii="Arial" w:cs="Arial" w:eastAsia="Arial" w:hAnsi="Arial"/>
          <w:sz w:val="17"/>
          <w:szCs w:val="17"/>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7"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Other Than a Qualifying Termination</w:t>
      </w:r>
      <w:r>
        <w:rPr>
          <w:rFonts w:ascii="Arial" w:cs="Arial" w:eastAsia="Arial" w:hAnsi="Arial"/>
          <w:sz w:val="18"/>
          <w:szCs w:val="18"/>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440" w:top="274" w:right="439" w:bottom="1440" w:gutter="0" w:footer="0" w:header="0"/>
        </w:sectPr>
      </w:pPr>
    </w:p>
    <w:bookmarkStart w:id="8" w:name="page9"/>
    <w:bookmarkEnd w:id="8"/>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Arial" w:cs="Arial" w:eastAsia="Arial" w:hAnsi="Arial"/>
          <w:sz w:val="17"/>
          <w:szCs w:val="17"/>
          <w:u w:val="single" w:color="auto"/>
          <w:color w:val="auto"/>
        </w:rPr>
        <w:t>Non-duplication of Payment or Benefits</w:t>
      </w:r>
      <w:r>
        <w:rPr>
          <w:rFonts w:ascii="Arial" w:cs="Arial" w:eastAsia="Arial" w:hAnsi="Arial"/>
          <w:sz w:val="17"/>
          <w:szCs w:val="17"/>
          <w:color w:val="auto"/>
        </w:rPr>
        <w:t>. For purposes of clarity, in the event of a Qualifying Termination that occurs during the period within one (1) month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Arial" w:cs="Arial" w:eastAsia="Arial" w:hAnsi="Arial"/>
          <w:sz w:val="17"/>
          <w:szCs w:val="17"/>
          <w:u w:val="single" w:color="auto"/>
          <w:color w:val="auto"/>
        </w:rPr>
        <w:t>Other Benefits</w:t>
      </w:r>
      <w:r>
        <w:rPr>
          <w:rFonts w:ascii="Arial" w:cs="Arial" w:eastAsia="Arial" w:hAnsi="Arial"/>
          <w:sz w:val="17"/>
          <w:szCs w:val="17"/>
          <w:color w:val="auto"/>
        </w:rPr>
        <w:t>”), then the corresponding severance payments and benefits under this Agreement will be reduced by the amount of Other Benefits paid or provided to Executive.</w:t>
      </w:r>
    </w:p>
    <w:p>
      <w:pPr>
        <w:spacing w:after="0" w:line="177" w:lineRule="exact"/>
        <w:rPr>
          <w:sz w:val="20"/>
          <w:szCs w:val="20"/>
          <w:color w:val="auto"/>
        </w:rPr>
      </w:pPr>
    </w:p>
    <w:p>
      <w:pPr>
        <w:jc w:val="both"/>
        <w:ind w:right="580" w:firstLine="991"/>
        <w:spacing w:after="0" w:line="26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Death of Executive</w:t>
      </w:r>
      <w:r>
        <w:rPr>
          <w:rFonts w:ascii="Arial" w:cs="Arial" w:eastAsia="Arial" w:hAnsi="Arial"/>
          <w:sz w:val="18"/>
          <w:szCs w:val="18"/>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84" w:lineRule="exact"/>
        <w:rPr>
          <w:sz w:val="20"/>
          <w:szCs w:val="20"/>
          <w:color w:val="auto"/>
        </w:rPr>
      </w:pPr>
    </w:p>
    <w:p>
      <w:pPr>
        <w:ind w:right="120" w:firstLine="991"/>
        <w:spacing w:after="0" w:line="272"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Change in Control Vesting Acceleration</w:t>
      </w:r>
      <w:r>
        <w:rPr>
          <w:rFonts w:ascii="Arial" w:cs="Arial" w:eastAsia="Arial" w:hAnsi="Arial"/>
          <w:sz w:val="17"/>
          <w:szCs w:val="17"/>
          <w:color w:val="auto"/>
        </w:rPr>
        <w:t>. Notwithstanding anything to the contrary in this Agreement, in the event of a Change in Control in which the acquiring or succeeding corporation (or an affiliate thereof) does not assume or substitute for any of Executive’s Awards (or portions thereof) granted under the Company’s 2014 Equity Incentive Plan (the “</w:t>
      </w:r>
      <w:r>
        <w:rPr>
          <w:rFonts w:ascii="Arial" w:cs="Arial" w:eastAsia="Arial" w:hAnsi="Arial"/>
          <w:sz w:val="17"/>
          <w:szCs w:val="17"/>
          <w:u w:val="single" w:color="auto"/>
          <w:color w:val="auto"/>
        </w:rPr>
        <w:t>2014 Plan</w:t>
      </w:r>
      <w:r>
        <w:rPr>
          <w:rFonts w:ascii="Arial" w:cs="Arial" w:eastAsia="Arial" w:hAnsi="Arial"/>
          <w:sz w:val="17"/>
          <w:szCs w:val="17"/>
          <w:color w:val="auto"/>
        </w:rPr>
        <w:t>”), (a) Executive will fully vest in and have the right to exercise such outstanding Awards (or portions thereof) not assumed or substituted for, including shares as to which such Award would not otherwise be vested or exercisable, and (b) the Company will notify Executive in writing or electronically that any such Award that is an option (or its applicable portion) will be exercisable for a period of time determined by the administrator of the 2014 Plan in its sole discretion, and the option Award (or its applicable portion) will terminate upon the expiration of such period.</w:t>
      </w:r>
    </w:p>
    <w:p>
      <w:pPr>
        <w:spacing w:after="0" w:line="177" w:lineRule="exact"/>
        <w:rPr>
          <w:sz w:val="20"/>
          <w:szCs w:val="20"/>
          <w:color w:val="auto"/>
        </w:rPr>
      </w:pPr>
    </w:p>
    <w:p>
      <w:pPr>
        <w:ind w:right="40" w:firstLine="436"/>
        <w:spacing w:after="0" w:line="342"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Accrued Compensation</w:t>
      </w:r>
      <w:r>
        <w:rPr>
          <w:rFonts w:ascii="Arial" w:cs="Arial" w:eastAsia="Arial" w:hAnsi="Arial"/>
          <w:sz w:val="16"/>
          <w:szCs w:val="16"/>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23" w:lineRule="exact"/>
        <w:rPr>
          <w:rFonts w:ascii="Arial" w:cs="Arial" w:eastAsia="Arial" w:hAnsi="Arial"/>
          <w:sz w:val="16"/>
          <w:szCs w:val="16"/>
          <w:color w:val="auto"/>
        </w:rPr>
      </w:pPr>
    </w:p>
    <w:p>
      <w:pPr>
        <w:ind w:left="620" w:hanging="18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Separation Agreement and Release of Claims</w:t>
      </w:r>
      <w:r>
        <w:rPr>
          <w:rFonts w:ascii="Arial" w:cs="Arial" w:eastAsia="Arial" w:hAnsi="Arial"/>
          <w:sz w:val="17"/>
          <w:szCs w:val="17"/>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Arial" w:cs="Arial" w:eastAsia="Arial" w:hAnsi="Arial"/>
          <w:sz w:val="17"/>
          <w:szCs w:val="17"/>
          <w:u w:val="single" w:color="auto"/>
          <w:color w:val="auto"/>
        </w:rPr>
        <w:t>Release</w:t>
      </w:r>
      <w:r>
        <w:rPr>
          <w:rFonts w:ascii="Arial" w:cs="Arial" w:eastAsia="Arial" w:hAnsi="Arial"/>
          <w:sz w:val="17"/>
          <w:szCs w:val="17"/>
          <w:color w:val="auto"/>
        </w:rPr>
        <w:t>”), which must become effective and irrevocable no later than the sixtieth (60</w:t>
      </w:r>
      <w:r>
        <w:rPr>
          <w:rFonts w:ascii="Arial" w:cs="Arial" w:eastAsia="Arial" w:hAnsi="Arial"/>
          <w:sz w:val="14"/>
          <w:szCs w:val="14"/>
          <w:color w:val="auto"/>
        </w:rPr>
        <w:t>th</w:t>
      </w:r>
      <w:r>
        <w:rPr>
          <w:rFonts w:ascii="Arial" w:cs="Arial" w:eastAsia="Arial" w:hAnsi="Arial"/>
          <w:sz w:val="17"/>
          <w:szCs w:val="17"/>
          <w:color w:val="auto"/>
        </w:rPr>
        <w:t>) day following the date of the Qualifying Termination (the “</w:t>
      </w:r>
      <w:r>
        <w:rPr>
          <w:rFonts w:ascii="Arial" w:cs="Arial" w:eastAsia="Arial" w:hAnsi="Arial"/>
          <w:sz w:val="17"/>
          <w:szCs w:val="17"/>
          <w:u w:val="single" w:color="auto"/>
          <w:color w:val="auto"/>
        </w:rPr>
        <w:t>Release Deadline Date</w:t>
      </w:r>
      <w:r>
        <w:rPr>
          <w:rFonts w:ascii="Arial" w:cs="Arial" w:eastAsia="Arial" w:hAnsi="Arial"/>
          <w:sz w:val="17"/>
          <w:szCs w:val="17"/>
          <w:color w:val="auto"/>
        </w:rPr>
        <w:t>”). If the Release does not become effective and irrevocable by the Release Deadline Date, Executive will forfeit any right to severance payments or benefits under Section 3.</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0"/>
          </w:cols>
          <w:pgMar w:left="440" w:top="274" w:right="439" w:bottom="1440" w:gutter="0" w:footer="0" w:header="0"/>
        </w:sectPr>
      </w:pPr>
    </w:p>
    <w:bookmarkStart w:id="9" w:name="page10"/>
    <w:bookmarkEnd w:id="9"/>
    <w:p>
      <w:pPr>
        <w:ind w:right="2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6"/>
          <w:szCs w:val="16"/>
          <w:u w:val="single" w:color="auto"/>
          <w:color w:val="auto"/>
        </w:rPr>
        <w:t>Payment Timing</w:t>
      </w:r>
      <w:r>
        <w:rPr>
          <w:rFonts w:ascii="Arial" w:cs="Arial" w:eastAsia="Arial" w:hAnsi="Arial"/>
          <w:sz w:val="16"/>
          <w:szCs w:val="16"/>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 Qualifying Termination will be paid on the later of (x) the first regularly scheduled payroll date of the Company following the date the Release becomes effective and irrevocable, or (y) the date of the Change in Control, in each case subject to any delay required by Section 5.4 below. Any Service-based Awards that are restricted stock units, performance shares, performance units, and/or similar full value awards (“</w:t>
      </w:r>
      <w:r>
        <w:rPr>
          <w:rFonts w:ascii="Arial" w:cs="Arial" w:eastAsia="Arial" w:hAnsi="Arial"/>
          <w:sz w:val="16"/>
          <w:szCs w:val="16"/>
          <w:u w:val="single" w:color="auto"/>
          <w:color w:val="auto"/>
        </w:rPr>
        <w:t>Full Value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Awards</w:t>
      </w:r>
      <w:r>
        <w:rPr>
          <w:rFonts w:ascii="Arial" w:cs="Arial" w:eastAsia="Arial" w:hAnsi="Arial"/>
          <w:sz w:val="16"/>
          <w:szCs w:val="16"/>
          <w:color w:val="auto"/>
        </w:rPr>
        <w:t>”) that accelerate vesting under Section 3.2(d)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72"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COBRA Severance Limitations</w:t>
      </w:r>
      <w:r>
        <w:rPr>
          <w:rFonts w:ascii="Arial" w:cs="Arial" w:eastAsia="Arial" w:hAnsi="Arial"/>
          <w:sz w:val="17"/>
          <w:szCs w:val="17"/>
          <w:color w:val="auto"/>
        </w:rPr>
        <w:t>. If the Company determines in its sole discretion that it cannot provide the COBRA Severance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below in this Section 5.3),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Arial" w:cs="Arial" w:eastAsia="Arial" w:hAnsi="Arial"/>
          <w:sz w:val="17"/>
          <w:szCs w:val="17"/>
          <w:u w:val="single" w:color="auto"/>
          <w:color w:val="auto"/>
        </w:rPr>
        <w:t>COBRA Replacement Payment</w:t>
      </w:r>
      <w:r>
        <w:rPr>
          <w:rFonts w:ascii="Arial" w:cs="Arial" w:eastAsia="Arial" w:hAnsi="Arial"/>
          <w:sz w:val="17"/>
          <w:szCs w:val="17"/>
          <w:color w:val="auto"/>
        </w:rPr>
        <w:t>”),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(i) of Section (b) or Section (c), as applicable. For the avoidance of doubt, the COBRA Replacement Payments may be used for any purpose, including, but not limited to continuation coverage under COBRA, and will be subject to any applicable withholdings. Notwithstanding the foregoing, any COBRA Replacement Payments that otherwise would be payable prior to the date that the Release becomes effective and irrevocable shall be paid in a single lump sum on the first regularly scheduled payroll date of the Company following the date the Release becomes effective and irrevocable, and any remaining COBRA Replacement Payments will be paid in accordance with the schedule described further above in this Section 5.3, in each case subject to any delay required by Section 5.4 below).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74" w:right="439" w:bottom="1440" w:gutter="0" w:footer="0" w:header="0"/>
        </w:sectPr>
      </w:pPr>
    </w:p>
    <w:bookmarkStart w:id="10" w:name="page11"/>
    <w:bookmarkEnd w:id="10"/>
    <w:p>
      <w:pPr>
        <w:ind w:right="14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Arial" w:cs="Arial" w:eastAsia="Arial" w:hAnsi="Arial"/>
          <w:sz w:val="16"/>
          <w:szCs w:val="16"/>
          <w:u w:val="single" w:color="auto"/>
          <w:color w:val="auto"/>
        </w:rPr>
        <w:t>Section 409A</w:t>
      </w:r>
      <w:r>
        <w:rPr>
          <w:rFonts w:ascii="Arial" w:cs="Arial" w:eastAsia="Arial" w:hAnsi="Arial"/>
          <w:sz w:val="16"/>
          <w:szCs w:val="16"/>
          <w:color w:val="auto"/>
        </w:rPr>
        <w:t>. The Company intends that all payments and benefits provided under this Agreement or otherwise are exempt from, or comply with, the requirements of Section 409A so that none of the payments or benefits will be subject to the additional tax imposed under</w:t>
      </w:r>
    </w:p>
    <w:p>
      <w:pPr>
        <w:spacing w:after="0" w:line="252" w:lineRule="auto"/>
        <w:rPr>
          <w:sz w:val="20"/>
          <w:szCs w:val="20"/>
          <w:color w:val="auto"/>
        </w:rPr>
      </w:pPr>
      <w:r>
        <w:rPr>
          <w:rFonts w:ascii="Arial" w:cs="Arial" w:eastAsia="Arial" w:hAnsi="Arial"/>
          <w:sz w:val="18"/>
          <w:szCs w:val="18"/>
          <w:color w:val="auto"/>
        </w:rPr>
        <w:t>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18"/>
          <w:szCs w:val="18"/>
          <w:u w:val="single" w:color="auto"/>
          <w:color w:val="auto"/>
        </w:rPr>
        <w:t>Deferred Payments</w:t>
      </w:r>
      <w:r>
        <w:rPr>
          <w:rFonts w:ascii="Arial" w:cs="Arial" w:eastAsia="Arial" w:hAnsi="Arial"/>
          <w:sz w:val="18"/>
          <w:szCs w:val="18"/>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94" w:lineRule="exact"/>
        <w:rPr>
          <w:sz w:val="20"/>
          <w:szCs w:val="20"/>
          <w:color w:val="auto"/>
        </w:rPr>
      </w:pPr>
    </w:p>
    <w:p>
      <w:pPr>
        <w:ind w:right="120" w:firstLine="1428"/>
        <w:spacing w:after="0" w:line="259" w:lineRule="auto"/>
        <w:tabs>
          <w:tab w:leader="none" w:pos="1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86" w:lineRule="exact"/>
        <w:rPr>
          <w:rFonts w:ascii="Arial" w:cs="Arial" w:eastAsia="Arial" w:hAnsi="Arial"/>
          <w:sz w:val="18"/>
          <w:szCs w:val="18"/>
          <w:color w:val="auto"/>
        </w:rPr>
      </w:pPr>
    </w:p>
    <w:p>
      <w:pPr>
        <w:ind w:right="40" w:firstLine="1428"/>
        <w:spacing w:after="0" w:line="270" w:lineRule="auto"/>
        <w:tabs>
          <w:tab w:leader="none" w:pos="1687"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0" w:lineRule="exact"/>
        <w:rPr>
          <w:rFonts w:ascii="Arial" w:cs="Arial" w:eastAsia="Arial" w:hAnsi="Arial"/>
          <w:sz w:val="17"/>
          <w:szCs w:val="17"/>
          <w:color w:val="auto"/>
        </w:rPr>
      </w:pPr>
    </w:p>
    <w:p>
      <w:pPr>
        <w:ind w:firstLine="1428"/>
        <w:spacing w:after="0" w:line="271" w:lineRule="auto"/>
        <w:tabs>
          <w:tab w:leader="none" w:pos="16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10" w:lineRule="exact"/>
        <w:rPr>
          <w:rFonts w:ascii="Arial" w:cs="Arial" w:eastAsia="Arial" w:hAnsi="Arial"/>
          <w:sz w:val="17"/>
          <w:szCs w:val="17"/>
          <w:color w:val="auto"/>
        </w:rPr>
      </w:pPr>
    </w:p>
    <w:p>
      <w:pPr>
        <w:ind w:left="5460" w:hanging="106"/>
        <w:spacing w:after="0"/>
        <w:tabs>
          <w:tab w:leader="none" w:pos="5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0"/>
          </w:cols>
          <w:pgMar w:left="440" w:top="274" w:right="459" w:bottom="1440" w:gutter="0" w:footer="0" w:header="0"/>
        </w:sectPr>
      </w:pPr>
    </w:p>
    <w:bookmarkStart w:id="11" w:name="page12"/>
    <w:bookmarkEnd w:id="11"/>
    <w:p>
      <w:pPr>
        <w:ind w:left="620" w:hanging="184"/>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on Payments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Reduction of Severance Benefits</w:t>
      </w:r>
      <w:r>
        <w:rPr>
          <w:rFonts w:ascii="Arial" w:cs="Arial" w:eastAsia="Arial" w:hAnsi="Arial"/>
          <w:sz w:val="17"/>
          <w:szCs w:val="17"/>
          <w:color w:val="auto"/>
        </w:rPr>
        <w:t>. If any payment or benefit that Executive would receive from the Company or any other party whether in connection with the provisions in this Agreement or otherwise (the “</w:t>
      </w:r>
      <w:r>
        <w:rPr>
          <w:rFonts w:ascii="Arial" w:cs="Arial" w:eastAsia="Arial" w:hAnsi="Arial"/>
          <w:sz w:val="17"/>
          <w:szCs w:val="17"/>
          <w:u w:val="single" w:color="auto"/>
          <w:color w:val="auto"/>
        </w:rPr>
        <w:t>Payments</w:t>
      </w:r>
      <w:r>
        <w:rPr>
          <w:rFonts w:ascii="Arial" w:cs="Arial" w:eastAsia="Arial" w:hAnsi="Arial"/>
          <w:sz w:val="17"/>
          <w:szCs w:val="17"/>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90" w:lineRule="exact"/>
        <w:rPr>
          <w:sz w:val="20"/>
          <w:szCs w:val="20"/>
          <w:color w:val="auto"/>
        </w:rPr>
      </w:pPr>
    </w:p>
    <w:p>
      <w:pPr>
        <w:ind w:right="140" w:firstLine="991"/>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Determination of Excise Tax Liability</w:t>
      </w:r>
      <w:r>
        <w:rPr>
          <w:rFonts w:ascii="Arial" w:cs="Arial" w:eastAsia="Arial" w:hAnsi="Arial"/>
          <w:sz w:val="16"/>
          <w:szCs w:val="16"/>
          <w:color w:val="auto"/>
        </w:rPr>
        <w:t>. Unless the Company and Executive otherwise agree in writing, any determinations required under this Section 6 will be made in writing by a nationally recognized accounting or valuation firm (the “</w:t>
      </w:r>
      <w:r>
        <w:rPr>
          <w:rFonts w:ascii="Arial" w:cs="Arial" w:eastAsia="Arial" w:hAnsi="Arial"/>
          <w:sz w:val="16"/>
          <w:szCs w:val="16"/>
          <w:u w:val="single" w:color="auto"/>
          <w:color w:val="auto"/>
        </w:rPr>
        <w:t>Firm</w:t>
      </w:r>
      <w:r>
        <w:rPr>
          <w:rFonts w:ascii="Arial" w:cs="Arial" w:eastAsia="Arial" w:hAnsi="Arial"/>
          <w:sz w:val="16"/>
          <w:szCs w:val="16"/>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12" w:name="page13"/>
    <w:bookmarkEnd w:id="1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referred to in this Agreement will have the following meanings: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7.1. “</w:t>
      </w:r>
      <w:r>
        <w:rPr>
          <w:rFonts w:ascii="Arial" w:cs="Arial" w:eastAsia="Arial" w:hAnsi="Arial"/>
          <w:sz w:val="18"/>
          <w:szCs w:val="18"/>
          <w:u w:val="single" w:color="auto"/>
          <w:color w:val="auto"/>
        </w:rPr>
        <w:t>Award</w:t>
      </w:r>
      <w:r>
        <w:rPr>
          <w:rFonts w:ascii="Arial" w:cs="Arial" w:eastAsia="Arial" w:hAnsi="Arial"/>
          <w:sz w:val="18"/>
          <w:szCs w:val="18"/>
          <w:color w:val="auto"/>
        </w:rPr>
        <w:t>” means stock options and other equity awards covering shares of Company common stock granted to Executive.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7.2. “</w:t>
      </w:r>
      <w:r>
        <w:rPr>
          <w:rFonts w:ascii="Arial" w:cs="Arial" w:eastAsia="Arial" w:hAnsi="Arial"/>
          <w:sz w:val="18"/>
          <w:szCs w:val="18"/>
          <w:u w:val="single" w:color="auto"/>
          <w:color w:val="auto"/>
        </w:rPr>
        <w:t>Board</w:t>
      </w:r>
      <w:r>
        <w:rPr>
          <w:rFonts w:ascii="Arial" w:cs="Arial" w:eastAsia="Arial" w:hAnsi="Arial"/>
          <w:sz w:val="18"/>
          <w:szCs w:val="18"/>
          <w:color w:val="auto"/>
        </w:rPr>
        <w:t>” means the Company’s Board of Directors.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7.3. “</w:t>
      </w:r>
      <w:r>
        <w:rPr>
          <w:rFonts w:ascii="Arial" w:cs="Arial" w:eastAsia="Arial" w:hAnsi="Arial"/>
          <w:sz w:val="17"/>
          <w:szCs w:val="17"/>
          <w:u w:val="single" w:color="auto"/>
          <w:color w:val="auto"/>
        </w:rPr>
        <w:t>Cause</w:t>
      </w:r>
      <w:r>
        <w:rPr>
          <w:rFonts w:ascii="Arial" w:cs="Arial" w:eastAsia="Arial" w:hAnsi="Arial"/>
          <w:sz w:val="17"/>
          <w:szCs w:val="17"/>
          <w:color w:val="auto"/>
        </w:rPr>
        <w:t>” means Executive’s: (a) indictment or conviction of any felony or any crime involving dishonesty or moral turpitude;</w:t>
      </w:r>
    </w:p>
    <w:p>
      <w:pPr>
        <w:spacing w:after="0" w:line="35" w:lineRule="exact"/>
        <w:rPr>
          <w:sz w:val="20"/>
          <w:szCs w:val="20"/>
          <w:color w:val="auto"/>
        </w:rPr>
      </w:pPr>
    </w:p>
    <w:p>
      <w:pPr>
        <w:ind w:left="4" w:right="20" w:hanging="4"/>
        <w:spacing w:after="0" w:line="270"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 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7.4.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first occurrence of any of the following events on or after the Effective Date:</w:t>
      </w:r>
    </w:p>
    <w:p>
      <w:pPr>
        <w:spacing w:after="0" w:line="117" w:lineRule="exact"/>
        <w:rPr>
          <w:sz w:val="20"/>
          <w:szCs w:val="20"/>
          <w:color w:val="auto"/>
        </w:rPr>
      </w:pPr>
    </w:p>
    <w:p>
      <w:pPr>
        <w:ind w:left="4" w:firstLine="1428"/>
        <w:spacing w:after="0" w:line="287" w:lineRule="auto"/>
        <w:tabs>
          <w:tab w:leader="none" w:pos="168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7" w:lineRule="exact"/>
        <w:rPr>
          <w:rFonts w:ascii="Arial" w:cs="Arial" w:eastAsia="Arial" w:hAnsi="Arial"/>
          <w:sz w:val="16"/>
          <w:szCs w:val="16"/>
          <w:color w:val="auto"/>
        </w:rPr>
      </w:pPr>
    </w:p>
    <w:p>
      <w:pPr>
        <w:ind w:left="4" w:right="80" w:firstLine="1428"/>
        <w:spacing w:after="0" w:line="296" w:lineRule="auto"/>
        <w:tabs>
          <w:tab w:leader="none" w:pos="169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Change in Effective Control of the Company</w:t>
      </w:r>
      <w:r>
        <w:rPr>
          <w:rFonts w:ascii="Arial" w:cs="Arial" w:eastAsia="Arial" w:hAnsi="Arial"/>
          <w:sz w:val="16"/>
          <w:szCs w:val="16"/>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93" w:lineRule="exact"/>
        <w:rPr>
          <w:rFonts w:ascii="Arial" w:cs="Arial" w:eastAsia="Arial" w:hAnsi="Arial"/>
          <w:sz w:val="16"/>
          <w:szCs w:val="16"/>
          <w:color w:val="auto"/>
        </w:rPr>
      </w:pPr>
    </w:p>
    <w:p>
      <w:pPr>
        <w:ind w:left="5464" w:hanging="106"/>
        <w:spacing w:after="0"/>
        <w:tabs>
          <w:tab w:leader="none" w:pos="54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4"/>
          </w:cols>
          <w:pgMar w:left="436" w:top="274" w:right="459" w:bottom="1440" w:gutter="0" w:footer="0" w:header="0"/>
        </w:sectPr>
      </w:pPr>
    </w:p>
    <w:bookmarkStart w:id="13" w:name="page14"/>
    <w:bookmarkEnd w:id="13"/>
    <w:p>
      <w:pPr>
        <w:jc w:val="both"/>
        <w:ind w:firstLine="1428"/>
        <w:spacing w:after="0" w:line="287" w:lineRule="auto"/>
        <w:tabs>
          <w:tab w:leader="none" w:pos="167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w:t>
      </w:r>
    </w:p>
    <w:p>
      <w:pPr>
        <w:spacing w:after="0" w:line="2"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1" w:lineRule="exact"/>
        <w:rPr>
          <w:sz w:val="20"/>
          <w:szCs w:val="20"/>
          <w:color w:val="auto"/>
        </w:rPr>
      </w:pPr>
    </w:p>
    <w:p>
      <w:pPr>
        <w:ind w:right="320" w:firstLine="1983"/>
        <w:spacing w:after="0" w:line="308"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6" w:lineRule="exact"/>
        <w:rPr>
          <w:sz w:val="20"/>
          <w:szCs w:val="20"/>
          <w:color w:val="auto"/>
        </w:rPr>
      </w:pPr>
    </w:p>
    <w:p>
      <w:pPr>
        <w:ind w:right="240" w:firstLine="1983"/>
        <w:spacing w:after="0" w:line="301"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57"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7.5. “</w:t>
      </w: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means the period beginning on the date one (1) month prior to a Change in Control and ending on (and inclusive of) the date that is the one (1) year anniversary of a Change in Control.</w:t>
      </w:r>
    </w:p>
    <w:p>
      <w:pPr>
        <w:spacing w:after="0" w:line="170"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7.6.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84"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7.7.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Executive’s At-will Employment, Confidential Information, Invention Assignment, and Arbitration Agreement entered into with the Company dated September 8, 2020.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4" w:right="459" w:bottom="1440" w:gutter="0" w:footer="0" w:header="0"/>
        </w:sectPr>
      </w:pPr>
    </w:p>
    <w:bookmarkStart w:id="14" w:name="page15"/>
    <w:bookmarkEnd w:id="14"/>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7.8. “</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7.9. “</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Code Section 22(e)(3).</w:t>
      </w:r>
    </w:p>
    <w:p>
      <w:pPr>
        <w:spacing w:after="0" w:line="23" w:lineRule="exact"/>
        <w:rPr>
          <w:sz w:val="20"/>
          <w:szCs w:val="20"/>
          <w:color w:val="auto"/>
        </w:rPr>
      </w:pPr>
    </w:p>
    <w:p>
      <w:pPr>
        <w:ind w:left="4" w:firstLine="991"/>
        <w:spacing w:after="0" w:line="281" w:lineRule="auto"/>
        <w:rPr>
          <w:sz w:val="20"/>
          <w:szCs w:val="20"/>
          <w:color w:val="auto"/>
        </w:rPr>
      </w:pPr>
      <w:r>
        <w:rPr>
          <w:rFonts w:ascii="Arial" w:cs="Arial" w:eastAsia="Arial" w:hAnsi="Arial"/>
          <w:sz w:val="16"/>
          <w:szCs w:val="16"/>
          <w:color w:val="auto"/>
        </w:rPr>
        <w:t>7.10. “</w:t>
      </w:r>
      <w:r>
        <w:rPr>
          <w:rFonts w:ascii="Arial" w:cs="Arial" w:eastAsia="Arial" w:hAnsi="Arial"/>
          <w:sz w:val="16"/>
          <w:szCs w:val="16"/>
          <w:u w:val="single" w:color="auto"/>
          <w:color w:val="auto"/>
        </w:rPr>
        <w:t>Good Reason</w:t>
      </w:r>
      <w:r>
        <w:rPr>
          <w:rFonts w:ascii="Arial" w:cs="Arial" w:eastAsia="Arial" w:hAnsi="Arial"/>
          <w:sz w:val="16"/>
          <w:szCs w:val="16"/>
          <w:color w:val="auto"/>
        </w:rPr>
        <w:t>” means Executive’s termination of Executive’s employment with 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 (b) the requirement that Executive change Executive’s principal office to a facility that 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Arial" w:cs="Arial" w:eastAsia="Arial" w:hAnsi="Arial"/>
          <w:sz w:val="16"/>
          <w:szCs w:val="16"/>
          <w:u w:val="single" w:color="auto"/>
          <w:color w:val="auto"/>
        </w:rPr>
        <w:t>Employee Benefits</w:t>
      </w:r>
      <w:r>
        <w:rPr>
          <w:rFonts w:ascii="Arial" w:cs="Arial" w:eastAsia="Arial" w:hAnsi="Arial"/>
          <w:sz w:val="16"/>
          <w:szCs w:val="16"/>
          <w:color w:val="auto"/>
        </w:rPr>
        <w:t>”) to which Executive is entitled immediately prior to such reduction (other than (x) in connection with a general decrease in the annual base salary or Employee Benefits of all similarly situated employees, and (y) following the Change in Control, to the extent necessary to make Executive’s annual base salary or Employee Benefits commensurate with those of other employees of the Company or its successor entity or parent entity who are similarly situated with Executive following such Change in Control); provided, however, that Executive must provide written notice to the Board of the condition that could constitute a “Good Reason” event within ninety (90) days following the initial existence of such condition and such condition must not have been remedied by the Company within thirty</w:t>
      </w:r>
    </w:p>
    <w:p>
      <w:pPr>
        <w:spacing w:after="0" w:line="7" w:lineRule="exact"/>
        <w:rPr>
          <w:sz w:val="20"/>
          <w:szCs w:val="20"/>
          <w:color w:val="auto"/>
        </w:rPr>
      </w:pPr>
    </w:p>
    <w:p>
      <w:pPr>
        <w:ind w:left="4" w:right="40" w:hanging="4"/>
        <w:spacing w:after="0" w:line="253"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days (the “</w:t>
      </w:r>
      <w:r>
        <w:rPr>
          <w:rFonts w:ascii="Arial" w:cs="Arial" w:eastAsia="Arial" w:hAnsi="Arial"/>
          <w:sz w:val="18"/>
          <w:szCs w:val="18"/>
          <w:u w:val="single" w:color="auto"/>
          <w:color w:val="auto"/>
        </w:rPr>
        <w:t>Cure Period</w:t>
      </w:r>
      <w:r>
        <w:rPr>
          <w:rFonts w:ascii="Arial" w:cs="Arial" w:eastAsia="Arial" w:hAnsi="Arial"/>
          <w:sz w:val="18"/>
          <w:szCs w:val="18"/>
          <w:color w:val="auto"/>
        </w:rPr>
        <w:t>”) of such written notice. To the extent Executive’s primary work location is not the Company’s corporate offices due to a shelter-in-place order, quarantine order, or similar work-from-home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91"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7.11.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means a termination of Executive’s employment with the Company either (a) by the Company without Cause and other than due to Executive’s death or Disability, or (b) by Executive for Good Reason.</w:t>
      </w:r>
    </w:p>
    <w:p>
      <w:pPr>
        <w:spacing w:after="0" w:line="170" w:lineRule="exact"/>
        <w:rPr>
          <w:sz w:val="20"/>
          <w:szCs w:val="20"/>
          <w:color w:val="auto"/>
        </w:rPr>
      </w:pPr>
    </w:p>
    <w:p>
      <w:pPr>
        <w:ind w:left="4" w:right="360" w:firstLine="991"/>
        <w:spacing w:after="0" w:line="259" w:lineRule="auto"/>
        <w:rPr>
          <w:sz w:val="20"/>
          <w:szCs w:val="20"/>
          <w:color w:val="auto"/>
        </w:rPr>
      </w:pPr>
      <w:r>
        <w:rPr>
          <w:rFonts w:ascii="Arial" w:cs="Arial" w:eastAsia="Arial" w:hAnsi="Arial"/>
          <w:sz w:val="18"/>
          <w:szCs w:val="18"/>
          <w:color w:val="auto"/>
        </w:rPr>
        <w:t>7.12. “</w:t>
      </w:r>
      <w:r>
        <w:rPr>
          <w:rFonts w:ascii="Arial" w:cs="Arial" w:eastAsia="Arial" w:hAnsi="Arial"/>
          <w:sz w:val="18"/>
          <w:szCs w:val="18"/>
          <w:u w:val="single" w:color="auto"/>
          <w:color w:val="auto"/>
        </w:rPr>
        <w:t>Salary</w:t>
      </w:r>
      <w:r>
        <w:rPr>
          <w:rFonts w:ascii="Arial" w:cs="Arial" w:eastAsia="Arial" w:hAnsi="Arial"/>
          <w:sz w:val="18"/>
          <w:szCs w:val="18"/>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87"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7.13. “</w:t>
      </w:r>
      <w:r>
        <w:rPr>
          <w:rFonts w:ascii="Arial" w:cs="Arial" w:eastAsia="Arial" w:hAnsi="Arial"/>
          <w:sz w:val="18"/>
          <w:szCs w:val="18"/>
          <w:u w:val="single" w:color="auto"/>
          <w:color w:val="auto"/>
        </w:rPr>
        <w:t>Section 409A</w:t>
      </w:r>
      <w:r>
        <w:rPr>
          <w:rFonts w:ascii="Arial" w:cs="Arial" w:eastAsia="Arial" w:hAnsi="Arial"/>
          <w:sz w:val="18"/>
          <w:szCs w:val="18"/>
          <w:color w:val="auto"/>
        </w:rPr>
        <w:t>” means Code Section 409A and the Treasury Regulations and guidance thereunder, and any applicable state law equivalent, as each may be promulgated, amended or modified from time to time.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84"/>
          </w:cols>
          <w:pgMar w:left="436" w:top="274" w:right="479" w:bottom="1440" w:gutter="0" w:footer="0" w:header="0"/>
        </w:sectPr>
      </w:pPr>
    </w:p>
    <w:bookmarkStart w:id="15" w:name="page16"/>
    <w:bookmarkEnd w:id="15"/>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7.14. “</w:t>
      </w:r>
      <w:r>
        <w:rPr>
          <w:rFonts w:ascii="Arial" w:cs="Arial" w:eastAsia="Arial" w:hAnsi="Arial"/>
          <w:sz w:val="18"/>
          <w:szCs w:val="18"/>
          <w:u w:val="single" w:color="auto"/>
          <w:color w:val="auto"/>
        </w:rPr>
        <w:t>Service-based Awards</w:t>
      </w:r>
      <w:r>
        <w:rPr>
          <w:rFonts w:ascii="Arial" w:cs="Arial" w:eastAsia="Arial" w:hAnsi="Arial"/>
          <w:sz w:val="18"/>
          <w:szCs w:val="18"/>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7.15. “</w:t>
      </w:r>
      <w:r>
        <w:rPr>
          <w:rFonts w:ascii="Arial" w:cs="Arial" w:eastAsia="Arial" w:hAnsi="Arial"/>
          <w:sz w:val="18"/>
          <w:szCs w:val="18"/>
          <w:u w:val="single" w:color="auto"/>
          <w:color w:val="auto"/>
        </w:rPr>
        <w:t>Target Bonus</w:t>
      </w:r>
      <w:r>
        <w:rPr>
          <w:rFonts w:ascii="Arial" w:cs="Arial" w:eastAsia="Arial" w:hAnsi="Arial"/>
          <w:sz w:val="18"/>
          <w:szCs w:val="18"/>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4" w:lineRule="exact"/>
        <w:rPr>
          <w:sz w:val="20"/>
          <w:szCs w:val="20"/>
          <w:color w:val="auto"/>
        </w:rPr>
      </w:pPr>
    </w:p>
    <w:p>
      <w:pPr>
        <w:ind w:firstLine="436"/>
        <w:spacing w:after="0" w:line="254"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94" w:lineRule="exact"/>
        <w:rPr>
          <w:rFonts w:ascii="Arial" w:cs="Arial" w:eastAsia="Arial" w:hAnsi="Arial"/>
          <w:sz w:val="18"/>
          <w:szCs w:val="18"/>
          <w:color w:val="auto"/>
        </w:rPr>
      </w:pPr>
    </w:p>
    <w:p>
      <w:pPr>
        <w:ind w:left="620" w:hanging="184"/>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General</w:t>
      </w:r>
      <w:r>
        <w:rPr>
          <w:rFonts w:ascii="Arial" w:cs="Arial" w:eastAsia="Arial" w:hAnsi="Arial"/>
          <w:sz w:val="17"/>
          <w:szCs w:val="17"/>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Athira Pharma,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18706 North Creek Parkway, Suite 104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Bothell, WA 98011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920"/>
          </w:cols>
          <w:pgMar w:left="440" w:top="274" w:right="539" w:bottom="1440" w:gutter="0" w:footer="0" w:header="0"/>
        </w:sectPr>
      </w:pPr>
    </w:p>
    <w:bookmarkStart w:id="16" w:name="page17"/>
    <w:bookmarkEnd w:id="16"/>
    <w:p>
      <w:pPr>
        <w:jc w:val="both"/>
        <w:ind w:right="40" w:firstLine="436"/>
        <w:spacing w:after="0" w:line="263" w:lineRule="auto"/>
        <w:tabs>
          <w:tab w:leader="none" w:pos="71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Resignation</w:t>
      </w:r>
      <w:r>
        <w:rPr>
          <w:rFonts w:ascii="Arial" w:cs="Arial" w:eastAsia="Arial" w:hAnsi="Arial"/>
          <w:sz w:val="18"/>
          <w:szCs w:val="18"/>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payment be reduced by any earnings that Executive may receive from any other source except as specified in Sections 3.4, 5.4 and 6.</w:t>
      </w:r>
    </w:p>
    <w:p>
      <w:pPr>
        <w:spacing w:after="0" w:line="146"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Waiver; Amendment</w:t>
      </w:r>
      <w:r>
        <w:rPr>
          <w:rFonts w:ascii="Arial" w:cs="Arial" w:eastAsia="Arial" w:hAnsi="Arial"/>
          <w:sz w:val="18"/>
          <w:szCs w:val="18"/>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Headings</w:t>
      </w:r>
      <w:r>
        <w:rPr>
          <w:rFonts w:ascii="Arial" w:cs="Arial" w:eastAsia="Arial" w:hAnsi="Arial"/>
          <w:sz w:val="16"/>
          <w:szCs w:val="16"/>
          <w:color w:val="auto"/>
        </w:rPr>
        <w:t>. Headings are provided herein for convenience only, and will not serve as a basis for interpretation or construction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Confidentiality Agreement, Executive’s confirmatory employment letter with the Company dated September 8, 2020, and the Company’s 2014 Equity Incentive Plan, 2020 Equity Incentive Plan and award agreements thereunder governing Executive’s outstanding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the Prior Agreement.</w:t>
      </w:r>
    </w:p>
    <w:p>
      <w:pPr>
        <w:spacing w:after="0" w:line="18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87"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17" w:name="page18"/>
    <w:bookmarkEnd w:id="17"/>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11.7. </w:t>
      </w:r>
      <w:r>
        <w:rPr>
          <w:rFonts w:ascii="Arial" w:cs="Arial" w:eastAsia="Arial" w:hAnsi="Arial"/>
          <w:sz w:val="18"/>
          <w:szCs w:val="18"/>
          <w:u w:val="single" w:color="auto"/>
          <w:color w:val="auto"/>
        </w:rPr>
        <w:t>Withholding</w:t>
      </w:r>
      <w:r>
        <w:rPr>
          <w:rFonts w:ascii="Arial" w:cs="Arial" w:eastAsia="Arial" w:hAnsi="Arial"/>
          <w:sz w:val="18"/>
          <w:szCs w:val="18"/>
          <w:color w:val="auto"/>
        </w:rPr>
        <w:t>. The Company (and any parent, subsidiary or other affiliate of the Company, as applicable) will have the right and authority to deduct from any payments or benefits all applicable federal, state, local, and/or non-U.S. taxes or other required withholdings and payroll deductions (“</w:t>
      </w:r>
      <w:r>
        <w:rPr>
          <w:rFonts w:ascii="Arial" w:cs="Arial" w:eastAsia="Arial" w:hAnsi="Arial"/>
          <w:sz w:val="18"/>
          <w:szCs w:val="18"/>
          <w:u w:val="single" w:color="auto"/>
          <w:color w:val="auto"/>
        </w:rPr>
        <w:t>Withholdings</w:t>
      </w:r>
      <w:r>
        <w:rPr>
          <w:rFonts w:ascii="Arial" w:cs="Arial" w:eastAsia="Arial" w:hAnsi="Arial"/>
          <w:sz w:val="18"/>
          <w:szCs w:val="18"/>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9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40"/>
          </w:cols>
          <w:pgMar w:left="440" w:top="274" w:right="519" w:bottom="1440" w:gutter="0" w:footer="0" w:header="0"/>
        </w:sectPr>
      </w:pPr>
    </w:p>
    <w:bookmarkStart w:id="18" w:name="page19"/>
    <w:bookmarkEnd w:id="18"/>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her, his, or its signature below, each of the parties signifies its acceptance of the terms of this Agreement, in the case of the Company by its duly authorized officer.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5180" w:type="dxa"/>
            <w:vAlign w:val="bottom"/>
          </w:tcPr>
          <w:p>
            <w:pPr>
              <w:ind w:left="100"/>
              <w:spacing w:after="0"/>
              <w:rPr>
                <w:sz w:val="20"/>
                <w:szCs w:val="20"/>
                <w:color w:val="auto"/>
              </w:rPr>
            </w:pPr>
            <w:r>
              <w:rPr>
                <w:rFonts w:ascii="Arial" w:cs="Arial" w:eastAsia="Arial" w:hAnsi="Arial"/>
                <w:sz w:val="18"/>
                <w:szCs w:val="18"/>
                <w:b w:val="1"/>
                <w:bCs w:val="1"/>
                <w:color w:val="auto"/>
              </w:rPr>
              <w:t>ATHIRA PHARMA, INC.</w:t>
            </w:r>
          </w:p>
        </w:tc>
      </w:tr>
      <w:tr>
        <w:trPr>
          <w:trHeight w:val="432"/>
        </w:trPr>
        <w:tc>
          <w:tcPr>
            <w:tcW w:w="5840" w:type="dxa"/>
            <w:vAlign w:val="bottom"/>
          </w:tcPr>
          <w:p>
            <w:pPr>
              <w:ind w:left="52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Glenna Mileson</w:t>
            </w:r>
          </w:p>
        </w:tc>
      </w:tr>
      <w:tr>
        <w:trPr>
          <w:trHeight w:val="426"/>
        </w:trPr>
        <w:tc>
          <w:tcPr>
            <w:tcW w:w="5840" w:type="dxa"/>
            <w:vAlign w:val="bottom"/>
          </w:tcPr>
          <w:p>
            <w:pPr>
              <w:ind w:left="5280"/>
              <w:spacing w:after="0"/>
              <w:rPr>
                <w:sz w:val="20"/>
                <w:szCs w:val="20"/>
                <w:color w:val="auto"/>
              </w:rPr>
            </w:pPr>
            <w:r>
              <w:rPr>
                <w:rFonts w:ascii="Arial" w:cs="Arial" w:eastAsia="Arial" w:hAnsi="Arial"/>
                <w:sz w:val="18"/>
                <w:szCs w:val="18"/>
                <w:color w:val="auto"/>
              </w:rPr>
              <w:t>Title:</w:t>
            </w:r>
          </w:p>
        </w:tc>
        <w:tc>
          <w:tcPr>
            <w:tcW w:w="5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32"/>
        </w:trPr>
        <w:tc>
          <w:tcPr>
            <w:tcW w:w="5840" w:type="dxa"/>
            <w:vAlign w:val="bottom"/>
          </w:tcPr>
          <w:p>
            <w:pPr>
              <w:ind w:left="5280"/>
              <w:spacing w:after="0"/>
              <w:rPr>
                <w:sz w:val="20"/>
                <w:szCs w:val="20"/>
                <w:color w:val="auto"/>
              </w:rPr>
            </w:pPr>
            <w:r>
              <w:rPr>
                <w:rFonts w:ascii="Arial" w:cs="Arial" w:eastAsia="Arial" w:hAnsi="Arial"/>
                <w:sz w:val="18"/>
                <w:szCs w:val="18"/>
                <w:color w:val="auto"/>
              </w:rPr>
              <w:t>Date:</w:t>
            </w:r>
          </w:p>
        </w:tc>
        <w:tc>
          <w:tcPr>
            <w:tcW w:w="5180" w:type="dxa"/>
            <w:vAlign w:val="bottom"/>
          </w:tcPr>
          <w:p>
            <w:pPr>
              <w:ind w:left="100"/>
              <w:spacing w:after="0"/>
              <w:rPr>
                <w:sz w:val="20"/>
                <w:szCs w:val="20"/>
                <w:color w:val="auto"/>
              </w:rPr>
            </w:pPr>
            <w:r>
              <w:rPr>
                <w:rFonts w:ascii="Arial" w:cs="Arial" w:eastAsia="Arial" w:hAnsi="Arial"/>
                <w:sz w:val="18"/>
                <w:szCs w:val="18"/>
                <w:color w:val="auto"/>
              </w:rPr>
              <w:t>January 31, 2022</w:t>
            </w:r>
          </w:p>
        </w:tc>
      </w:tr>
      <w:tr>
        <w:trPr>
          <w:trHeight w:val="675"/>
        </w:trPr>
        <w:tc>
          <w:tcPr>
            <w:tcW w:w="584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Mark Litton</w:t>
            </w:r>
          </w:p>
        </w:tc>
      </w:tr>
      <w:tr>
        <w:trPr>
          <w:trHeight w:val="412"/>
        </w:trPr>
        <w:tc>
          <w:tcPr>
            <w:tcW w:w="5840" w:type="dxa"/>
            <w:vAlign w:val="bottom"/>
          </w:tcPr>
          <w:p>
            <w:pPr>
              <w:ind w:left="5280"/>
              <w:spacing w:after="0"/>
              <w:rPr>
                <w:sz w:val="20"/>
                <w:szCs w:val="20"/>
                <w:color w:val="auto"/>
              </w:rPr>
            </w:pPr>
            <w:r>
              <w:rPr>
                <w:rFonts w:ascii="Arial" w:cs="Arial" w:eastAsia="Arial" w:hAnsi="Arial"/>
                <w:sz w:val="18"/>
                <w:szCs w:val="18"/>
                <w:color w:val="auto"/>
              </w:rPr>
              <w:t>Date:</w:t>
            </w:r>
          </w:p>
        </w:tc>
        <w:tc>
          <w:tcPr>
            <w:tcW w:w="5180" w:type="dxa"/>
            <w:vAlign w:val="bottom"/>
          </w:tcPr>
          <w:p>
            <w:pPr>
              <w:ind w:left="100"/>
              <w:spacing w:after="0"/>
              <w:rPr>
                <w:sz w:val="20"/>
                <w:szCs w:val="20"/>
                <w:color w:val="auto"/>
              </w:rPr>
            </w:pPr>
            <w:r>
              <w:rPr>
                <w:rFonts w:ascii="Arial" w:cs="Arial" w:eastAsia="Arial" w:hAnsi="Arial"/>
                <w:sz w:val="18"/>
                <w:szCs w:val="18"/>
                <w:color w:val="auto"/>
              </w:rPr>
              <w:t>January 31, 2022</w:t>
            </w:r>
          </w:p>
        </w:tc>
      </w:tr>
      <w:tr>
        <w:trPr>
          <w:trHeight w:val="364"/>
        </w:trPr>
        <w:tc>
          <w:tcPr>
            <w:tcW w:w="5840" w:type="dxa"/>
            <w:vAlign w:val="bottom"/>
          </w:tcPr>
          <w:p>
            <w:pPr>
              <w:ind w:left="5300"/>
              <w:spacing w:after="0"/>
              <w:rPr>
                <w:sz w:val="20"/>
                <w:szCs w:val="20"/>
                <w:color w:val="auto"/>
              </w:rPr>
            </w:pPr>
            <w:r>
              <w:rPr>
                <w:rFonts w:ascii="Arial" w:cs="Arial" w:eastAsia="Arial" w:hAnsi="Arial"/>
                <w:sz w:val="18"/>
                <w:szCs w:val="18"/>
                <w:color w:val="auto"/>
              </w:rPr>
              <w:t>- 13 -</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OUTSIDE DIRECTOR COMPENSATION POLICY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January 27, 2022</w:t>
      </w:r>
    </w:p>
    <w:p>
      <w:pPr>
        <w:spacing w:after="0" w:line="229"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Athira Pharma, Inc. (the “</w:t>
      </w:r>
      <w:r>
        <w:rPr>
          <w:rFonts w:ascii="Arial" w:cs="Arial" w:eastAsia="Arial" w:hAnsi="Arial"/>
          <w:sz w:val="16"/>
          <w:szCs w:val="16"/>
          <w:u w:val="single" w:color="auto"/>
          <w:color w:val="auto"/>
        </w:rPr>
        <w:t>Company</w:t>
      </w:r>
      <w:r>
        <w:rPr>
          <w:rFonts w:ascii="Arial" w:cs="Arial" w:eastAsia="Arial" w:hAnsi="Arial"/>
          <w:sz w:val="16"/>
          <w:szCs w:val="16"/>
          <w:color w:val="auto"/>
        </w:rPr>
        <w:t>”) believes that the granting of equity and cash compensation to members of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members of the Board, “</w:t>
      </w:r>
      <w:r>
        <w:rPr>
          <w:rFonts w:ascii="Arial" w:cs="Arial" w:eastAsia="Arial" w:hAnsi="Arial"/>
          <w:sz w:val="16"/>
          <w:szCs w:val="16"/>
          <w:u w:val="single" w:color="auto"/>
          <w:color w:val="auto"/>
        </w:rPr>
        <w:t>Directors</w:t>
      </w:r>
      <w:r>
        <w:rPr>
          <w:rFonts w:ascii="Arial" w:cs="Arial" w:eastAsia="Arial" w:hAnsi="Arial"/>
          <w:sz w:val="16"/>
          <w:szCs w:val="16"/>
          <w:color w:val="auto"/>
        </w:rPr>
        <w:t>”) represents an effective tool to attract, retain and reward Directors who are not employees of the Company (“</w:t>
      </w:r>
      <w:r>
        <w:rPr>
          <w:rFonts w:ascii="Arial" w:cs="Arial" w:eastAsia="Arial" w:hAnsi="Arial"/>
          <w:sz w:val="16"/>
          <w:szCs w:val="16"/>
          <w:u w:val="single" w:color="auto"/>
          <w:color w:val="auto"/>
        </w:rPr>
        <w:t>Outside Directors</w:t>
      </w:r>
      <w:r>
        <w:rPr>
          <w:rFonts w:ascii="Arial" w:cs="Arial" w:eastAsia="Arial" w:hAnsi="Arial"/>
          <w:sz w:val="16"/>
          <w:szCs w:val="16"/>
          <w:color w:val="auto"/>
        </w:rPr>
        <w:t>”). This Outside Director Compensation Policy (the “</w:t>
      </w:r>
      <w:r>
        <w:rPr>
          <w:rFonts w:ascii="Arial" w:cs="Arial" w:eastAsia="Arial" w:hAnsi="Arial"/>
          <w:sz w:val="16"/>
          <w:szCs w:val="16"/>
          <w:u w:val="single" w:color="auto"/>
          <w:color w:val="auto"/>
        </w:rPr>
        <w:t>Policy</w:t>
      </w:r>
      <w:r>
        <w:rPr>
          <w:rFonts w:ascii="Arial" w:cs="Arial" w:eastAsia="Arial" w:hAnsi="Arial"/>
          <w:sz w:val="16"/>
          <w:szCs w:val="16"/>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Arial" w:cs="Arial" w:eastAsia="Arial" w:hAnsi="Arial"/>
          <w:sz w:val="16"/>
          <w:szCs w:val="16"/>
          <w:u w:val="single" w:color="auto"/>
          <w:color w:val="auto"/>
        </w:rPr>
        <w:t>Plan</w:t>
      </w:r>
      <w:r>
        <w:rPr>
          <w:rFonts w:ascii="Arial" w:cs="Arial" w:eastAsia="Arial" w:hAnsi="Arial"/>
          <w:sz w:val="16"/>
          <w:szCs w:val="16"/>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65" w:lineRule="exact"/>
        <w:rPr>
          <w:sz w:val="20"/>
          <w:szCs w:val="20"/>
          <w:color w:val="auto"/>
        </w:rPr>
      </w:pPr>
    </w:p>
    <w:p>
      <w:pPr>
        <w:ind w:right="120" w:firstLine="436"/>
        <w:spacing w:after="0" w:line="259"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Policy will be 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Arial" w:cs="Arial" w:eastAsia="Arial" w:hAnsi="Arial"/>
          <w:sz w:val="18"/>
          <w:szCs w:val="18"/>
          <w:u w:val="single" w:color="auto"/>
          <w:color w:val="auto"/>
        </w:rPr>
        <w:t>Registration Date</w:t>
      </w:r>
      <w:r>
        <w:rPr>
          <w:rFonts w:ascii="Arial" w:cs="Arial" w:eastAsia="Arial" w:hAnsi="Arial"/>
          <w:sz w:val="18"/>
          <w:szCs w:val="18"/>
          <w:color w:val="auto"/>
        </w:rPr>
        <w:t>,” and the effective date of this Policy,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Cash Compensation</w:t>
      </w:r>
    </w:p>
    <w:p>
      <w:pPr>
        <w:spacing w:after="0" w:line="225" w:lineRule="exact"/>
        <w:rPr>
          <w:sz w:val="20"/>
          <w:szCs w:val="20"/>
          <w:color w:val="auto"/>
        </w:rPr>
      </w:pPr>
    </w:p>
    <w:p>
      <w:pPr>
        <w:ind w:right="400" w:firstLine="991"/>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Board Member Annual Cash Retainer</w:t>
      </w:r>
      <w:r>
        <w:rPr>
          <w:rFonts w:ascii="Arial" w:cs="Arial" w:eastAsia="Arial" w:hAnsi="Arial"/>
          <w:sz w:val="17"/>
          <w:szCs w:val="17"/>
          <w:color w:val="auto"/>
        </w:rPr>
        <w:t>. Following the Effective Date, each Outside Director will be paid an annual cash retainer of $35,000. There are no per-meeting attendance fees for attending Board meetings or meetings of any committee of the Board.</w:t>
      </w:r>
    </w:p>
    <w:p>
      <w:pPr>
        <w:spacing w:after="0" w:line="146"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Additional Annual Cash Retainers</w:t>
      </w:r>
      <w:r>
        <w:rPr>
          <w:rFonts w:ascii="Arial" w:cs="Arial" w:eastAsia="Arial" w:hAnsi="Arial"/>
          <w:sz w:val="18"/>
          <w:szCs w:val="18"/>
          <w:color w:val="auto"/>
        </w:rPr>
        <w:t>. Following the Effective Date, each Outside Director who serves as the Chair of the Board, or the chair or a member of a committee of the Board, will be eligible to earn additional annual fees as follows:</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Chair of the Board: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Audit Committee Chair: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15,000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10,000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bl>
    <w:p>
      <w:pPr>
        <w:sectPr>
          <w:pgSz w:w="11900" w:h="16838" w:orient="portrait"/>
          <w:cols w:equalWidth="0" w:num="1">
            <w:col w:w="11020"/>
          </w:cols>
          <w:pgMar w:left="440" w:top="121" w:right="439" w:bottom="1440" w:gutter="0" w:footer="0" w:header="0"/>
        </w:sectPr>
      </w:pPr>
    </w:p>
    <w:bookmarkStart w:id="20" w:name="page21"/>
    <w:bookmarkEnd w:id="20"/>
    <w:p>
      <w:pPr>
        <w:ind w:right="6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spacing w:after="0" w:line="149"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Payment Timing and Proration</w:t>
      </w:r>
      <w:r>
        <w:rPr>
          <w:rFonts w:ascii="Arial" w:cs="Arial" w:eastAsia="Arial" w:hAnsi="Arial"/>
          <w:sz w:val="16"/>
          <w:szCs w:val="16"/>
          <w:color w:val="auto"/>
        </w:rPr>
        <w:t>. Each annual cash retainer under this Policy will be paid quarterly in arrears on a prorated basis to each Outside Director who has served in the relevant capacity at any time during the immediately preceding fiscal quarter of the Company (“</w:t>
      </w:r>
      <w:r>
        <w:rPr>
          <w:rFonts w:ascii="Arial" w:cs="Arial" w:eastAsia="Arial" w:hAnsi="Arial"/>
          <w:sz w:val="16"/>
          <w:szCs w:val="16"/>
          <w:u w:val="single" w:color="auto"/>
          <w:color w:val="auto"/>
        </w:rPr>
        <w:t>Fiscal Quarter</w:t>
      </w:r>
      <w:r>
        <w:rPr>
          <w:rFonts w:ascii="Arial" w:cs="Arial" w:eastAsia="Arial" w:hAnsi="Arial"/>
          <w:sz w:val="16"/>
          <w:szCs w:val="16"/>
          <w:color w:val="auto"/>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Arial" w:cs="Arial" w:eastAsia="Arial" w:hAnsi="Arial"/>
          <w:sz w:val="16"/>
          <w:szCs w:val="16"/>
          <w:u w:val="single" w:color="auto"/>
          <w:color w:val="auto"/>
        </w:rPr>
        <w:t>Initial Period</w:t>
      </w:r>
      <w:r>
        <w:rPr>
          <w:rFonts w:ascii="Arial" w:cs="Arial" w:eastAsia="Arial" w:hAnsi="Arial"/>
          <w:sz w:val="16"/>
          <w:szCs w:val="16"/>
          <w:color w:val="auto"/>
        </w:rPr>
        <w:t>”), as applicable, will receive a prorated payment of the quarterly installment of the applicable annual cash retainer(s), calculated based on the number of days during the Initial Period that such Outside Director has served in the relevant capacities.</w:t>
      </w:r>
    </w:p>
    <w:p>
      <w:pPr>
        <w:spacing w:after="0" w:line="166" w:lineRule="exact"/>
        <w:rPr>
          <w:sz w:val="20"/>
          <w:szCs w:val="20"/>
          <w:color w:val="auto"/>
        </w:rPr>
      </w:pPr>
    </w:p>
    <w:p>
      <w:pPr>
        <w:ind w:right="280" w:firstLine="436"/>
        <w:spacing w:after="0" w:line="311"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Outside Directors will be eligible to receive all types of Awards (except Incentive Stock Options) under the Plan, including discretionary Awards not covered under this Policy. All grants of Awards to Outside Directors pursuant to Sections 3.2, 3.3, and 3.4 of this Policy will be automatic and nondiscretionary, except as otherwise provided herein, and will be made in accordance with the following provisions:</w:t>
      </w:r>
    </w:p>
    <w:p>
      <w:pPr>
        <w:spacing w:after="0" w:line="149"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 Discretion</w:t>
      </w:r>
      <w:r>
        <w:rPr>
          <w:rFonts w:ascii="Arial" w:cs="Arial" w:eastAsia="Arial" w:hAnsi="Arial"/>
          <w:sz w:val="18"/>
          <w:szCs w:val="18"/>
          <w:color w:val="auto"/>
        </w:rPr>
        <w:t>. No person will have any discretion to select which Outside Directors will be granted Awards under this Policy or to determine the number of Shares to be covered by such Awards (except as provided in Sections 3.5.4 and 10 below).</w:t>
      </w:r>
    </w:p>
    <w:p>
      <w:pPr>
        <w:spacing w:after="0" w:line="170"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Initial Awards</w:t>
      </w:r>
      <w:r>
        <w:rPr>
          <w:rFonts w:ascii="Arial" w:cs="Arial" w:eastAsia="Arial" w:hAnsi="Arial"/>
          <w:sz w:val="17"/>
          <w:szCs w:val="17"/>
          <w:color w:val="auto"/>
        </w:rPr>
        <w:t>. Each individual who first becomes an Outside Director following the Effective Date automatically will be granted an award of Options (an “</w:t>
      </w:r>
      <w:r>
        <w:rPr>
          <w:rFonts w:ascii="Arial" w:cs="Arial" w:eastAsia="Arial" w:hAnsi="Arial"/>
          <w:sz w:val="17"/>
          <w:szCs w:val="17"/>
          <w:u w:val="single" w:color="auto"/>
          <w:color w:val="auto"/>
        </w:rPr>
        <w:t>Initial Award</w:t>
      </w:r>
      <w:r>
        <w:rPr>
          <w:rFonts w:ascii="Arial" w:cs="Arial" w:eastAsia="Arial" w:hAnsi="Arial"/>
          <w:sz w:val="17"/>
          <w:szCs w:val="17"/>
          <w:color w:val="auto"/>
        </w:rPr>
        <w:t>”) to purchase 27,742 Shares. The grant date of the Initial Award will be the first Trading Day on or after the date on which such individual first becomes an Outside Director (such first date as an Outside Director, the “</w:t>
      </w:r>
      <w:r>
        <w:rPr>
          <w:rFonts w:ascii="Arial" w:cs="Arial" w:eastAsia="Arial" w:hAnsi="Arial"/>
          <w:sz w:val="17"/>
          <w:szCs w:val="17"/>
          <w:u w:val="single" w:color="auto"/>
          <w:color w:val="auto"/>
        </w:rPr>
        <w:t>Initial Start Date</w:t>
      </w:r>
      <w:r>
        <w:rPr>
          <w:rFonts w:ascii="Arial" w:cs="Arial" w:eastAsia="Arial" w:hAnsi="Arial"/>
          <w:sz w:val="17"/>
          <w:szCs w:val="17"/>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21" w:name="page22"/>
    <w:bookmarkEnd w:id="21"/>
    <w:p>
      <w:pPr>
        <w:ind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Arial" w:cs="Arial" w:eastAsia="Arial" w:hAnsi="Arial"/>
          <w:sz w:val="16"/>
          <w:szCs w:val="16"/>
          <w:u w:val="single" w:color="auto"/>
          <w:color w:val="auto"/>
        </w:rPr>
        <w:t>Annual Award</w:t>
      </w:r>
      <w:r>
        <w:rPr>
          <w:rFonts w:ascii="Arial" w:cs="Arial" w:eastAsia="Arial" w:hAnsi="Arial"/>
          <w:sz w:val="16"/>
          <w:szCs w:val="16"/>
          <w:color w:val="auto"/>
        </w:rPr>
        <w:t>. On the first Trading Day immediately following each Annual Meeting of the Company’s stockholders (an “</w:t>
      </w:r>
      <w:r>
        <w:rPr>
          <w:rFonts w:ascii="Arial" w:cs="Arial" w:eastAsia="Arial" w:hAnsi="Arial"/>
          <w:sz w:val="16"/>
          <w:szCs w:val="16"/>
          <w:u w:val="single" w:color="auto"/>
          <w:color w:val="auto"/>
        </w:rPr>
        <w:t>Annual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w:t>
      </w:r>
      <w:r>
        <w:rPr>
          <w:rFonts w:ascii="Arial" w:cs="Arial" w:eastAsia="Arial" w:hAnsi="Arial"/>
          <w:sz w:val="16"/>
          <w:szCs w:val="16"/>
          <w:color w:val="auto"/>
        </w:rPr>
        <w:t>”), each Outside Director who, as of the date of such Annual Meeting, has been in continuous service as an Outside Director since the date of the most recently preceding Annual Meeting, automatically will be granted an award of Options to purchase 13,871 Shares. An Outside Director who, as of the date of such Annual Meeting, has not been in continuous service as an Outside Director since the date of the most recently preceding Annual Meeting, automatically will be granted a prorated award of Options, with the number of Options granted pursuant to such prorated award equal to the product of 13,871 multiplied by the quotient of (i) the number of whole months of continuous service as an Outside Director completed as of the date of such Annual Meeting divided by (ii) twelve (12), rounded down to the nearest whole share (up to a maximum of 13,871 shares) (the awards described in this Section 3.3, each, an “</w:t>
      </w:r>
      <w:r>
        <w:rPr>
          <w:rFonts w:ascii="Arial" w:cs="Arial" w:eastAsia="Arial" w:hAnsi="Arial"/>
          <w:sz w:val="16"/>
          <w:szCs w:val="16"/>
          <w:u w:val="single" w:color="auto"/>
          <w:color w:val="auto"/>
        </w:rPr>
        <w:t>Annual Award</w:t>
      </w:r>
      <w:r>
        <w:rPr>
          <w:rFonts w:ascii="Arial" w:cs="Arial" w:eastAsia="Arial" w:hAnsi="Arial"/>
          <w:sz w:val="16"/>
          <w:szCs w:val="16"/>
          <w:color w:val="auto"/>
        </w:rPr>
        <w:t>”). The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spacing w:after="0" w:line="168"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IPO Award</w:t>
      </w:r>
      <w:r>
        <w:rPr>
          <w:rFonts w:ascii="Arial" w:cs="Arial" w:eastAsia="Arial" w:hAnsi="Arial"/>
          <w:sz w:val="18"/>
          <w:szCs w:val="18"/>
          <w:color w:val="auto"/>
        </w:rPr>
        <w:t>. Effective as of the Registration Date, each Outside Director will be granted an award of Options (the “</w:t>
      </w:r>
      <w:r>
        <w:rPr>
          <w:rFonts w:ascii="Arial" w:cs="Arial" w:eastAsia="Arial" w:hAnsi="Arial"/>
          <w:sz w:val="18"/>
          <w:szCs w:val="18"/>
          <w:u w:val="single" w:color="auto"/>
          <w:color w:val="auto"/>
        </w:rPr>
        <w:t>IPO Award</w:t>
      </w:r>
      <w:r>
        <w:rPr>
          <w:rFonts w:ascii="Arial" w:cs="Arial" w:eastAsia="Arial" w:hAnsi="Arial"/>
          <w:sz w:val="18"/>
          <w:szCs w:val="18"/>
          <w:color w:val="auto"/>
        </w:rPr>
        <w:t>”) to purchase 27,742 Shares. Each IPO Award will be scheduled to vest as to one thirty-sixth (1/36</w:t>
      </w:r>
      <w:r>
        <w:rPr>
          <w:rFonts w:ascii="Arial" w:cs="Arial" w:eastAsia="Arial" w:hAnsi="Arial"/>
          <w:sz w:val="15"/>
          <w:szCs w:val="15"/>
          <w:color w:val="auto"/>
        </w:rPr>
        <w:t>th</w:t>
      </w:r>
      <w:r>
        <w:rPr>
          <w:rFonts w:ascii="Arial" w:cs="Arial" w:eastAsia="Arial" w:hAnsi="Arial"/>
          <w:sz w:val="18"/>
          <w:szCs w:val="18"/>
          <w:color w:val="auto"/>
        </w:rPr>
        <w:t>) of the Shares subject to the IPO Award on a monthly basis following the Vesting Commencement Date on the same day of the month as the Vesting Commencement Date (or the last day of the month, if there is no corresponding day in a given month) over a period of three (3) years from the Vesting Commencement Date, so that all of the Shares subject to the IPO Award will be scheduled to be vested by three-year anniversary of the Vesting Commencement Date, subject to the Outside Director remaining a Service Provider through the applicable vesting date. The Vesting Commencement Date of any IPO Award granted to each Outside Director other than James Johnson will be the Registration Date. The Vesting Commencement Date of any IPO Award granted to James Johnson will be August 26, 2020.</w:t>
      </w:r>
    </w:p>
    <w:p>
      <w:pPr>
        <w:spacing w:after="0" w:line="192"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Additional Terms of Initial Awards, Annual Awards and IPO Awards</w:t>
      </w:r>
      <w:r>
        <w:rPr>
          <w:rFonts w:ascii="Arial" w:cs="Arial" w:eastAsia="Arial" w:hAnsi="Arial"/>
          <w:sz w:val="18"/>
          <w:szCs w:val="18"/>
          <w:color w:val="auto"/>
        </w:rPr>
        <w:t>. The terms and conditions of each Initial Award, Annual Award and IPO Award (each, a “</w:t>
      </w:r>
      <w:r>
        <w:rPr>
          <w:rFonts w:ascii="Arial" w:cs="Arial" w:eastAsia="Arial" w:hAnsi="Arial"/>
          <w:sz w:val="18"/>
          <w:szCs w:val="18"/>
          <w:u w:val="single" w:color="auto"/>
          <w:color w:val="auto"/>
        </w:rPr>
        <w:t>Policy Award</w:t>
      </w:r>
      <w:r>
        <w:rPr>
          <w:rFonts w:ascii="Arial" w:cs="Arial" w:eastAsia="Arial" w:hAnsi="Arial"/>
          <w:sz w:val="18"/>
          <w:szCs w:val="18"/>
          <w:color w:val="auto"/>
        </w:rPr>
        <w:t>”) will be as follows.</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3.5.1 The term of each Policy Award will be ten (10) years, subject to earlier termination as provided in the Plan.</w:t>
      </w:r>
    </w:p>
    <w:p>
      <w:pPr>
        <w:spacing w:after="0" w:line="225" w:lineRule="exact"/>
        <w:rPr>
          <w:sz w:val="20"/>
          <w:szCs w:val="20"/>
          <w:color w:val="auto"/>
        </w:rPr>
      </w:pPr>
    </w:p>
    <w:p>
      <w:pPr>
        <w:jc w:val="both"/>
        <w:ind w:right="60" w:firstLine="1432"/>
        <w:spacing w:after="0" w:line="259" w:lineRule="auto"/>
        <w:rPr>
          <w:sz w:val="20"/>
          <w:szCs w:val="20"/>
          <w:color w:val="auto"/>
        </w:rPr>
      </w:pPr>
      <w:r>
        <w:rPr>
          <w:rFonts w:ascii="Arial" w:cs="Arial" w:eastAsia="Arial" w:hAnsi="Arial"/>
          <w:sz w:val="18"/>
          <w:szCs w:val="18"/>
          <w:color w:val="auto"/>
        </w:rPr>
        <w:t>3.5.2 The per Share exercise price of each Policy Award will be equal to one hundred percent (100%) of the Fair Market Value per Share on such Policy Award’s grant date. For purposes of clarity, the per Share exercise price of an IPO Award will be equal to the initial Share price to the public as set forth in the final prospectus included within the registration statement on Form S-1 filed with the Securities and Exchange Commission for the Company’s initial public offering of its Common Stock.</w:t>
      </w:r>
    </w:p>
    <w:p>
      <w:pPr>
        <w:spacing w:after="0" w:line="187" w:lineRule="exact"/>
        <w:rPr>
          <w:sz w:val="20"/>
          <w:szCs w:val="20"/>
          <w:color w:val="auto"/>
        </w:rPr>
      </w:pPr>
    </w:p>
    <w:p>
      <w:pPr>
        <w:ind w:right="80" w:firstLine="1432"/>
        <w:spacing w:after="0" w:line="277" w:lineRule="auto"/>
        <w:rPr>
          <w:sz w:val="20"/>
          <w:szCs w:val="20"/>
          <w:color w:val="auto"/>
        </w:rPr>
      </w:pPr>
      <w:r>
        <w:rPr>
          <w:rFonts w:ascii="Arial" w:cs="Arial" w:eastAsia="Arial" w:hAnsi="Arial"/>
          <w:sz w:val="18"/>
          <w:szCs w:val="18"/>
          <w:color w:val="auto"/>
        </w:rPr>
        <w:t>3.5.3 Each Policy Award will be granted under and subject to the terms and conditions of the Plan and the applicable form of Award Agreement previously approved by the Board or its Committee, as applicable, for use thereunder.</w:t>
      </w:r>
    </w:p>
    <w:p>
      <w:pPr>
        <w:spacing w:after="0" w:line="170" w:lineRule="exact"/>
        <w:rPr>
          <w:sz w:val="20"/>
          <w:szCs w:val="20"/>
          <w:color w:val="auto"/>
        </w:rPr>
      </w:pPr>
    </w:p>
    <w:p>
      <w:pPr>
        <w:ind w:firstLine="1432"/>
        <w:spacing w:after="0" w:line="308" w:lineRule="auto"/>
        <w:rPr>
          <w:sz w:val="20"/>
          <w:szCs w:val="20"/>
          <w:color w:val="auto"/>
        </w:rPr>
      </w:pPr>
      <w:r>
        <w:rPr>
          <w:rFonts w:ascii="Arial" w:cs="Arial" w:eastAsia="Arial" w:hAnsi="Arial"/>
          <w:sz w:val="17"/>
          <w:szCs w:val="17"/>
          <w:color w:val="auto"/>
        </w:rPr>
        <w:t>3.5.4 The Board or its Committee, as applicable and in its discretion, may change and otherwise revise the terms of Policy Awards to be granted in the future pursuant to this Policy, including without limitation the number of Shares subject thereto and type of Award.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22" w:name="page23"/>
    <w:bookmarkEnd w:id="22"/>
    <w:p>
      <w:pPr>
        <w:ind w:left="-436" w:right="120" w:firstLine="436"/>
        <w:spacing w:after="0" w:line="263" w:lineRule="auto"/>
        <w:tabs>
          <w:tab w:leader="none" w:pos="18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Control</w:t>
      </w:r>
      <w:r>
        <w:rPr>
          <w:rFonts w:ascii="Arial" w:cs="Arial" w:eastAsia="Arial" w:hAnsi="Arial"/>
          <w:sz w:val="18"/>
          <w:szCs w:val="18"/>
          <w:color w:val="auto"/>
        </w:rPr>
        <w:t>. In the event of a Change in Control, each Outside Director will fully vest in his or her outstanding Company equity awards as of immediately prior to the Change in Control, including any Policy Award, provided that the Outside Director continues to be an Outside Director through the date of such Change in Control.</w:t>
      </w:r>
    </w:p>
    <w:p>
      <w:pPr>
        <w:spacing w:after="0" w:line="183" w:lineRule="exact"/>
        <w:rPr>
          <w:rFonts w:ascii="Arial" w:cs="Arial" w:eastAsia="Arial" w:hAnsi="Arial"/>
          <w:sz w:val="18"/>
          <w:szCs w:val="18"/>
          <w:color w:val="auto"/>
        </w:rPr>
      </w:pPr>
    </w:p>
    <w:p>
      <w:pPr>
        <w:ind w:left="-436" w:firstLine="436"/>
        <w:spacing w:after="0" w:line="255" w:lineRule="auto"/>
        <w:tabs>
          <w:tab w:leader="none" w:pos="18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Annual Compensation Limit</w:t>
      </w:r>
      <w:r>
        <w:rPr>
          <w:rFonts w:ascii="Arial" w:cs="Arial" w:eastAsia="Arial" w:hAnsi="Arial"/>
          <w:sz w:val="18"/>
          <w:szCs w:val="18"/>
          <w:color w:val="auto"/>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92" w:lineRule="exact"/>
        <w:rPr>
          <w:rFonts w:ascii="Arial" w:cs="Arial" w:eastAsia="Arial" w:hAnsi="Arial"/>
          <w:sz w:val="18"/>
          <w:szCs w:val="18"/>
          <w:color w:val="auto"/>
        </w:rPr>
      </w:pPr>
    </w:p>
    <w:p>
      <w:pPr>
        <w:ind w:left="-436" w:right="60" w:firstLine="436"/>
        <w:spacing w:after="0" w:line="277" w:lineRule="auto"/>
        <w:tabs>
          <w:tab w:leader="none" w:pos="18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Travel Expenses</w:t>
      </w:r>
      <w:r>
        <w:rPr>
          <w:rFonts w:ascii="Arial" w:cs="Arial" w:eastAsia="Arial" w:hAnsi="Arial"/>
          <w:sz w:val="18"/>
          <w:szCs w:val="18"/>
          <w:color w:val="auto"/>
        </w:rPr>
        <w:t>. Each Outside Director’s reasonable, customary and properly documented travel expenses to meetings of the Board and any of its committees, as applicable, will be reimbursed by the Company.</w:t>
      </w:r>
    </w:p>
    <w:p>
      <w:pPr>
        <w:spacing w:after="0" w:line="170" w:lineRule="exact"/>
        <w:rPr>
          <w:rFonts w:ascii="Arial" w:cs="Arial" w:eastAsia="Arial" w:hAnsi="Arial"/>
          <w:sz w:val="18"/>
          <w:szCs w:val="18"/>
          <w:color w:val="auto"/>
        </w:rPr>
      </w:pPr>
    </w:p>
    <w:p>
      <w:pPr>
        <w:ind w:left="-436" w:firstLine="436"/>
        <w:spacing w:after="0" w:line="296" w:lineRule="auto"/>
        <w:tabs>
          <w:tab w:leader="none" w:pos="18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Policy Awards.</w:t>
      </w:r>
    </w:p>
    <w:p>
      <w:pPr>
        <w:spacing w:after="0" w:line="161" w:lineRule="exact"/>
        <w:rPr>
          <w:rFonts w:ascii="Arial" w:cs="Arial" w:eastAsia="Arial" w:hAnsi="Arial"/>
          <w:sz w:val="16"/>
          <w:szCs w:val="16"/>
          <w:color w:val="auto"/>
        </w:rPr>
      </w:pPr>
    </w:p>
    <w:p>
      <w:pPr>
        <w:ind w:left="-436" w:right="20" w:firstLine="436"/>
        <w:spacing w:after="0" w:line="253" w:lineRule="auto"/>
        <w:tabs>
          <w:tab w:leader="none" w:pos="18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96" w:lineRule="exact"/>
        <w:rPr>
          <w:rFonts w:ascii="Arial" w:cs="Arial" w:eastAsia="Arial" w:hAnsi="Arial"/>
          <w:sz w:val="18"/>
          <w:szCs w:val="18"/>
          <w:color w:val="auto"/>
        </w:rPr>
      </w:pPr>
    </w:p>
    <w:p>
      <w:pPr>
        <w:ind w:left="-436" w:right="40" w:firstLine="436"/>
        <w:spacing w:after="0" w:line="286" w:lineRule="auto"/>
        <w:tabs>
          <w:tab w:leader="none" w:pos="18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initial adoption of this Policy will be subject to approval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97" w:lineRule="exact"/>
        <w:rPr>
          <w:rFonts w:ascii="Arial" w:cs="Arial" w:eastAsia="Arial" w:hAnsi="Arial"/>
          <w:sz w:val="17"/>
          <w:szCs w:val="17"/>
          <w:color w:val="auto"/>
        </w:rPr>
      </w:pPr>
    </w:p>
    <w:p>
      <w:pPr>
        <w:ind w:left="5024" w:hanging="106"/>
        <w:spacing w:after="0"/>
        <w:tabs>
          <w:tab w:leader="none" w:pos="50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64"/>
          </w:cols>
          <w:pgMar w:left="876" w:top="274" w:right="459" w:bottom="1440" w:gutter="0" w:footer="0" w:header="0"/>
        </w:sectPr>
      </w:pPr>
    </w:p>
    <w:bookmarkStart w:id="23" w:name="page24"/>
    <w:bookmarkEnd w:id="23"/>
    <w:p>
      <w:pPr>
        <w:ind w:firstLine="436"/>
        <w:spacing w:after="0" w:line="254" w:lineRule="auto"/>
        <w:tabs>
          <w:tab w:leader="none" w:pos="71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Revisions</w:t>
      </w:r>
      <w:r>
        <w:rPr>
          <w:rFonts w:ascii="Arial" w:cs="Arial" w:eastAsia="Arial" w:hAnsi="Arial"/>
          <w:sz w:val="18"/>
          <w:szCs w:val="18"/>
          <w:color w:val="auto"/>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Arial" w:cs="Arial" w:eastAsia="Arial" w:hAnsi="Arial"/>
          <w:sz w:val="18"/>
          <w:szCs w:val="18"/>
          <w:u w:val="single" w:color="auto"/>
          <w:color w:val="auto"/>
        </w:rPr>
        <w:t>Committee</w:t>
      </w:r>
      <w:r>
        <w:rPr>
          <w:rFonts w:ascii="Arial" w:cs="Arial" w:eastAsia="Arial" w:hAnsi="Arial"/>
          <w:sz w:val="18"/>
          <w:szCs w:val="18"/>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192" w:lineRule="exact"/>
        <w:rPr>
          <w:sz w:val="20"/>
          <w:szCs w:val="20"/>
          <w:color w:val="auto"/>
        </w:rPr>
      </w:pPr>
    </w:p>
    <w:p>
      <w:pPr>
        <w:ind w:left="4600"/>
        <w:spacing w:after="0"/>
        <w:tabs>
          <w:tab w:leader="none" w:pos="544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06299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Announces Appointment of Grant Pickering to its Board of Directors</w:t>
      </w:r>
    </w:p>
    <w:p>
      <w:pPr>
        <w:spacing w:after="0" w:line="225"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BOTHELL, Wash., January 31, 2022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Athira Pharma,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ATHA), a late clinical-stage biopharmaceutical company focused on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small molecules to restore neuronal health and stop neurodegeneration, today announced the appointment of Grant Pickering to its Board of Directors. Mr. Pickering is Chief Executive Officer, co-founder and member of the Board of Directors at Vaxcyte, Inc. (NASDAQ: PCVX), a vaccine innovation company engineering high-fidelity vaccines to protect humankind from the consequences of bacterial diseases.</w:t>
      </w:r>
    </w:p>
    <w:p>
      <w:pPr>
        <w:spacing w:after="0" w:line="16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“Grant is an accomplished life sciences leader with considerable experience across all stages of development and commercialization of new medicines,” said Mark Litton, Ph.D., President and Chief Executive Officer at Athira. “His deep experience in the biopharma industry provides a valuable resource to Athira as we advance the development of innovative therapies for neurological diseases.”</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Mr. Pickering has over 30 years of experience across vaccines and immunotherapeutic drug development and commercialization, and has led the successful formation and financing of multiple platform companies.</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Mr. Pickering commented, “Athira’s lead candidate ATH-1017 and drug discovery platform offers an innovative approach to the development of therapies designed to improve the outlook for those suffering from a range of neurological diseases, including Alzheimer’s Disease. I look forward to working with my fellow Board members and company management as we continue to advance Athira’s innovative pipeline.”</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Mr. Pickering previously served as CEO of Mymetics Corporation and Juvaris BioTherapeutics. Prior to Juvaris, Mr. Pickering served as Senior Vice President, Operations at Dendreon Corporation and led marketing and business development for Algos Pharmaceutical Corporation. Mr. Pickering began his career at Glaxo and Johnson &amp; Johnson in sales, marketing, and clinical research roles. Mr. Pickering earned his BS degree in marketing from The Pennsylvania State University and his MBA from Georgetown University with high honors.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Athira Pharma, Inc.</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Athira, headquartered in the Seattle area, is a late clinical-stage biopharmaceutical company focused on developing small molecules to restore neuronal health and stop neurodegeneration. Athira aims to provide rapid cognitive improvement and alter the course of neurological diseases with its novel mechanism of action. Athira is currently advancing its lead therapeutic candidate, ATH-1017, a novel small molecule for Alzheimer’s, Parkinson’s disease dementia and Dementia with Lewy bodies. For more information, visit </w:t>
      </w:r>
      <w:r>
        <w:rPr>
          <w:rFonts w:ascii="Arial" w:cs="Arial" w:eastAsia="Arial" w:hAnsi="Arial"/>
          <w:sz w:val="18"/>
          <w:szCs w:val="18"/>
          <w:u w:val="single" w:color="auto"/>
          <w:color w:val="auto"/>
        </w:rPr>
        <w:t>www.athira.com</w:t>
      </w:r>
      <w:r>
        <w:rPr>
          <w:rFonts w:ascii="Arial" w:cs="Arial" w:eastAsia="Arial" w:hAnsi="Arial"/>
          <w:sz w:val="18"/>
          <w:szCs w:val="18"/>
          <w:color w:val="auto"/>
        </w:rPr>
        <w:t xml:space="preserve">. You can also follow Athira on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@athirapharma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Instagram.</w:t>
      </w:r>
    </w:p>
    <w:p>
      <w:pPr>
        <w:sectPr>
          <w:pgSz w:w="11900" w:h="16838" w:orient="portrait"/>
          <w:cols w:equalWidth="0" w:num="1">
            <w:col w:w="11020"/>
          </w:cols>
          <w:pgMar w:left="440" w:top="121"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6299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62990" cy="44577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 treatment for Alzheimer’s disease, Parkinson’s disease dementia, and other dementias; Athira’s platform technology and potential therapies; future development plans; and Athira’s ability to advance its product candidates into later stages of development. Forward-looking statements generally include statements that are predictive in nature and depend upon or refer to future events or conditions, and include words such as “may,” “will,” “should,”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product candidate from the Phase 1a/b trials will not continue or persist in current or planned clinical trials; cessation or delay of any of the ongoing clinical trials and/or Athira’s development of ATH-1017 and other product candidates may occur; the impact of the COVID-19 pandemic on Athira’s business, research and clinical development plans and timelines, and the regulatory process for Athira product candidates; the outcome of legal proceedings which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while P300 latency is a functional measure that is highly correlated with cognition, Athira may not successfully establish a connection between these P300 latency results and improved cognition;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Julie.rathbun@athira.com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206-769-9219</w:t>
      </w:r>
    </w:p>
    <w:sectPr>
      <w:pgSz w:w="11900" w:h="16838" w:orient="portrait"/>
      <w:cols w:equalWidth="0" w:num="1">
        <w:col w:w="10980"/>
      </w:cols>
      <w:pgMar w:left="440" w:top="11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3"/>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decimal"/>
      <w:start w:val="4"/>
    </w:lvl>
  </w:abstractNum>
  <w:abstractNum w:abstractNumId="11">
    <w:nsid w:val="519B500D"/>
    <w:multiLevelType w:val="hybridMultilevel"/>
    <w:lvl w:ilvl="0">
      <w:lvlJc w:val="left"/>
      <w:lvlText w:val="(%1)"/>
      <w:numFmt w:val="lowerLetter"/>
      <w:start w:val="1"/>
    </w:lvl>
    <w:lvl w:ilvl="1">
      <w:lvlJc w:val="left"/>
      <w:lvlText w:val="-"/>
      <w:numFmt w:val="bullet"/>
      <w:start w:val="1"/>
    </w:lvl>
  </w:abstractNum>
  <w:abstractNum w:abstractNumId="12">
    <w:nsid w:val="431BD7B7"/>
    <w:multiLevelType w:val="hybridMultilevel"/>
    <w:lvl w:ilvl="0">
      <w:lvlJc w:val="left"/>
      <w:lvlText w:val="%1."/>
      <w:numFmt w:val="decimal"/>
      <w:start w:val="6"/>
    </w:lvl>
  </w:abstractNum>
  <w:abstractNum w:abstractNumId="13">
    <w:nsid w:val="3F2DBA31"/>
    <w:multiLevelType w:val="hybridMultilevel"/>
    <w:lvl w:ilvl="0">
      <w:lvlJc w:val="left"/>
      <w:lvlText w:val="(%1)"/>
      <w:numFmt w:val="lowerLetter"/>
      <w:start w:val="2"/>
    </w:lvl>
  </w:abstractNum>
  <w:abstractNum w:abstractNumId="14">
    <w:nsid w:val="7C83E458"/>
    <w:multiLevelType w:val="hybridMultilevel"/>
    <w:lvl w:ilvl="0">
      <w:lvlJc w:val="left"/>
      <w:lvlText w:val="(%1)"/>
      <w:numFmt w:val="lowerLetter"/>
      <w:start w:val="1"/>
    </w:lvl>
    <w:lvl w:ilvl="1">
      <w:lvlJc w:val="left"/>
      <w:lvlText w:val="-"/>
      <w:numFmt w:val="bullet"/>
      <w:start w:val="1"/>
    </w:lvl>
  </w:abstractNum>
  <w:abstractNum w:abstractNumId="15">
    <w:nsid w:val="257130A3"/>
    <w:multiLevelType w:val="hybridMultilevel"/>
    <w:lvl w:ilvl="0">
      <w:lvlJc w:val="left"/>
      <w:lvlText w:val="(%1)"/>
      <w:numFmt w:val="lowerLetter"/>
      <w:start w:val="3"/>
    </w:lvl>
  </w:abstractNum>
  <w:abstractNum w:abstractNumId="16">
    <w:nsid w:val="62BBD95A"/>
    <w:multiLevelType w:val="hybridMultilevel"/>
    <w:lvl w:ilvl="0">
      <w:lvlJc w:val="left"/>
      <w:lvlText w:val="(%1)"/>
      <w:numFmt w:val="decimal"/>
      <w:start w:val="30"/>
    </w:lvl>
  </w:abstractNum>
  <w:abstractNum w:abstractNumId="17">
    <w:nsid w:val="436C6125"/>
    <w:multiLevelType w:val="hybridMultilevel"/>
    <w:lvl w:ilvl="0">
      <w:lvlJc w:val="left"/>
      <w:lvlText w:val="%1."/>
      <w:numFmt w:val="decimal"/>
      <w:start w:val="8"/>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3"/>
    </w:lvl>
  </w:abstractNum>
  <w:abstractNum w:abstractNumId="21">
    <w:nsid w:val="2443A858"/>
    <w:multiLevelType w:val="hybridMultilevel"/>
    <w:lvl w:ilvl="0">
      <w:lvlJc w:val="left"/>
      <w:lvlText w:val="%1."/>
      <w:numFmt w:val="decimal"/>
      <w:start w:val="4"/>
    </w:lvl>
    <w:lvl w:ilvl="1">
      <w:lvlJc w:val="left"/>
      <w:lvlText w:val="-"/>
      <w:numFmt w:val="bullet"/>
      <w:start w:val="1"/>
    </w:lvl>
  </w:abstractNum>
  <w:abstractNum w:abstractNumId="22">
    <w:nsid w:val="2D1D5AE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2022-01-31T15:21:05Z</dcterms:created>
  <dcterms:modified xsi:type="dcterms:W3CDTF">2022-01-31T15:21:05Z</dcterms:modified>
</cp:coreProperties>
</file>