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65" w:lineRule="exact"/>
        <w:rPr>
          <w:sz w:val="24"/>
          <w:szCs w:val="24"/>
          <w:color w:val="auto"/>
        </w:rPr>
      </w:pPr>
    </w:p>
    <w:p>
      <w:pPr>
        <w:ind w:left="380" w:hanging="328"/>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39"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2021</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380" w:hanging="328"/>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9"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 ____ to 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Athira Pharma,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3700" w:type="dxa"/>
            <w:vAlign w:val="bottom"/>
          </w:tcPr>
          <w:p>
            <w:pPr>
              <w:jc w:val="center"/>
              <w:ind w:left="939"/>
              <w:spacing w:after="0"/>
              <w:rPr>
                <w:sz w:val="20"/>
                <w:szCs w:val="20"/>
                <w:color w:val="auto"/>
              </w:rPr>
            </w:pPr>
            <w:r>
              <w:rPr>
                <w:rFonts w:ascii="Arial" w:cs="Arial" w:eastAsia="Arial" w:hAnsi="Arial"/>
                <w:sz w:val="18"/>
                <w:szCs w:val="18"/>
                <w:b w:val="1"/>
                <w:bCs w:val="1"/>
                <w:color w:val="auto"/>
              </w:rPr>
              <w:t>Delaware</w:t>
            </w: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60" w:type="dxa"/>
            <w:vAlign w:val="bottom"/>
          </w:tcPr>
          <w:p>
            <w:pPr>
              <w:jc w:val="center"/>
              <w:ind w:right="1059"/>
              <w:spacing w:after="0"/>
              <w:rPr>
                <w:sz w:val="20"/>
                <w:szCs w:val="20"/>
                <w:color w:val="auto"/>
              </w:rPr>
            </w:pPr>
            <w:r>
              <w:rPr>
                <w:rFonts w:ascii="Arial" w:cs="Arial" w:eastAsia="Arial" w:hAnsi="Arial"/>
                <w:sz w:val="18"/>
                <w:szCs w:val="18"/>
                <w:b w:val="1"/>
                <w:bCs w:val="1"/>
                <w:color w:val="auto"/>
                <w:w w:val="99"/>
              </w:rPr>
              <w:t>45-3368487</w:t>
            </w:r>
          </w:p>
        </w:tc>
      </w:tr>
      <w:tr>
        <w:trPr>
          <w:trHeight w:val="189"/>
        </w:trPr>
        <w:tc>
          <w:tcPr>
            <w:tcW w:w="3700" w:type="dxa"/>
            <w:vAlign w:val="bottom"/>
          </w:tcPr>
          <w:p>
            <w:pPr>
              <w:jc w:val="center"/>
              <w:ind w:left="959"/>
              <w:spacing w:after="0"/>
              <w:rPr>
                <w:sz w:val="20"/>
                <w:szCs w:val="20"/>
                <w:color w:val="auto"/>
              </w:rPr>
            </w:pPr>
            <w:r>
              <w:rPr>
                <w:rFonts w:ascii="Arial" w:cs="Arial" w:eastAsia="Arial" w:hAnsi="Arial"/>
                <w:sz w:val="14"/>
                <w:szCs w:val="14"/>
                <w:b w:val="1"/>
                <w:bCs w:val="1"/>
                <w:color w:val="auto"/>
              </w:rPr>
              <w:t>(State or other jurisdiction of</w:t>
            </w:r>
          </w:p>
        </w:tc>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60" w:type="dxa"/>
            <w:vAlign w:val="bottom"/>
          </w:tcPr>
          <w:p>
            <w:pPr>
              <w:jc w:val="center"/>
              <w:ind w:right="1039"/>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700" w:type="dxa"/>
            <w:vAlign w:val="bottom"/>
          </w:tcPr>
          <w:p>
            <w:pPr>
              <w:jc w:val="center"/>
              <w:ind w:left="939"/>
              <w:spacing w:after="0"/>
              <w:rPr>
                <w:sz w:val="20"/>
                <w:szCs w:val="20"/>
                <w:color w:val="auto"/>
              </w:rPr>
            </w:pPr>
            <w:r>
              <w:rPr>
                <w:rFonts w:ascii="Arial" w:cs="Arial" w:eastAsia="Arial" w:hAnsi="Arial"/>
                <w:sz w:val="14"/>
                <w:szCs w:val="14"/>
                <w:b w:val="1"/>
                <w:bCs w:val="1"/>
                <w:color w:val="auto"/>
              </w:rPr>
              <w:t>incorporation or organization)</w:t>
            </w:r>
          </w:p>
        </w:tc>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60" w:type="dxa"/>
            <w:vAlign w:val="bottom"/>
          </w:tcPr>
          <w:p>
            <w:pPr>
              <w:jc w:val="center"/>
              <w:ind w:right="1039"/>
              <w:spacing w:after="0"/>
              <w:rPr>
                <w:sz w:val="20"/>
                <w:szCs w:val="20"/>
                <w:color w:val="auto"/>
              </w:rPr>
            </w:pPr>
            <w:r>
              <w:rPr>
                <w:rFonts w:ascii="Arial" w:cs="Arial" w:eastAsia="Arial" w:hAnsi="Arial"/>
                <w:sz w:val="14"/>
                <w:szCs w:val="14"/>
                <w:b w:val="1"/>
                <w:bCs w:val="1"/>
                <w:color w:val="auto"/>
              </w:rPr>
              <w:t>Identification No.)</w:t>
            </w:r>
          </w:p>
        </w:tc>
      </w:tr>
      <w:tr>
        <w:trPr>
          <w:trHeight w:val="313"/>
        </w:trPr>
        <w:tc>
          <w:tcPr>
            <w:tcW w:w="7000" w:type="dxa"/>
            <w:vAlign w:val="bottom"/>
            <w:gridSpan w:val="4"/>
          </w:tcPr>
          <w:p>
            <w:pPr>
              <w:jc w:val="center"/>
              <w:ind w:left="3239"/>
              <w:spacing w:after="0"/>
              <w:rPr>
                <w:sz w:val="20"/>
                <w:szCs w:val="20"/>
                <w:color w:val="auto"/>
              </w:rPr>
            </w:pPr>
            <w:r>
              <w:rPr>
                <w:rFonts w:ascii="Arial" w:cs="Arial" w:eastAsia="Arial" w:hAnsi="Arial"/>
                <w:sz w:val="18"/>
                <w:szCs w:val="18"/>
                <w:b w:val="1"/>
                <w:bCs w:val="1"/>
                <w:color w:val="auto"/>
                <w:w w:val="99"/>
              </w:rPr>
              <w:t>18706 North Creek Parkway, Suite 104</w:t>
            </w:r>
          </w:p>
        </w:tc>
        <w:tc>
          <w:tcPr>
            <w:tcW w:w="3060" w:type="dxa"/>
            <w:vAlign w:val="bottom"/>
          </w:tcPr>
          <w:p>
            <w:pPr>
              <w:spacing w:after="0"/>
              <w:rPr>
                <w:sz w:val="24"/>
                <w:szCs w:val="24"/>
                <w:color w:val="auto"/>
              </w:rPr>
            </w:pPr>
          </w:p>
        </w:tc>
      </w:tr>
      <w:tr>
        <w:trPr>
          <w:trHeight w:val="212"/>
        </w:trPr>
        <w:tc>
          <w:tcPr>
            <w:tcW w:w="3700" w:type="dxa"/>
            <w:vAlign w:val="bottom"/>
          </w:tcPr>
          <w:p>
            <w:pPr>
              <w:spacing w:after="0"/>
              <w:rPr>
                <w:sz w:val="18"/>
                <w:szCs w:val="18"/>
                <w:color w:val="auto"/>
              </w:rPr>
            </w:pPr>
          </w:p>
        </w:tc>
        <w:tc>
          <w:tcPr>
            <w:tcW w:w="33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Bothell, Washington 98011</w:t>
            </w:r>
          </w:p>
        </w:tc>
        <w:tc>
          <w:tcPr>
            <w:tcW w:w="3060" w:type="dxa"/>
            <w:vAlign w:val="bottom"/>
          </w:tcPr>
          <w:p>
            <w:pPr>
              <w:spacing w:after="0"/>
              <w:rPr>
                <w:sz w:val="18"/>
                <w:szCs w:val="18"/>
                <w:color w:val="auto"/>
              </w:rPr>
            </w:pPr>
          </w:p>
        </w:tc>
      </w:tr>
      <w:tr>
        <w:trPr>
          <w:trHeight w:val="152"/>
        </w:trPr>
        <w:tc>
          <w:tcPr>
            <w:tcW w:w="3700" w:type="dxa"/>
            <w:vAlign w:val="bottom"/>
          </w:tcPr>
          <w:p>
            <w:pPr>
              <w:spacing w:after="0"/>
              <w:rPr>
                <w:sz w:val="13"/>
                <w:szCs w:val="13"/>
                <w:color w:val="auto"/>
              </w:rPr>
            </w:pPr>
          </w:p>
        </w:tc>
        <w:tc>
          <w:tcPr>
            <w:tcW w:w="330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rPr>
              <w:t>(Address of principal executive offices)</w:t>
            </w:r>
          </w:p>
        </w:tc>
        <w:tc>
          <w:tcPr>
            <w:tcW w:w="3060" w:type="dxa"/>
            <w:vAlign w:val="bottom"/>
          </w:tcPr>
          <w:p>
            <w:pPr>
              <w:spacing w:after="0"/>
              <w:rPr>
                <w:sz w:val="13"/>
                <w:szCs w:val="13"/>
                <w:color w:val="auto"/>
              </w:rPr>
            </w:pPr>
          </w:p>
        </w:tc>
      </w:tr>
      <w:tr>
        <w:trPr>
          <w:trHeight w:val="212"/>
        </w:trPr>
        <w:tc>
          <w:tcPr>
            <w:tcW w:w="3700" w:type="dxa"/>
            <w:vAlign w:val="bottom"/>
          </w:tcPr>
          <w:p>
            <w:pPr>
              <w:spacing w:after="0"/>
              <w:rPr>
                <w:sz w:val="18"/>
                <w:szCs w:val="18"/>
                <w:color w:val="auto"/>
              </w:rPr>
            </w:pPr>
          </w:p>
        </w:tc>
        <w:tc>
          <w:tcPr>
            <w:tcW w:w="2580" w:type="dxa"/>
            <w:vAlign w:val="bottom"/>
            <w:gridSpan w:val="2"/>
          </w:tcPr>
          <w:p>
            <w:pPr>
              <w:jc w:val="center"/>
              <w:ind w:left="256"/>
              <w:spacing w:after="0"/>
              <w:rPr>
                <w:sz w:val="20"/>
                <w:szCs w:val="20"/>
                <w:color w:val="auto"/>
              </w:rPr>
            </w:pPr>
            <w:r>
              <w:rPr>
                <w:rFonts w:ascii="Arial" w:cs="Arial" w:eastAsia="Arial" w:hAnsi="Arial"/>
                <w:sz w:val="18"/>
                <w:szCs w:val="18"/>
                <w:b w:val="1"/>
                <w:bCs w:val="1"/>
                <w:color w:val="auto"/>
              </w:rPr>
              <w:t>(425) 620-8501</w:t>
            </w: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190"/>
        </w:trPr>
        <w:tc>
          <w:tcPr>
            <w:tcW w:w="7000" w:type="dxa"/>
            <w:vAlign w:val="bottom"/>
            <w:gridSpan w:val="4"/>
          </w:tcPr>
          <w:p>
            <w:pPr>
              <w:jc w:val="center"/>
              <w:ind w:left="3239"/>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060" w:type="dxa"/>
            <w:vAlign w:val="bottom"/>
          </w:tcPr>
          <w:p>
            <w:pPr>
              <w:spacing w:after="0"/>
              <w:rPr>
                <w:sz w:val="16"/>
                <w:szCs w:val="16"/>
                <w:color w:val="auto"/>
              </w:rPr>
            </w:pPr>
          </w:p>
        </w:tc>
      </w:tr>
      <w:tr>
        <w:trPr>
          <w:trHeight w:val="120"/>
        </w:trPr>
        <w:tc>
          <w:tcPr>
            <w:tcW w:w="4040" w:type="dxa"/>
            <w:vAlign w:val="bottom"/>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3780" w:type="dxa"/>
            <w:vAlign w:val="bottom"/>
            <w:gridSpan w:val="2"/>
          </w:tcPr>
          <w:p>
            <w:pPr>
              <w:spacing w:after="0"/>
              <w:rPr>
                <w:sz w:val="10"/>
                <w:szCs w:val="10"/>
                <w:color w:val="auto"/>
              </w:rPr>
            </w:pPr>
          </w:p>
        </w:tc>
      </w:tr>
      <w:tr>
        <w:trPr>
          <w:trHeight w:val="304"/>
        </w:trPr>
        <w:tc>
          <w:tcPr>
            <w:tcW w:w="10060" w:type="dxa"/>
            <w:vAlign w:val="bottom"/>
            <w:gridSpan w:val="5"/>
          </w:tcPr>
          <w:p>
            <w:pPr>
              <w:jc w:val="center"/>
              <w:ind w:left="179"/>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312"/>
        </w:trPr>
        <w:tc>
          <w:tcPr>
            <w:tcW w:w="3700" w:type="dxa"/>
            <w:vAlign w:val="bottom"/>
          </w:tcPr>
          <w:p>
            <w:pPr>
              <w:jc w:val="center"/>
              <w:ind w:right="19"/>
              <w:spacing w:after="0"/>
              <w:rPr>
                <w:sz w:val="20"/>
                <w:szCs w:val="20"/>
                <w:color w:val="auto"/>
              </w:rPr>
            </w:pPr>
            <w:r>
              <w:rPr>
                <w:rFonts w:ascii="Arial" w:cs="Arial" w:eastAsia="Arial" w:hAnsi="Arial"/>
                <w:sz w:val="14"/>
                <w:szCs w:val="14"/>
                <w:b w:val="1"/>
                <w:bCs w:val="1"/>
                <w:color w:val="auto"/>
              </w:rPr>
              <w:t>Title of each class</w:t>
            </w:r>
          </w:p>
        </w:tc>
        <w:tc>
          <w:tcPr>
            <w:tcW w:w="340" w:type="dxa"/>
            <w:vAlign w:val="bottom"/>
          </w:tcPr>
          <w:p>
            <w:pPr>
              <w:spacing w:after="0"/>
              <w:rPr>
                <w:sz w:val="24"/>
                <w:szCs w:val="24"/>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Trading Symbol(s)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5"/>
        </w:trPr>
        <w:tc>
          <w:tcPr>
            <w:tcW w:w="3700" w:type="dxa"/>
            <w:vAlign w:val="bottom"/>
          </w:tcPr>
          <w:p>
            <w:pPr>
              <w:jc w:val="center"/>
              <w:ind w:right="39"/>
              <w:spacing w:after="0"/>
              <w:rPr>
                <w:sz w:val="20"/>
                <w:szCs w:val="20"/>
                <w:color w:val="auto"/>
              </w:rPr>
            </w:pPr>
            <w:r>
              <w:rPr>
                <w:rFonts w:ascii="Arial" w:cs="Arial" w:eastAsia="Arial" w:hAnsi="Arial"/>
                <w:sz w:val="18"/>
                <w:szCs w:val="18"/>
                <w:color w:val="auto"/>
                <w:w w:val="99"/>
              </w:rPr>
              <w:t>Common Stock, $0.0001 par value per share</w:t>
            </w:r>
          </w:p>
        </w:tc>
        <w:tc>
          <w:tcPr>
            <w:tcW w:w="340" w:type="dxa"/>
            <w:vAlign w:val="bottom"/>
          </w:tcPr>
          <w:p>
            <w:pPr>
              <w:spacing w:after="0"/>
              <w:rPr>
                <w:sz w:val="22"/>
                <w:szCs w:val="22"/>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8"/>
                <w:szCs w:val="18"/>
                <w:color w:val="auto"/>
                <w:w w:val="95"/>
              </w:rPr>
              <w:t>ATHA</w:t>
            </w: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57"/>
        </w:trPr>
        <w:tc>
          <w:tcPr>
            <w:tcW w:w="3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29" w:lineRule="exact"/>
        <w:rPr>
          <w:sz w:val="24"/>
          <w:szCs w:val="24"/>
          <w:color w:val="auto"/>
        </w:rPr>
      </w:pPr>
    </w:p>
    <w:p>
      <w:pPr>
        <w:ind w:firstLine="514"/>
        <w:spacing w:after="0" w:line="20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60" w:firstLine="514"/>
        <w:spacing w:after="0" w:line="20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right="460" w:firstLine="514"/>
        <w:spacing w:after="0" w:line="23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67"/>
        </w:trPr>
        <w:tc>
          <w:tcPr>
            <w:tcW w:w="35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88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rPr>
              <w:t>☐</w:t>
            </w:r>
          </w:p>
        </w:tc>
        <w:tc>
          <w:tcPr>
            <w:tcW w:w="3920" w:type="dxa"/>
            <w:vAlign w:val="bottom"/>
          </w:tcPr>
          <w:p>
            <w:pPr>
              <w:ind w:left="200"/>
              <w:spacing w:after="0"/>
              <w:rPr>
                <w:sz w:val="20"/>
                <w:szCs w:val="20"/>
                <w:color w:val="auto"/>
              </w:rPr>
            </w:pPr>
            <w:r>
              <w:rPr>
                <w:rFonts w:ascii="Arial" w:cs="Arial" w:eastAsia="Arial" w:hAnsi="Arial"/>
                <w:sz w:val="17"/>
                <w:szCs w:val="17"/>
                <w:color w:val="auto"/>
              </w:rPr>
              <w:t>Accelerated filer</w:t>
            </w:r>
          </w:p>
        </w:tc>
        <w:tc>
          <w:tcPr>
            <w:tcW w:w="1840" w:type="dxa"/>
            <w:vAlign w:val="bottom"/>
          </w:tcPr>
          <w:p>
            <w:pPr>
              <w:jc w:val="right"/>
              <w:spacing w:after="0" w:line="171" w:lineRule="exact"/>
              <w:rPr>
                <w:sz w:val="20"/>
                <w:szCs w:val="20"/>
                <w:color w:val="auto"/>
              </w:rPr>
            </w:pPr>
            <w:r>
              <w:rPr>
                <w:rFonts w:ascii="MS PGothic" w:cs="MS PGothic" w:eastAsia="MS PGothic" w:hAnsi="MS PGothic"/>
                <w:sz w:val="17"/>
                <w:szCs w:val="17"/>
                <w:color w:val="auto"/>
              </w:rPr>
              <w:t>☐</w:t>
            </w:r>
          </w:p>
        </w:tc>
      </w:tr>
      <w:tr>
        <w:trPr>
          <w:trHeight w:val="254"/>
        </w:trPr>
        <w:tc>
          <w:tcPr>
            <w:tcW w:w="3540" w:type="dxa"/>
            <w:vAlign w:val="bottom"/>
          </w:tcPr>
          <w:p>
            <w:pPr>
              <w:spacing w:after="0"/>
              <w:rPr>
                <w:sz w:val="20"/>
                <w:szCs w:val="20"/>
                <w:color w:val="auto"/>
              </w:rPr>
            </w:pPr>
            <w:r>
              <w:rPr>
                <w:rFonts w:ascii="Arial" w:cs="Arial" w:eastAsia="Arial" w:hAnsi="Arial"/>
                <w:sz w:val="17"/>
                <w:szCs w:val="17"/>
                <w:color w:val="auto"/>
              </w:rPr>
              <w:t>Non-accelerated filer</w:t>
            </w:r>
          </w:p>
        </w:tc>
        <w:tc>
          <w:tcPr>
            <w:tcW w:w="188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rPr>
              <w:t>☒</w:t>
            </w:r>
          </w:p>
        </w:tc>
        <w:tc>
          <w:tcPr>
            <w:tcW w:w="3920" w:type="dxa"/>
            <w:vAlign w:val="bottom"/>
          </w:tcPr>
          <w:p>
            <w:pPr>
              <w:ind w:left="200"/>
              <w:spacing w:after="0"/>
              <w:rPr>
                <w:sz w:val="20"/>
                <w:szCs w:val="20"/>
                <w:color w:val="auto"/>
              </w:rPr>
            </w:pPr>
            <w:r>
              <w:rPr>
                <w:rFonts w:ascii="Arial" w:cs="Arial" w:eastAsia="Arial" w:hAnsi="Arial"/>
                <w:sz w:val="17"/>
                <w:szCs w:val="17"/>
                <w:color w:val="auto"/>
              </w:rPr>
              <w:t>Smaller reporting company</w:t>
            </w:r>
          </w:p>
        </w:tc>
        <w:tc>
          <w:tcPr>
            <w:tcW w:w="18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56"/>
        </w:trPr>
        <w:tc>
          <w:tcPr>
            <w:tcW w:w="354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88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rPr>
              <w:t>☒</w:t>
            </w:r>
          </w:p>
        </w:tc>
        <w:tc>
          <w:tcPr>
            <w:tcW w:w="3920" w:type="dxa"/>
            <w:vAlign w:val="bottom"/>
          </w:tcPr>
          <w:p>
            <w:pPr>
              <w:spacing w:after="0"/>
              <w:rPr>
                <w:sz w:val="22"/>
                <w:szCs w:val="22"/>
                <w:color w:val="auto"/>
              </w:rPr>
            </w:pPr>
          </w:p>
        </w:tc>
        <w:tc>
          <w:tcPr>
            <w:tcW w:w="1840" w:type="dxa"/>
            <w:vAlign w:val="bottom"/>
          </w:tcPr>
          <w:p>
            <w:pPr>
              <w:spacing w:after="0"/>
              <w:rPr>
                <w:sz w:val="22"/>
                <w:szCs w:val="22"/>
                <w:color w:val="auto"/>
              </w:rPr>
            </w:pPr>
          </w:p>
        </w:tc>
      </w:tr>
    </w:tbl>
    <w:p>
      <w:pPr>
        <w:spacing w:after="0" w:line="130" w:lineRule="exact"/>
        <w:rPr>
          <w:sz w:val="24"/>
          <w:szCs w:val="24"/>
          <w:color w:val="auto"/>
        </w:rPr>
      </w:pPr>
    </w:p>
    <w:p>
      <w:pPr>
        <w:ind w:right="220" w:firstLine="514"/>
        <w:spacing w:after="0" w:line="20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1180"/>
        <w:spacing w:after="0" w:line="25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r>
        <w:rPr>
          <w:rFonts w:ascii="Arial" w:cs="Arial" w:eastAsia="Arial" w:hAnsi="Arial"/>
          <w:sz w:val="17"/>
          <w:szCs w:val="17"/>
          <w:color w:val="auto"/>
        </w:rPr>
        <w:t xml:space="preserve"> As of </w:t>
      </w:r>
      <w:r>
        <w:rPr>
          <w:rFonts w:ascii="Arial" w:cs="Arial" w:eastAsia="Arial" w:hAnsi="Arial"/>
          <w:sz w:val="16"/>
          <w:szCs w:val="16"/>
          <w:color w:val="auto"/>
        </w:rPr>
        <w:t>May 10, 2021</w:t>
      </w:r>
      <w:r>
        <w:rPr>
          <w:rFonts w:ascii="Arial" w:cs="Arial" w:eastAsia="Arial" w:hAnsi="Arial"/>
          <w:sz w:val="17"/>
          <w:szCs w:val="17"/>
          <w:color w:val="auto"/>
        </w:rPr>
        <w:t xml:space="preserve"> there were </w:t>
      </w:r>
      <w:r>
        <w:rPr>
          <w:rFonts w:ascii="Arial" w:cs="Arial" w:eastAsia="Arial" w:hAnsi="Arial"/>
          <w:sz w:val="16"/>
          <w:szCs w:val="16"/>
          <w:color w:val="auto"/>
        </w:rPr>
        <w:t>37,222,666</w:t>
      </w:r>
      <w:r>
        <w:rPr>
          <w:rFonts w:ascii="Arial" w:cs="Arial" w:eastAsia="Arial" w:hAnsi="Arial"/>
          <w:sz w:val="17"/>
          <w:szCs w:val="17"/>
          <w:color w:val="auto"/>
        </w:rPr>
        <w:t xml:space="preserve"> shares of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24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FINANCIAL INFORMATION</w:t>
              </w:r>
            </w:hyperlink>
          </w:p>
        </w:tc>
        <w:tc>
          <w:tcPr>
            <w:tcW w:w="706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Operations and Comprehensive Loss</w:t>
              </w:r>
            </w:hyperlink>
          </w:p>
        </w:tc>
        <w:tc>
          <w:tcPr>
            <w:tcW w:w="31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00" w:type="dxa"/>
            <w:vAlign w:val="bottom"/>
            <w:gridSpan w:val="18"/>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Convertible Preferred Stock and Stockholders’ Equity</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1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4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Unaudited Condensed Consolidated Financial Statements</w:t>
              </w:r>
            </w:hyperlink>
          </w:p>
        </w:tc>
        <w:tc>
          <w:tcPr>
            <w:tcW w:w="39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Management’s Discussion and Analysis of Financial Condition and Results of Operations</w:t>
              </w:r>
            </w:hyperlink>
          </w:p>
        </w:tc>
        <w:tc>
          <w:tcPr>
            <w:tcW w:w="22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6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73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73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7"/>
                <w:szCs w:val="17"/>
                <w:color w:val="auto"/>
              </w:rPr>
            </w:pPr>
          </w:p>
        </w:tc>
        <w:tc>
          <w:tcPr>
            <w:tcW w:w="782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Defaults Upon Senior Securities</w:t>
              </w:r>
            </w:hyperlink>
          </w:p>
        </w:tc>
        <w:tc>
          <w:tcPr>
            <w:tcW w:w="44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Mine Safety Disclosures</w:t>
              </w:r>
            </w:hyperlink>
          </w:p>
        </w:tc>
        <w:tc>
          <w:tcPr>
            <w:tcW w:w="676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85">
              <w:r>
                <w:rPr>
                  <w:rFonts w:ascii="Arial" w:cs="Arial" w:eastAsia="Arial" w:hAnsi="Arial"/>
                  <w:sz w:val="18"/>
                  <w:szCs w:val="18"/>
                  <w:color w:val="0000EE"/>
                  <w:w w:val="98"/>
                </w:rPr>
                <w:t>Other Information</w:t>
              </w:r>
            </w:hyperlink>
          </w:p>
        </w:tc>
        <w:tc>
          <w:tcPr>
            <w:tcW w:w="520" w:type="dxa"/>
            <w:vAlign w:val="bottom"/>
            <w:tcBorders>
              <w:top w:val="single" w:sz="8" w:color="0000EE"/>
            </w:tcBorders>
            <w:gridSpan w:val="2"/>
          </w:tcPr>
          <w:p>
            <w:pPr>
              <w:spacing w:after="0"/>
              <w:rPr>
                <w:sz w:val="17"/>
                <w:szCs w:val="17"/>
                <w:color w:val="auto"/>
              </w:rPr>
            </w:pPr>
          </w:p>
        </w:tc>
        <w:tc>
          <w:tcPr>
            <w:tcW w:w="73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300" w:type="dxa"/>
            <w:vAlign w:val="bottom"/>
            <w:gridSpan w:val="1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Exhibits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captioned “Risk</w:t>
      </w:r>
    </w:p>
    <w:p>
      <w:pPr>
        <w:spacing w:after="0"/>
        <w:rPr>
          <w:sz w:val="20"/>
          <w:szCs w:val="20"/>
          <w:color w:val="auto"/>
        </w:rPr>
      </w:pPr>
      <w:r>
        <w:rPr>
          <w:rFonts w:ascii="Arial" w:cs="Arial" w:eastAsia="Arial" w:hAnsi="Arial"/>
          <w:sz w:val="18"/>
          <w:szCs w:val="18"/>
          <w:color w:val="auto"/>
        </w:rPr>
        <w:t>Factors.” The following is a summary of the principal risks we face:</w:t>
      </w:r>
    </w:p>
    <w:p>
      <w:pPr>
        <w:spacing w:after="0" w:line="104"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late clinical-stage biopharmaceutical company with a limited operating history.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of ATH-1017 may never lead to a marketable product.</w:t>
      </w:r>
    </w:p>
    <w:p>
      <w:pPr>
        <w:spacing w:after="0" w:line="117" w:lineRule="exact"/>
        <w:rPr>
          <w:rFonts w:ascii="Arial" w:cs="Arial" w:eastAsia="Arial" w:hAnsi="Arial"/>
          <w:sz w:val="18"/>
          <w:szCs w:val="18"/>
          <w:color w:val="auto"/>
        </w:rPr>
      </w:pPr>
    </w:p>
    <w:p>
      <w:pPr>
        <w:jc w:val="both"/>
        <w:ind w:left="1000" w:hanging="493"/>
        <w:spacing w:after="0" w:line="23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Alzheimer’s disease, and we cannot be certain that future trials will yield similar data. In addition, our use of electroencephalogram methods to gather data requires placement of electrodes on a subject’s scalp and, if not properly placed, we may be unable to obtain the data sought or data obtained may be unreliable.</w:t>
      </w:r>
    </w:p>
    <w:p>
      <w:pPr>
        <w:spacing w:after="0" w:line="94"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concentrated our research and development efforts on the treatment of central nervous system and peripheral degenerative disorders, a field that has seen very limited success in product development.</w:t>
      </w:r>
    </w:p>
    <w:p>
      <w:pPr>
        <w:spacing w:after="0" w:line="88" w:lineRule="exact"/>
        <w:rPr>
          <w:rFonts w:ascii="Arial" w:cs="Arial" w:eastAsia="Arial" w:hAnsi="Arial"/>
          <w:sz w:val="18"/>
          <w:szCs w:val="18"/>
          <w:color w:val="auto"/>
        </w:rPr>
      </w:pPr>
    </w:p>
    <w:p>
      <w:pPr>
        <w:jc w:val="both"/>
        <w:ind w:left="1000" w:hanging="493"/>
        <w:spacing w:after="0" w:line="23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96"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and/or retention of patients in clinical trials, our regulatory submissions or receipt of necessary marketing approvals could be delayed or prevented.</w:t>
      </w:r>
    </w:p>
    <w:p>
      <w:pPr>
        <w:spacing w:after="0" w:line="88" w:lineRule="exact"/>
        <w:rPr>
          <w:rFonts w:ascii="Arial" w:cs="Arial" w:eastAsia="Arial" w:hAnsi="Arial"/>
          <w:sz w:val="18"/>
          <w:szCs w:val="18"/>
          <w:color w:val="auto"/>
        </w:rPr>
      </w:pPr>
    </w:p>
    <w:p>
      <w:pPr>
        <w:jc w:val="both"/>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94"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nonclinical studies and clinical trials.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88" w:lineRule="exact"/>
        <w:rPr>
          <w:rFonts w:ascii="Arial" w:cs="Arial" w:eastAsia="Arial" w:hAnsi="Arial"/>
          <w:sz w:val="18"/>
          <w:szCs w:val="18"/>
          <w:color w:val="auto"/>
        </w:rPr>
      </w:pPr>
    </w:p>
    <w:p>
      <w:pPr>
        <w:jc w:val="both"/>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94" w:lineRule="exact"/>
        <w:rPr>
          <w:rFonts w:ascii="Arial" w:cs="Arial" w:eastAsia="Arial" w:hAnsi="Arial"/>
          <w:sz w:val="18"/>
          <w:szCs w:val="18"/>
          <w:color w:val="auto"/>
        </w:rPr>
      </w:pPr>
    </w:p>
    <w:p>
      <w:pPr>
        <w:jc w:val="both"/>
        <w:ind w:left="1000" w:hanging="493"/>
        <w:spacing w:after="0" w:line="23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96" w:lineRule="exact"/>
        <w:rPr>
          <w:rFonts w:ascii="Arial" w:cs="Arial" w:eastAsia="Arial" w:hAnsi="Arial"/>
          <w:sz w:val="18"/>
          <w:szCs w:val="18"/>
          <w:color w:val="auto"/>
        </w:rPr>
      </w:pPr>
    </w:p>
    <w:p>
      <w:pPr>
        <w:jc w:val="both"/>
        <w:ind w:left="1000" w:right="2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500" w:hanging="493"/>
        <w:spacing w:after="0" w:line="24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spacing w:after="0" w:line="88" w:lineRule="exact"/>
        <w:rPr>
          <w:rFonts w:ascii="Arial" w:cs="Arial" w:eastAsia="Arial" w:hAnsi="Arial"/>
          <w:sz w:val="18"/>
          <w:szCs w:val="18"/>
          <w:color w:val="auto"/>
        </w:rPr>
      </w:pPr>
    </w:p>
    <w:p>
      <w:pPr>
        <w:ind w:left="500" w:hanging="493"/>
        <w:spacing w:after="0" w:line="24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88" w:lineRule="exact"/>
        <w:rPr>
          <w:rFonts w:ascii="Arial" w:cs="Arial" w:eastAsia="Arial" w:hAnsi="Arial"/>
          <w:sz w:val="18"/>
          <w:szCs w:val="18"/>
          <w:color w:val="auto"/>
        </w:rPr>
      </w:pPr>
    </w:p>
    <w:p>
      <w:pPr>
        <w:ind w:left="500" w:hanging="493"/>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7" w:lineRule="exact"/>
        <w:rPr>
          <w:rFonts w:ascii="Arial" w:cs="Arial" w:eastAsia="Arial" w:hAnsi="Arial"/>
          <w:sz w:val="18"/>
          <w:szCs w:val="18"/>
          <w:color w:val="auto"/>
        </w:rPr>
      </w:pPr>
    </w:p>
    <w:p>
      <w:pPr>
        <w:ind w:left="500" w:hanging="493"/>
        <w:spacing w:after="0" w:line="24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88" w:lineRule="exact"/>
        <w:rPr>
          <w:rFonts w:ascii="Arial" w:cs="Arial" w:eastAsia="Arial" w:hAnsi="Arial"/>
          <w:sz w:val="18"/>
          <w:szCs w:val="18"/>
          <w:color w:val="auto"/>
        </w:rPr>
      </w:pPr>
    </w:p>
    <w:p>
      <w:pPr>
        <w:ind w:left="500" w:hanging="493"/>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may be volatile, which could result in substantial losses for investors.</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46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7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127,823</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176,367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124,057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Unbilled grant receivable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53,467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83,509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8"/>
                <w:szCs w:val="18"/>
                <w:color w:val="auto"/>
              </w:rPr>
            </w:pPr>
          </w:p>
        </w:tc>
      </w:tr>
      <w:tr>
        <w:trPr>
          <w:trHeight w:val="249"/>
        </w:trPr>
        <w:tc>
          <w:tcPr>
            <w:tcW w:w="77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369,414</w:t>
            </w:r>
          </w:p>
        </w:tc>
        <w:tc>
          <w:tcPr>
            <w:tcW w:w="18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279,563</w:t>
            </w:r>
          </w:p>
        </w:tc>
        <w:tc>
          <w:tcPr>
            <w:tcW w:w="120" w:type="dxa"/>
            <w:vAlign w:val="bottom"/>
          </w:tcPr>
          <w:p>
            <w:pPr>
              <w:spacing w:after="0"/>
              <w:rPr>
                <w:sz w:val="21"/>
                <w:szCs w:val="21"/>
                <w:color w:val="auto"/>
              </w:rPr>
            </w:pPr>
          </w:p>
        </w:tc>
      </w:tr>
      <w:tr>
        <w:trPr>
          <w:trHeight w:val="197"/>
        </w:trPr>
        <w:tc>
          <w:tcPr>
            <w:tcW w:w="7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operating lease liability</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less current portion</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Common stock, $0.0001 par value; 900,000,000 shares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authorized at March 31, 2021 and December 31, 2020;</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37,150,311 and 32,485,784 shares issued and</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outstanding at March 31, 2021 and December 31, 2020,</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413,093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315,288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(49,908)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(41,042)</w:t>
            </w: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363,217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274,282</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660"/>
              <w:spacing w:after="0" w:line="203" w:lineRule="exact"/>
              <w:rPr>
                <w:sz w:val="20"/>
                <w:szCs w:val="20"/>
                <w:color w:val="auto"/>
              </w:rPr>
            </w:pPr>
            <w:r>
              <w:rPr>
                <w:rFonts w:ascii="Arial" w:cs="Arial" w:eastAsia="Arial" w:hAnsi="Arial"/>
                <w:sz w:val="18"/>
                <w:szCs w:val="18"/>
                <w:color w:val="auto"/>
              </w:rPr>
              <w:t>equity</w:t>
            </w:r>
          </w:p>
        </w:tc>
        <w:tc>
          <w:tcPr>
            <w:tcW w:w="280" w:type="dxa"/>
            <w:vAlign w:val="bottom"/>
            <w:shd w:val="clear" w:color="auto" w:fill="CFF0FC"/>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369,414</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279,563</w:t>
            </w:r>
          </w:p>
        </w:tc>
        <w:tc>
          <w:tcPr>
            <w:tcW w:w="120" w:type="dxa"/>
            <w:vAlign w:val="bottom"/>
            <w:shd w:val="clear" w:color="auto" w:fill="CFF0FC"/>
          </w:tcPr>
          <w:p>
            <w:pPr>
              <w:spacing w:after="0"/>
              <w:rPr>
                <w:sz w:val="17"/>
                <w:szCs w:val="17"/>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7,445</w:t>
            </w:r>
          </w:p>
        </w:tc>
        <w:tc>
          <w:tcPr>
            <w:tcW w:w="18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(10,781)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Grant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(8,866)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Unrealized (loss) on available-for-sale securities</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00" w:type="dxa"/>
            <w:vAlign w:val="bottom"/>
          </w:tcPr>
          <w:p>
            <w:pPr>
              <w:spacing w:after="0"/>
              <w:rPr>
                <w:sz w:val="20"/>
                <w:szCs w:val="20"/>
                <w:color w:val="auto"/>
              </w:rPr>
            </w:pPr>
            <w:r>
              <w:rPr>
                <w:rFonts w:ascii="Arial" w:cs="Arial" w:eastAsia="Arial" w:hAnsi="Arial"/>
                <w:sz w:val="18"/>
                <w:szCs w:val="18"/>
                <w:color w:val="auto"/>
              </w:rPr>
              <w:t>Comprehensive loss attributable to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(8,871)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360" w:type="dxa"/>
            <w:vAlign w:val="bottom"/>
            <w:shd w:val="clear" w:color="auto" w:fill="CFF0FC"/>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(0.25)</w:t>
            </w:r>
          </w:p>
        </w:tc>
        <w:tc>
          <w:tcPr>
            <w:tcW w:w="48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in computing net loss per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share attributable to common stockholders, basic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35,775,454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3,747,356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March 31, 2021 and 2020</w:t>
      </w:r>
    </w:p>
    <w:p>
      <w:pPr>
        <w:jc w:val="center"/>
        <w:spacing w:after="0" w:line="235"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90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right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right w:val="single" w:sz="8" w:color="auto"/>
            </w:tcBorders>
          </w:tcPr>
          <w:p>
            <w:pPr>
              <w:spacing w:after="0"/>
              <w:rPr>
                <w:sz w:val="14"/>
                <w:szCs w:val="1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as of January 1, 2020</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2,617,386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17,051</w:t>
            </w:r>
          </w:p>
        </w:tc>
        <w:tc>
          <w:tcPr>
            <w:tcW w:w="220" w:type="dxa"/>
            <w:vAlign w:val="bottom"/>
            <w:tcBorders>
              <w:right w:val="single" w:sz="8" w:color="auto"/>
            </w:tcBorders>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3,641,449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(21,087)</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(19,723)</w:t>
            </w:r>
          </w:p>
        </w:tc>
        <w:tc>
          <w:tcPr>
            <w:tcW w:w="0" w:type="dxa"/>
            <w:vAlign w:val="bottom"/>
          </w:tcPr>
          <w:p>
            <w:pPr>
              <w:spacing w:after="0"/>
              <w:rPr>
                <w:sz w:val="1"/>
                <w:szCs w:val="1"/>
                <w:color w:val="auto"/>
              </w:rPr>
            </w:pPr>
          </w:p>
        </w:tc>
      </w:tr>
      <w:tr>
        <w:trPr>
          <w:trHeight w:val="180"/>
        </w:trPr>
        <w:tc>
          <w:tcPr>
            <w:tcW w:w="300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380"/>
              <w:spacing w:after="0" w:line="157" w:lineRule="exact"/>
              <w:rPr>
                <w:sz w:val="20"/>
                <w:szCs w:val="20"/>
                <w:color w:val="auto"/>
              </w:rPr>
            </w:pPr>
            <w:r>
              <w:rPr>
                <w:rFonts w:ascii="Arial" w:cs="Arial" w:eastAsia="Arial" w:hAnsi="Arial"/>
                <w:sz w:val="14"/>
                <w:szCs w:val="14"/>
                <w:color w:val="auto"/>
              </w:rPr>
              <w:t>exercise of common stock options</w:t>
            </w:r>
          </w:p>
        </w:tc>
        <w:tc>
          <w:tcPr>
            <w:tcW w:w="9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220,043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176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(1,805)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(1,805)</w:t>
            </w:r>
          </w:p>
        </w:tc>
        <w:tc>
          <w:tcPr>
            <w:tcW w:w="0" w:type="dxa"/>
            <w:vAlign w:val="bottom"/>
          </w:tcPr>
          <w:p>
            <w:pPr>
              <w:spacing w:after="0"/>
              <w:rPr>
                <w:sz w:val="1"/>
                <w:szCs w:val="1"/>
                <w:color w:val="auto"/>
              </w:rPr>
            </w:pPr>
          </w:p>
        </w:tc>
      </w:tr>
      <w:tr>
        <w:trPr>
          <w:trHeight w:val="20"/>
        </w:trPr>
        <w:tc>
          <w:tcPr>
            <w:tcW w:w="300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as of March 31, 2020</w:t>
            </w: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00" w:type="dxa"/>
            <w:vAlign w:val="bottom"/>
            <w:vMerge w:val="continue"/>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2,617,386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17,051</w:t>
            </w:r>
          </w:p>
        </w:tc>
        <w:tc>
          <w:tcPr>
            <w:tcW w:w="220" w:type="dxa"/>
            <w:vAlign w:val="bottom"/>
            <w:tcBorders>
              <w:right w:val="single" w:sz="8" w:color="auto"/>
            </w:tcBorders>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3,861,492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(22,892)</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(21,294)</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90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right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right w:val="single" w:sz="8" w:color="auto"/>
            </w:tcBorders>
          </w:tcPr>
          <w:p>
            <w:pPr>
              <w:spacing w:after="0"/>
              <w:rPr>
                <w:sz w:val="14"/>
                <w:szCs w:val="1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as of January 1, 2021</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32,485,784</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315,288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(41,042)</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274,282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380"/>
              <w:spacing w:after="0"/>
              <w:rPr>
                <w:sz w:val="20"/>
                <w:szCs w:val="20"/>
                <w:color w:val="auto"/>
              </w:rPr>
            </w:pPr>
            <w:r>
              <w:rPr>
                <w:rFonts w:ascii="Arial" w:cs="Arial" w:eastAsia="Arial" w:hAnsi="Arial"/>
                <w:sz w:val="14"/>
                <w:szCs w:val="14"/>
                <w:color w:val="auto"/>
              </w:rPr>
              <w:t>exercise of common stock options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380"/>
              <w:spacing w:after="0" w:line="157" w:lineRule="exact"/>
              <w:rPr>
                <w:sz w:val="20"/>
                <w:szCs w:val="20"/>
                <w:color w:val="auto"/>
              </w:rPr>
            </w:pPr>
            <w:r>
              <w:rPr>
                <w:rFonts w:ascii="Arial" w:cs="Arial" w:eastAsia="Arial" w:hAnsi="Arial"/>
                <w:sz w:val="14"/>
                <w:szCs w:val="14"/>
                <w:color w:val="auto"/>
              </w:rPr>
              <w:t>and vesting of restricted stock units</w:t>
            </w:r>
          </w:p>
        </w:tc>
        <w:tc>
          <w:tcPr>
            <w:tcW w:w="9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64,527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70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follow-on public offering,</w:t>
            </w: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of underwriters' discounts and</w:t>
            </w: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commissions and issuance costs</w:t>
            </w:r>
          </w:p>
        </w:tc>
        <w:tc>
          <w:tcPr>
            <w:tcW w:w="94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60" w:type="dxa"/>
            <w:vAlign w:val="bottom"/>
            <w:tcBorders>
              <w:right w:val="single" w:sz="8" w:color="auto"/>
            </w:tcBorders>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4,600,000</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96,761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96,762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30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(8,866)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(8,866)</w:t>
            </w:r>
          </w:p>
        </w:tc>
        <w:tc>
          <w:tcPr>
            <w:tcW w:w="0" w:type="dxa"/>
            <w:vAlign w:val="bottom"/>
          </w:tcPr>
          <w:p>
            <w:pPr>
              <w:spacing w:after="0"/>
              <w:rPr>
                <w:sz w:val="1"/>
                <w:szCs w:val="1"/>
                <w:color w:val="auto"/>
              </w:rPr>
            </w:pPr>
          </w:p>
        </w:tc>
      </w:tr>
      <w:tr>
        <w:trPr>
          <w:trHeight w:val="20"/>
        </w:trPr>
        <w:tc>
          <w:tcPr>
            <w:tcW w:w="300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as of March 31, 2021</w:t>
            </w: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00" w:type="dxa"/>
            <w:vAlign w:val="bottom"/>
            <w:vMerge w:val="continue"/>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37,150,311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413,093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(49,908)</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363,217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(8,866)</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3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grant liability</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Accretion of discounts on convertible notes</w:t>
            </w:r>
          </w:p>
        </w:tc>
        <w:tc>
          <w:tcPr>
            <w:tcW w:w="3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5"/>
        </w:trPr>
        <w:tc>
          <w:tcPr>
            <w:tcW w:w="7700" w:type="dxa"/>
            <w:vAlign w:val="bottom"/>
          </w:tcPr>
          <w:p>
            <w:pPr>
              <w:ind w:left="500"/>
              <w:spacing w:after="0"/>
              <w:rPr>
                <w:sz w:val="20"/>
                <w:szCs w:val="20"/>
                <w:color w:val="auto"/>
              </w:rPr>
            </w:pPr>
            <w:r>
              <w:rPr>
                <w:rFonts w:ascii="Arial" w:cs="Arial" w:eastAsia="Arial" w:hAnsi="Arial"/>
                <w:sz w:val="18"/>
                <w:szCs w:val="18"/>
                <w:color w:val="auto"/>
              </w:rPr>
              <w:t>Amortization of premiums and accretion of discounts on</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660"/>
              <w:spacing w:after="0" w:line="203" w:lineRule="exact"/>
              <w:rPr>
                <w:sz w:val="20"/>
                <w:szCs w:val="20"/>
                <w:color w:val="auto"/>
              </w:rPr>
            </w:pPr>
            <w:r>
              <w:rPr>
                <w:rFonts w:ascii="Arial" w:cs="Arial" w:eastAsia="Arial" w:hAnsi="Arial"/>
                <w:sz w:val="18"/>
                <w:szCs w:val="18"/>
                <w:color w:val="auto"/>
              </w:rPr>
              <w:t>available-for-sale securities, net</w:t>
            </w:r>
          </w:p>
        </w:tc>
        <w:tc>
          <w:tcPr>
            <w:tcW w:w="360" w:type="dxa"/>
            <w:vAlign w:val="bottom"/>
          </w:tcPr>
          <w:p>
            <w:pPr>
              <w:spacing w:after="0"/>
              <w:rPr>
                <w:sz w:val="17"/>
                <w:szCs w:val="17"/>
                <w:color w:val="auto"/>
              </w:rPr>
            </w:pPr>
          </w:p>
        </w:tc>
        <w:tc>
          <w:tcPr>
            <w:tcW w:w="13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131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500"/>
              <w:spacing w:after="0"/>
              <w:rPr>
                <w:sz w:val="20"/>
                <w:szCs w:val="20"/>
                <w:color w:val="auto"/>
              </w:rPr>
            </w:pPr>
            <w:r>
              <w:rPr>
                <w:rFonts w:ascii="Arial" w:cs="Arial" w:eastAsia="Arial" w:hAnsi="Arial"/>
                <w:sz w:val="18"/>
                <w:szCs w:val="18"/>
                <w:color w:val="auto"/>
              </w:rPr>
              <w:t>Unbilled grant receivables, prepaid expenses and other</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660"/>
              <w:spacing w:after="0" w:line="203" w:lineRule="exact"/>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7"/>
                <w:szCs w:val="17"/>
                <w:color w:val="auto"/>
              </w:rPr>
            </w:pPr>
          </w:p>
        </w:tc>
        <w:tc>
          <w:tcPr>
            <w:tcW w:w="13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308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Operating lease liability</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410</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(7,305)</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available-for-sale securities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(93,143)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Maturities of available-for-sale securities</w:t>
            </w: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70,739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Principal payments received on stockholder note receivable</w:t>
            </w:r>
          </w:p>
        </w:tc>
        <w:tc>
          <w:tcPr>
            <w:tcW w:w="3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(22,708)</w:t>
            </w:r>
          </w:p>
        </w:tc>
        <w:tc>
          <w:tcPr>
            <w:tcW w:w="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follow-on public offering, net of issuance costs</w:t>
            </w: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97,172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convertible notes, including derivative, net of</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issuance costs</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97,211</w:t>
            </w:r>
          </w:p>
        </w:tc>
        <w:tc>
          <w:tcPr>
            <w:tcW w:w="18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67,198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60,625</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127,823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400"/>
              <w:spacing w:after="0" w:line="203" w:lineRule="exact"/>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auto"/>
            </w:tcBorders>
            <w:shd w:val="clear" w:color="auto" w:fill="CFF0FC"/>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57</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ind w:left="260"/>
              <w:spacing w:after="0" w:line="196" w:lineRule="exact"/>
              <w:rPr>
                <w:sz w:val="20"/>
                <w:szCs w:val="20"/>
                <w:color w:val="auto"/>
              </w:rPr>
            </w:pPr>
            <w:r>
              <w:rPr>
                <w:rFonts w:ascii="Arial" w:cs="Arial" w:eastAsia="Arial" w:hAnsi="Arial"/>
                <w:sz w:val="18"/>
                <w:szCs w:val="18"/>
                <w:color w:val="auto"/>
              </w:rPr>
              <w:t>Right-of-use asset obtained in exchange for new operating lease liability</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518</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26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and Bothell Washington. The Company is a late clinical-stage biopharmaceutical company focused on developing small molecules to restore neuronal health and stop neurodegeneration.</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7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January 2021, the Company completed a follow-on public offering of its common stock. As part of the follow-on offering, the Company issued and sold 4,000,000 shares of its common stock at a public offering price of $22.50 per share. The Company received net proceeds of approximately $84.1 million from the follow-on offering, after deducting underwriting discounts and commissions and offering costs. In February 2021, the Company sold an additional 600,000 shares of common stock to the underwriters of the follow-on public offering upon full exercise of the underwriters’ option to purchase additional shares at the follow-on public offering price of $22.50 per share, less underwriting discounts and commissions and offering costs resulting in net proceeds to the Company of approximately $12.7 million.</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7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March 31, 2021, it has raised aggregate net cash proceeds of $407.4 million primarily from the issuance of its common stock, convertible preferred stock, common stock warrants, and convertible notes. As of March 31, 2021, the Company had $357.7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248"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Based upon the Company’s current operating plan, it estimates that its $357.7 million of cash, cash equivalents, and investments at March 31, 2021 will be sufficient to fund its operating expenses and capital expenditure requirements through at least the 12 months following the date of this Quarterly Report on Form 10-Q.</w:t>
      </w:r>
    </w:p>
    <w:p>
      <w:pPr>
        <w:spacing w:after="0" w:line="248" w:lineRule="exact"/>
        <w:rPr>
          <w:sz w:val="20"/>
          <w:szCs w:val="20"/>
          <w:color w:val="auto"/>
        </w:rPr>
      </w:pPr>
    </w:p>
    <w:p>
      <w:pPr>
        <w:jc w:val="center"/>
        <w:ind w:right="8340"/>
        <w:spacing w:after="0"/>
        <w:rPr>
          <w:sz w:val="20"/>
          <w:szCs w:val="20"/>
          <w:color w:val="auto"/>
        </w:rPr>
      </w:pPr>
      <w:r>
        <w:rPr>
          <w:rFonts w:ascii="Arial" w:cs="Arial" w:eastAsia="Arial" w:hAnsi="Arial"/>
          <w:sz w:val="18"/>
          <w:szCs w:val="18"/>
          <w:b w:val="1"/>
          <w:bCs w:val="1"/>
          <w:color w:val="auto"/>
        </w:rPr>
        <w:t>2. Significant Accounting Policies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61"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The consolidated financial statements have been prepared in conformity with U.S. generally accepted accounting principles (“U.S. GAAP”). During the third quarter of 2020, the Company incorporated Athira Pharma Australia PTY LTD in Australia and since its creation, the Australian subsidiary’s financial position and results of operations are consolidated in the accompanying consolidated financial statements.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accompanying unaudited condensed balance sheet as of March 31, 2021, and condensed statements of operations and comprehensive loss, condensed statements of cash flows, and condensed statements of convertible preferred stock and stockholders’ deficit for the three months ended March 31, 2021 and 2020, are unaudited. The balance sheet as of December 31, 2020 was derived from the audited financial statements as of and for the year ended December 31, 2020. The unaudited interim condensed financial statements have been prepared on a basis consistent with the audited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both"/>
        <w:spacing w:after="0" w:line="236" w:lineRule="auto"/>
        <w:rPr>
          <w:sz w:val="20"/>
          <w:szCs w:val="20"/>
          <w:color w:val="auto"/>
        </w:rPr>
      </w:pPr>
      <w:r>
        <w:rPr>
          <w:rFonts w:ascii="Arial" w:cs="Arial" w:eastAsia="Arial" w:hAnsi="Arial"/>
          <w:sz w:val="18"/>
          <w:szCs w:val="18"/>
          <w:color w:val="auto"/>
        </w:rPr>
        <w:t>annual financial statements as of and for the year ended December 31, 2020, and, in the opinion of management, reflect all adjustments, consisting solely of normal recurring adjustments, necessary for the fair presentation of the Company’s financial position as of March 31, 2021, and the condensed results of its operations and its cash flows for the three months ended March 31, 2021 and 2020. The financial data and other information disclosed in these notes related to the three months ended March 31, 2021 and 2020 are also unaudited. The condensed results of operations for the three months ended March 31, 2021 are not necessarily indicative of the results to be expected for the full year ending December 31, 2021 or any other period. These interim condensed consolidated financial statements should be read in conjunction with the Company’s audited financial statements as of and for the year ended December 31, 2020 included in its Annual Report on Form 10-K filed with the SEC on March 25, 2021.</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carrying amounts of certain financial instruments, including cash, cash equivalents, investments, accounts payable and accrued expenses approximate their fair values due to the short-term nature of those amounts. The fair values of the grant liability to Washington Life Sciences Discovery Fund (“LSDF”), currently managed by the Washington State Department of Commerce, the derivative liability, and the convertible preferred stock warrant liability were estimated using level 3 unobservable inputs.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26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Freestanding warrants to purchase shares of the Company’s convertible preferred stock were accounted for as liabilities at fair value, because the shares underlying the warrants contained contingent 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adjusted the liability for the final change in the fair value of these warrants immediately preceding their automatic exercise in connection with the Company’s IPO. Subsequent to the Company’s IPO, the corresponding liability was reclassified to additional paid in capital.</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Income</w:t>
      </w:r>
    </w:p>
    <w:p>
      <w:pPr>
        <w:spacing w:after="0" w:line="27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Grant income in the accompanying statements of operations consisted of the following for the three-month periods ended (in thousands):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488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1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Alzheimer's Association Part the Cloud Research Grant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National Institutes of Health Grant</w:t>
            </w:r>
          </w:p>
        </w:tc>
        <w:tc>
          <w:tcPr>
            <w:tcW w:w="4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1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Total grant income</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8"/>
                <w:szCs w:val="18"/>
                <w:color w:val="auto"/>
              </w:rPr>
            </w:pPr>
          </w:p>
        </w:tc>
      </w:tr>
      <w:tr>
        <w:trPr>
          <w:trHeight w:val="20"/>
        </w:trPr>
        <w:tc>
          <w:tcPr>
            <w:tcW w:w="48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recorded in the accompanying balance sheets as receivables from these granting agencies were as follows (in thousands):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57"/>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3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Alzheimer's Association Part the Cloud Research</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3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Grant</w:t>
            </w: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8"/>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17"/>
                <w:szCs w:val="17"/>
                <w:color w:val="auto"/>
              </w:rPr>
            </w:pPr>
          </w:p>
        </w:tc>
      </w:tr>
      <w:tr>
        <w:trPr>
          <w:trHeight w:val="216"/>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National Institutes of Health Grant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80" w:type="dxa"/>
            <w:vAlign w:val="bottom"/>
            <w:tcBorders>
              <w:bottom w:val="single" w:sz="8" w:color="CFF0FC"/>
            </w:tcBorders>
          </w:tcPr>
          <w:p>
            <w:pPr>
              <w:spacing w:after="0"/>
              <w:rPr>
                <w:sz w:val="18"/>
                <w:szCs w:val="18"/>
                <w:color w:val="auto"/>
              </w:rPr>
            </w:pPr>
          </w:p>
        </w:tc>
      </w:tr>
      <w:tr>
        <w:trPr>
          <w:trHeight w:val="21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grant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FF0FC"/>
          </w:tcPr>
          <w:p>
            <w:pPr>
              <w:spacing w:after="0"/>
              <w:rPr>
                <w:sz w:val="18"/>
                <w:szCs w:val="18"/>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January 2019, the Alzheimer’s Association awarded the Company a $1.0 million Part the Cloud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received the remaining $224,000 in March 2021 after having completed certain development milestones in October 2020. The Company recognized income related to the Part the Cloud research grant as qualifying expenses under the grant agreement were incurred.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jc w:val="both"/>
        <w:ind w:firstLine="510"/>
        <w:spacing w:after="0" w:line="238" w:lineRule="auto"/>
        <w:rPr>
          <w:sz w:val="20"/>
          <w:szCs w:val="20"/>
          <w:color w:val="auto"/>
        </w:rPr>
      </w:pPr>
      <w:r>
        <w:rPr>
          <w:rFonts w:ascii="Arial" w:cs="Arial" w:eastAsia="Arial" w:hAnsi="Arial"/>
          <w:sz w:val="18"/>
          <w:szCs w:val="18"/>
          <w:color w:val="auto"/>
        </w:rPr>
        <w:t>In December 2020, the Company accepted a grant from the National Institute on Aging (“NIA”) of the National Institutes of Health (“NIH”) to support its ACT-AD Phase 2 clinical trial for ATH-1017, the Company’s lead therapeutic candidate being developed for the treatment of individual with mild-to-moderate Alzheimer’s disease. Under the terms of the agreement, the Company may potentially receive $7.8 million with the potential for an additional $7.4 million, up to an aggregate of $15.2 million. The Company recognizes income related to the NIH grant as qualifying expenses under the grant agreement are incurred.</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loss. Realized gains and losses on the sale of these securities are recognized in net loss.</w:t>
      </w:r>
    </w:p>
    <w:p>
      <w:pPr>
        <w:spacing w:after="0" w:line="23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4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 xml:space="preserve">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on July 1, 2020,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24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23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23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23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4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Company adopted Accounting Standards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6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Segments</w:t>
      </w:r>
    </w:p>
    <w:p>
      <w:pPr>
        <w:spacing w:after="0" w:line="261"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7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6" w:lineRule="exact"/>
        <w:rPr>
          <w:sz w:val="20"/>
          <w:szCs w:val="20"/>
          <w:color w:val="auto"/>
        </w:rPr>
      </w:pPr>
    </w:p>
    <w:p>
      <w:pPr>
        <w:jc w:val="both"/>
        <w:ind w:firstLine="510"/>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23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Although there were several other new accounting pronouncements issued or proposed by the FASB, the Company does not believe any of these have had or will have material impact on its condensed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261"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71"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52"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52" w:lineRule="exact"/>
        <w:rPr>
          <w:sz w:val="20"/>
          <w:szCs w:val="20"/>
          <w:color w:val="auto"/>
        </w:rPr>
      </w:pPr>
    </w:p>
    <w:p>
      <w:pPr>
        <w:jc w:val="both"/>
        <w:ind w:firstLine="510"/>
        <w:spacing w:after="0" w:line="250"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23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tables reflect the Company’s financial asset balances measured on a recurring basis as of March 31, 2021 and</w:t>
      </w:r>
    </w:p>
    <w:p>
      <w:pPr>
        <w:spacing w:after="0"/>
        <w:rPr>
          <w:sz w:val="20"/>
          <w:szCs w:val="20"/>
          <w:color w:val="auto"/>
        </w:rPr>
      </w:pPr>
      <w:r>
        <w:rPr>
          <w:rFonts w:ascii="Arial" w:cs="Arial" w:eastAsia="Arial" w:hAnsi="Arial"/>
          <w:sz w:val="18"/>
          <w:szCs w:val="18"/>
          <w:color w:val="auto"/>
        </w:rPr>
        <w:t>December 31, 2020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3"/>
              <w:spacing w:after="0" w:line="156"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4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120" w:type="dxa"/>
            <w:vAlign w:val="bottom"/>
            <w:gridSpan w:val="3"/>
          </w:tcPr>
          <w:p>
            <w:pPr>
              <w:jc w:val="center"/>
              <w:ind w:right="340"/>
              <w:spacing w:after="0" w:line="156"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08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54,549</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8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118,378</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118,375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80" w:type="dxa"/>
            <w:vAlign w:val="bottom"/>
            <w:tcBorders>
              <w:top w:val="single" w:sz="8" w:color="CFF0FC"/>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securities</w:t>
            </w:r>
          </w:p>
        </w:tc>
        <w:tc>
          <w:tcPr>
            <w:tcW w:w="1200" w:type="dxa"/>
            <w:vAlign w:val="bottom"/>
            <w:gridSpan w:val="2"/>
            <w:shd w:val="clear" w:color="auto" w:fill="CFF0FC"/>
          </w:tcPr>
          <w:p>
            <w:pPr>
              <w:jc w:val="center"/>
              <w:ind w:left="10"/>
              <w:spacing w:after="0" w:line="203"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49,258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49,279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176,367</w:t>
            </w:r>
          </w:p>
        </w:tc>
        <w:tc>
          <w:tcPr>
            <w:tcW w:w="3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securities</w:t>
            </w:r>
          </w:p>
        </w:tc>
        <w:tc>
          <w:tcPr>
            <w:tcW w:w="1200" w:type="dxa"/>
            <w:vAlign w:val="bottom"/>
            <w:gridSpan w:val="2"/>
            <w:shd w:val="clear" w:color="auto" w:fill="CFF0FC"/>
          </w:tcPr>
          <w:p>
            <w:pPr>
              <w:jc w:val="center"/>
              <w:ind w:left="10"/>
              <w:spacing w:after="0" w:line="203"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53,436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53,467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Total long-term investments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53,436</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3"/>
              <w:spacing w:after="0" w:line="156"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4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120" w:type="dxa"/>
            <w:vAlign w:val="bottom"/>
            <w:gridSpan w:val="3"/>
          </w:tcPr>
          <w:p>
            <w:pPr>
              <w:jc w:val="center"/>
              <w:ind w:right="340"/>
              <w:spacing w:after="0" w:line="156"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08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260"/>
              <w:spacing w:after="0"/>
              <w:rPr>
                <w:sz w:val="20"/>
                <w:szCs w:val="20"/>
                <w:color w:val="auto"/>
              </w:rPr>
            </w:pPr>
            <w:r>
              <w:rPr>
                <w:rFonts w:ascii="Arial" w:cs="Arial" w:eastAsia="Arial" w:hAnsi="Arial"/>
                <w:sz w:val="18"/>
                <w:szCs w:val="18"/>
                <w:color w:val="auto"/>
              </w:rPr>
              <w:t>U.S. government debt and agency</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400"/>
              <w:spacing w:after="0" w:line="203" w:lineRule="exact"/>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4,999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53,772</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53,770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CFF0FC"/>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securities</w:t>
            </w:r>
          </w:p>
        </w:tc>
        <w:tc>
          <w:tcPr>
            <w:tcW w:w="1200" w:type="dxa"/>
            <w:vAlign w:val="bottom"/>
            <w:gridSpan w:val="2"/>
            <w:shd w:val="clear" w:color="auto" w:fill="CFF0FC"/>
          </w:tcPr>
          <w:p>
            <w:pPr>
              <w:jc w:val="center"/>
              <w:ind w:left="10"/>
              <w:spacing w:after="0" w:line="203"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31,835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31,842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124,056</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CFF0FC"/>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260"/>
              <w:spacing w:after="0"/>
              <w:rPr>
                <w:sz w:val="20"/>
                <w:szCs w:val="20"/>
                <w:color w:val="auto"/>
              </w:rPr>
            </w:pPr>
            <w:r>
              <w:rPr>
                <w:rFonts w:ascii="Arial" w:cs="Arial" w:eastAsia="Arial" w:hAnsi="Arial"/>
                <w:sz w:val="18"/>
                <w:szCs w:val="18"/>
                <w:color w:val="auto"/>
              </w:rPr>
              <w:t>U.S. government debt and agency</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400"/>
              <w:spacing w:after="0" w:line="203" w:lineRule="exact"/>
              <w:rPr>
                <w:sz w:val="20"/>
                <w:szCs w:val="20"/>
                <w:color w:val="auto"/>
              </w:rPr>
            </w:pPr>
            <w:r>
              <w:rPr>
                <w:rFonts w:ascii="Arial" w:cs="Arial" w:eastAsia="Arial" w:hAnsi="Arial"/>
                <w:sz w:val="18"/>
                <w:szCs w:val="18"/>
                <w:color w:val="auto"/>
              </w:rPr>
              <w:t>securities</w:t>
            </w:r>
          </w:p>
        </w:tc>
        <w:tc>
          <w:tcPr>
            <w:tcW w:w="1200" w:type="dxa"/>
            <w:vAlign w:val="bottom"/>
            <w:gridSpan w:val="2"/>
          </w:tcPr>
          <w:p>
            <w:pPr>
              <w:jc w:val="center"/>
              <w:ind w:left="10"/>
              <w:spacing w:after="0" w:line="203"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78,924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78,956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Total long-term investments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83,475</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All the commercial paper, U.S. government debt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27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 w:name="page15"/>
    <w:bookmarkEnd w:id="14"/>
    <w:p>
      <w:pPr>
        <w:jc w:val="both"/>
        <w:ind w:firstLine="510"/>
        <w:spacing w:after="0" w:line="236" w:lineRule="auto"/>
        <w:rPr>
          <w:sz w:val="20"/>
          <w:szCs w:val="20"/>
          <w:color w:val="auto"/>
        </w:rPr>
      </w:pPr>
      <w:r>
        <w:rPr>
          <w:rFonts w:ascii="Arial" w:cs="Arial" w:eastAsia="Arial" w:hAnsi="Arial"/>
          <w:sz w:val="18"/>
          <w:szCs w:val="18"/>
          <w:color w:val="auto"/>
        </w:rPr>
        <w:t>Prior to the IPO, the Company’s level 3 financial liabilities carried at fair value and remeasured on a recurring basis are the grant liability, derivative liability, and the convertible preferred stock warrant liability. In the third quarter of 2020, the Company recorded an additional $464,000 to bring the total grant liability to $1.5 million as the Company’s IPO triggered the repayment obligation (see Note 7), and the derivative was settled upon the Company’s conversion of its convertible notes in May 2020 (see Note 8). The losses resulting from the change in fair value of the grant liability, the bifurcated conversion and redemption features related to the derivative liability, and the convertible preferred stock warrant liability are classified as other income (expense), net in the accompanying condensed consolidated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activity for the grant liability for the year ended December 31, 2020 (in thousands):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640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1,036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Change in fair value of grant liability</w:t>
            </w:r>
          </w:p>
        </w:tc>
        <w:tc>
          <w:tcPr>
            <w:tcW w:w="20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464</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 settled upon completion of IPO</w:t>
            </w: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Fair value at end of period</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activity for the derivative liability for the year ended December 31, 2020 (in thousands):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93"/>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640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999</w:t>
            </w: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Derivative liability recorded upon issuance of</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6400" w:type="dxa"/>
            <w:vAlign w:val="bottom"/>
          </w:tcPr>
          <w:p>
            <w:pPr>
              <w:ind w:left="140"/>
              <w:spacing w:after="0" w:line="203" w:lineRule="exact"/>
              <w:rPr>
                <w:sz w:val="20"/>
                <w:szCs w:val="20"/>
                <w:color w:val="auto"/>
              </w:rPr>
            </w:pPr>
            <w:r>
              <w:rPr>
                <w:rFonts w:ascii="Arial" w:cs="Arial" w:eastAsia="Arial" w:hAnsi="Arial"/>
                <w:sz w:val="18"/>
                <w:szCs w:val="18"/>
                <w:color w:val="auto"/>
              </w:rPr>
              <w:t>convertible notes</w:t>
            </w:r>
          </w:p>
        </w:tc>
        <w:tc>
          <w:tcPr>
            <w:tcW w:w="200" w:type="dxa"/>
            <w:vAlign w:val="bottom"/>
          </w:tcPr>
          <w:p>
            <w:pPr>
              <w:spacing w:after="0"/>
              <w:rPr>
                <w:sz w:val="17"/>
                <w:szCs w:val="17"/>
                <w:color w:val="auto"/>
              </w:rPr>
            </w:pPr>
          </w:p>
        </w:tc>
        <w:tc>
          <w:tcPr>
            <w:tcW w:w="1260" w:type="dxa"/>
            <w:vAlign w:val="bottom"/>
          </w:tcPr>
          <w:p>
            <w:pPr>
              <w:jc w:val="right"/>
              <w:ind w:right="13"/>
              <w:spacing w:after="0" w:line="203" w:lineRule="exact"/>
              <w:rPr>
                <w:sz w:val="20"/>
                <w:szCs w:val="20"/>
                <w:color w:val="auto"/>
              </w:rPr>
            </w:pPr>
            <w:r>
              <w:rPr>
                <w:rFonts w:ascii="Arial" w:cs="Arial" w:eastAsia="Arial" w:hAnsi="Arial"/>
                <w:sz w:val="18"/>
                <w:szCs w:val="18"/>
                <w:color w:val="auto"/>
              </w:rPr>
              <w:t>774</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132</w:t>
            </w: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Derivative liability settled upon conversion of</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6400" w:type="dxa"/>
            <w:vAlign w:val="bottom"/>
            <w:tcBorders>
              <w:bottom w:val="single" w:sz="8" w:color="CFF0FC"/>
            </w:tcBorders>
          </w:tcPr>
          <w:p>
            <w:pPr>
              <w:ind w:left="140"/>
              <w:spacing w:after="0" w:line="203" w:lineRule="exact"/>
              <w:rPr>
                <w:sz w:val="20"/>
                <w:szCs w:val="20"/>
                <w:color w:val="auto"/>
              </w:rPr>
            </w:pPr>
            <w:r>
              <w:rPr>
                <w:rFonts w:ascii="Arial" w:cs="Arial" w:eastAsia="Arial" w:hAnsi="Arial"/>
                <w:sz w:val="18"/>
                <w:szCs w:val="18"/>
                <w:color w:val="auto"/>
              </w:rPr>
              <w:t>convertible notes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(1,905)</w:t>
            </w:r>
          </w:p>
        </w:tc>
      </w:tr>
      <w:tr>
        <w:trPr>
          <w:trHeight w:val="210"/>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March 31, 2021 and December 31, 2020 consisted of the following (in thousands):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3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Lab equipment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Office furniture and fixtures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Leasehold improvement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w:t>
            </w:r>
          </w:p>
        </w:tc>
        <w:tc>
          <w:tcPr>
            <w:tcW w:w="80" w:type="dxa"/>
            <w:vAlign w:val="bottom"/>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Property and equipment, as cost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2,720</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r>
      <w:tr>
        <w:trPr>
          <w:trHeight w:val="209"/>
        </w:trPr>
        <w:tc>
          <w:tcPr>
            <w:tcW w:w="532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72"/>
        <w:spacing w:after="0" w:line="246" w:lineRule="auto"/>
        <w:rPr>
          <w:sz w:val="20"/>
          <w:szCs w:val="20"/>
          <w:color w:val="auto"/>
        </w:rPr>
      </w:pPr>
      <w:r>
        <w:rPr>
          <w:rFonts w:ascii="Arial" w:cs="Arial" w:eastAsia="Arial" w:hAnsi="Arial"/>
          <w:sz w:val="18"/>
          <w:szCs w:val="18"/>
          <w:color w:val="auto"/>
        </w:rPr>
        <w:t>Depreciation expense was $112,000 for the three months ended March 31, 2021. The Company did not incur depreciation expense during the three months ended March 31, 2020.</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5. Accrued Expenses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3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FF0FC"/>
          </w:tcPr>
          <w:p>
            <w:pPr>
              <w:spacing w:after="0"/>
              <w:rPr>
                <w:sz w:val="18"/>
                <w:szCs w:val="18"/>
                <w:color w:val="auto"/>
              </w:rPr>
            </w:pPr>
          </w:p>
        </w:tc>
      </w:tr>
      <w:tr>
        <w:trPr>
          <w:trHeight w:val="210"/>
        </w:trPr>
        <w:tc>
          <w:tcPr>
            <w:tcW w:w="5360" w:type="dxa"/>
            <w:vAlign w:val="bottom"/>
          </w:tcPr>
          <w:p>
            <w:pPr>
              <w:ind w:left="24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 (Expense), Net</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consisted of the following (in thousands):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5"/>
                <w:szCs w:val="15"/>
                <w:color w:val="auto"/>
              </w:rPr>
            </w:pPr>
          </w:p>
        </w:tc>
      </w:tr>
      <w:tr>
        <w:trPr>
          <w:trHeight w:val="169"/>
        </w:trPr>
        <w:tc>
          <w:tcPr>
            <w:tcW w:w="468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23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(445)</w:t>
            </w: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146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FF0FC"/>
            </w:tcBorders>
          </w:tcPr>
          <w:p>
            <w:pPr>
              <w:spacing w:after="0"/>
              <w:rPr>
                <w:sz w:val="18"/>
                <w:szCs w:val="18"/>
                <w:color w:val="auto"/>
              </w:rPr>
            </w:pPr>
          </w:p>
        </w:tc>
      </w:tr>
      <w:tr>
        <w:trPr>
          <w:trHeight w:val="209"/>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other income (expense), net</w:t>
            </w:r>
          </w:p>
        </w:tc>
        <w:tc>
          <w:tcPr>
            <w:tcW w:w="23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(560)</w:t>
            </w: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Washington State University (“WSU”) in 2015. Under this agreement, the Company has an exclusive license to make, use, sell, and offer for sale a chemical compound that forms the underlying technology of the drug therapies being developed by the Company.</w:t>
      </w:r>
    </w:p>
    <w:p>
      <w:pPr>
        <w:spacing w:after="0" w:line="243"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March 31, 2021.</w:t>
      </w:r>
    </w:p>
    <w:p>
      <w:pPr>
        <w:spacing w:after="0" w:line="22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During the year ended December 31, 2020, the Phase 2 clinical trial milestone had been reached and a payment of $50,000 to WSU was recorded.</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000" w:hanging="493"/>
        <w:spacing w:after="0" w:line="246"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6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March 31, 2021, the Company had not incurred a royalty obligation under this agreement.</w:t>
      </w:r>
    </w:p>
    <w:p>
      <w:pPr>
        <w:spacing w:after="0" w:line="230"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mid-teens of any non-sales based payments received, and low twenties of net sales based sublicense royalties. As of March 31, 2021, the Company has not entered into or incurred any liability from a sublicense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Grant Liability</w:t>
      </w:r>
    </w:p>
    <w:p>
      <w:pPr>
        <w:spacing w:after="0" w:line="261"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In 2014 and 2015, the Company received $250,000 and $500,000, respectively, from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95"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transfers the underlying IP without receiving consideration;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relocation of the Company from Washington state;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third-party acquisition of a controlling interest in the Company,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termination of the agreements.</w:t>
      </w:r>
    </w:p>
    <w:p>
      <w:pPr>
        <w:spacing w:after="0" w:line="248"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4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consummation of the Company’s IPO in September 2020 was a triggering event under the terms of the grant and the liability was remeasured to the pay-off amount of $1.5 million prior to settlement. The change in the fair value of the liability resulted in expense of approximately $464,000 for the year ended December 31, 2020, which was included in other income (expense), net in the accompanying consolidated statements of operations and comprehensive loss.</w:t>
      </w:r>
    </w:p>
    <w:p>
      <w:pPr>
        <w:spacing w:after="0" w:line="210"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Convertible Notes</w:t>
      </w:r>
    </w:p>
    <w:p>
      <w:pPr>
        <w:spacing w:after="0" w:line="27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Company issued unsecured convertible notes with an aggregate principal amount of $1.7 million in 2020. Previously, the Company issued unsecured convertible notes with aggregate principal amounts of $0.9 million and $1.3 million and in 2019 and 2018, respectively. The notes accrued interest at a rate of 5% per year and mature in December 2021, unless earlier converted. No principal or interest was payable prior to maturity as the convertible notes and any accrued interest would automatically convert upon a qualified financing event at a conversion price equal to 85% of the price per share of the qualified financing. Holders may have also elected to convert their notes to shares of common stock upon the maturity of the notes at the then fair value of common stock. If the Company experienced a change in control, holders may have either converted the outstanding principal amount plus any accrued interest into shares of common stock at the then fair value of common stock or may have required the Company to repurchase the notes in cash at a price equal to 200% of the outstanding principal amount plus any accrued interest.</w:t>
      </w:r>
    </w:p>
    <w:p>
      <w:pPr>
        <w:spacing w:after="0" w:line="247"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200" w:lineRule="exact"/>
        <w:rPr>
          <w:sz w:val="20"/>
          <w:szCs w:val="20"/>
          <w:color w:val="auto"/>
        </w:rPr>
      </w:pPr>
    </w:p>
    <w:p>
      <w:pPr>
        <w:spacing w:after="0" w:line="219"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23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Leases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8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Company has operating leases for laboratory and office facilities in Bothell, Washington that expire in August 2027. The initial terms of the leases range from 6.5 to 7 years and the Company has options to extend the leases for an additional five years that it is not reasonably certain to exercise. Additionally, the Company has a lease agreement for laboratory and office facilities at the University of Washington in Seattle, Washington with an initial term of 12 months for which the Company recognizes expense on a straight-line basis within operating expenses. As of March 31, 2021, the Company was not party to any finance leases.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73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r>
      <w:tr>
        <w:trPr>
          <w:trHeight w:val="21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Remaining 2021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80" w:type="dxa"/>
            <w:vAlign w:val="bottom"/>
            <w:tcBorders>
              <w:bottom w:val="single" w:sz="8" w:color="CFF0FC"/>
            </w:tcBorders>
          </w:tcPr>
          <w:p>
            <w:pPr>
              <w:spacing w:after="0"/>
              <w:rPr>
                <w:sz w:val="18"/>
                <w:szCs w:val="18"/>
                <w:color w:val="auto"/>
              </w:rPr>
            </w:pPr>
          </w:p>
        </w:tc>
      </w:tr>
      <w:tr>
        <w:trPr>
          <w:trHeight w:val="20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Present value adjustment for minimum lease commitments</w:t>
            </w:r>
          </w:p>
        </w:tc>
        <w:tc>
          <w:tcPr>
            <w:tcW w:w="2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allowance receivable</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(211)</w:t>
            </w:r>
          </w:p>
        </w:tc>
      </w:tr>
      <w:tr>
        <w:trPr>
          <w:trHeight w:val="210"/>
        </w:trPr>
        <w:tc>
          <w:tcPr>
            <w:tcW w:w="7360" w:type="dxa"/>
            <w:vAlign w:val="bottom"/>
          </w:tcPr>
          <w:p>
            <w:pPr>
              <w:ind w:left="240"/>
              <w:spacing w:after="0"/>
              <w:rPr>
                <w:sz w:val="20"/>
                <w:szCs w:val="20"/>
                <w:color w:val="auto"/>
              </w:rPr>
            </w:pPr>
            <w:r>
              <w:rPr>
                <w:rFonts w:ascii="Arial" w:cs="Arial" w:eastAsia="Arial" w:hAnsi="Arial"/>
                <w:sz w:val="18"/>
                <w:szCs w:val="18"/>
                <w:color w:val="auto"/>
              </w:rPr>
              <w:t>Net lease liability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The weighted average remaining lease term and the weighted average discount rate used to determine the operating lease liability were as follows: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7300" w:type="dxa"/>
            <w:vAlign w:val="bottom"/>
            <w:tcBorders>
              <w:bottom w:val="single" w:sz="8" w:color="CFF0FC"/>
            </w:tcBorders>
          </w:tcPr>
          <w:p>
            <w:pPr>
              <w:spacing w:after="0"/>
              <w:rPr>
                <w:sz w:val="15"/>
                <w:szCs w:val="15"/>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r>
      <w:tr>
        <w:trPr>
          <w:trHeight w:val="21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50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5"/>
              </w:rPr>
              <w:t>6.4</w:t>
            </w:r>
          </w:p>
        </w:tc>
        <w:tc>
          <w:tcPr>
            <w:tcW w:w="180" w:type="dxa"/>
            <w:vAlign w:val="bottom"/>
            <w:shd w:val="clear" w:color="auto" w:fill="CFF0FC"/>
          </w:tcPr>
          <w:p>
            <w:pPr>
              <w:spacing w:after="0"/>
              <w:rPr>
                <w:sz w:val="18"/>
                <w:szCs w:val="18"/>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8.1%</w:t>
            </w:r>
          </w:p>
        </w:tc>
      </w:tr>
    </w:tbl>
    <w:p>
      <w:pPr>
        <w:spacing w:after="0" w:line="269"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Operating lease expense was $61,000 for the three months ended March 31, 2021. Variable lease expense was $20,000 for operating leases during the three months ended March 31, 2021. Rent expense recognized for short term leases was $13,000 and $27,000 for the three months ended March 31, 2021 and 2020,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w:t>
      </w:r>
    </w:p>
    <w:p>
      <w:pPr>
        <w:spacing w:after="0" w:line="30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$9.12 per share for aggregate proceeds of $81.6 million, net of offering costs. The Company issued warrants to purchase 2,343,168 shares of its common stock, of 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25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212121"/>
        </w:rPr>
        <w:t>In September 2020, upon the consummation of the Company’s IPO, all outstanding shares of convertible preferred stock converted into 12,503,009 shares of common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Common Stock</w:t>
      </w:r>
    </w:p>
    <w:p>
      <w:pPr>
        <w:spacing w:after="0" w:line="274"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4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Shares issuable upon the exercise of outstanding</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420" w:type="dxa"/>
            <w:vAlign w:val="bottom"/>
          </w:tcPr>
          <w:p>
            <w:pPr>
              <w:ind w:left="140"/>
              <w:spacing w:after="0" w:line="202" w:lineRule="exact"/>
              <w:rPr>
                <w:sz w:val="20"/>
                <w:szCs w:val="20"/>
                <w:color w:val="auto"/>
              </w:rPr>
            </w:pPr>
            <w:r>
              <w:rPr>
                <w:rFonts w:ascii="Arial" w:cs="Arial" w:eastAsia="Arial" w:hAnsi="Arial"/>
                <w:sz w:val="18"/>
                <w:szCs w:val="18"/>
                <w:color w:val="auto"/>
              </w:rPr>
              <w:t>common stock options and the vesting of outstanding</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420" w:type="dxa"/>
            <w:vAlign w:val="bottom"/>
          </w:tcPr>
          <w:p>
            <w:pPr>
              <w:ind w:left="140"/>
              <w:spacing w:after="0" w:line="203" w:lineRule="exact"/>
              <w:rPr>
                <w:sz w:val="20"/>
                <w:szCs w:val="20"/>
                <w:color w:val="auto"/>
              </w:rPr>
            </w:pPr>
            <w:r>
              <w:rPr>
                <w:rFonts w:ascii="Arial" w:cs="Arial" w:eastAsia="Arial" w:hAnsi="Arial"/>
                <w:sz w:val="18"/>
                <w:szCs w:val="18"/>
                <w:color w:val="auto"/>
              </w:rPr>
              <w:t>common restricted stock units granted</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2,511,387</w:t>
            </w:r>
          </w:p>
        </w:tc>
        <w:tc>
          <w:tcPr>
            <w:tcW w:w="2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1,974,870</w:t>
            </w:r>
          </w:p>
        </w:tc>
        <w:tc>
          <w:tcPr>
            <w:tcW w:w="80" w:type="dxa"/>
            <w:vAlign w:val="bottom"/>
          </w:tcPr>
          <w:p>
            <w:pPr>
              <w:spacing w:after="0"/>
              <w:rPr>
                <w:sz w:val="17"/>
                <w:szCs w:val="17"/>
                <w:color w:val="auto"/>
              </w:rPr>
            </w:pPr>
          </w:p>
        </w:tc>
      </w:tr>
      <w:tr>
        <w:trPr>
          <w:trHeight w:val="21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 under the 2020 Equity</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4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Incentive Plan</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4,765,450</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3,742,235</w:t>
            </w:r>
          </w:p>
        </w:tc>
        <w:tc>
          <w:tcPr>
            <w:tcW w:w="80" w:type="dxa"/>
            <w:vAlign w:val="bottom"/>
            <w:shd w:val="clear" w:color="auto" w:fill="CFF0FC"/>
          </w:tcPr>
          <w:p>
            <w:pPr>
              <w:spacing w:after="0"/>
              <w:rPr>
                <w:sz w:val="17"/>
                <w:szCs w:val="17"/>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Shares available for future grant under the Employee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420" w:type="dxa"/>
            <w:vAlign w:val="bottom"/>
          </w:tcPr>
          <w:p>
            <w:pPr>
              <w:ind w:left="140"/>
              <w:spacing w:after="0" w:line="203" w:lineRule="exact"/>
              <w:rPr>
                <w:sz w:val="20"/>
                <w:szCs w:val="20"/>
                <w:color w:val="auto"/>
              </w:rPr>
            </w:pPr>
            <w:r>
              <w:rPr>
                <w:rFonts w:ascii="Arial" w:cs="Arial" w:eastAsia="Arial" w:hAnsi="Arial"/>
                <w:sz w:val="18"/>
                <w:szCs w:val="18"/>
                <w:color w:val="auto"/>
              </w:rPr>
              <w:t>Stock Purchase Plan</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647,851</w:t>
            </w:r>
          </w:p>
        </w:tc>
        <w:tc>
          <w:tcPr>
            <w:tcW w:w="2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323,000</w:t>
            </w:r>
          </w:p>
        </w:tc>
        <w:tc>
          <w:tcPr>
            <w:tcW w:w="80" w:type="dxa"/>
            <w:vAlign w:val="bottom"/>
          </w:tcPr>
          <w:p>
            <w:pPr>
              <w:spacing w:after="0"/>
              <w:rPr>
                <w:sz w:val="17"/>
                <w:szCs w:val="17"/>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42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7,924,688</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6,040,105</w:t>
            </w: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Company’s 2020 Equity Incentive Plan (“2020 Plan”) provides for annual increases in the number of shares that may be issued under the 2020 Plan on January 1, 2021 and each subsequent January 1, thereafter, by a number of shares equal to the least of (a) 3,230,000 shares, (b) 5% of the number of shares of common stock issued and outstanding on the immediately preceding December 31, or (c) an amount determined by the Company’s board of directors.</w:t>
      </w:r>
    </w:p>
    <w:p>
      <w:pPr>
        <w:spacing w:after="0" w:line="20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Company’s 2020 Employee Stock Purchase Plan (“ESPP”) provides for annual increases in the number of shares that may be issued under the ESPP on January 1, 2021 and each subsequent January 1, thereafter, by a number of shares equal to the least of (a) 646,000 shares, (b) 1% of the number of shares of common stock issued and outstanding on the immediately preceding December 31, or (c) an amount determined by the Company’s board of directors.</w:t>
      </w:r>
    </w:p>
    <w:p>
      <w:pPr>
        <w:spacing w:after="0" w:line="20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Effective January 1, 2021, the Company’s 2020 Plan and ESPP reserves increased by 1,624,259 shares and 324,851 shares,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74"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75"/>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68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4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1700"/>
              <w:spacing w:after="0"/>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8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44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8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bottom w:val="single" w:sz="8" w:color="CFF0FC"/>
            </w:tcBorders>
            <w:vMerge w:val="restart"/>
          </w:tcPr>
          <w:p>
            <w:pPr>
              <w:jc w:val="right"/>
              <w:ind w:right="1250"/>
              <w:spacing w:after="0"/>
              <w:rPr>
                <w:sz w:val="20"/>
                <w:szCs w:val="20"/>
                <w:color w:val="auto"/>
              </w:rPr>
            </w:pPr>
            <w:r>
              <w:rPr>
                <w:rFonts w:ascii="Arial" w:cs="Arial" w:eastAsia="Arial" w:hAnsi="Arial"/>
                <w:sz w:val="18"/>
                <w:szCs w:val="18"/>
                <w:color w:val="auto"/>
              </w:rPr>
              <w:t>19</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61"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1" w:lineRule="exact"/>
        <w:rPr>
          <w:sz w:val="20"/>
          <w:szCs w:val="20"/>
          <w:color w:val="auto"/>
        </w:rPr>
      </w:pPr>
    </w:p>
    <w:p>
      <w:pPr>
        <w:jc w:val="both"/>
        <w:ind w:left="1000" w:hanging="493"/>
        <w:spacing w:after="0" w:line="23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previously there was no public market for the Company’s common stock, the board of directors exercised reasonable judgment and considered a number of objective and subjective factors to determine the best estimate of the fair market value, which include contemporaneous valuations performed by an independent third party, important developments in the Company’s operations, sales of convertible preferred stock, the rights, preferences and privileges of its convertible preferred stock relative to those of its common stock, lack of marketability of its common stock, actual operating results, financial performance, the progress of clinical development, the likelihood of achieving a liquidity event for its security holders, the trends, development and conditions in the life sciences and biotechnology sectors, the economy in general, and the stock price performance and volatility of comparable public companies.</w:t>
      </w:r>
    </w:p>
    <w:p>
      <w:pPr>
        <w:spacing w:after="0" w:line="83" w:lineRule="exact"/>
        <w:rPr>
          <w:rFonts w:ascii="Arial" w:cs="Arial" w:eastAsia="Arial" w:hAnsi="Arial"/>
          <w:sz w:val="18"/>
          <w:szCs w:val="18"/>
          <w:color w:val="auto"/>
        </w:rPr>
      </w:pPr>
    </w:p>
    <w:p>
      <w:pPr>
        <w:ind w:left="1000" w:hanging="493"/>
        <w:spacing w:after="0" w:line="26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52" w:lineRule="exact"/>
        <w:rPr>
          <w:rFonts w:ascii="Arial" w:cs="Arial" w:eastAsia="Arial" w:hAnsi="Arial"/>
          <w:sz w:val="18"/>
          <w:szCs w:val="18"/>
          <w:color w:val="auto"/>
        </w:rPr>
      </w:pPr>
    </w:p>
    <w:p>
      <w:pPr>
        <w:jc w:val="both"/>
        <w:ind w:left="1000" w:hanging="493"/>
        <w:spacing w:after="0" w:line="242"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6" w:lineRule="exact"/>
        <w:rPr>
          <w:rFonts w:ascii="Arial" w:cs="Arial" w:eastAsia="Arial" w:hAnsi="Arial"/>
          <w:sz w:val="18"/>
          <w:szCs w:val="18"/>
          <w:color w:val="auto"/>
        </w:rPr>
      </w:pPr>
    </w:p>
    <w:p>
      <w:pPr>
        <w:jc w:val="both"/>
        <w:ind w:left="1000" w:hanging="493"/>
        <w:spacing w:after="0" w:line="25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68" w:lineRule="exact"/>
        <w:rPr>
          <w:rFonts w:ascii="Arial" w:cs="Arial" w:eastAsia="Arial" w:hAnsi="Arial"/>
          <w:sz w:val="18"/>
          <w:szCs w:val="18"/>
          <w:color w:val="auto"/>
        </w:rPr>
      </w:pPr>
    </w:p>
    <w:p>
      <w:pPr>
        <w:ind w:left="1000" w:hanging="493"/>
        <w:spacing w:after="0" w:line="26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going forward. Therefore, it used an expected dividend yield of zero.</w:t>
      </w:r>
    </w:p>
    <w:p>
      <w:pPr>
        <w:spacing w:after="0" w:line="219" w:lineRule="exact"/>
        <w:rPr>
          <w:sz w:val="20"/>
          <w:szCs w:val="20"/>
          <w:color w:val="auto"/>
        </w:rPr>
      </w:pPr>
    </w:p>
    <w:p>
      <w:pPr>
        <w:jc w:val="both"/>
        <w:ind w:right="20" w:firstLine="510"/>
        <w:spacing w:after="0" w:line="210"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6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5240" w:type="dxa"/>
            <w:vAlign w:val="bottom"/>
            <w:tcBorders>
              <w:bottom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0.79%</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89.13%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78.17%</w:t>
            </w: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FF0FC"/>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weighted-average grant-date fair value of options granted to employees and directors during the three months ended March 31, 2021 and 2020 were $9.3 million and $32,000 respectively. No options were granted to advisors during the three months ended March 31, 2021. The remeasured weighted-average fair value of options granted to advisors during the three months ended March 31, 2020 was $17,000.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shares available for grant during the three months ended March 31, 2021 were as follows:</w:t>
      </w:r>
    </w:p>
    <w:p>
      <w:pPr>
        <w:spacing w:after="0" w:line="213"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Shares</w:t>
      </w:r>
    </w:p>
    <w:p>
      <w:pPr>
        <w:spacing w:after="0" w:line="19"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Available</w:t>
      </w:r>
    </w:p>
    <w:p>
      <w:pPr>
        <w:spacing w:after="0" w:line="1"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-1905</wp:posOffset>
            </wp:positionV>
            <wp:extent cx="427736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p>
      <w:pPr>
        <w:spacing w:after="0" w:line="2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Shares available for grant at December 31, 2020</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2020 Plan reserve increase on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-1905</wp:posOffset>
            </wp:positionV>
            <wp:extent cx="42773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Options and restricted stock units granted</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Shares available for grant at March 31, 2021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3,742,235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1,624,259</w:t>
      </w:r>
    </w:p>
    <w:p>
      <w:pPr>
        <w:spacing w:after="0" w:line="9"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(601,044)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-1905</wp:posOffset>
            </wp:positionV>
            <wp:extent cx="7112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4,765,450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-1905</wp:posOffset>
            </wp:positionV>
            <wp:extent cx="7112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14605</wp:posOffset>
            </wp:positionV>
            <wp:extent cx="711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3140"/>
          </w:cols>
          <w:pgMar w:left="320" w:top="549" w:right="339" w:bottom="1440" w:gutter="0" w:footer="0" w:header="0"/>
          <w:type w:val="continuous"/>
        </w:sectPr>
      </w:pP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the three months ended March 31, 2021 was as follows: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Intrinsic</w:t>
            </w:r>
          </w:p>
        </w:tc>
      </w:tr>
      <w:tr>
        <w:trPr>
          <w:trHeight w:val="162"/>
        </w:trPr>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r>
      <w:tr>
        <w:trPr>
          <w:trHeight w:val="162"/>
        </w:trPr>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price</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w:t>
            </w:r>
          </w:p>
        </w:tc>
      </w:tr>
      <w:tr>
        <w:trPr>
          <w:trHeight w:val="175"/>
        </w:trPr>
        <w:tc>
          <w:tcPr>
            <w:tcW w:w="3880" w:type="dxa"/>
            <w:vAlign w:val="bottom"/>
          </w:tcPr>
          <w:p>
            <w:pPr>
              <w:spacing w:after="0"/>
              <w:rPr>
                <w:sz w:val="15"/>
                <w:szCs w:val="15"/>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per Share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years)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thousands)</w:t>
            </w:r>
          </w:p>
        </w:tc>
      </w:tr>
      <w:tr>
        <w:trPr>
          <w:trHeight w:val="210"/>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1,974,870</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597,892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21.07</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(62,951)</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Forfeited/expired</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2,509,811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17,291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880" w:type="dxa"/>
            <w:vAlign w:val="bottom"/>
            <w:tcBorders>
              <w:bottom w:val="single" w:sz="8" w:color="CFF0FC"/>
            </w:tcBorders>
          </w:tcPr>
          <w:p>
            <w:pPr>
              <w:spacing w:after="0" w:line="196" w:lineRule="exact"/>
              <w:rPr>
                <w:sz w:val="20"/>
                <w:szCs w:val="20"/>
                <w:color w:val="auto"/>
              </w:rPr>
            </w:pPr>
            <w:r>
              <w:rPr>
                <w:rFonts w:ascii="Arial" w:cs="Arial" w:eastAsia="Arial" w:hAnsi="Arial"/>
                <w:sz w:val="18"/>
                <w:szCs w:val="18"/>
                <w:color w:val="auto"/>
              </w:rPr>
              <w:t>Expected to vest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1,840,595</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tcPr>
          <w:p>
            <w:pPr>
              <w:jc w:val="right"/>
              <w:spacing w:after="0" w:line="196" w:lineRule="exact"/>
              <w:rPr>
                <w:sz w:val="20"/>
                <w:szCs w:val="20"/>
                <w:color w:val="auto"/>
              </w:rPr>
            </w:pPr>
            <w:r>
              <w:rPr>
                <w:rFonts w:ascii="Arial" w:cs="Arial" w:eastAsia="Arial" w:hAnsi="Arial"/>
                <w:sz w:val="18"/>
                <w:szCs w:val="18"/>
                <w:color w:val="auto"/>
              </w:rPr>
              <w:t>16.26</w:t>
            </w:r>
          </w:p>
        </w:tc>
        <w:tc>
          <w:tcPr>
            <w:tcW w:w="24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line="196" w:lineRule="exact"/>
              <w:rPr>
                <w:sz w:val="20"/>
                <w:szCs w:val="20"/>
                <w:color w:val="auto"/>
              </w:rPr>
            </w:pPr>
            <w:r>
              <w:rPr>
                <w:rFonts w:ascii="Arial" w:cs="Arial" w:eastAsia="Arial" w:hAnsi="Arial"/>
                <w:sz w:val="18"/>
                <w:szCs w:val="18"/>
                <w:color w:val="auto"/>
              </w:rPr>
              <w:t>9.39</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tcPr>
          <w:p>
            <w:pPr>
              <w:jc w:val="right"/>
              <w:spacing w:after="0" w:line="196" w:lineRule="exact"/>
              <w:rPr>
                <w:sz w:val="20"/>
                <w:szCs w:val="20"/>
                <w:color w:val="auto"/>
              </w:rPr>
            </w:pPr>
            <w:r>
              <w:rPr>
                <w:rFonts w:ascii="Arial" w:cs="Arial" w:eastAsia="Arial" w:hAnsi="Arial"/>
                <w:sz w:val="18"/>
                <w:szCs w:val="18"/>
                <w:color w:val="auto"/>
              </w:rPr>
              <w:t>5,933</w:t>
            </w:r>
          </w:p>
        </w:tc>
        <w:tc>
          <w:tcPr>
            <w:tcW w:w="100" w:type="dxa"/>
            <w:vAlign w:val="bottom"/>
            <w:tcBorders>
              <w:bottom w:val="single" w:sz="8" w:color="CFF0FC"/>
            </w:tcBorders>
          </w:tcPr>
          <w:p>
            <w:pPr>
              <w:spacing w:after="0"/>
              <w:rPr>
                <w:sz w:val="20"/>
                <w:szCs w:val="20"/>
                <w:color w:val="auto"/>
              </w:rPr>
            </w:pPr>
          </w:p>
        </w:tc>
      </w:tr>
      <w:tr>
        <w:trPr>
          <w:trHeight w:val="197"/>
        </w:trPr>
        <w:tc>
          <w:tcPr>
            <w:tcW w:w="38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Options exercisable</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669,216</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w:t>
            </w:r>
          </w:p>
        </w:tc>
        <w:tc>
          <w:tcPr>
            <w:tcW w:w="2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5.19</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38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three months ended March 31, 2021 was $133,000, which included $113,000 for options granted to employees and directors and $20,000 for options granted to advisors. The total fair value of options that vested during the three months ended March 31, 2020 was $86,000, which included $58,000 for options granted to employees and directors and $28,000 for options granted to advisors.</w:t>
      </w:r>
    </w:p>
    <w:p>
      <w:pPr>
        <w:spacing w:after="0" w:line="24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March 31, 2021. The aggregate intrinsic value of options exercised was $1.1 million and $0.1 million during the three months ended March 31, 2021 and 2020, respectively, determined as of the date of option exercise. As of March 31, 2021, there was $12.4 million of total unrecognized compensation cost related to unvested stock options. The Company expects to recognize this cost over a remaining weighted-average period of 1.83 years. The Company utilizes newly issued shares to satisfy option exercises.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1" w:name="page22"/>
    <w:bookmarkEnd w:id="21"/>
    <w:p>
      <w:pPr>
        <w:ind w:left="520"/>
        <w:spacing w:after="0"/>
        <w:rPr>
          <w:sz w:val="20"/>
          <w:szCs w:val="20"/>
          <w:color w:val="auto"/>
        </w:rPr>
      </w:pPr>
      <w:r>
        <w:rPr>
          <w:rFonts w:ascii="Arial" w:cs="Arial" w:eastAsia="Arial" w:hAnsi="Arial"/>
          <w:sz w:val="18"/>
          <w:szCs w:val="18"/>
          <w:color w:val="auto"/>
        </w:rPr>
        <w:t>Stock options outstanding and exercisable consisted of the following at March 31, 2021:</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12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92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Employees and Directors</w:t>
            </w:r>
          </w:p>
        </w:tc>
        <w:tc>
          <w:tcPr>
            <w:tcW w:w="240" w:type="dxa"/>
            <w:vAlign w:val="bottom"/>
          </w:tcPr>
          <w:p>
            <w:pPr>
              <w:spacing w:after="0"/>
              <w:rPr>
                <w:sz w:val="15"/>
                <w:szCs w:val="15"/>
                <w:color w:val="auto"/>
              </w:rPr>
            </w:pPr>
          </w:p>
        </w:tc>
        <w:tc>
          <w:tcPr>
            <w:tcW w:w="2920" w:type="dxa"/>
            <w:vAlign w:val="bottom"/>
            <w:tcBorders>
              <w:bottom w:val="single" w:sz="8" w:color="auto"/>
            </w:tcBorders>
            <w:gridSpan w:val="3"/>
          </w:tcPr>
          <w:p>
            <w:pPr>
              <w:jc w:val="right"/>
              <w:ind w:right="852"/>
              <w:spacing w:after="0"/>
              <w:rPr>
                <w:sz w:val="20"/>
                <w:szCs w:val="20"/>
                <w:color w:val="auto"/>
              </w:rPr>
            </w:pPr>
            <w:r>
              <w:rPr>
                <w:rFonts w:ascii="Arial" w:cs="Arial" w:eastAsia="Arial" w:hAnsi="Arial"/>
                <w:sz w:val="14"/>
                <w:szCs w:val="14"/>
                <w:b w:val="1"/>
                <w:bCs w:val="1"/>
                <w:color w:val="auto"/>
              </w:rPr>
              <w:t>Non-employees</w:t>
            </w:r>
          </w:p>
        </w:tc>
        <w:tc>
          <w:tcPr>
            <w:tcW w:w="120" w:type="dxa"/>
            <w:vAlign w:val="bottom"/>
          </w:tcPr>
          <w:p>
            <w:pPr>
              <w:spacing w:after="0"/>
              <w:rPr>
                <w:sz w:val="15"/>
                <w:szCs w:val="15"/>
                <w:color w:val="auto"/>
              </w:rPr>
            </w:pPr>
          </w:p>
        </w:tc>
      </w:tr>
      <w:tr>
        <w:trPr>
          <w:trHeight w:val="156"/>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5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Shares</w:t>
            </w:r>
          </w:p>
        </w:tc>
        <w:tc>
          <w:tcPr>
            <w:tcW w:w="14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Shares</w:t>
            </w:r>
          </w:p>
        </w:tc>
      </w:tr>
      <w:tr>
        <w:trPr>
          <w:trHeight w:val="169"/>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Exercisable</w:t>
            </w:r>
          </w:p>
        </w:tc>
      </w:tr>
      <w:tr>
        <w:trPr>
          <w:trHeight w:val="216"/>
        </w:trPr>
        <w:tc>
          <w:tcPr>
            <w:tcW w:w="1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0.16</w:t>
            </w:r>
          </w:p>
        </w:tc>
        <w:tc>
          <w:tcPr>
            <w:tcW w:w="27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2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151,320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151,320</w:t>
            </w: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27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2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2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66,931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66,931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31,525</w:t>
            </w:r>
          </w:p>
        </w:tc>
        <w:tc>
          <w:tcPr>
            <w:tcW w:w="1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27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2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2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27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290,974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68,509</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97,727</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63,049</w:t>
            </w:r>
          </w:p>
        </w:tc>
        <w:tc>
          <w:tcPr>
            <w:tcW w:w="12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2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21,016</w:t>
            </w: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17.00</w:t>
            </w:r>
          </w:p>
        </w:tc>
        <w:tc>
          <w:tcPr>
            <w:tcW w:w="27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737,052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19,263</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195,453</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19.29</w:t>
            </w:r>
          </w:p>
        </w:tc>
        <w:tc>
          <w:tcPr>
            <w:tcW w:w="2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27,742</w:t>
            </w: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21.15</w:t>
            </w:r>
          </w:p>
        </w:tc>
        <w:tc>
          <w:tcPr>
            <w:tcW w:w="27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558,150</w:t>
            </w: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21.40</w:t>
            </w:r>
          </w:p>
        </w:tc>
        <w:tc>
          <w:tcPr>
            <w:tcW w:w="2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9,600</w:t>
            </w: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21.62</w:t>
            </w:r>
          </w:p>
        </w:tc>
        <w:tc>
          <w:tcPr>
            <w:tcW w:w="27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22.22</w:t>
            </w:r>
          </w:p>
        </w:tc>
        <w:tc>
          <w:tcPr>
            <w:tcW w:w="2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29,618</w:t>
            </w: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23.79</w:t>
            </w:r>
          </w:p>
        </w:tc>
        <w:tc>
          <w:tcPr>
            <w:tcW w:w="27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29.41</w:t>
            </w:r>
          </w:p>
        </w:tc>
        <w:tc>
          <w:tcPr>
            <w:tcW w:w="2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27,742</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2,311</w:t>
            </w: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39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2,099,989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489,525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409,822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179,691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31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There were 4,204 shares subject to repurchase as of March 31, 2021 and December 31, 2020, all of which were related to non-employee RSAs.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RSA activity for the three months ended March 31, 2021 was as follows: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4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54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Equivalent</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Non-vested at March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61"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During the three months ended March 31, 2021, the Company issued a restricted stock unit (“RSU”) award to an advisor under the 2020 Plan. The restricted stock units will vest in full on August 3, 2021, subject to continued service to the Company during the vesting period.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A summary of RSU activity for the three months ended March 31, 2021 was as follows: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38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53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Equivalent</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FF0FC"/>
            </w:tcBorders>
          </w:tcPr>
          <w:p>
            <w:pPr>
              <w:spacing w:after="0"/>
              <w:rPr>
                <w:sz w:val="15"/>
                <w:szCs w:val="15"/>
                <w:color w:val="auto"/>
              </w:rPr>
            </w:pPr>
          </w:p>
        </w:tc>
      </w:tr>
      <w:tr>
        <w:trPr>
          <w:trHeight w:val="20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3,152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(1,576)</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80" w:type="dxa"/>
            <w:vAlign w:val="bottom"/>
            <w:shd w:val="clear" w:color="auto" w:fill="CFF0FC"/>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Non-vested at March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13. Net Loss Per Share Attributable to Common Stockholders</w:t>
      </w:r>
    </w:p>
    <w:p>
      <w:pPr>
        <w:spacing w:after="0" w:line="261"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244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5420" w:type="dxa"/>
            <w:vAlign w:val="bottom"/>
            <w:tcBorders>
              <w:bottom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4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basis</w:t>
            </w:r>
          </w:p>
        </w:tc>
        <w:tc>
          <w:tcPr>
            <w:tcW w:w="128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2,617,386</w:t>
            </w:r>
          </w:p>
        </w:tc>
        <w:tc>
          <w:tcPr>
            <w:tcW w:w="80" w:type="dxa"/>
            <w:vAlign w:val="bottom"/>
            <w:shd w:val="clear" w:color="auto" w:fill="CFF0FC"/>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Non-vested RSAs</w:t>
            </w:r>
          </w:p>
        </w:tc>
        <w:tc>
          <w:tcPr>
            <w:tcW w:w="1080" w:type="dxa"/>
            <w:vAlign w:val="bottom"/>
          </w:tcPr>
          <w:p>
            <w:pPr>
              <w:jc w:val="right"/>
              <w:spacing w:after="0"/>
              <w:rPr>
                <w:sz w:val="20"/>
                <w:szCs w:val="20"/>
                <w:color w:val="auto"/>
              </w:rPr>
            </w:pPr>
            <w:r>
              <w:rPr>
                <w:rFonts w:ascii="Arial" w:cs="Arial" w:eastAsia="Arial" w:hAnsi="Arial"/>
                <w:sz w:val="18"/>
                <w:szCs w:val="18"/>
                <w:color w:val="auto"/>
              </w:rPr>
              <w:t>4,204</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8,407</w:t>
            </w:r>
          </w:p>
        </w:tc>
        <w:tc>
          <w:tcPr>
            <w:tcW w:w="8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Non-vested RSUs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2,509,811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1,339,492</w:t>
            </w:r>
          </w:p>
        </w:tc>
        <w:tc>
          <w:tcPr>
            <w:tcW w:w="8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3,310</w:t>
            </w:r>
          </w:p>
        </w:tc>
        <w:tc>
          <w:tcPr>
            <w:tcW w:w="80" w:type="dxa"/>
            <w:vAlign w:val="bottom"/>
          </w:tcPr>
          <w:p>
            <w:pPr>
              <w:spacing w:after="0"/>
              <w:rPr>
                <w:sz w:val="18"/>
                <w:szCs w:val="18"/>
                <w:color w:val="auto"/>
              </w:rPr>
            </w:pPr>
          </w:p>
        </w:tc>
      </w:tr>
      <w:tr>
        <w:trPr>
          <w:trHeight w:val="209"/>
        </w:trPr>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2,518,534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3,968,595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510"/>
        <w:spacing w:after="0" w:line="242"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in conjunction with our unaudited condensed consolidated financial statements and notes thereto included in Part I, Item 1 of this Quarterly Report on Form 10-Q and with our audited financial statements and related notes thereto and Management’s Discussion and Analysis of Financial Condition and Results of Operations included in our Annual Report on Form 10-K, filed with the Securities and Exchange Commission, or the SEC, on March 25,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This Quarterly Report on Form 10-Q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and Section 21E of the Securities Exchange Act of 1934, as amended.</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 statements include, but are not limited to, statements about:</w:t>
      </w:r>
    </w:p>
    <w:p>
      <w:pPr>
        <w:spacing w:after="0" w:line="97"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beneficial characteristics, safety and efficacy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the impact of the novel coronavirus disease, or COVID-19, pandemic on our business;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benefits of any strategic collaboration agreements we may enter into.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66" w:lineRule="exact"/>
        <w:rPr>
          <w:sz w:val="20"/>
          <w:szCs w:val="20"/>
          <w:color w:val="auto"/>
        </w:rPr>
      </w:pPr>
    </w:p>
    <w:p>
      <w:pPr>
        <w:jc w:val="both"/>
        <w:ind w:right="20" w:firstLine="510"/>
        <w:spacing w:after="0" w:line="238"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These statements, like all statements in this report, speak only as of their date, and we undertake no obligation to update or revise these statements in light of future developments. In this report, “we,” “our,” “us,” “Athira,” and “the Company” refer to Athira Pharma, Inc.</w:t>
      </w:r>
    </w:p>
    <w:p>
      <w:pPr>
        <w:spacing w:after="0" w:line="22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23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5" w:name="page26"/>
    <w:bookmarkEnd w:id="25"/>
    <w:p>
      <w:pPr>
        <w:jc w:val="both"/>
        <w:spacing w:after="0" w:line="238" w:lineRule="auto"/>
        <w:rPr>
          <w:sz w:val="20"/>
          <w:szCs w:val="20"/>
          <w:color w:val="auto"/>
        </w:rPr>
      </w:pPr>
      <w:r>
        <w:rPr>
          <w:rFonts w:ascii="Arial" w:cs="Arial" w:eastAsia="Arial" w:hAnsi="Arial"/>
          <w:sz w:val="18"/>
          <w:szCs w:val="18"/>
          <w:color w:val="auto"/>
        </w:rPr>
        <w:t>and improved cognition. In September 2020, we began site initiation and patient screening for LIFT-AD, our Phase 2/3 clinical trial for ATH-1017 that may provide pivotal data in support of registration, for the treatment of mild-to-moderate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by early 2022. Beyond AD, we believe that ATH-1017 can potentially address the broader dementia patient population.</w:t>
      </w:r>
    </w:p>
    <w:p>
      <w:pPr>
        <w:spacing w:after="0" w:line="22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369050" cy="3266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69050" cy="326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RoA: route of administration; SC: subcutaneous; PO: oral.</w:t>
      </w:r>
    </w:p>
    <w:p>
      <w:pPr>
        <w:spacing w:after="0" w:line="3" w:lineRule="exact"/>
        <w:rPr>
          <w:rFonts w:ascii="Arial" w:cs="Arial" w:eastAsia="Arial" w:hAnsi="Arial"/>
          <w:sz w:val="24"/>
          <w:szCs w:val="24"/>
          <w:color w:val="auto"/>
          <w:vertAlign w:val="superscript"/>
        </w:rPr>
      </w:pPr>
    </w:p>
    <w:p>
      <w:pPr>
        <w:ind w:left="500" w:hanging="492"/>
        <w:spacing w:after="0" w:line="187" w:lineRule="auto"/>
        <w:tabs>
          <w:tab w:leader="none" w:pos="500" w:val="left"/>
        </w:tabs>
        <w:numPr>
          <w:ilvl w:val="0"/>
          <w:numId w:val="11"/>
        </w:numPr>
        <w:rPr>
          <w:rFonts w:ascii="Arial" w:cs="Arial" w:eastAsia="Arial" w:hAnsi="Arial"/>
          <w:sz w:val="18"/>
          <w:szCs w:val="18"/>
          <w:color w:val="auto"/>
          <w:vertAlign w:val="superscript"/>
        </w:rPr>
      </w:pPr>
      <w:r>
        <w:rPr>
          <w:rFonts w:ascii="Arial" w:cs="Arial" w:eastAsia="Arial" w:hAnsi="Arial"/>
          <w:sz w:val="11"/>
          <w:szCs w:val="11"/>
          <w:color w:val="auto"/>
        </w:rPr>
        <w:t>ATH-1017 for AD is moving from Phase 1b to a Phase 2/3 clinical trial that may provide pivotal data in support of registration based on discussions with FDA.</w:t>
      </w:r>
    </w:p>
    <w:p>
      <w:pPr>
        <w:ind w:left="500" w:hanging="492"/>
        <w:spacing w:after="0" w:line="189" w:lineRule="auto"/>
        <w:tabs>
          <w:tab w:leader="none" w:pos="50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PPD clinical development of ATH-1017 will be based on results from Phase 1a and 1b trials and include all required regulatory filings.</w:t>
      </w:r>
    </w:p>
    <w:p>
      <w:pPr>
        <w:spacing w:after="0" w:line="22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23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24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6" w:name="page27"/>
    <w:bookmarkEnd w:id="26"/>
    <w:p>
      <w:pPr>
        <w:jc w:val="both"/>
        <w:spacing w:after="0" w:line="238" w:lineRule="auto"/>
        <w:rPr>
          <w:sz w:val="20"/>
          <w:szCs w:val="20"/>
          <w:color w:val="auto"/>
        </w:rPr>
      </w:pPr>
      <w:r>
        <w:rPr>
          <w:rFonts w:ascii="Arial" w:cs="Arial" w:eastAsia="Arial" w:hAnsi="Arial"/>
          <w:sz w:val="18"/>
          <w:szCs w:val="18"/>
          <w:color w:val="auto"/>
        </w:rPr>
        <w:t>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22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24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To date, we have funded our operations primarily through proceeds from the sale of equity securities, including proceeds from the sale and issuance of common stock in our IPO, the sale and issuance of convertible preferred stock, common stock warrants, and convertible notes, and to a lesser extent from grant income and stock option exercises. From inception to March 31, 2021, we have raised aggregate net cash proceeds of approximately $407.4 million primarily from the issuance of our common stock, convertible preferred stock, common stock warrants, and convertible notes. We have incurred significant operating losses to date. Our net losses were $8.9 million and $1.8 million for the three months ended March 31, 2021 and 2020, respectively. As of March 31, 2021, we had an accumulated deficit of $49.9 million and cash, cash equivalents and investments of $357.7 million.</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000" w:hanging="493"/>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Phase 2/3 clinical trial for ATH-1017 for the treatment of mild-to-moderate AD;</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pipeline of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grow our discovery organization and invest in the ATH platform;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ramp up manufacturing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relocate to our new facility and build out lab space;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 and</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19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9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7" w:name="page28"/>
    <w:bookmarkEnd w:id="27"/>
    <w:p>
      <w:pPr>
        <w:jc w:val="both"/>
        <w:spacing w:after="0" w:line="246" w:lineRule="auto"/>
        <w:rPr>
          <w:sz w:val="20"/>
          <w:szCs w:val="20"/>
          <w:color w:val="auto"/>
        </w:rPr>
      </w:pPr>
      <w:r>
        <w:rPr>
          <w:rFonts w:ascii="Arial" w:cs="Arial" w:eastAsia="Arial" w:hAnsi="Arial"/>
          <w:sz w:val="18"/>
          <w:szCs w:val="18"/>
          <w:color w:val="auto"/>
        </w:rPr>
        <w:t>operating activities. Based upon our current operating plan, we estimate that our existing cash, cash equivalents and investments will be sufficient to fund our operating expenses and capital expenditure requirements at least through 2022.</w:t>
      </w:r>
    </w:p>
    <w:p>
      <w:pPr>
        <w:spacing w:after="0" w:line="23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COVID-19 on our business, supply chain, operations and clinical development timelines and plans remains uncertain, and will depend on certain developments, including the duration and spread of the outbreak and its impact on our clinical trial enrollment, trial sites, contract research organizations, or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Follow-on Public Offering</w:t>
      </w:r>
    </w:p>
    <w:p>
      <w:pPr>
        <w:spacing w:after="0" w:line="12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January 2021, we completed a follow-on public offering of our common stock. As part of the follow-on offering, we issued and sold 4,000,000 shares of our common stock at a public offering price of $22.50 per share. We received net proceeds of approximately $84.1 million from the follow-on offering, after deducting underwriting discounts and commissions and offering costs. In February 2021, we sold an additional 600,000 shares of common stock to the underwriters of the follow-on public offering upon full exercise of the underwriters’ option to purchase additional shares at the follow-on public offering price of $22.50 per share, less underwriting discounts and commissions and offering costs resulting in net proceeds to us of approximately $12.7 million.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3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jc w:val="both"/>
        <w:spacing w:after="0" w:line="238" w:lineRule="auto"/>
        <w:rPr>
          <w:sz w:val="20"/>
          <w:szCs w:val="20"/>
          <w:color w:val="auto"/>
        </w:rPr>
      </w:pPr>
      <w:r>
        <w:rPr>
          <w:rFonts w:ascii="Arial" w:cs="Arial" w:eastAsia="Arial" w:hAnsi="Arial"/>
          <w:sz w:val="18"/>
          <w:szCs w:val="18"/>
          <w:color w:val="auto"/>
        </w:rPr>
        <w:t>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expect our research and development expenses will increase substantially as we initiate and conduct current and planned Phase 2 and Phase 2/3 clinical trials for ATH-1017.</w:t>
      </w:r>
    </w:p>
    <w:p>
      <w:pPr>
        <w:spacing w:after="0" w:line="229"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95"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phases of development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 subject trial costs;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subjects that participate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drop-out and discontinuation rate of subjects;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duration of subject participation in the trials and follow-up;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manufacturing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hiring and retention of research and development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COVID-19 on timelines and clinical operations, which may lead to increased costs; and</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23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6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24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9" w:name="page30"/>
    <w:bookmarkEnd w:id="29"/>
    <w:p>
      <w:pPr>
        <w:jc w:val="both"/>
        <w:ind w:right="20"/>
        <w:spacing w:after="0" w:line="246" w:lineRule="auto"/>
        <w:rPr>
          <w:sz w:val="20"/>
          <w:szCs w:val="20"/>
          <w:color w:val="auto"/>
        </w:rPr>
      </w:pPr>
      <w:r>
        <w:rPr>
          <w:rFonts w:ascii="Arial" w:cs="Arial" w:eastAsia="Arial" w:hAnsi="Arial"/>
          <w:sz w:val="18"/>
          <w:szCs w:val="18"/>
          <w:color w:val="auto"/>
        </w:rPr>
        <w:t>securities are traded, legal, auditing, additional insurance expenses, investor relations activities, and other administrative and professional services. We also expect to continue to increase the size of our administrative function to support the growth of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6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Grant income consists of income related to the Part the Cloud and NIH grants and is recognized as qualifying expenses under the grant agreements are incurred. We expect grant income associated with the NIH grant will increase in future years, as we expect qualifying expenses under the grant terms to increase substantially in relation to our continued research activities and development of our programs. Under the terms of the agreement, we may receive approximately $7.8 million, with the potential for an additional $7.4 million, up to an aggregate of $15.2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Other income (expense), net consists of interest earned on our cash, cash equivalents, and investments, periodic mark-to-market gains and losses on the derivative, grant, and convertible preferred stock warrant liabilities carried at fair value, and interest expense on our convertible notes. In the future, we expect investment income to be the primary component of other income, net as the mark-to-market liabilities and convertible notes were all settled in 2020 and will no longer be adjusted to fair value.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Borders>
              <w:bottom w:val="single" w:sz="8" w:color="auto"/>
            </w:tcBorders>
          </w:tcPr>
          <w:p>
            <w:pPr>
              <w:spacing w:after="0"/>
              <w:rPr>
                <w:sz w:val="15"/>
                <w:szCs w:val="15"/>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r>
      <w:tr>
        <w:trPr>
          <w:trHeight w:val="175"/>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234"/>
              <w:spacing w:after="0"/>
              <w:rPr>
                <w:sz w:val="20"/>
                <w:szCs w:val="20"/>
                <w:color w:val="auto"/>
              </w:rPr>
            </w:pPr>
            <w:r>
              <w:rPr>
                <w:rFonts w:ascii="Arial" w:cs="Arial" w:eastAsia="Arial" w:hAnsi="Arial"/>
                <w:sz w:val="14"/>
                <w:szCs w:val="14"/>
                <w:b w:val="1"/>
                <w:bCs w:val="1"/>
                <w:color w:val="auto"/>
              </w:rPr>
              <w:t>Change</w:t>
            </w:r>
          </w:p>
        </w:tc>
      </w:tr>
      <w:tr>
        <w:trPr>
          <w:trHeight w:val="169"/>
        </w:trPr>
        <w:tc>
          <w:tcPr>
            <w:tcW w:w="5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2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7,445</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6,853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2,661</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22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(10,781)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(1,267)</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(9,514)</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(8,866)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(7,061)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Not meaningful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75"/>
        </w:trPr>
        <w:tc>
          <w:tcPr>
            <w:tcW w:w="4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ATH-1017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6,188</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Preclinical programs and other direct costs</w:t>
            </w:r>
          </w:p>
        </w:tc>
        <w:tc>
          <w:tcPr>
            <w:tcW w:w="7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09"/>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7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w:t>
            </w: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4400" w:type="dxa"/>
            <w:vAlign w:val="bottom"/>
          </w:tcPr>
          <w:p>
            <w:pPr>
              <w:ind w:left="240"/>
              <w:spacing w:after="0"/>
              <w:rPr>
                <w:sz w:val="20"/>
                <w:szCs w:val="20"/>
                <w:color w:val="auto"/>
              </w:rPr>
            </w:pPr>
            <w:r>
              <w:rPr>
                <w:rFonts w:ascii="Arial" w:cs="Arial" w:eastAsia="Arial" w:hAnsi="Arial"/>
                <w:sz w:val="18"/>
                <w:szCs w:val="18"/>
                <w:color w:val="auto"/>
              </w:rPr>
              <w:t>Personnel-related costs, including stock-</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4400" w:type="dxa"/>
            <w:vAlign w:val="bottom"/>
          </w:tcPr>
          <w:p>
            <w:pPr>
              <w:ind w:left="400"/>
              <w:spacing w:after="0" w:line="203" w:lineRule="exact"/>
              <w:rPr>
                <w:sz w:val="20"/>
                <w:szCs w:val="20"/>
                <w:color w:val="auto"/>
              </w:rPr>
            </w:pPr>
            <w:r>
              <w:rPr>
                <w:rFonts w:ascii="Arial" w:cs="Arial" w:eastAsia="Arial" w:hAnsi="Arial"/>
                <w:sz w:val="18"/>
                <w:szCs w:val="18"/>
                <w:color w:val="auto"/>
              </w:rPr>
              <w:t>based compensation</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852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676</w:t>
            </w:r>
          </w:p>
        </w:tc>
        <w:tc>
          <w:tcPr>
            <w:tcW w:w="142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384%</w:t>
            </w:r>
          </w:p>
        </w:tc>
      </w:tr>
      <w:tr>
        <w:trPr>
          <w:trHeight w:val="216"/>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Facilities and other costs</w:t>
            </w:r>
          </w:p>
        </w:tc>
        <w:tc>
          <w:tcPr>
            <w:tcW w:w="7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r>
      <w:tr>
        <w:trPr>
          <w:trHeight w:val="209"/>
        </w:trPr>
        <w:tc>
          <w:tcPr>
            <w:tcW w:w="44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7,445</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Research and development expenses increased by $6.8 million, from $0.6 million for the three months ended March 31, 2020 to $7.4 million for the three months ended March 31, 2021. The increase was driven primarily by an increase in expenses for ATH-1017 of $5.8 million related to start-up activities by our clinical research organization and clinical drug supply manufacturers for Phase 2 clinical trials, and to a lesser extent, by increases in personnel-related costs due primarily to an increase in headcount, facilities, and other costs supporting our general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6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General and administrative expenses increased by $2.6 million, from $0.7 million for the three months ended March 31, 2020 to $3.3 million for the three months ended March 31, 2021. The increase was primarily due to an increase in personnel-related costs of $1.1 million, due primarily to an increase in headcount to support our continued growth, an increase in insurance costs of $0.8 million, an increase in facilities costs of $0.4 million, and to a lesser extent, increases in corporate legal, accounting, technical and consulting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Grant income increased by $1.8 million, from less than $0.1 million for the three months ended March 31, 2020 to $ 1.8 million for the three months ended March 31, 2021. The increase was solely driven by our acceptance of the NIH grant, under which we recognized grant income of $ 1.8 million. Grant income recognized during the three months ended March 31, 2020 under the Part the Cloud grant did not recur in the three months ended March 31,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Other income (expense), net, changed from expense of $0.6 million for the three months ended March 31, 2020 to income of $0.1 million for the three months ended March 31, 2021. Other income for the three months ended March 31, 2021 consisted of interest income on our available for sale securities. Other expense for the three months ended March 31, 2020 consisted of losses on liability instruments recorded at fair value of $0.4 million and interest expense of $0.2 million.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March 31, 2021, we have raised aggregate net cash proceeds of $407.4 million primarily from the issuance of our common stock, convertible preferred stock, common stock warrants, and convertible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color w:val="auto"/>
        </w:rPr>
        <w:t>Recent sales of our common stock were as follows.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w:t>
            </w:r>
          </w:p>
        </w:tc>
      </w:tr>
      <w:tr>
        <w:trPr>
          <w:trHeight w:val="176"/>
        </w:trPr>
        <w:tc>
          <w:tcPr>
            <w:tcW w:w="53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Proceeds</w:t>
            </w:r>
          </w:p>
        </w:tc>
      </w:tr>
      <w:tr>
        <w:trPr>
          <w:trHeight w:val="175"/>
        </w:trPr>
        <w:tc>
          <w:tcPr>
            <w:tcW w:w="53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Issued</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bottom w:val="single" w:sz="8" w:color="CFF0FC"/>
            </w:tcBorders>
          </w:tcPr>
          <w:p>
            <w:pPr>
              <w:spacing w:after="0"/>
              <w:rPr>
                <w:sz w:val="15"/>
                <w:szCs w:val="15"/>
                <w:color w:val="auto"/>
              </w:rPr>
            </w:pP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September 2020 IPO</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October 2020 overallotment exercise</w:t>
            </w:r>
          </w:p>
        </w:tc>
        <w:tc>
          <w:tcPr>
            <w:tcW w:w="1040" w:type="dxa"/>
            <w:vAlign w:val="bottom"/>
          </w:tcPr>
          <w:p>
            <w:pPr>
              <w:jc w:val="right"/>
              <w:spacing w:after="0"/>
              <w:rPr>
                <w:sz w:val="20"/>
                <w:szCs w:val="20"/>
                <w:color w:val="auto"/>
              </w:rPr>
            </w:pPr>
            <w:r>
              <w:rPr>
                <w:rFonts w:ascii="Arial" w:cs="Arial" w:eastAsia="Arial" w:hAnsi="Arial"/>
                <w:sz w:val="18"/>
                <w:szCs w:val="18"/>
                <w:color w:val="auto"/>
              </w:rPr>
              <w:t>1,397,712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January 2021 follow-on public offering</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February 2021 overallotment exercise</w:t>
            </w: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17,997,712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80" w:type="dxa"/>
            <w:vAlign w:val="bottom"/>
            <w:shd w:val="clear" w:color="auto" w:fill="CFF0FC"/>
          </w:tcPr>
          <w:p>
            <w:pPr>
              <w:spacing w:after="0"/>
              <w:rPr>
                <w:sz w:val="18"/>
                <w:szCs w:val="18"/>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As of March 31, 2021, we had $357.7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7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Based upon our current operating plan, we estimate that our $357.7 million of cash, cash equivalents, and investments at March 31, 2021 will be sufficient to fund our operating expenses and capital expenditure requirements through at least the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5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97"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2" w:name="page33"/>
    <w:bookmarkEnd w:id="32"/>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expenses needed to attract, hire and retain skilled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relocating to our new facility and building out lab space;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6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53"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5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(7,305)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(1,175)</w:t>
            </w:r>
          </w:p>
        </w:tc>
      </w:tr>
      <w:tr>
        <w:trPr>
          <w:trHeight w:val="216"/>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(22,708)</w:t>
            </w: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97,211</w:t>
            </w:r>
          </w:p>
        </w:tc>
        <w:tc>
          <w:tcPr>
            <w:tcW w:w="2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80" w:type="dxa"/>
            <w:vAlign w:val="bottom"/>
            <w:tcBorders>
              <w:bottom w:val="single" w:sz="8" w:color="CFF0FC"/>
            </w:tcBorders>
          </w:tcPr>
          <w:p>
            <w:pPr>
              <w:spacing w:after="0"/>
              <w:rPr>
                <w:sz w:val="18"/>
                <w:szCs w:val="18"/>
                <w:color w:val="auto"/>
              </w:rPr>
            </w:pPr>
          </w:p>
        </w:tc>
      </w:tr>
      <w:tr>
        <w:trPr>
          <w:trHeight w:val="20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320" w:type="dxa"/>
            <w:vAlign w:val="bottom"/>
            <w:tcBorders>
              <w:bottom w:val="single" w:sz="8" w:color="CFF0FC"/>
            </w:tcBorders>
            <w:shd w:val="clear" w:color="auto" w:fill="CFF0FC"/>
          </w:tcPr>
          <w:p>
            <w:pPr>
              <w:ind w:left="140"/>
              <w:spacing w:after="0" w:line="203" w:lineRule="exact"/>
              <w:rPr>
                <w:sz w:val="20"/>
                <w:szCs w:val="20"/>
                <w:color w:val="auto"/>
              </w:rPr>
            </w:pPr>
            <w:r>
              <w:rPr>
                <w:rFonts w:ascii="Arial" w:cs="Arial" w:eastAsia="Arial" w:hAnsi="Arial"/>
                <w:sz w:val="18"/>
                <w:szCs w:val="18"/>
                <w:color w:val="auto"/>
              </w:rPr>
              <w:t>equivalents</w:t>
            </w:r>
          </w:p>
        </w:tc>
        <w:tc>
          <w:tcPr>
            <w:tcW w:w="1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67,198</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666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7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During the three months ended March 31, 2021, net cash used in operating activities was $7.3 million. This consisted primarily of a net loss of $8.9 million, partially offset by non-cash charges of $1.2 million and an increase in our net operating assets of $0.3 million. The non-cash charges primarily consisted of stock-based compensation expense, depreciation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 decrease in accounts payable and accrued expenses.</w:t>
      </w:r>
    </w:p>
    <w:p>
      <w:pPr>
        <w:spacing w:after="0" w:line="24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During the three months ended March 31, 2020, net cash used in operating activities was $1.2 million. This consisted primarily of a net loss of $1.8 million, partially offset by non-cash charges of $0.6 million. The non-cash charges primarily consisted of stock-based compensation expense, non-cash interest expense and accretion of discounts on our convertible notes, and changes in the carrying value of liabilities stated at fair value.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7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During the three months ended March 31, 2021, net cash used in investing was $22.7 million. This consisted of purchases of available-for-sale securities.</w:t>
      </w:r>
    </w:p>
    <w:p>
      <w:pPr>
        <w:spacing w:after="0" w:line="23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During the three months ended March 31, 2020, net cash provided by investing activities was $1,000. This consisted of principal repayments received on the unsecured related party note receivable.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61"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During the three months ended March 31, 2021, net cash provided by financing activities was $97.2 million, primarily driven by proceeds received from our follow-on public offering, and to a lesser extent from exercises of stock options.</w:t>
      </w:r>
    </w:p>
    <w:p>
      <w:pPr>
        <w:spacing w:after="0" w:line="237"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During the three months ended March 31, 2020, net cash provided by financing activities was $1.8 million. This consisted primarily of proceeds of $1.7 million from the issuance of our convertible notes and to a lesser extent from exercises of stock options.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303(d) of Regulation 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6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43"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During the three months ended March 31, 2021,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25, 2021 and Note 2 to our unaudited condensed consolidated financial statements included in “Part I, Item 1—Financial Statements (Unaudited)” of this Quarterly Report on Form 10-Q. We believe that of our critical accounting policies, the following accounting policies involve the most judgment and complexity:</w:t>
      </w:r>
    </w:p>
    <w:p>
      <w:pPr>
        <w:spacing w:after="0" w:line="9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See Note 2 to our unaudited interim condensed consolidated financial statements included elsewhere in this Quarterly Report on Form 10-Q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6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4" w:name="page35"/>
    <w:bookmarkEnd w:id="34"/>
    <w:p>
      <w:pPr>
        <w:jc w:val="both"/>
        <w:spacing w:after="0"/>
        <w:rPr>
          <w:sz w:val="20"/>
          <w:szCs w:val="20"/>
          <w:color w:val="auto"/>
        </w:rPr>
      </w:pPr>
      <w:r>
        <w:rPr>
          <w:rFonts w:ascii="Arial" w:cs="Arial" w:eastAsia="Arial" w:hAnsi="Arial"/>
          <w:sz w:val="18"/>
          <w:szCs w:val="18"/>
          <w:color w:val="auto"/>
        </w:rPr>
        <w:t>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305 of Regulation 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23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management, with the participation of our principal executive officer and principal financial and accounting officer, evaluated the effectiveness of our disclosure controls and procedures at the end of the period covered by this Quarterly Report. Based upon such evaluation, our principal executive officer and principal financial and accounting officer have concluded that our disclosure controls and procedures were effective at the reasonable assurance level as of such date.</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4"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March 31, 2021, that have materially affected, or are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231F20"/>
        </w:rPr>
        <w:t xml:space="preserve">You should carefully consider the </w:t>
      </w:r>
      <w:r>
        <w:rPr>
          <w:rFonts w:ascii="Arial" w:cs="Arial" w:eastAsia="Arial" w:hAnsi="Arial"/>
          <w:sz w:val="18"/>
          <w:szCs w:val="18"/>
          <w:i w:val="1"/>
          <w:iCs w:val="1"/>
          <w:color w:val="231F20"/>
        </w:rPr>
        <w:t>following risk factors, in addition to</w:t>
      </w:r>
      <w:r>
        <w:rPr>
          <w:rFonts w:ascii="Arial" w:cs="Arial" w:eastAsia="Arial" w:hAnsi="Arial"/>
          <w:sz w:val="18"/>
          <w:szCs w:val="18"/>
          <w:color w:val="231F20"/>
        </w:rPr>
        <w:t xml:space="preserve"> the other information </w:t>
      </w:r>
      <w:r>
        <w:rPr>
          <w:rFonts w:ascii="Arial" w:cs="Arial" w:eastAsia="Arial" w:hAnsi="Arial"/>
          <w:sz w:val="18"/>
          <w:szCs w:val="18"/>
          <w:i w:val="1"/>
          <w:iCs w:val="1"/>
          <w:color w:val="231F20"/>
        </w:rPr>
        <w:t>contained in this Quarterly Report on Form</w:t>
      </w:r>
      <w:r>
        <w:rPr>
          <w:rFonts w:ascii="Arial" w:cs="Arial" w:eastAsia="Arial" w:hAnsi="Arial"/>
          <w:sz w:val="18"/>
          <w:szCs w:val="18"/>
          <w:color w:val="231F20"/>
        </w:rPr>
        <w:t xml:space="preserve"> </w:t>
      </w:r>
      <w:r>
        <w:rPr>
          <w:rFonts w:ascii="Arial" w:cs="Arial" w:eastAsia="Arial" w:hAnsi="Arial"/>
          <w:sz w:val="18"/>
          <w:szCs w:val="18"/>
          <w:i w:val="1"/>
          <w:iCs w:val="1"/>
          <w:color w:val="231F20"/>
        </w:rPr>
        <w:t>10-Q, or Quarterly Report</w:t>
      </w:r>
      <w:r>
        <w:rPr>
          <w:rFonts w:ascii="Arial" w:cs="Arial" w:eastAsia="Arial" w:hAnsi="Arial"/>
          <w:sz w:val="18"/>
          <w:szCs w:val="18"/>
          <w:color w:val="231F20"/>
        </w:rPr>
        <w:t>, including the “Management’s Discussion and Analysis of Financial Condition and Results of Operations” section</w:t>
      </w:r>
      <w:r>
        <w:rPr>
          <w:rFonts w:ascii="Arial" w:cs="Arial" w:eastAsia="Arial" w:hAnsi="Arial"/>
          <w:sz w:val="18"/>
          <w:szCs w:val="18"/>
          <w:i w:val="1"/>
          <w:iCs w:val="1"/>
          <w:color w:val="231F20"/>
        </w:rPr>
        <w:t xml:space="preserve">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Quarterly Report also contains forward-looking statements that involve risks and uncertainties. Our actual results could differ materially from those anticipated in the forward-looking statements as a result of factors that are described below and elsewhere in this Quarterly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27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3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2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21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94" w:lineRule="exact"/>
        <w:rPr>
          <w:sz w:val="20"/>
          <w:szCs w:val="20"/>
          <w:color w:val="auto"/>
        </w:rPr>
      </w:pPr>
    </w:p>
    <w:p>
      <w:pPr>
        <w:ind w:left="1000" w:hanging="493"/>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ind w:left="1000"/>
        <w:spacing w:after="0"/>
        <w:rPr>
          <w:sz w:val="20"/>
          <w:szCs w:val="20"/>
          <w:color w:val="auto"/>
        </w:rPr>
      </w:pPr>
      <w:r>
        <w:rPr>
          <w:rFonts w:ascii="Arial" w:cs="Arial" w:eastAsia="Arial" w:hAnsi="Arial"/>
          <w:sz w:val="18"/>
          <w:szCs w:val="18"/>
          <w:color w:val="auto"/>
        </w:rPr>
        <w:t>result of nonclinical study or clinical trial delays due to the novel coronavirus disease, or COVID-19, pandemic or other causes;</w:t>
      </w:r>
    </w:p>
    <w:p>
      <w:pPr>
        <w:spacing w:after="0" w:line="117" w:lineRule="exact"/>
        <w:rPr>
          <w:sz w:val="20"/>
          <w:szCs w:val="20"/>
          <w:color w:val="auto"/>
        </w:rPr>
      </w:pPr>
    </w:p>
    <w:p>
      <w:pPr>
        <w:ind w:left="1000" w:hanging="493"/>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88" w:lineRule="exact"/>
        <w:rPr>
          <w:rFonts w:ascii="Arial" w:cs="Arial" w:eastAsia="Arial" w:hAnsi="Arial"/>
          <w:sz w:val="18"/>
          <w:szCs w:val="18"/>
          <w:color w:val="auto"/>
        </w:rPr>
      </w:pPr>
    </w:p>
    <w:p>
      <w:pPr>
        <w:jc w:val="both"/>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6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3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7" w:name="page38"/>
    <w:bookmarkEnd w:id="37"/>
    <w:p>
      <w:pPr>
        <w:jc w:val="both"/>
        <w:spacing w:after="0" w:line="238" w:lineRule="auto"/>
        <w:rPr>
          <w:sz w:val="20"/>
          <w:szCs w:val="20"/>
          <w:color w:val="auto"/>
        </w:rPr>
      </w:pPr>
      <w:r>
        <w:rPr>
          <w:rFonts w:ascii="Arial" w:cs="Arial" w:eastAsia="Arial" w:hAnsi="Arial"/>
          <w:sz w:val="18"/>
          <w:szCs w:val="18"/>
          <w:color w:val="auto"/>
        </w:rPr>
        <w:t>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development of ATH-</w:t>
      </w:r>
      <w:r>
        <w:rPr>
          <w:rFonts w:ascii="Arial" w:cs="Arial" w:eastAsia="Arial" w:hAnsi="Arial"/>
          <w:sz w:val="18"/>
          <w:szCs w:val="18"/>
          <w:color w:val="auto"/>
        </w:rPr>
        <w:t>1017</w:t>
      </w:r>
      <w:r>
        <w:rPr>
          <w:rFonts w:ascii="Arial" w:cs="Arial" w:eastAsia="Arial" w:hAnsi="Arial"/>
          <w:sz w:val="18"/>
          <w:szCs w:val="18"/>
          <w:b w:val="1"/>
          <w:bCs w:val="1"/>
          <w:i w:val="1"/>
          <w:iCs w:val="1"/>
          <w:color w:val="auto"/>
        </w:rPr>
        <w:t xml:space="preserve"> may never lead to a marketable product.</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4"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marketing approval;</w:t>
      </w:r>
    </w:p>
    <w:p>
      <w:pPr>
        <w:spacing w:after="0" w:line="117" w:lineRule="exact"/>
        <w:rPr>
          <w:rFonts w:ascii="Arial" w:cs="Arial" w:eastAsia="Arial" w:hAnsi="Arial"/>
          <w:sz w:val="18"/>
          <w:szCs w:val="18"/>
          <w:color w:val="auto"/>
        </w:rPr>
      </w:pPr>
    </w:p>
    <w:p>
      <w:pPr>
        <w:jc w:val="both"/>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9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30"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239"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Alzheimer’s disease, or AD, and other central nervous system, or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248"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of whom seven patients were treated with ATH-1017 and the other four patients were randomized to the control. Data from our Phase 1a and 1b clinical trials, while promising, were obtained from a relatively small number of subjects and a single clinical site and we cannot be certain that future trials involving a larger number of subjects and clinical sites will yield similar data. Additionally, in our Phase 1a and 1b clinical trials,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 and 1b clinical trials,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8" w:name="page39"/>
    <w:bookmarkEnd w:id="38"/>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23"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23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Our lead product candidate, ATH-1017, is in clinical development for the potential treatment of AD and Parkinson’s disease dementia, or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23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studies and clinical trials with a single or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November 2020, we initiated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ACT-AD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5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9" w:name="page40"/>
    <w:bookmarkEnd w:id="39"/>
    <w:p>
      <w:pPr>
        <w:jc w:val="both"/>
        <w:spacing w:after="0" w:line="238" w:lineRule="auto"/>
        <w:rPr>
          <w:sz w:val="20"/>
          <w:szCs w:val="20"/>
          <w:color w:val="auto"/>
        </w:rPr>
      </w:pPr>
      <w:r>
        <w:rPr>
          <w:rFonts w:ascii="Arial" w:cs="Arial" w:eastAsia="Arial" w:hAnsi="Arial"/>
          <w:sz w:val="18"/>
          <w:szCs w:val="18"/>
          <w:color w:val="auto"/>
        </w:rPr>
        <w:t>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229"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4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9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ATH platform development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our ability to commence a clinical trial;</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IRB approval at each clinical trial site;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a benefit from using a product candidate;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26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0" w:name="page41"/>
    <w:bookmarkEnd w:id="40"/>
    <w:p>
      <w:pPr>
        <w:jc w:val="both"/>
        <w:ind w:firstLine="510"/>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32"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95"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44"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3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35" w:lineRule="exact"/>
        <w:rPr>
          <w:sz w:val="20"/>
          <w:szCs w:val="20"/>
          <w:color w:val="auto"/>
        </w:rPr>
      </w:pPr>
    </w:p>
    <w:p>
      <w:pPr>
        <w:jc w:val="both"/>
        <w:ind w:firstLine="514"/>
        <w:spacing w:after="0" w:line="238"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1" w:name="page42"/>
    <w:bookmarkEnd w:id="41"/>
    <w:p>
      <w:pPr>
        <w:jc w:val="both"/>
        <w:ind w:firstLine="514"/>
        <w:spacing w:after="0" w:line="236"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 comprehensive and full review of the data may result in different conclusions, which could have a negative impact on our decisions regarding any additional trials for ATH-1017.</w:t>
      </w:r>
    </w:p>
    <w:p>
      <w:pPr>
        <w:spacing w:after="0" w:line="235" w:lineRule="exact"/>
        <w:rPr>
          <w:sz w:val="20"/>
          <w:szCs w:val="20"/>
          <w:color w:val="auto"/>
        </w:rPr>
      </w:pPr>
    </w:p>
    <w:p>
      <w:pPr>
        <w:jc w:val="both"/>
        <w:ind w:firstLine="514"/>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26"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230"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ACT-AD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24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2" w:name="page43"/>
    <w:bookmarkEnd w:id="42"/>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21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4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report titled “Business—Competition.”</w:t>
      </w:r>
    </w:p>
    <w:p>
      <w:pPr>
        <w:spacing w:after="0" w:line="22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27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3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43" w:name="page44"/>
    <w:bookmarkEnd w:id="43"/>
    <w:p>
      <w:pPr>
        <w:jc w:val="both"/>
        <w:spacing w:after="0" w:line="246" w:lineRule="auto"/>
        <w:rPr>
          <w:sz w:val="20"/>
          <w:szCs w:val="20"/>
          <w:color w:val="auto"/>
        </w:rPr>
      </w:pPr>
      <w:r>
        <w:rPr>
          <w:rFonts w:ascii="Arial" w:cs="Arial" w:eastAsia="Arial" w:hAnsi="Arial"/>
          <w:sz w:val="18"/>
          <w:szCs w:val="18"/>
          <w:color w:val="auto"/>
        </w:rPr>
        <w:t>efficacy, quality, manufacturing or supply issues arise with, the drugs we choose to evaluate in combination with our product candidate we develop, we may be unable to obtain approval of or market such combination therapy.</w:t>
      </w:r>
    </w:p>
    <w:p>
      <w:pPr>
        <w:spacing w:after="0" w:line="20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5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23"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3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3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252"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20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4" w:name="page45"/>
    <w:bookmarkEnd w:id="44"/>
    <w:p>
      <w:pPr>
        <w:jc w:val="both"/>
        <w:spacing w:after="0" w:line="238" w:lineRule="auto"/>
        <w:rPr>
          <w:sz w:val="20"/>
          <w:szCs w:val="20"/>
          <w:color w:val="auto"/>
        </w:rPr>
      </w:pPr>
      <w:r>
        <w:rPr>
          <w:rFonts w:ascii="Arial" w:cs="Arial" w:eastAsia="Arial" w:hAnsi="Arial"/>
          <w:sz w:val="18"/>
          <w:szCs w:val="18"/>
          <w:color w:val="auto"/>
        </w:rPr>
        <w:t>their work outside of our offices and limited the number of staff in any given research and development laboratory. In addition, a number of our clinical trial sites have been subject to restrictions related to COVID-19 that could adversely affect their operations. If these restrictions are not lifted in the near-term, it could impact the overall enrollment rate for our ongoing trials.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229"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89" w:lineRule="exact"/>
        <w:rPr>
          <w:sz w:val="20"/>
          <w:szCs w:val="20"/>
          <w:color w:val="auto"/>
        </w:rPr>
      </w:pPr>
    </w:p>
    <w:p>
      <w:pPr>
        <w:jc w:val="both"/>
        <w:ind w:left="1000" w:right="2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94"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jc w:val="both"/>
        <w:ind w:left="1000" w:hanging="493"/>
        <w:spacing w:after="0" w:line="23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96"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17" w:lineRule="exact"/>
        <w:rPr>
          <w:rFonts w:ascii="Arial" w:cs="Arial" w:eastAsia="Arial" w:hAnsi="Arial"/>
          <w:sz w:val="18"/>
          <w:szCs w:val="18"/>
          <w:color w:val="auto"/>
        </w:rPr>
      </w:pPr>
    </w:p>
    <w:p>
      <w:pPr>
        <w:jc w:val="both"/>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23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5" w:name="page46"/>
    <w:bookmarkEnd w:id="45"/>
    <w:p>
      <w:pPr>
        <w:jc w:val="both"/>
        <w:ind w:firstLine="510"/>
        <w:spacing w:after="0" w:line="238" w:lineRule="auto"/>
        <w:rPr>
          <w:sz w:val="20"/>
          <w:szCs w:val="20"/>
          <w:color w:val="auto"/>
        </w:rPr>
      </w:pPr>
      <w:r>
        <w:rPr>
          <w:rFonts w:ascii="Arial" w:cs="Arial" w:eastAsia="Arial" w:hAnsi="Arial"/>
          <w:sz w:val="18"/>
          <w:szCs w:val="18"/>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2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4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25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1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 xml:space="preserve">We have not generated any revenue from product sales and our product candidates will require substantial additional investment before they may provide us with any revenue. We had net losses of $ 8.9 million and $1.8 million for the three months ended March 31, 2021 </w:t>
      </w:r>
      <w:r>
        <w:rPr>
          <w:rFonts w:ascii="Arial" w:cs="Arial" w:eastAsia="Arial" w:hAnsi="Arial"/>
          <w:sz w:val="18"/>
          <w:szCs w:val="18"/>
          <w:color w:val="212529"/>
        </w:rPr>
        <w:t>and 2020, respectively, and an accumulated deficit of $49.9 million as of March 31, 2021.</w:t>
      </w:r>
    </w:p>
    <w:p>
      <w:pPr>
        <w:spacing w:after="0" w:line="230"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212529"/>
        </w:rPr>
        <w:t xml:space="preserve">We have devoted most of our financial resources to research and development, including our clinical and nonclinical development </w:t>
      </w:r>
      <w:r>
        <w:rPr>
          <w:rFonts w:ascii="Arial" w:cs="Arial" w:eastAsia="Arial" w:hAnsi="Arial"/>
          <w:sz w:val="18"/>
          <w:szCs w:val="18"/>
          <w:color w:val="00000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88"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6" w:name="page47"/>
    <w:bookmarkEnd w:id="46"/>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relocate to our new facility and build out lab space;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or other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6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18"/>
          <w:szCs w:val="18"/>
          <w:color w:val="212529"/>
        </w:rPr>
        <w:t>studies</w:t>
      </w:r>
      <w:r>
        <w:rPr>
          <w:rFonts w:ascii="Arial" w:cs="Arial" w:eastAsia="Arial" w:hAnsi="Arial"/>
          <w:sz w:val="18"/>
          <w:szCs w:val="18"/>
          <w:color w:val="auto"/>
        </w:rPr>
        <w:t xml:space="preserve"> in addition to those that we currently anticipate. Our prior losses, combined with expected future losses, have had and will continue to have an adverse effect on our stockholders’ equity.</w:t>
      </w:r>
    </w:p>
    <w:p>
      <w:pPr>
        <w:spacing w:after="0" w:line="21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23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AD, PDD, and any other indications that we may pursue in the future will require substantial amounts of capital. In addition, if we </w:t>
      </w:r>
      <w:r>
        <w:rPr>
          <w:rFonts w:ascii="Arial" w:cs="Arial" w:eastAsia="Arial" w:hAnsi="Arial"/>
          <w:sz w:val="18"/>
          <w:szCs w:val="18"/>
          <w:color w:val="212529"/>
        </w:rPr>
        <w:t>obtain</w:t>
      </w:r>
      <w:r>
        <w:rPr>
          <w:rFonts w:ascii="Arial" w:cs="Arial" w:eastAsia="Arial" w:hAnsi="Arial"/>
          <w:sz w:val="18"/>
          <w:szCs w:val="18"/>
          <w:color w:val="auto"/>
        </w:rPr>
        <w:t xml:space="preserve"> </w:t>
      </w:r>
      <w:r>
        <w:rPr>
          <w:rFonts w:ascii="Arial" w:cs="Arial" w:eastAsia="Arial" w:hAnsi="Arial"/>
          <w:sz w:val="18"/>
          <w:szCs w:val="18"/>
          <w:color w:val="212529"/>
        </w:rPr>
        <w:t>marketing approval for ATH-1017 or any future product candidates, we expect to incur significant commercialization expenses related to sales, marketing, manufacturing, and distribution. Furthermore, we expect to continue to incur additional costs associated with operating as a public company.</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212529"/>
        </w:rPr>
        <w:t>Accordingly, we will need to obtain substantial additional funding in connection with our continuing operations. As of March 31, 2021, we had cash, cash equivalents, and investments of $357.7 million. Based upon our current operating plan, we estimate that our existing cash, cash equivalents, and investments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32"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amount and timing of our future funding requirements depends on many factors, some of which are outside of our control,</w:t>
      </w:r>
      <w:r>
        <w:rPr>
          <w:rFonts w:ascii="Arial" w:cs="Arial" w:eastAsia="Arial" w:hAnsi="Arial"/>
          <w:sz w:val="18"/>
          <w:szCs w:val="18"/>
          <w:color w:val="212529"/>
        </w:rPr>
        <w:t xml:space="preserve"> </w:t>
      </w:r>
      <w:r>
        <w:rPr>
          <w:rFonts w:ascii="Arial" w:cs="Arial" w:eastAsia="Arial" w:hAnsi="Arial"/>
          <w:sz w:val="18"/>
          <w:szCs w:val="18"/>
          <w:color w:val="000000"/>
        </w:rPr>
        <w:t>including but not limited to:</w:t>
      </w:r>
    </w:p>
    <w:p>
      <w:pPr>
        <w:spacing w:after="0" w:line="89" w:lineRule="exact"/>
        <w:rPr>
          <w:sz w:val="20"/>
          <w:szCs w:val="20"/>
          <w:color w:val="auto"/>
        </w:rPr>
      </w:pPr>
    </w:p>
    <w:p>
      <w:pPr>
        <w:ind w:left="1000" w:hanging="493"/>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7" w:name="page48"/>
    <w:bookmarkEnd w:id="47"/>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7" w:lineRule="exact"/>
        <w:rPr>
          <w:rFonts w:ascii="Arial" w:cs="Arial" w:eastAsia="Arial" w:hAnsi="Arial"/>
          <w:sz w:val="18"/>
          <w:szCs w:val="18"/>
          <w:color w:val="auto"/>
        </w:rPr>
      </w:pPr>
    </w:p>
    <w:p>
      <w:pPr>
        <w:jc w:val="both"/>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9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23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 xml:space="preserve">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8"/>
          <w:szCs w:val="18"/>
          <w:color w:val="212529"/>
        </w:rPr>
        <w:t>unable</w:t>
      </w:r>
      <w:r>
        <w:rPr>
          <w:rFonts w:ascii="Arial" w:cs="Arial" w:eastAsia="Arial" w:hAnsi="Arial"/>
          <w:sz w:val="18"/>
          <w:szCs w:val="18"/>
          <w:color w:val="auto"/>
        </w:rPr>
        <w:t xml:space="preserv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 xml:space="preserve">Our ability to use net operating </w:t>
      </w:r>
      <w:r>
        <w:rPr>
          <w:rFonts w:ascii="Arial" w:cs="Arial" w:eastAsia="Arial" w:hAnsi="Arial"/>
          <w:sz w:val="18"/>
          <w:szCs w:val="18"/>
          <w:b w:val="1"/>
          <w:bCs w:val="1"/>
          <w:i w:val="1"/>
          <w:iCs w:val="1"/>
          <w:color w:val="000000"/>
        </w:rPr>
        <w:t>losses</w:t>
      </w:r>
      <w:r>
        <w:rPr>
          <w:rFonts w:ascii="Arial" w:cs="Arial" w:eastAsia="Arial" w:hAnsi="Arial"/>
          <w:sz w:val="18"/>
          <w:szCs w:val="18"/>
          <w:b w:val="1"/>
          <w:bCs w:val="1"/>
          <w:i w:val="1"/>
          <w:iCs w:val="1"/>
          <w:color w:val="212529"/>
        </w:rPr>
        <w:t xml:space="preserve"> to offset future taxable income may be subject to certain limitations.</w:t>
      </w:r>
    </w:p>
    <w:p>
      <w:pPr>
        <w:spacing w:after="0" w:line="27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212529"/>
        </w:rPr>
        <w:t xml:space="preserve">As of December 31, 2020, we had federal net operating loss carryforwards, or NOLs, to offset future taxable income of approximately $9.4 million and federal tax credit carryforwards of approximately $1.3 million. The federal NOLs generated during and after fiscal 2018 totaling $29.1 million are carried forward indefinitely, while all others, if not utilized, will expire in various </w:t>
      </w:r>
      <w:r>
        <w:rPr>
          <w:rFonts w:ascii="Arial" w:cs="Arial" w:eastAsia="Arial" w:hAnsi="Arial"/>
          <w:sz w:val="18"/>
          <w:szCs w:val="18"/>
          <w:color w:val="000000"/>
        </w:rPr>
        <w:t>years</w:t>
      </w:r>
      <w:r>
        <w:rPr>
          <w:rFonts w:ascii="Arial" w:cs="Arial" w:eastAsia="Arial" w:hAnsi="Arial"/>
          <w:sz w:val="18"/>
          <w:szCs w:val="18"/>
          <w:color w:val="212529"/>
        </w:rPr>
        <w:t xml:space="preserve">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239"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3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4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8" w:name="page49"/>
    <w:bookmarkEnd w:id="48"/>
    <w:p>
      <w:pPr>
        <w:jc w:val="both"/>
        <w:spacing w:after="0" w:line="236" w:lineRule="auto"/>
        <w:rPr>
          <w:sz w:val="20"/>
          <w:szCs w:val="20"/>
          <w:color w:val="auto"/>
        </w:rPr>
      </w:pPr>
      <w:r>
        <w:rPr>
          <w:rFonts w:ascii="Arial" w:cs="Arial" w:eastAsia="Arial" w:hAnsi="Arial"/>
          <w:sz w:val="18"/>
          <w:szCs w:val="18"/>
          <w:color w:val="auto"/>
        </w:rPr>
        <w:t>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000" w:hanging="493"/>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88" w:lineRule="exact"/>
        <w:rPr>
          <w:rFonts w:ascii="Arial" w:cs="Arial" w:eastAsia="Arial" w:hAnsi="Arial"/>
          <w:sz w:val="18"/>
          <w:szCs w:val="18"/>
          <w:color w:val="auto"/>
        </w:rPr>
      </w:pPr>
    </w:p>
    <w:p>
      <w:pPr>
        <w:jc w:val="both"/>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94"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88"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23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4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10"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36" w:lineRule="exact"/>
        <w:rPr>
          <w:sz w:val="20"/>
          <w:szCs w:val="20"/>
          <w:color w:val="auto"/>
        </w:rPr>
      </w:pPr>
    </w:p>
    <w:p>
      <w:pPr>
        <w:jc w:val="both"/>
        <w:ind w:firstLine="514"/>
        <w:spacing w:after="0"/>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9" w:name="page50"/>
    <w:bookmarkEnd w:id="49"/>
    <w:p>
      <w:pPr>
        <w:jc w:val="both"/>
        <w:spacing w:after="0" w:line="238" w:lineRule="auto"/>
        <w:rPr>
          <w:sz w:val="20"/>
          <w:szCs w:val="20"/>
          <w:color w:val="auto"/>
        </w:rPr>
      </w:pPr>
      <w:r>
        <w:rPr>
          <w:rFonts w:ascii="Arial" w:cs="Arial" w:eastAsia="Arial" w:hAnsi="Arial"/>
          <w:sz w:val="18"/>
          <w:szCs w:val="18"/>
          <w:color w:val="auto"/>
        </w:rPr>
        <w:t>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32" w:lineRule="exact"/>
        <w:rPr>
          <w:sz w:val="20"/>
          <w:szCs w:val="20"/>
          <w:color w:val="auto"/>
        </w:rPr>
      </w:pPr>
    </w:p>
    <w:p>
      <w:pPr>
        <w:jc w:val="both"/>
        <w:ind w:firstLine="514"/>
        <w:spacing w:after="0" w:line="237"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243" w:lineRule="exact"/>
        <w:rPr>
          <w:sz w:val="20"/>
          <w:szCs w:val="20"/>
          <w:color w:val="auto"/>
        </w:rPr>
      </w:pPr>
    </w:p>
    <w:p>
      <w:pPr>
        <w:jc w:val="both"/>
        <w:ind w:firstLine="514"/>
        <w:spacing w:after="0" w:line="235"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54" w:lineRule="exact"/>
        <w:rPr>
          <w:sz w:val="20"/>
          <w:szCs w:val="20"/>
          <w:color w:val="auto"/>
        </w:rPr>
      </w:pPr>
    </w:p>
    <w:p>
      <w:pPr>
        <w:jc w:val="both"/>
        <w:ind w:firstLine="514"/>
        <w:spacing w:after="0" w:line="238"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0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4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0" w:name="page51"/>
    <w:bookmarkEnd w:id="50"/>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1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97" w:lineRule="exact"/>
        <w:rPr>
          <w:sz w:val="20"/>
          <w:szCs w:val="20"/>
          <w:color w:val="auto"/>
        </w:rPr>
      </w:pPr>
    </w:p>
    <w:p>
      <w:pPr>
        <w:ind w:left="1000" w:right="20" w:hanging="493"/>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88"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6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3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51" w:name="page52"/>
    <w:bookmarkEnd w:id="51"/>
    <w:p>
      <w:pPr>
        <w:jc w:val="both"/>
        <w:spacing w:after="0" w:line="238" w:lineRule="auto"/>
        <w:rPr>
          <w:sz w:val="20"/>
          <w:szCs w:val="20"/>
          <w:color w:val="auto"/>
        </w:rPr>
      </w:pPr>
      <w:r>
        <w:rPr>
          <w:rFonts w:ascii="Arial" w:cs="Arial" w:eastAsia="Arial" w:hAnsi="Arial"/>
          <w:sz w:val="18"/>
          <w:szCs w:val="18"/>
          <w:color w:val="auto"/>
        </w:rPr>
        <w:t>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207"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39"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45" w:lineRule="exact"/>
        <w:rPr>
          <w:sz w:val="20"/>
          <w:szCs w:val="20"/>
          <w:color w:val="auto"/>
        </w:rPr>
      </w:pPr>
    </w:p>
    <w:p>
      <w:pPr>
        <w:jc w:val="both"/>
        <w:ind w:firstLine="514"/>
        <w:spacing w:after="0" w:line="235"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the FDA announced that it will continue to postpone domestic and foreign routine surveillance inspections due to COVID-19. According to the FDA’s 2021 guidance on manufacturing, supply chain, and drug and biological product inspections during the COVID-19 public health emergency, the FDA indicated that it intends to continue using other tools and approaches where possible for pre-approval inspections, and that it will continue to conduct “mission-critical” inspections on a case-by-case basis, or, where possible to do so safely, resume prioritized domestic inspections, such as pre-approval and surveillance inspections.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18" w:lineRule="exact"/>
        <w:rPr>
          <w:sz w:val="20"/>
          <w:szCs w:val="20"/>
          <w:color w:val="auto"/>
        </w:rPr>
      </w:pPr>
    </w:p>
    <w:p>
      <w:pPr>
        <w:jc w:val="both"/>
        <w:ind w:right="20" w:firstLine="514"/>
        <w:spacing w:after="0" w:line="242"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241" w:lineRule="exact"/>
        <w:rPr>
          <w:sz w:val="20"/>
          <w:szCs w:val="20"/>
          <w:color w:val="auto"/>
        </w:rPr>
      </w:pPr>
    </w:p>
    <w:p>
      <w:pPr>
        <w:jc w:val="both"/>
        <w:ind w:firstLine="514"/>
        <w:spacing w:after="0" w:line="236"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2" w:name="page53"/>
    <w:bookmarkEnd w:id="52"/>
    <w:p>
      <w:pPr>
        <w:jc w:val="both"/>
        <w:ind w:firstLine="510"/>
        <w:spacing w:after="0" w:line="236"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0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1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9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our manufacturing arrangements;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modifications to product labeling;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recall or discontinuation of our products; or</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237" w:lineRule="exact"/>
        <w:rPr>
          <w:sz w:val="20"/>
          <w:szCs w:val="20"/>
          <w:color w:val="auto"/>
        </w:rPr>
      </w:pPr>
    </w:p>
    <w:p>
      <w:pPr>
        <w:jc w:val="both"/>
        <w:ind w:firstLine="514"/>
        <w:spacing w:after="0" w:line="235"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21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As discussed above, since its enactment, there have been judicial and Congressional challenges to certain aspects of the ACA. For example, various portions of the ACA are currently undergoing legal and constitutional challenges in the United States Supreme Court, which is expected to rule on the constitutionality of the ACA later in 2021. On January 28, 2021, President Biden issued an executive order to initiate a special enrollment period from February 15, 2021 through May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3" w:name="page54"/>
    <w:bookmarkEnd w:id="53"/>
    <w:p>
      <w:pPr>
        <w:jc w:val="both"/>
        <w:spacing w:after="0" w:line="237" w:lineRule="auto"/>
        <w:rPr>
          <w:sz w:val="20"/>
          <w:szCs w:val="20"/>
          <w:color w:val="auto"/>
        </w:rPr>
      </w:pPr>
      <w:r>
        <w:rPr>
          <w:rFonts w:ascii="Arial" w:cs="Arial" w:eastAsia="Arial" w:hAnsi="Arial"/>
          <w:sz w:val="18"/>
          <w:szCs w:val="18"/>
          <w:color w:val="auto"/>
        </w:rPr>
        <w:t>15, 2021 for purposes of obtaining health insurance coverage through the ACA marketplace, which also instructs certain governmental agencies to review and reconsider their existing policies and rules that limit access to healthcare. We cannot predict how the Supreme Court will rule on the ACA litigation, how future litigation will impact our business, or what other healthcare measures and regulations will ultimately be implemented at the federal or state level or the effect of any future legislation or regulation may have on our business. Complying with any new legislation or reversing changes implemented under the ACA could be time-intensive and expensive, resulting in a material adverse effect on our business.</w:t>
      </w:r>
    </w:p>
    <w:p>
      <w:pPr>
        <w:spacing w:after="0" w:line="24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the end of 2021, unless additional Congressional action is taken.</w:t>
      </w:r>
    </w:p>
    <w:p>
      <w:pPr>
        <w:spacing w:after="0" w:line="231"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The impact of these lawsuits as well as legislative, executive, and administrative actions of the Biden administration on us and the pharmaceutical industry as a whole is unclear.</w:t>
      </w:r>
    </w:p>
    <w:p>
      <w:pPr>
        <w:spacing w:after="0" w:line="25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4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3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4" w:name="page55"/>
    <w:bookmarkEnd w:id="54"/>
    <w:p>
      <w:pPr>
        <w:spacing w:after="0" w:line="246"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payors of healthcare services to contain or reduce costs of healthcare and/or impose price controls may adversely affect:</w:t>
      </w:r>
    </w:p>
    <w:p>
      <w:pPr>
        <w:spacing w:after="0" w:line="89"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23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23"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2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jc w:val="both"/>
        <w:ind w:left="1000" w:hanging="493"/>
        <w:spacing w:after="0" w:line="23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5" w:name="page56"/>
    <w:bookmarkEnd w:id="55"/>
    <w:p>
      <w:pPr>
        <w:jc w:val="both"/>
        <w:ind w:left="500" w:hanging="493"/>
        <w:spacing w:after="0" w:line="236"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96" w:lineRule="exact"/>
        <w:rPr>
          <w:rFonts w:ascii="Arial" w:cs="Arial" w:eastAsia="Arial" w:hAnsi="Arial"/>
          <w:sz w:val="18"/>
          <w:szCs w:val="18"/>
          <w:color w:val="auto"/>
        </w:rPr>
      </w:pPr>
    </w:p>
    <w:p>
      <w:pPr>
        <w:jc w:val="both"/>
        <w:ind w:left="500" w:hanging="493"/>
        <w:spacing w:after="0" w:line="236"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9" w:lineRule="exact"/>
        <w:rPr>
          <w:rFonts w:ascii="Arial" w:cs="Arial" w:eastAsia="Arial" w:hAnsi="Arial"/>
          <w:sz w:val="18"/>
          <w:szCs w:val="18"/>
          <w:color w:val="auto"/>
        </w:rPr>
      </w:pPr>
    </w:p>
    <w:p>
      <w:pPr>
        <w:jc w:val="both"/>
        <w:ind w:left="500" w:hanging="493"/>
        <w:spacing w:after="0" w:line="236"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9" w:lineRule="exact"/>
        <w:rPr>
          <w:rFonts w:ascii="Arial" w:cs="Arial" w:eastAsia="Arial" w:hAnsi="Arial"/>
          <w:sz w:val="18"/>
          <w:szCs w:val="18"/>
          <w:color w:val="auto"/>
        </w:rPr>
      </w:pPr>
    </w:p>
    <w:p>
      <w:pPr>
        <w:jc w:val="both"/>
        <w:ind w:left="500" w:hanging="493"/>
        <w:spacing w:after="0" w:line="236"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and teaching hospitals, as well as ownership and investment interests held by physicians and their immediate family members. Effective January 1, 2022, for data reported to CMS in 2022, these reporting obligations with respect to covered recipients will extend to include payments and transfers of value made during the previous year to certain non-physician providers such as physician assistants and nurse practitioners.</w:t>
      </w:r>
    </w:p>
    <w:p>
      <w:pPr>
        <w:spacing w:after="0" w:line="99" w:lineRule="exact"/>
        <w:rPr>
          <w:rFonts w:ascii="Arial" w:cs="Arial" w:eastAsia="Arial" w:hAnsi="Arial"/>
          <w:sz w:val="18"/>
          <w:szCs w:val="18"/>
          <w:color w:val="auto"/>
        </w:rPr>
      </w:pPr>
    </w:p>
    <w:p>
      <w:pPr>
        <w:ind w:left="500" w:hanging="493"/>
        <w:spacing w:after="0" w:line="246"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8"/>
          <w:szCs w:val="18"/>
          <w:color w:val="auto"/>
        </w:rPr>
      </w:pPr>
    </w:p>
    <w:p>
      <w:pPr>
        <w:jc w:val="both"/>
        <w:ind w:left="500" w:hanging="493"/>
        <w:spacing w:after="0" w:line="236"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0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463" w:right="339" w:bottom="1440" w:gutter="0" w:footer="0" w:header="0"/>
        </w:sectPr>
      </w:pPr>
    </w:p>
    <w:bookmarkStart w:id="56" w:name="page57"/>
    <w:bookmarkEnd w:id="56"/>
    <w:p>
      <w:pPr>
        <w:jc w:val="both"/>
        <w:ind w:firstLine="510"/>
        <w:spacing w:after="0" w:line="236"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1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31"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3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4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7" w:name="page58"/>
    <w:bookmarkEnd w:id="57"/>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5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18"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237"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5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58" w:name="page59"/>
    <w:bookmarkEnd w:id="58"/>
    <w:p>
      <w:pPr>
        <w:jc w:val="both"/>
        <w:ind w:firstLine="510"/>
        <w:spacing w:after="0"/>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08"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23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6" w:lineRule="exact"/>
        <w:rPr>
          <w:sz w:val="20"/>
          <w:szCs w:val="20"/>
          <w:color w:val="auto"/>
        </w:rPr>
      </w:pPr>
    </w:p>
    <w:p>
      <w:pPr>
        <w:jc w:val="both"/>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6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9" w:name="page60"/>
    <w:bookmarkEnd w:id="59"/>
    <w:p>
      <w:pPr>
        <w:jc w:val="both"/>
        <w:spacing w:after="0" w:line="238" w:lineRule="auto"/>
        <w:rPr>
          <w:sz w:val="20"/>
          <w:szCs w:val="20"/>
          <w:color w:val="auto"/>
        </w:rPr>
      </w:pPr>
      <w:r>
        <w:rPr>
          <w:rFonts w:ascii="Arial" w:cs="Arial" w:eastAsia="Arial" w:hAnsi="Arial"/>
          <w:sz w:val="18"/>
          <w:szCs w:val="18"/>
          <w:color w:val="auto"/>
        </w:rPr>
        <w:t>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1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23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2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right="20" w:firstLine="510"/>
        <w:spacing w:after="0" w:line="253"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3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3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24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0" w:name="page61"/>
    <w:bookmarkEnd w:id="60"/>
    <w:p>
      <w:pPr>
        <w:jc w:val="both"/>
        <w:spacing w:after="0" w:line="238" w:lineRule="auto"/>
        <w:rPr>
          <w:sz w:val="20"/>
          <w:szCs w:val="20"/>
          <w:color w:val="auto"/>
        </w:rPr>
      </w:pPr>
      <w:r>
        <w:rPr>
          <w:rFonts w:ascii="Arial" w:cs="Arial" w:eastAsia="Arial" w:hAnsi="Arial"/>
          <w:sz w:val="18"/>
          <w:szCs w:val="18"/>
          <w:color w:val="auto"/>
        </w:rPr>
        <w:t>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29"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89"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jc w:val="both"/>
        <w:ind w:left="1000" w:hanging="493"/>
        <w:spacing w:after="0" w:line="238"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6"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88" w:lineRule="exact"/>
        <w:rPr>
          <w:rFonts w:ascii="Arial" w:cs="Arial" w:eastAsia="Arial" w:hAnsi="Arial"/>
          <w:sz w:val="18"/>
          <w:szCs w:val="18"/>
          <w:color w:val="auto"/>
        </w:rPr>
      </w:pPr>
    </w:p>
    <w:p>
      <w:pPr>
        <w:jc w:val="both"/>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4" w:lineRule="exact"/>
        <w:rPr>
          <w:rFonts w:ascii="Arial" w:cs="Arial" w:eastAsia="Arial" w:hAnsi="Arial"/>
          <w:sz w:val="18"/>
          <w:szCs w:val="18"/>
          <w:color w:val="auto"/>
        </w:rPr>
      </w:pPr>
    </w:p>
    <w:p>
      <w:pPr>
        <w:jc w:val="both"/>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37"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03"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95"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1" w:name="page62"/>
    <w:bookmarkEnd w:id="61"/>
    <w:p>
      <w:pPr>
        <w:ind w:left="1000" w:hanging="493"/>
        <w:spacing w:after="0" w:line="24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88"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23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252"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1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95"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5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 xml:space="preserve">If any of our product candidates is approved but does not achieve an adequate level of acceptance by physicians, hospitals, healthcare payors and patients, we may not generate or derive sufficient revenue from that product candidate and our financial </w:t>
      </w:r>
      <w:r>
        <w:rPr>
          <w:rFonts w:ascii="Arial" w:cs="Arial" w:eastAsia="Arial" w:hAnsi="Arial"/>
          <w:sz w:val="18"/>
          <w:szCs w:val="18"/>
          <w:color w:val="212529"/>
        </w:rPr>
        <w:t>results</w:t>
      </w:r>
      <w:r>
        <w:rPr>
          <w:rFonts w:ascii="Arial" w:cs="Arial" w:eastAsia="Arial" w:hAnsi="Arial"/>
          <w:sz w:val="18"/>
          <w:szCs w:val="18"/>
          <w:color w:val="auto"/>
        </w:rPr>
        <w:t xml:space="preserve"> could be negatively impacted.</w:t>
      </w:r>
    </w:p>
    <w:p>
      <w:pPr>
        <w:spacing w:after="0" w:line="2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6"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We have never commercialized a product candidate. We may license certain rights with respect to our product candidates to collaborators, and, if so, we will rely on the assistance and guidance of those collaborators. For product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2" w:name="page63"/>
    <w:bookmarkEnd w:id="62"/>
    <w:p>
      <w:pPr>
        <w:jc w:val="both"/>
        <w:ind w:right="20"/>
        <w:spacing w:after="0" w:line="246" w:lineRule="auto"/>
        <w:rPr>
          <w:sz w:val="20"/>
          <w:szCs w:val="20"/>
          <w:color w:val="auto"/>
        </w:rPr>
      </w:pPr>
      <w:r>
        <w:rPr>
          <w:rFonts w:ascii="Arial" w:cs="Arial" w:eastAsia="Arial" w:hAnsi="Arial"/>
          <w:sz w:val="18"/>
          <w:szCs w:val="18"/>
          <w:color w:val="auto"/>
        </w:rPr>
        <w:t xml:space="preserve">candidates for </w:t>
      </w:r>
      <w:r>
        <w:rPr>
          <w:rFonts w:ascii="Arial" w:cs="Arial" w:eastAsia="Arial" w:hAnsi="Arial"/>
          <w:sz w:val="18"/>
          <w:szCs w:val="18"/>
          <w:color w:val="212529"/>
        </w:rPr>
        <w:t>which we retain commercialization rights and marketing approval, we will have to develop our own sales, marketing and</w:t>
      </w:r>
      <w:r>
        <w:rPr>
          <w:rFonts w:ascii="Arial" w:cs="Arial" w:eastAsia="Arial" w:hAnsi="Arial"/>
          <w:sz w:val="18"/>
          <w:szCs w:val="18"/>
          <w:color w:val="auto"/>
        </w:rPr>
        <w:t xml:space="preserve"> </w:t>
      </w:r>
      <w:r>
        <w:rPr>
          <w:rFonts w:ascii="Arial" w:cs="Arial" w:eastAsia="Arial" w:hAnsi="Arial"/>
          <w:sz w:val="18"/>
          <w:szCs w:val="18"/>
          <w:color w:val="212529"/>
        </w:rPr>
        <w:t>supply organization or outsource these activities to a third party.</w:t>
      </w:r>
    </w:p>
    <w:p>
      <w:pPr>
        <w:spacing w:after="0" w:line="22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212529"/>
        </w:rPr>
        <w:t xml:space="preserve">Factors that may affect our ability to commercialize our product candidates, if approved, on our own include recruiting and retaining </w:t>
      </w:r>
      <w:r>
        <w:rPr>
          <w:rFonts w:ascii="Arial" w:cs="Arial" w:eastAsia="Arial" w:hAnsi="Arial"/>
          <w:sz w:val="18"/>
          <w:szCs w:val="18"/>
          <w:color w:val="000000"/>
        </w:rPr>
        <w:t>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2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21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cs="Arial" w:eastAsia="Arial" w:hAnsi="Arial"/>
          <w:sz w:val="18"/>
          <w:szCs w:val="18"/>
          <w:color w:val="212529"/>
        </w:rPr>
        <w:t>surveys</w:t>
      </w:r>
      <w:r>
        <w:rPr>
          <w:rFonts w:ascii="Arial" w:cs="Arial" w:eastAsia="Arial" w:hAnsi="Arial"/>
          <w:sz w:val="18"/>
          <w:szCs w:val="18"/>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1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cs="Arial" w:eastAsia="Arial" w:hAnsi="Arial"/>
          <w:sz w:val="18"/>
          <w:szCs w:val="18"/>
          <w:color w:val="212529"/>
        </w:rPr>
        <w:t>are</w:t>
      </w:r>
      <w:r>
        <w:rPr>
          <w:rFonts w:ascii="Arial" w:cs="Arial" w:eastAsia="Arial" w:hAnsi="Arial"/>
          <w:sz w:val="18"/>
          <w:szCs w:val="18"/>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0"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3" w:name="page64"/>
    <w:bookmarkEnd w:id="63"/>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6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cs="Arial" w:eastAsia="Arial" w:hAnsi="Arial"/>
          <w:sz w:val="18"/>
          <w:szCs w:val="18"/>
          <w:color w:val="212529"/>
        </w:rPr>
        <w:t>collaborators</w:t>
      </w:r>
      <w:r>
        <w:rPr>
          <w:rFonts w:ascii="Arial" w:cs="Arial" w:eastAsia="Arial" w:hAnsi="Arial"/>
          <w:sz w:val="18"/>
          <w:szCs w:val="18"/>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08"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23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18"/>
          <w:szCs w:val="18"/>
          <w:color w:val="212529"/>
        </w:rPr>
        <w:t>product</w:t>
      </w:r>
      <w:r>
        <w:rPr>
          <w:rFonts w:ascii="Arial" w:cs="Arial" w:eastAsia="Arial" w:hAnsi="Arial"/>
          <w:sz w:val="18"/>
          <w:szCs w:val="18"/>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47"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cs="Arial" w:eastAsia="Arial" w:hAnsi="Arial"/>
          <w:sz w:val="18"/>
          <w:szCs w:val="18"/>
          <w:color w:val="212529"/>
        </w:rPr>
        <w:t>products</w:t>
      </w:r>
      <w:r>
        <w:rPr>
          <w:rFonts w:ascii="Arial" w:cs="Arial" w:eastAsia="Arial" w:hAnsi="Arial"/>
          <w:sz w:val="18"/>
          <w:szCs w:val="18"/>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105"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52"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4" w:name="page65"/>
    <w:bookmarkEnd w:id="64"/>
    <w:p>
      <w:pPr>
        <w:jc w:val="both"/>
        <w:spacing w:after="0" w:line="238" w:lineRule="auto"/>
        <w:rPr>
          <w:sz w:val="20"/>
          <w:szCs w:val="20"/>
          <w:color w:val="auto"/>
        </w:rPr>
      </w:pPr>
      <w:r>
        <w:rPr>
          <w:rFonts w:ascii="Arial" w:cs="Arial" w:eastAsia="Arial" w:hAnsi="Arial"/>
          <w:sz w:val="18"/>
          <w:szCs w:val="18"/>
          <w:color w:val="auto"/>
        </w:rPr>
        <w:t xml:space="preserve">national health systems. In general, the </w:t>
      </w:r>
      <w:r>
        <w:rPr>
          <w:rFonts w:ascii="Arial" w:cs="Arial" w:eastAsia="Arial" w:hAnsi="Arial"/>
          <w:sz w:val="18"/>
          <w:szCs w:val="18"/>
          <w:color w:val="212529"/>
        </w:rPr>
        <w:t>prices</w:t>
      </w:r>
      <w:r>
        <w:rPr>
          <w:rFonts w:ascii="Arial" w:cs="Arial" w:eastAsia="Arial" w:hAnsi="Arial"/>
          <w:sz w:val="18"/>
          <w:szCs w:val="18"/>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29"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w:t>
      </w:r>
      <w:r>
        <w:rPr>
          <w:rFonts w:ascii="Arial" w:cs="Arial" w:eastAsia="Arial" w:hAnsi="Arial"/>
          <w:sz w:val="18"/>
          <w:szCs w:val="18"/>
          <w:color w:val="212529"/>
        </w:rPr>
        <w:t>results, our ability to</w:t>
      </w:r>
      <w:r>
        <w:rPr>
          <w:rFonts w:ascii="Arial" w:cs="Arial" w:eastAsia="Arial" w:hAnsi="Arial"/>
          <w:sz w:val="18"/>
          <w:szCs w:val="18"/>
          <w:color w:val="auto"/>
        </w:rPr>
        <w:t xml:space="preserve"> </w:t>
      </w:r>
      <w:r>
        <w:rPr>
          <w:rFonts w:ascii="Arial" w:cs="Arial" w:eastAsia="Arial" w:hAnsi="Arial"/>
          <w:sz w:val="18"/>
          <w:szCs w:val="18"/>
          <w:color w:val="212529"/>
        </w:rPr>
        <w:t>raise capital needed to commercialize product candidates, and our overall financial condition.</w:t>
      </w:r>
    </w:p>
    <w:p>
      <w:pPr>
        <w:spacing w:after="0" w:line="25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4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18"/>
          <w:szCs w:val="18"/>
          <w:color w:val="000000"/>
        </w:rPr>
        <w:t>product candidate that</w:t>
      </w:r>
      <w:r>
        <w:rPr>
          <w:rFonts w:ascii="Arial" w:cs="Arial" w:eastAsia="Arial" w:hAnsi="Arial"/>
          <w:sz w:val="18"/>
          <w:szCs w:val="18"/>
          <w:color w:val="212529"/>
        </w:rPr>
        <w:t xml:space="preserve"> </w:t>
      </w:r>
      <w:r>
        <w:rPr>
          <w:rFonts w:ascii="Arial" w:cs="Arial" w:eastAsia="Arial" w:hAnsi="Arial"/>
          <w:sz w:val="18"/>
          <w:szCs w:val="18"/>
          <w:color w:val="000000"/>
        </w:rPr>
        <w:t>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1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21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 xml:space="preserve">We plan to eventually seek regulatory approval of our product candidates outside of the United States and, accordingly, we </w:t>
      </w:r>
      <w:r>
        <w:rPr>
          <w:rFonts w:ascii="Arial" w:cs="Arial" w:eastAsia="Arial" w:hAnsi="Arial"/>
          <w:sz w:val="18"/>
          <w:szCs w:val="18"/>
          <w:color w:val="212529"/>
        </w:rPr>
        <w:t>expect</w:t>
      </w:r>
      <w:r>
        <w:rPr>
          <w:rFonts w:ascii="Arial" w:cs="Arial" w:eastAsia="Arial" w:hAnsi="Arial"/>
          <w:sz w:val="18"/>
          <w:szCs w:val="18"/>
          <w:color w:val="auto"/>
        </w:rPr>
        <w:t xml:space="preserve"> that we will be subject to additional risks related to operating in foreign countries if we obtain the necessary approvals, including:</w:t>
      </w:r>
    </w:p>
    <w:p>
      <w:pPr>
        <w:spacing w:after="0" w:line="89" w:lineRule="exact"/>
        <w:rPr>
          <w:sz w:val="20"/>
          <w:szCs w:val="20"/>
          <w:color w:val="auto"/>
        </w:rPr>
      </w:pPr>
    </w:p>
    <w:p>
      <w:pPr>
        <w:ind w:left="1000" w:hanging="493"/>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5" w:name="page66"/>
    <w:bookmarkEnd w:id="65"/>
    <w:p>
      <w:pPr>
        <w:ind w:left="1000" w:hanging="493"/>
        <w:spacing w:after="0" w:line="246"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6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 xml:space="preserve">These and other risks associated with international operations may materially adversely affect our ability to attain or maintain </w:t>
      </w:r>
      <w:r>
        <w:rPr>
          <w:rFonts w:ascii="Arial" w:cs="Arial" w:eastAsia="Arial" w:hAnsi="Arial"/>
          <w:sz w:val="18"/>
          <w:szCs w:val="18"/>
          <w:color w:val="212529"/>
        </w:rPr>
        <w:t>profitable</w:t>
      </w:r>
      <w:r>
        <w:rPr>
          <w:rFonts w:ascii="Arial" w:cs="Arial" w:eastAsia="Arial" w:hAnsi="Arial"/>
          <w:sz w:val="18"/>
          <w:szCs w:val="18"/>
          <w:color w:val="auto"/>
        </w:rPr>
        <w:t xml:space="preserve"> operations.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2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4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43"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As of March 31, 2021, our patent portfolio consists of eight owned or in-licensed U.S. issued patents, two owned or in-licensed U.S. pending patent applications, 13 owned or in-licensed patents issued in jurisdictions outside of the United States, and eight owned or in-licensed pending patent applications in jurisdictions outside of the United States. However,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6" w:name="page67"/>
    <w:bookmarkEnd w:id="66"/>
    <w:p>
      <w:pPr>
        <w:jc w:val="both"/>
        <w:spacing w:after="0" w:line="238" w:lineRule="auto"/>
        <w:rPr>
          <w:sz w:val="20"/>
          <w:szCs w:val="20"/>
          <w:color w:val="auto"/>
        </w:rPr>
      </w:pPr>
      <w:r>
        <w:rPr>
          <w:rFonts w:ascii="Arial" w:cs="Arial" w:eastAsia="Arial" w:hAnsi="Arial"/>
          <w:sz w:val="18"/>
          <w:szCs w:val="18"/>
          <w:color w:val="auto"/>
        </w:rPr>
        <w:t>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232"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95" w:lineRule="exact"/>
        <w:rPr>
          <w:sz w:val="20"/>
          <w:szCs w:val="20"/>
          <w:color w:val="auto"/>
        </w:rPr>
      </w:pPr>
    </w:p>
    <w:p>
      <w:pPr>
        <w:jc w:val="both"/>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88" w:lineRule="exact"/>
        <w:rPr>
          <w:rFonts w:ascii="Arial" w:cs="Arial" w:eastAsia="Arial" w:hAnsi="Arial"/>
          <w:sz w:val="18"/>
          <w:szCs w:val="18"/>
          <w:color w:val="auto"/>
        </w:rPr>
      </w:pPr>
    </w:p>
    <w:p>
      <w:pPr>
        <w:jc w:val="both"/>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94" w:lineRule="exact"/>
        <w:rPr>
          <w:rFonts w:ascii="Arial" w:cs="Arial" w:eastAsia="Arial" w:hAnsi="Arial"/>
          <w:sz w:val="18"/>
          <w:szCs w:val="18"/>
          <w:color w:val="auto"/>
        </w:rPr>
      </w:pPr>
    </w:p>
    <w:p>
      <w:pPr>
        <w:jc w:val="both"/>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23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p>
    <w:p>
      <w:pPr>
        <w:spacing w:after="0" w:line="24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32"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1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23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7" w:name="page68"/>
    <w:bookmarkEnd w:id="67"/>
    <w:p>
      <w:pPr>
        <w:jc w:val="both"/>
        <w:spacing w:after="0"/>
        <w:rPr>
          <w:sz w:val="20"/>
          <w:szCs w:val="20"/>
          <w:color w:val="auto"/>
        </w:rPr>
      </w:pPr>
      <w:r>
        <w:rPr>
          <w:rFonts w:ascii="Arial" w:cs="Arial" w:eastAsia="Arial" w:hAnsi="Arial"/>
          <w:sz w:val="18"/>
          <w:szCs w:val="18"/>
          <w:color w:val="auto"/>
        </w:rPr>
        <w:t>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230"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 future licensors is threatened, regardless of the outcome, it could dissuade companies from collaborating with us to license, develop, or commercialize current or future product candidates.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7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1000" w:hanging="493"/>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any future licensors or collaborators might not have been the first to make the inventions covered by the issued patents or patent application that we own or license;</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any future licensors or collaborators might not have been the first to file patent applications covering certain of our inventions;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8" w:name="page69"/>
    <w:bookmarkEnd w:id="68"/>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1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4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96"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3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69" w:name="page70"/>
    <w:bookmarkEnd w:id="69"/>
    <w:p>
      <w:pPr>
        <w:jc w:val="both"/>
        <w:spacing w:after="0" w:line="246" w:lineRule="auto"/>
        <w:rPr>
          <w:sz w:val="20"/>
          <w:szCs w:val="20"/>
          <w:color w:val="auto"/>
        </w:rPr>
      </w:pPr>
      <w:r>
        <w:rPr>
          <w:rFonts w:ascii="Arial" w:cs="Arial" w:eastAsia="Arial" w:hAnsi="Arial"/>
          <w:sz w:val="18"/>
          <w:szCs w:val="18"/>
          <w:color w:val="auto"/>
        </w:rPr>
        <w:t>results. In addition, intellectual property litigation, regardless of its outcome, may cause negative publicity and could prohibit us from marketing or otherwise commercializing our product candidates and technology.</w:t>
      </w:r>
    </w:p>
    <w:p>
      <w:pPr>
        <w:spacing w:after="0" w:line="224"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23"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21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9"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future licensors’ patents, which could be expensive, time consuming and unsuccessful. Further, our issued patents or any future licensors’ patents could be found invalid or unenforceable if challenged in court.</w:t>
      </w:r>
    </w:p>
    <w:p>
      <w:pPr>
        <w:spacing w:after="0" w:line="23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4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3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future licensors’ patent invalid. There is no assurance that all 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0" w:name="page71"/>
    <w:bookmarkEnd w:id="70"/>
    <w:p>
      <w:pPr>
        <w:jc w:val="both"/>
        <w:spacing w:after="0" w:line="246" w:lineRule="auto"/>
        <w:rPr>
          <w:sz w:val="20"/>
          <w:szCs w:val="20"/>
          <w:color w:val="auto"/>
        </w:rPr>
      </w:pPr>
      <w:r>
        <w:rPr>
          <w:rFonts w:ascii="Arial" w:cs="Arial" w:eastAsia="Arial" w:hAnsi="Arial"/>
          <w:sz w:val="18"/>
          <w:szCs w:val="18"/>
          <w:color w:val="auto"/>
        </w:rPr>
        <w:t>of a claim in our patent and patent applications or the patent and patent applications of any future licensors, which may, nonetheless, ultimately be found to affect the validity or enforceability of a claim.</w:t>
      </w:r>
    </w:p>
    <w:p>
      <w:pPr>
        <w:spacing w:after="0" w:line="22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4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47"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29"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1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21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7"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1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1" w:name="page72"/>
    <w:bookmarkEnd w:id="71"/>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24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4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213"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61"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252"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74"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6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own or in-license eight U.S. issued patents and own two U.S. pending patent applications, as well as 13 in-licensed patents issued in jurisdictions outside of the United States, one in-licensed pending patent application in jurisdictions outside of the United States, and seven owned patent applications pending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73" w:name="page74"/>
    <w:bookmarkEnd w:id="73"/>
    <w:p>
      <w:pPr>
        <w:jc w:val="both"/>
        <w:ind w:firstLine="510"/>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3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21" w:lineRule="exact"/>
        <w:rPr>
          <w:sz w:val="20"/>
          <w:szCs w:val="20"/>
          <w:color w:val="auto"/>
        </w:rPr>
      </w:pPr>
    </w:p>
    <w:p>
      <w:pPr>
        <w:jc w:val="both"/>
        <w:ind w:firstLine="514"/>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231" w:lineRule="exact"/>
        <w:rPr>
          <w:sz w:val="20"/>
          <w:szCs w:val="20"/>
          <w:color w:val="auto"/>
        </w:rPr>
      </w:pPr>
    </w:p>
    <w:p>
      <w:pPr>
        <w:jc w:val="both"/>
        <w:ind w:firstLine="514"/>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12" w:lineRule="exact"/>
        <w:rPr>
          <w:sz w:val="20"/>
          <w:szCs w:val="20"/>
          <w:color w:val="auto"/>
        </w:rPr>
      </w:pPr>
    </w:p>
    <w:p>
      <w:pPr>
        <w:jc w:val="both"/>
        <w:ind w:firstLine="514"/>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6" w:lineRule="exact"/>
        <w:rPr>
          <w:sz w:val="20"/>
          <w:szCs w:val="20"/>
          <w:color w:val="auto"/>
        </w:rPr>
      </w:pPr>
    </w:p>
    <w:p>
      <w:pPr>
        <w:jc w:val="both"/>
        <w:ind w:firstLine="514"/>
        <w:spacing w:after="0" w:line="236"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61"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4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203"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spacing w:after="0" w:line="21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21"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75" w:name="page76"/>
    <w:bookmarkEnd w:id="75"/>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20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245"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24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29"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31" w:lineRule="exact"/>
        <w:rPr>
          <w:sz w:val="20"/>
          <w:szCs w:val="20"/>
          <w:color w:val="auto"/>
        </w:rPr>
      </w:pPr>
    </w:p>
    <w:p>
      <w:pPr>
        <w:jc w:val="both"/>
        <w:ind w:right="20" w:firstLine="510"/>
        <w:spacing w:after="0" w:line="24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89"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76" w:name="page77"/>
    <w:bookmarkEnd w:id="76"/>
    <w:p>
      <w:pPr>
        <w:jc w:val="both"/>
        <w:spacing w:after="0" w:line="238" w:lineRule="auto"/>
        <w:rPr>
          <w:sz w:val="20"/>
          <w:szCs w:val="20"/>
          <w:color w:val="auto"/>
        </w:rPr>
      </w:pPr>
      <w:r>
        <w:rPr>
          <w:rFonts w:ascii="Arial" w:cs="Arial" w:eastAsia="Arial" w:hAnsi="Arial"/>
          <w:sz w:val="18"/>
          <w:szCs w:val="18"/>
          <w:color w:val="auto"/>
        </w:rPr>
        <w:t>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32"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274"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1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31"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7" w:name="page78"/>
    <w:bookmarkEnd w:id="77"/>
    <w:p>
      <w:pPr>
        <w:ind w:left="520"/>
        <w:spacing w:after="0"/>
        <w:rPr>
          <w:sz w:val="20"/>
          <w:szCs w:val="20"/>
          <w:color w:val="auto"/>
        </w:rPr>
      </w:pPr>
      <w:r>
        <w:rPr>
          <w:rFonts w:ascii="Arial" w:cs="Arial" w:eastAsia="Arial" w:hAnsi="Arial"/>
          <w:sz w:val="18"/>
          <w:szCs w:val="18"/>
          <w:b w:val="1"/>
          <w:bCs w:val="1"/>
          <w:color w:val="auto"/>
        </w:rPr>
        <w:t>Risks Relating to Cybersecurity</w:t>
      </w:r>
    </w:p>
    <w:p>
      <w:pPr>
        <w:spacing w:after="0" w:line="239"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23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253" w:lineRule="exact"/>
        <w:rPr>
          <w:sz w:val="20"/>
          <w:szCs w:val="20"/>
          <w:color w:val="auto"/>
        </w:rPr>
      </w:pPr>
    </w:p>
    <w:p>
      <w:pPr>
        <w:jc w:val="both"/>
        <w:ind w:firstLine="510"/>
        <w:spacing w:after="0" w:line="250" w:lineRule="auto"/>
        <w:rPr>
          <w:sz w:val="20"/>
          <w:szCs w:val="20"/>
          <w:color w:val="auto"/>
        </w:rPr>
      </w:pPr>
      <w:r>
        <w:rPr>
          <w:rFonts w:ascii="Arial" w:cs="Arial" w:eastAsia="Arial" w:hAnsi="Arial"/>
          <w:sz w:val="17"/>
          <w:szCs w:val="17"/>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0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78" w:name="page79"/>
    <w:bookmarkEnd w:id="78"/>
    <w:p>
      <w:pPr>
        <w:jc w:val="both"/>
        <w:spacing w:after="0" w:line="236" w:lineRule="auto"/>
        <w:rPr>
          <w:sz w:val="20"/>
          <w:szCs w:val="20"/>
          <w:color w:val="auto"/>
        </w:rPr>
      </w:pPr>
      <w:r>
        <w:rPr>
          <w:rFonts w:ascii="Arial" w:cs="Arial" w:eastAsia="Arial" w:hAnsi="Arial"/>
          <w:sz w:val="18"/>
          <w:szCs w:val="18"/>
          <w:color w:val="auto"/>
        </w:rPr>
        <w:t>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July 2020 decision by the Court of Justice for the European Union that invalidated the EU-U.S. Privacy Shield. This may increase the complexity of transferring personal data across borders and may require us to review and amend our mechanisms relating to cross-border data transfer.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3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Further, the exit of the United Kingdom, or UK, from the EU, referred to as Brexit, has created uncertainty with regard to data protection regulation in the UK. Specifically, the UK exited the EU on January 1, 2020, subject to a transition period ending December 31, 2020. The UK has implemented legislation similar to the GDPR, referred to as the UK GDPR, which provides for fines of up to the greater of up to the greater of £17.5 million or 4% of global turnover. The relationship between the United Kingdom and the European Union in relation to certain aspects of data protection law remains unclear, however, including with respect to cross-border data transfers and the role of the UK Information Commissioner’s Office with respect to the EU, which exposes us to further compliance risk. We may incur liabilities, expenses, costs, and other operational losses under the UK GDPR, the GDPR and other privacy and data protection laws in the UK and the EU in connection with any measures we take to comply with them.</w:t>
      </w:r>
    </w:p>
    <w:p>
      <w:pPr>
        <w:spacing w:after="0" w:line="248"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In November 2020, California passed the California Privacy Rights Act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may collect about California consumers. The CCPA and the CPRA, may impact our business activities and exemplifies the vulnerability of our business to the evolving regulatory environment related to personal data and protected health information.</w:t>
      </w:r>
    </w:p>
    <w:p>
      <w:pPr>
        <w:spacing w:after="0" w:line="245"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5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will be sustained, and, as a result, it may be difficult for you to sell your shares of our common stock.</w:t>
      </w:r>
    </w:p>
    <w:p>
      <w:pPr>
        <w:spacing w:after="0" w:line="21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If an active market for our common stock does not develop or is not sustained, it may be difficult for you to sell your shares of common stock at an attractive price or at all. We cannot predict the prices at which our common stock will trade.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9" w:name="page80"/>
    <w:bookmarkEnd w:id="79"/>
    <w:p>
      <w:pPr>
        <w:spacing w:after="0" w:line="246" w:lineRule="auto"/>
        <w:rPr>
          <w:sz w:val="20"/>
          <w:szCs w:val="20"/>
          <w:color w:val="auto"/>
        </w:rPr>
      </w:pPr>
      <w:r>
        <w:rPr>
          <w:rFonts w:ascii="Arial" w:cs="Arial" w:eastAsia="Arial" w:hAnsi="Arial"/>
          <w:sz w:val="18"/>
          <w:szCs w:val="18"/>
          <w:color w:val="auto"/>
        </w:rPr>
        <w:t>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274"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89"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nonclinical studies and clinical trials and, in particular, our LIFT-AD and ACT-AD P300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8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other factors described in this “Part II, Item 1A—Risk Factors” section.</w:t>
      </w:r>
    </w:p>
    <w:p>
      <w:pPr>
        <w:spacing w:after="0" w:line="266"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0" w:name="page81"/>
    <w:bookmarkEnd w:id="80"/>
    <w:p>
      <w:pPr>
        <w:jc w:val="both"/>
        <w:spacing w:after="0" w:line="246" w:lineRule="auto"/>
        <w:rPr>
          <w:sz w:val="20"/>
          <w:szCs w:val="20"/>
          <w:color w:val="auto"/>
        </w:rPr>
      </w:pPr>
      <w:r>
        <w:rPr>
          <w:rFonts w:ascii="Arial" w:cs="Arial" w:eastAsia="Arial" w:hAnsi="Arial"/>
          <w:sz w:val="18"/>
          <w:szCs w:val="18"/>
          <w:color w:val="auto"/>
        </w:rPr>
        <w:t>become the target of securities litigation in the future. Securities litigation could result in substantial costs and divert management’s attention and resources from our business.</w:t>
      </w:r>
    </w:p>
    <w:p>
      <w:pPr>
        <w:spacing w:after="0" w:line="20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216"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For example, on March 17, 2021, and April 20, 2021, certain lock-up agreements entered into in connection with our initial public offering and follow-on public offering expired, and as a result, a significant portion of shares of our common stock became available for resale, which may have affected, and may continue to affect,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248"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Moreover, as of the date of this report, the holders of approximately 5,041,842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our final prospectus related to our follow-on public offering in January 2021 titled “Underwriting.” If any of these additional shares are sold, or if it is perceived that they will be sold, in the public market, the market price of our common stock could decline.</w:t>
      </w:r>
    </w:p>
    <w:p>
      <w:pPr>
        <w:spacing w:after="0" w:line="20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Our directors, executive officers and 5% stockholders own a significant percentage of our common stock, which could limit your ability to affect the outcome of key transactions, including a change of control.</w:t>
      </w:r>
    </w:p>
    <w:p>
      <w:pPr>
        <w:spacing w:after="0" w:line="21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directors, executive officers, holders of more than 5% of our outstanding common stock and their respective affiliates beneficially own shares representing approximately 27.7% of our outstanding common stock as of March 31, 2021.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03"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23"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16"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1" w:name="page82"/>
    <w:bookmarkEnd w:id="81"/>
    <w:p>
      <w:pPr>
        <w:jc w:val="both"/>
        <w:spacing w:after="0" w:line="237" w:lineRule="auto"/>
        <w:rPr>
          <w:sz w:val="20"/>
          <w:szCs w:val="20"/>
          <w:color w:val="auto"/>
        </w:rPr>
      </w:pPr>
      <w:r>
        <w:rPr>
          <w:rFonts w:ascii="Arial" w:cs="Arial" w:eastAsia="Arial" w:hAnsi="Arial"/>
          <w:sz w:val="18"/>
          <w:szCs w:val="18"/>
          <w:color w:val="auto"/>
        </w:rPr>
        <w:t>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We have never been required to test our internal controls within a specified period and, as a result, we may experience difficulty in meeting these reporting requirements in a timely manner.</w:t>
      </w:r>
    </w:p>
    <w:p>
      <w:pPr>
        <w:spacing w:after="0" w:line="230"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4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23"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in September 2020 and follow-on public offering in January 2021 and may not use them effectively.</w:t>
      </w:r>
    </w:p>
    <w:p>
      <w:pPr>
        <w:spacing w:after="0" w:line="20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We have broad discretion in the application of the net proceeds received from our initial public offering in September 2020 and follow-on public offering in January 2021. We may spend a portion or all of the net proceeds from our public offerings in ways that our stockholders may not desire or that may not yield a favorable return. Any failure by us to apply these funds effectively could harm our business, financial condition, results of operations and prospects. Pending their use, we may invest the net proceeds from our public offerings in a manner that does not produce income or that loses value.</w:t>
      </w:r>
    </w:p>
    <w:p>
      <w:pPr>
        <w:spacing w:after="0" w:line="2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216"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97" w:lineRule="exact"/>
        <w:rPr>
          <w:sz w:val="20"/>
          <w:szCs w:val="20"/>
          <w:color w:val="auto"/>
        </w:rPr>
      </w:pPr>
    </w:p>
    <w:p>
      <w:pPr>
        <w:ind w:left="1000" w:hanging="493"/>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88"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2" w:name="page83"/>
    <w:bookmarkEnd w:id="82"/>
    <w:p>
      <w:pPr>
        <w:ind w:left="1000" w:hanging="493"/>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88" w:lineRule="exact"/>
        <w:rPr>
          <w:rFonts w:ascii="Arial" w:cs="Arial" w:eastAsia="Arial" w:hAnsi="Arial"/>
          <w:sz w:val="18"/>
          <w:szCs w:val="18"/>
          <w:color w:val="auto"/>
        </w:rPr>
      </w:pPr>
    </w:p>
    <w:p>
      <w:pPr>
        <w:jc w:val="both"/>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94"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88"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88" w:lineRule="exact"/>
        <w:rPr>
          <w:rFonts w:ascii="Arial" w:cs="Arial" w:eastAsia="Arial" w:hAnsi="Arial"/>
          <w:sz w:val="18"/>
          <w:szCs w:val="18"/>
          <w:color w:val="auto"/>
        </w:rPr>
      </w:pPr>
    </w:p>
    <w:p>
      <w:pPr>
        <w:jc w:val="both"/>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243"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0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231" w:lineRule="exact"/>
        <w:rPr>
          <w:sz w:val="20"/>
          <w:szCs w:val="20"/>
          <w:color w:val="auto"/>
        </w:rPr>
      </w:pPr>
    </w:p>
    <w:p>
      <w:pPr>
        <w:jc w:val="both"/>
        <w:ind w:firstLine="510"/>
        <w:spacing w:after="0" w:line="237"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45"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29"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3" w:name="page84"/>
    <w:bookmarkEnd w:id="83"/>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23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21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8"/>
          <w:szCs w:val="18"/>
          <w:color w:val="000000"/>
        </w:rPr>
        <w:t>divergent</w:t>
      </w:r>
      <w:r>
        <w:rPr>
          <w:rFonts w:ascii="Arial" w:cs="Arial" w:eastAsia="Arial" w:hAnsi="Arial"/>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3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20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16" w:lineRule="exact"/>
        <w:rPr>
          <w:sz w:val="20"/>
          <w:szCs w:val="20"/>
          <w:color w:val="auto"/>
        </w:rPr>
      </w:pPr>
    </w:p>
    <w:p>
      <w:pPr>
        <w:jc w:val="both"/>
        <w:ind w:firstLine="510"/>
        <w:spacing w:after="0" w:line="235"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84" w:name="page85"/>
    <w:bookmarkEnd w:id="84"/>
    <w:p>
      <w:pPr>
        <w:jc w:val="both"/>
        <w:ind w:firstLine="510"/>
        <w:spacing w:after="0" w:line="271"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203"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4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43"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274"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p>
    <w:p>
      <w:pPr>
        <w:spacing w:after="0" w:line="232"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 offer and sale of all of the shares of our common stock in our IPO were registered under the Securities Act pursuant to a registration statement on Form S-1 (File No. 333-248428), which was declared effective by the SEC on September 17, 2020.</w:t>
      </w:r>
    </w:p>
    <w:p>
      <w:pPr>
        <w:spacing w:after="0" w:line="237"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There has been no material change in our planned use of the net proceeds from our IPO as described in our final prospectus filed pursuant to Rule 424(b)(4) under the Securities Act with the SEC on September 18, 2020</w:t>
      </w:r>
      <w:r>
        <w:rPr>
          <w:rFonts w:ascii="Arial" w:cs="Arial" w:eastAsia="Arial" w:hAnsi="Arial"/>
          <w:sz w:val="18"/>
          <w:szCs w:val="18"/>
          <w:color w:val="231F20"/>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jc w:val="center"/>
        <w:ind w:right="9040"/>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680" w:type="dxa"/>
            <w:vAlign w:val="bottom"/>
            <w:gridSpan w:val="11"/>
          </w:tcPr>
          <w:p>
            <w:pPr>
              <w:ind w:left="280"/>
              <w:spacing w:after="0"/>
              <w:rPr>
                <w:sz w:val="20"/>
                <w:szCs w:val="20"/>
                <w:color w:val="auto"/>
              </w:rPr>
            </w:pPr>
            <w:r>
              <w:rPr>
                <w:rFonts w:ascii="Arial" w:cs="Arial" w:eastAsia="Arial" w:hAnsi="Arial"/>
                <w:sz w:val="14"/>
                <w:szCs w:val="14"/>
                <w:b w:val="1"/>
                <w:bCs w:val="1"/>
                <w:color w:val="auto"/>
              </w:rPr>
              <w:t>Description</w:t>
            </w:r>
          </w:p>
        </w:tc>
        <w:tc>
          <w:tcPr>
            <w:tcW w:w="940" w:type="dxa"/>
            <w:vAlign w:val="bottom"/>
          </w:tcPr>
          <w:p>
            <w:pPr>
              <w:ind w:left="340"/>
              <w:spacing w:after="0"/>
              <w:rPr>
                <w:sz w:val="20"/>
                <w:szCs w:val="20"/>
                <w:color w:val="auto"/>
              </w:rPr>
            </w:pPr>
            <w:r>
              <w:rPr>
                <w:rFonts w:ascii="Arial" w:cs="Arial" w:eastAsia="Arial" w:hAnsi="Arial"/>
                <w:sz w:val="14"/>
                <w:szCs w:val="14"/>
                <w:b w:val="1"/>
                <w:bCs w:val="1"/>
                <w:color w:val="auto"/>
              </w:rPr>
              <w:t>Form</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18"/>
        </w:trPr>
        <w:tc>
          <w:tcPr>
            <w:tcW w:w="980" w:type="dxa"/>
            <w:vAlign w:val="bottom"/>
            <w:tcBorders>
              <w:top w:val="single" w:sz="8" w:color="auto"/>
            </w:tcBorders>
          </w:tcPr>
          <w:p>
            <w:pPr>
              <w:jc w:val="right"/>
              <w:ind w:right="435"/>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980" w:type="dxa"/>
            <w:vAlign w:val="bottom"/>
            <w:tcBorders>
              <w:top w:val="single" w:sz="8" w:color="auto"/>
            </w:tcBorders>
            <w:gridSpan w:val="13"/>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Amended and Restated Certificate of Incorporation of the Company</w:t>
              </w:r>
            </w:hyperlink>
          </w:p>
        </w:tc>
        <w:tc>
          <w:tcPr>
            <w:tcW w:w="9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10-Q</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001-39503</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3.1</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November</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12, 2020</w:t>
            </w:r>
          </w:p>
        </w:tc>
        <w:tc>
          <w:tcPr>
            <w:tcW w:w="0" w:type="dxa"/>
            <w:vAlign w:val="bottom"/>
          </w:tcPr>
          <w:p>
            <w:pPr>
              <w:spacing w:after="0"/>
              <w:rPr>
                <w:sz w:val="1"/>
                <w:szCs w:val="1"/>
                <w:color w:val="auto"/>
              </w:rPr>
            </w:pPr>
          </w:p>
        </w:tc>
      </w:tr>
      <w:tr>
        <w:trPr>
          <w:trHeight w:val="311"/>
        </w:trPr>
        <w:tc>
          <w:tcPr>
            <w:tcW w:w="980" w:type="dxa"/>
            <w:vAlign w:val="bottom"/>
          </w:tcPr>
          <w:p>
            <w:pPr>
              <w:jc w:val="right"/>
              <w:ind w:right="435"/>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rPr>
            </w:pPr>
            <w:hyperlink r:id="rId107">
              <w:r>
                <w:rPr>
                  <w:rFonts w:ascii="Arial" w:cs="Arial" w:eastAsia="Arial" w:hAnsi="Arial"/>
                  <w:sz w:val="18"/>
                  <w:szCs w:val="18"/>
                  <w:color w:val="0000EE"/>
                </w:rPr>
                <w:t>Amended and Restated Bylaws of the Company</w:t>
              </w:r>
            </w:hyperlink>
          </w:p>
        </w:tc>
        <w:tc>
          <w:tcPr>
            <w:tcW w:w="940" w:type="dxa"/>
            <w:vAlign w:val="bottom"/>
          </w:tcPr>
          <w:p>
            <w:pPr>
              <w:ind w:left="320"/>
              <w:spacing w:after="0"/>
              <w:rPr>
                <w:sz w:val="20"/>
                <w:szCs w:val="20"/>
                <w:color w:val="auto"/>
              </w:rPr>
            </w:pPr>
            <w:r>
              <w:rPr>
                <w:rFonts w:ascii="Arial" w:cs="Arial" w:eastAsia="Arial" w:hAnsi="Arial"/>
                <w:sz w:val="18"/>
                <w:szCs w:val="18"/>
                <w:color w:val="auto"/>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40" w:type="dxa"/>
            <w:vAlign w:val="bottom"/>
          </w:tcPr>
          <w:p>
            <w:pPr>
              <w:jc w:val="center"/>
              <w:spacing w:after="0"/>
              <w:rPr>
                <w:sz w:val="20"/>
                <w:szCs w:val="20"/>
                <w:color w:val="auto"/>
              </w:rPr>
            </w:pPr>
            <w:r>
              <w:rPr>
                <w:rFonts w:ascii="Arial" w:cs="Arial" w:eastAsia="Arial" w:hAnsi="Arial"/>
                <w:sz w:val="18"/>
                <w:szCs w:val="18"/>
                <w:color w:val="auto"/>
              </w:rPr>
              <w:t>3.2</w:t>
            </w:r>
          </w:p>
        </w:tc>
        <w:tc>
          <w:tcPr>
            <w:tcW w:w="1060" w:type="dxa"/>
            <w:vAlign w:val="bottom"/>
          </w:tcPr>
          <w:p>
            <w:pPr>
              <w:jc w:val="center"/>
              <w:spacing w:after="0"/>
              <w:rPr>
                <w:sz w:val="20"/>
                <w:szCs w:val="20"/>
                <w:color w:val="auto"/>
              </w:rPr>
            </w:pPr>
            <w:r>
              <w:rPr>
                <w:rFonts w:ascii="Arial" w:cs="Arial" w:eastAsia="Arial" w:hAnsi="Arial"/>
                <w:sz w:val="18"/>
                <w:szCs w:val="18"/>
                <w:color w:val="auto"/>
              </w:rPr>
              <w:t>November</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12, 2020</w:t>
            </w:r>
          </w:p>
        </w:tc>
        <w:tc>
          <w:tcPr>
            <w:tcW w:w="0" w:type="dxa"/>
            <w:vAlign w:val="bottom"/>
          </w:tcPr>
          <w:p>
            <w:pPr>
              <w:spacing w:after="0" w:line="20" w:lineRule="exact"/>
              <w:rPr>
                <w:sz w:val="1"/>
                <w:szCs w:val="1"/>
                <w:color w:val="auto"/>
              </w:rPr>
            </w:pPr>
          </w:p>
        </w:tc>
      </w:tr>
      <w:tr>
        <w:trPr>
          <w:trHeight w:val="209"/>
        </w:trPr>
        <w:tc>
          <w:tcPr>
            <w:tcW w:w="980" w:type="dxa"/>
            <w:vAlign w:val="bottom"/>
            <w:vMerge w:val="restart"/>
          </w:tcPr>
          <w:p>
            <w:pPr>
              <w:jc w:val="right"/>
              <w:ind w:right="435"/>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gridSpan w:val="13"/>
            <w:vMerge w:val="restart"/>
          </w:tcPr>
          <w:p>
            <w:pP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Certification of Principal Executive Officer Pursuant to Rules 13a-14(a) and</w:t>
              </w:r>
            </w:hyperlink>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3"/>
            <w:vMerge w:val="continue"/>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15d-14(a) under the Securities Exchange Act of 1934, as Adopted</w:t>
              </w:r>
            </w:hyperlink>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Pursuant to Section 302 of the Sarbanes-Oxley Act of 2002.</w:t>
              </w:r>
            </w:hyperlink>
          </w:p>
        </w:tc>
        <w:tc>
          <w:tcPr>
            <w:tcW w:w="740" w:type="dxa"/>
            <w:vAlign w:val="bottom"/>
            <w:gridSpan w:val="7"/>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jc w:val="right"/>
              <w:ind w:right="435"/>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89">
              <w:r>
                <w:rPr>
                  <w:rFonts w:ascii="Arial" w:cs="Arial" w:eastAsia="Arial" w:hAnsi="Arial"/>
                  <w:sz w:val="18"/>
                  <w:szCs w:val="18"/>
                  <w:color w:val="0000EE"/>
                  <w:w w:val="99"/>
                </w:rPr>
                <w:t>Certification of Principal Accounting and Financial Officer Pursuant to</w:t>
              </w:r>
            </w:hyperlink>
          </w:p>
        </w:tc>
        <w:tc>
          <w:tcPr>
            <w:tcW w:w="48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89">
              <w:r>
                <w:rPr>
                  <w:rFonts w:ascii="Arial" w:cs="Arial" w:eastAsia="Arial" w:hAnsi="Arial"/>
                  <w:sz w:val="18"/>
                  <w:szCs w:val="18"/>
                  <w:color w:val="0000EE"/>
                  <w:w w:val="99"/>
                </w:rPr>
                <w:t>Rules 13a-14(a) and 15d-14(a) under the Securities Exchange Act of</w:t>
              </w:r>
            </w:hyperlink>
          </w:p>
        </w:tc>
        <w:tc>
          <w:tcPr>
            <w:tcW w:w="50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gridSpan w:val="13"/>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1934, as Adopted Pursuant to Section 302 of the Sarbanes-Oxley Act of</w:t>
              </w:r>
            </w:hyperlink>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ind w:left="20"/>
              <w:spacing w:after="0" w:line="182"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2002.</w:t>
              </w:r>
            </w:hyperlink>
          </w:p>
        </w:tc>
        <w:tc>
          <w:tcPr>
            <w:tcW w:w="1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jc w:val="right"/>
              <w:ind w:right="355"/>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90">
              <w:r>
                <w:rPr>
                  <w:rFonts w:ascii="Arial" w:cs="Arial" w:eastAsia="Arial" w:hAnsi="Arial"/>
                  <w:sz w:val="18"/>
                  <w:szCs w:val="18"/>
                  <w:color w:val="0000EE"/>
                  <w:w w:val="99"/>
                </w:rPr>
                <w:t>Certification of Principal Executive Officer Pursuant to 18 U.S.C. Section</w:t>
              </w:r>
            </w:hyperlink>
          </w:p>
        </w:tc>
        <w:tc>
          <w:tcPr>
            <w:tcW w:w="24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gridSpan w:val="13"/>
          </w:tcPr>
          <w:p>
            <w:pPr>
              <w:spacing w:after="0" w:line="182" w:lineRule="exact"/>
              <w:rPr>
                <w:rFonts w:ascii="Arial" w:cs="Arial" w:eastAsia="Arial" w:hAnsi="Arial"/>
                <w:sz w:val="18"/>
                <w:szCs w:val="18"/>
                <w:color w:val="0000EE"/>
              </w:rPr>
            </w:pPr>
            <w:hyperlink w:anchor="page90">
              <w:r>
                <w:rPr>
                  <w:rFonts w:ascii="Arial" w:cs="Arial" w:eastAsia="Arial" w:hAnsi="Arial"/>
                  <w:sz w:val="18"/>
                  <w:szCs w:val="18"/>
                  <w:color w:val="0000EE"/>
                </w:rPr>
                <w:t>1350, as Adopted Pursuant to Section 906 of the Sarbanes-Oxley Act of</w:t>
              </w:r>
            </w:hyperlink>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ind w:left="20"/>
              <w:spacing w:after="0" w:line="182" w:lineRule="exact"/>
              <w:rPr>
                <w:rFonts w:ascii="Arial" w:cs="Arial" w:eastAsia="Arial" w:hAnsi="Arial"/>
                <w:sz w:val="18"/>
                <w:szCs w:val="18"/>
                <w:color w:val="0000EE"/>
                <w:w w:val="93"/>
              </w:rPr>
            </w:pPr>
            <w:hyperlink w:anchor="page90">
              <w:r>
                <w:rPr>
                  <w:rFonts w:ascii="Arial" w:cs="Arial" w:eastAsia="Arial" w:hAnsi="Arial"/>
                  <w:sz w:val="18"/>
                  <w:szCs w:val="18"/>
                  <w:color w:val="0000EE"/>
                  <w:w w:val="93"/>
                </w:rPr>
                <w:t>2002.</w:t>
              </w:r>
            </w:hyperlink>
          </w:p>
        </w:tc>
        <w:tc>
          <w:tcPr>
            <w:tcW w:w="1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jc w:val="right"/>
              <w:ind w:right="355"/>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91">
              <w:r>
                <w:rPr>
                  <w:rFonts w:ascii="Arial" w:cs="Arial" w:eastAsia="Arial" w:hAnsi="Arial"/>
                  <w:sz w:val="18"/>
                  <w:szCs w:val="18"/>
                  <w:color w:val="0000EE"/>
                  <w:w w:val="99"/>
                </w:rPr>
                <w:t>Certification of Principal Accounting and Financial Officer Pursuant to 18</w:t>
              </w:r>
            </w:hyperlink>
          </w:p>
        </w:tc>
        <w:tc>
          <w:tcPr>
            <w:tcW w:w="24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gridSpan w:val="13"/>
          </w:tcPr>
          <w:p>
            <w:pPr>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U.S.C. Section 1350, as Adopted Pursuant to Section 906 of the</w:t>
              </w:r>
            </w:hyperlink>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91">
              <w:r>
                <w:rPr>
                  <w:rFonts w:ascii="Arial" w:cs="Arial" w:eastAsia="Arial" w:hAnsi="Arial"/>
                  <w:sz w:val="18"/>
                  <w:szCs w:val="18"/>
                  <w:color w:val="0000EE"/>
                  <w:w w:val="99"/>
                </w:rPr>
                <w:t>Sarbanes-Oxley Act of 2002.</w:t>
              </w:r>
            </w:hyperlink>
          </w:p>
        </w:tc>
        <w:tc>
          <w:tcPr>
            <w:tcW w:w="2800" w:type="dxa"/>
            <w:vAlign w:val="bottom"/>
            <w:tcBorders>
              <w:top w:val="single" w:sz="8" w:color="0000EE"/>
            </w:tcBorders>
            <w:gridSpan w:val="3"/>
          </w:tcPr>
          <w:p>
            <w:pPr>
              <w:spacing w:after="0"/>
              <w:rPr>
                <w:sz w:val="15"/>
                <w:szCs w:val="15"/>
                <w:color w:val="auto"/>
              </w:rPr>
            </w:pPr>
          </w:p>
        </w:tc>
        <w:tc>
          <w:tcPr>
            <w:tcW w:w="880" w:type="dxa"/>
            <w:vAlign w:val="bottom"/>
            <w:gridSpan w:val="8"/>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60" w:right="4400" w:hanging="1048"/>
        <w:spacing w:after="0" w:line="252"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March 31, 2021, formatted in Inline XBRL: (i) Condensed Consolidated Balance Sheets, (ii) Condensed Consolidated Statements of Operations and Comprehensive Loss, (iii) Condensed Consolidated Statements of Convertible Preferred Stock and Stockholders’ Equity, (iv), Condensed Consolidated Statements of Cash Flows, and (v) Notes to Unaudited Condensed Consolidated Financial Statements, tagged as blocks of text and including detailed tags.</w:t>
      </w:r>
    </w:p>
    <w:p>
      <w:pPr>
        <w:spacing w:after="0" w:line="127" w:lineRule="exact"/>
        <w:rPr>
          <w:sz w:val="20"/>
          <w:szCs w:val="20"/>
          <w:color w:val="auto"/>
        </w:rPr>
      </w:pPr>
    </w:p>
    <w:p>
      <w:pPr>
        <w:ind w:left="1060" w:right="4260" w:hanging="1048"/>
        <w:spacing w:after="0" w:line="246" w:lineRule="auto"/>
        <w:tabs>
          <w:tab w:leader="none" w:pos="1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in Exhibit 101)</w:t>
      </w:r>
    </w:p>
    <w:p>
      <w:pPr>
        <w:spacing w:after="0" w:line="169" w:lineRule="exact"/>
        <w:rPr>
          <w:rFonts w:ascii="Arial" w:cs="Arial" w:eastAsia="Arial" w:hAnsi="Arial"/>
          <w:sz w:val="18"/>
          <w:szCs w:val="18"/>
          <w:color w:val="auto"/>
        </w:rPr>
      </w:pPr>
    </w:p>
    <w:p>
      <w:pPr>
        <w:ind w:left="500" w:hanging="499"/>
        <w:spacing w:after="0" w:line="238" w:lineRule="auto"/>
        <w:rPr>
          <w:rFonts w:ascii="Arial" w:cs="Arial" w:eastAsia="Arial" w:hAnsi="Arial"/>
          <w:sz w:val="18"/>
          <w:szCs w:val="18"/>
          <w:color w:val="auto"/>
        </w:rPr>
      </w:pPr>
      <w:r>
        <w:rPr>
          <w:rFonts w:ascii="Arial" w:cs="Arial" w:eastAsia="Arial" w:hAnsi="Arial"/>
          <w:sz w:val="18"/>
          <w:szCs w:val="18"/>
          <w:color w:val="auto"/>
        </w:rPr>
        <w:t>*The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9512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Athira Pharma, Inc.</w:t>
      </w:r>
    </w:p>
    <w:p>
      <w:pPr>
        <w:spacing w:after="0" w:line="247"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 /s/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Leen Kawas</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Chief Executive Officer and Director (</w:t>
      </w:r>
      <w:r>
        <w:rPr>
          <w:rFonts w:ascii="Arial" w:cs="Arial" w:eastAsia="Arial" w:hAnsi="Arial"/>
          <w:sz w:val="18"/>
          <w:szCs w:val="18"/>
          <w:i w:val="1"/>
          <w:iCs w:val="1"/>
          <w:color w:val="auto"/>
        </w:rPr>
        <w:t>Principal</w:t>
      </w:r>
    </w:p>
    <w:p>
      <w:pPr>
        <w:ind w:left="6020"/>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p>
      <w:pPr>
        <w:spacing w:after="0" w:line="239"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 /s/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Glenna Mileson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 Accounting</w:t>
      </w:r>
    </w:p>
    <w:p>
      <w:pPr>
        <w:ind w:left="60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346" w:right="35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Leen Kawas, certify that:</w:t>
      </w:r>
    </w:p>
    <w:p>
      <w:pPr>
        <w:spacing w:after="0" w:line="225" w:lineRule="exact"/>
        <w:rPr>
          <w:sz w:val="20"/>
          <w:szCs w:val="20"/>
          <w:color w:val="auto"/>
        </w:rPr>
      </w:pPr>
    </w:p>
    <w:p>
      <w:pPr>
        <w:ind w:left="800" w:hanging="792"/>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Athira Pharma, Inc.;</w:t>
      </w:r>
    </w:p>
    <w:p>
      <w:pPr>
        <w:spacing w:after="0" w:line="225" w:lineRule="exact"/>
        <w:rPr>
          <w:rFonts w:ascii="Arial" w:cs="Arial" w:eastAsia="Arial" w:hAnsi="Arial"/>
          <w:sz w:val="18"/>
          <w:szCs w:val="18"/>
          <w:color w:val="auto"/>
        </w:rPr>
      </w:pPr>
    </w:p>
    <w:p>
      <w:pPr>
        <w:ind w:left="800" w:right="40" w:hanging="792"/>
        <w:spacing w:after="0" w:line="263"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00" w:right="220" w:hanging="792"/>
        <w:spacing w:after="0" w:line="308"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00" w:right="160" w:hanging="792"/>
        <w:spacing w:after="0" w:line="277"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80" w:right="80" w:hanging="789"/>
        <w:spacing w:after="0" w:line="286" w:lineRule="auto"/>
        <w:tabs>
          <w:tab w:leader="none" w:pos="15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80" w:right="240" w:hanging="789"/>
        <w:spacing w:after="0" w:line="263" w:lineRule="auto"/>
        <w:tabs>
          <w:tab w:leader="none" w:pos="15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80" w:right="340" w:hanging="789"/>
        <w:spacing w:after="0" w:line="286" w:lineRule="auto"/>
        <w:tabs>
          <w:tab w:leader="none" w:pos="15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00" w:right="120" w:hanging="792"/>
        <w:spacing w:after="0" w:line="342" w:lineRule="auto"/>
        <w:tabs>
          <w:tab w:leader="none" w:pos="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80" w:right="180" w:hanging="789"/>
        <w:spacing w:after="0" w:line="342" w:lineRule="auto"/>
        <w:tabs>
          <w:tab w:leader="none" w:pos="15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80" w:right="460" w:hanging="789"/>
        <w:spacing w:after="0" w:line="277" w:lineRule="auto"/>
        <w:tabs>
          <w:tab w:leader="none" w:pos="15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54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Leen Kawas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Glenna Mileson, certify that:</w:t>
      </w:r>
    </w:p>
    <w:p>
      <w:pPr>
        <w:spacing w:after="0" w:line="225" w:lineRule="exact"/>
        <w:rPr>
          <w:sz w:val="20"/>
          <w:szCs w:val="20"/>
          <w:color w:val="auto"/>
        </w:rPr>
      </w:pPr>
    </w:p>
    <w:p>
      <w:pPr>
        <w:ind w:left="800" w:hanging="792"/>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Athira Pharma, Inc.;</w:t>
      </w:r>
    </w:p>
    <w:p>
      <w:pPr>
        <w:spacing w:after="0" w:line="225" w:lineRule="exact"/>
        <w:rPr>
          <w:rFonts w:ascii="Arial" w:cs="Arial" w:eastAsia="Arial" w:hAnsi="Arial"/>
          <w:sz w:val="18"/>
          <w:szCs w:val="18"/>
          <w:color w:val="auto"/>
        </w:rPr>
      </w:pPr>
    </w:p>
    <w:p>
      <w:pPr>
        <w:ind w:left="800" w:right="40" w:hanging="792"/>
        <w:spacing w:after="0" w:line="263"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00" w:right="220" w:hanging="792"/>
        <w:spacing w:after="0" w:line="308"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00" w:right="160" w:hanging="792"/>
        <w:spacing w:after="0" w:line="277"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80" w:right="80" w:hanging="789"/>
        <w:spacing w:after="0" w:line="286" w:lineRule="auto"/>
        <w:tabs>
          <w:tab w:leader="none" w:pos="15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80" w:right="240" w:hanging="789"/>
        <w:spacing w:after="0" w:line="263" w:lineRule="auto"/>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80" w:right="340" w:hanging="789"/>
        <w:spacing w:after="0" w:line="286" w:lineRule="auto"/>
        <w:tabs>
          <w:tab w:leader="none" w:pos="15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00" w:right="120" w:hanging="792"/>
        <w:spacing w:after="0" w:line="342" w:lineRule="auto"/>
        <w:tabs>
          <w:tab w:leader="none" w:pos="8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80" w:right="180" w:hanging="789"/>
        <w:spacing w:after="0" w:line="342" w:lineRule="auto"/>
        <w:tabs>
          <w:tab w:leader="none" w:pos="15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80" w:right="460" w:hanging="789"/>
        <w:spacing w:after="0" w:line="277" w:lineRule="auto"/>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54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Glenna Mileson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788"/>
        <w:spacing w:after="0" w:line="259" w:lineRule="auto"/>
        <w:rPr>
          <w:sz w:val="20"/>
          <w:szCs w:val="20"/>
          <w:color w:val="auto"/>
        </w:rPr>
      </w:pPr>
      <w:r>
        <w:rPr>
          <w:rFonts w:ascii="Arial" w:cs="Arial" w:eastAsia="Arial" w:hAnsi="Arial"/>
          <w:sz w:val="18"/>
          <w:szCs w:val="18"/>
          <w:color w:val="auto"/>
        </w:rPr>
        <w:t xml:space="preserve">In connection with the Quarterly Report of Athira Pharma, Inc. (the “Company”) on Form 10-Q for the quarter ended March 31, 2021, as filed with the Securities and Exchange Commission on the date hereof (the “Report”), I, Leen Kawas, President and Chief Executive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Officer) </w:t>
      </w:r>
      <w:r>
        <w:rPr>
          <w:rFonts w:ascii="Arial" w:cs="Arial" w:eastAsia="Arial" w:hAnsi="Arial"/>
          <w:sz w:val="18"/>
          <w:szCs w:val="18"/>
          <w:color w:val="auto"/>
        </w:rPr>
        <w:t>of the Company, certify, pursuant to 18 U.S.C. Section 1350, as adopted pursuant to Section 906 of the Sarbanes-Oxley Act of 2002, that</w:t>
      </w:r>
      <w:r>
        <w:rPr>
          <w:rFonts w:ascii="Arial" w:cs="Arial" w:eastAsia="Arial" w:hAnsi="Arial"/>
          <w:sz w:val="18"/>
          <w:szCs w:val="18"/>
          <w:i w:val="1"/>
          <w:iCs w:val="1"/>
          <w:color w:val="auto"/>
        </w:rPr>
        <w:t xml:space="preserve"> </w:t>
      </w:r>
      <w:r>
        <w:rPr>
          <w:rFonts w:ascii="Arial" w:cs="Arial" w:eastAsia="Arial" w:hAnsi="Arial"/>
          <w:sz w:val="18"/>
          <w:szCs w:val="18"/>
          <w:color w:val="auto"/>
        </w:rPr>
        <w:t>to my knowledge:</w:t>
      </w:r>
    </w:p>
    <w:p>
      <w:pPr>
        <w:spacing w:after="0" w:line="187" w:lineRule="exact"/>
        <w:rPr>
          <w:sz w:val="20"/>
          <w:szCs w:val="20"/>
          <w:color w:val="auto"/>
        </w:rPr>
      </w:pPr>
    </w:p>
    <w:p>
      <w:pPr>
        <w:ind w:left="1180" w:hanging="781"/>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80" w:right="400" w:hanging="781"/>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Leen Kawas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25" w:lineRule="exact"/>
        <w:rPr>
          <w:sz w:val="20"/>
          <w:szCs w:val="20"/>
          <w:color w:val="auto"/>
        </w:rPr>
      </w:pPr>
    </w:p>
    <w:p>
      <w:pPr>
        <w:ind w:right="220" w:firstLine="788"/>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00" w:firstLine="788"/>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788"/>
        <w:spacing w:after="0" w:line="259" w:lineRule="auto"/>
        <w:rPr>
          <w:sz w:val="20"/>
          <w:szCs w:val="20"/>
          <w:color w:val="auto"/>
        </w:rPr>
      </w:pPr>
      <w:r>
        <w:rPr>
          <w:rFonts w:ascii="Arial" w:cs="Arial" w:eastAsia="Arial" w:hAnsi="Arial"/>
          <w:sz w:val="18"/>
          <w:szCs w:val="18"/>
          <w:color w:val="auto"/>
        </w:rPr>
        <w:t xml:space="preserve">In connection with the Quarterly Report of Athira Pharma, Inc. (the “Company”) on Form 10-Q for the quarter ended March 31, 2021, as filed with the Securities and Exchange Commission on the date hereof (the “Report”), I, Glenna Mileson, Chief Financial Officer </w:t>
      </w:r>
      <w:r>
        <w:rPr>
          <w:rFonts w:ascii="Arial" w:cs="Arial" w:eastAsia="Arial" w:hAnsi="Arial"/>
          <w:sz w:val="18"/>
          <w:szCs w:val="18"/>
          <w:i w:val="1"/>
          <w:iCs w:val="1"/>
          <w:color w:val="auto"/>
        </w:rPr>
        <w:t>(Principal Financial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Officer) </w:t>
      </w:r>
      <w:r>
        <w:rPr>
          <w:rFonts w:ascii="Arial" w:cs="Arial" w:eastAsia="Arial" w:hAnsi="Arial"/>
          <w:sz w:val="18"/>
          <w:szCs w:val="18"/>
          <w:color w:val="auto"/>
        </w:rPr>
        <w:t>of the Company, certify, pursuant to 18 U.S.C. Section 1350, as adopted pursuant to Section 906 of the Sarbanes-Oxley Act of 2002,</w:t>
      </w:r>
      <w:r>
        <w:rPr>
          <w:rFonts w:ascii="Arial" w:cs="Arial" w:eastAsia="Arial" w:hAnsi="Arial"/>
          <w:sz w:val="18"/>
          <w:szCs w:val="18"/>
          <w:i w:val="1"/>
          <w:iCs w:val="1"/>
          <w:color w:val="auto"/>
        </w:rPr>
        <w:t xml:space="preserve"> </w:t>
      </w:r>
      <w:r>
        <w:rPr>
          <w:rFonts w:ascii="Arial" w:cs="Arial" w:eastAsia="Arial" w:hAnsi="Arial"/>
          <w:sz w:val="18"/>
          <w:szCs w:val="18"/>
          <w:color w:val="auto"/>
        </w:rPr>
        <w:t>that to my knowledge:</w:t>
      </w:r>
    </w:p>
    <w:p>
      <w:pPr>
        <w:spacing w:after="0" w:line="187" w:lineRule="exact"/>
        <w:rPr>
          <w:sz w:val="20"/>
          <w:szCs w:val="20"/>
          <w:color w:val="auto"/>
        </w:rPr>
      </w:pPr>
    </w:p>
    <w:p>
      <w:pPr>
        <w:ind w:left="1180" w:hanging="781"/>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80" w:right="400" w:hanging="781"/>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Glenna Mileson</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25" w:lineRule="exact"/>
        <w:rPr>
          <w:sz w:val="20"/>
          <w:szCs w:val="20"/>
          <w:color w:val="auto"/>
        </w:rPr>
      </w:pPr>
    </w:p>
    <w:p>
      <w:pPr>
        <w:ind w:right="220" w:firstLine="788"/>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00" w:firstLine="788"/>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8"/>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01"/>
    </w:lvl>
  </w:abstractNum>
  <w:abstractNum w:abstractNumId="51">
    <w:nsid w:val="374A3FE6"/>
    <w:multiLevelType w:val="hybridMultilevel"/>
    <w:lvl w:ilvl="0">
      <w:lvlJc w:val="left"/>
      <w:lvlText w:val="*"/>
      <w:numFmt w:val="bullet"/>
      <w:start w:val="1"/>
    </w:lvl>
    <w:lvl w:ilvl="1">
      <w:lvlJc w:val="left"/>
      <w:lvlText w:val="%2"/>
      <w:numFmt w:val="decimal"/>
      <w:start w:val="104"/>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06" Type="http://schemas.openxmlformats.org/officeDocument/2006/relationships/hyperlink" Target="http://www.sec.gov/Archives/edgar/data/0001620463/000156459020042848/atha-ex31_91.htm" TargetMode="External"/><Relationship Id="rId107" Type="http://schemas.openxmlformats.org/officeDocument/2006/relationships/hyperlink" Target="http://www.sec.gov/Archives/edgar/data/0001620463/000156459020042848/atha-ex32_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2021-05-13T15:49:11Z</dcterms:created>
  <dcterms:modified xsi:type="dcterms:W3CDTF">2021-05-13T15:49:11Z</dcterms:modified>
</cp:coreProperties>
</file>