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18"/>
        </w:rPr>
      </w:pPr>
      <w:bookmarkStart w:id="0" w:name="atha_february_2024_s-8.htm"/>
      <w:bookmarkStart w:id="1" w:name="ksatha_february_2024_s8"/>
      <w:bookmarkEnd w:id="0"/>
      <w:bookmarkEnd w:id="1"/>
      <w:r>
        <w:rPr>
          <w:rFonts w:ascii="Times New Roman" w:hAnsi="Times New Roman"/>
          <w:b/>
          <w:color w:val="000000"/>
          <w:sz w:val="18"/>
        </w:rPr>
        <w:t>As filed with the Securities and Exchange Commission on February 22, 2024</w:t>
      </w:r>
    </w:p>
    <w:p>
      <w:pPr>
        <w:pStyle w:val="TextBody"/>
        <w:bidi w:val="0"/>
        <w:jc w:val="right"/>
        <w:rPr>
          <w:rFonts w:ascii="Times New Roman" w:hAnsi="Times New Roman"/>
          <w:sz w:val="20"/>
        </w:rPr>
      </w:pPr>
      <w:r>
        <w:rPr>
          <w:rFonts w:ascii="Times New Roman" w:hAnsi="Times New Roman"/>
          <w:b/>
          <w:color w:val="000000"/>
          <w:sz w:val="18"/>
        </w:rPr>
        <w:t>Registration No. 333-</w:t>
      </w:r>
      <w:r>
        <w:rPr>
          <w:rFonts w:ascii="Times New Roman" w:hAnsi="Times New Roman"/>
          <w:color w:val="000000"/>
          <w:sz w:val="20"/>
        </w:rPr>
        <w:t xml:space="preserve"> </w:t>
      </w:r>
    </w:p>
    <w:p>
      <w:pPr>
        <w:pStyle w:val="TextBody"/>
        <w:pBdr>
          <w:bottom w:val="double" w:sz="6"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S</w:t>
        <w:noBreakHyphen/>
        <w:t>8</w:t>
      </w:r>
    </w:p>
    <w:p>
      <w:pPr>
        <w:pStyle w:val="TextBody"/>
        <w:bidi w:val="0"/>
        <w:jc w:val="center"/>
        <w:rPr>
          <w:rFonts w:ascii="Times New Roman" w:hAnsi="Times New Roman"/>
          <w:b/>
          <w:color w:val="000000"/>
          <w:sz w:val="36"/>
        </w:rPr>
      </w:pPr>
      <w:r>
        <w:rPr>
          <w:rFonts w:ascii="Times New Roman" w:hAnsi="Times New Roman"/>
          <w:b/>
          <w:color w:val="000000"/>
          <w:sz w:val="36"/>
        </w:rPr>
        <w:t>REGISTRATION STATEMENT</w:t>
      </w:r>
    </w:p>
    <w:p>
      <w:pPr>
        <w:pStyle w:val="TextBody"/>
        <w:bidi w:val="0"/>
        <w:jc w:val="center"/>
        <w:rPr>
          <w:rFonts w:ascii="Times New Roman" w:hAnsi="Times New Roman"/>
          <w:b/>
          <w:color w:val="000000"/>
          <w:sz w:val="24"/>
        </w:rPr>
      </w:pPr>
      <w:r>
        <w:rPr>
          <w:rFonts w:ascii="Times New Roman" w:hAnsi="Times New Roman"/>
          <w:b/>
          <w:color w:val="000000"/>
          <w:sz w:val="24"/>
        </w:rPr>
        <w:t>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Act of 1933</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45-3368487</w:t>
            </w:r>
          </w:p>
        </w:tc>
      </w:tr>
      <w:tr>
        <w:trPr/>
        <w:tc>
          <w:tcPr>
            <w:tcW w:w="2371" w:type="dxa"/>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Identification Number)</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18706 North Creek Parkway, Suite 104</w:t>
      </w:r>
    </w:p>
    <w:p>
      <w:pPr>
        <w:pStyle w:val="TextBody"/>
        <w:bidi w:val="0"/>
        <w:jc w:val="center"/>
        <w:rPr>
          <w:rFonts w:ascii="Times New Roman" w:hAnsi="Times New Roman"/>
          <w:b/>
          <w:color w:val="000000"/>
          <w:sz w:val="24"/>
        </w:rPr>
      </w:pPr>
      <w:r>
        <w:rPr>
          <w:rFonts w:ascii="Times New Roman" w:hAnsi="Times New Roman"/>
          <w:b/>
          <w:color w:val="000000"/>
          <w:sz w:val="24"/>
        </w:rPr>
        <w:t>Bothell, WA 98011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2020 Equity Incentive Plan</w:t>
        <w:br/>
        <w:t>2020 Employee Stock Purchase Plan</w:t>
      </w:r>
    </w:p>
    <w:p>
      <w:pPr>
        <w:pStyle w:val="TextBody"/>
        <w:bidi w:val="0"/>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(Full title of the plans)</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Mark Litton, Ph.D.</w:t>
      </w:r>
    </w:p>
    <w:p>
      <w:pPr>
        <w:pStyle w:val="TextBody"/>
        <w:bidi w:val="0"/>
        <w:jc w:val="center"/>
        <w:rPr>
          <w:rFonts w:ascii="Times New Roman" w:hAnsi="Times New Roman"/>
          <w:b/>
          <w:color w:val="000000"/>
          <w:sz w:val="24"/>
        </w:rPr>
      </w:pPr>
      <w:r>
        <w:rPr>
          <w:rFonts w:ascii="Times New Roman" w:hAnsi="Times New Roman"/>
          <w:b/>
          <w:color w:val="000000"/>
          <w:sz w:val="24"/>
        </w:rPr>
        <w:t>President and Chief Executive Officer</w:t>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jc w:val="center"/>
        <w:rPr>
          <w:rFonts w:ascii="Times New Roman" w:hAnsi="Times New Roman"/>
          <w:b/>
          <w:color w:val="000000"/>
          <w:sz w:val="24"/>
        </w:rPr>
      </w:pPr>
      <w:r>
        <w:rPr>
          <w:rFonts w:ascii="Times New Roman" w:hAnsi="Times New Roman"/>
          <w:b/>
          <w:color w:val="000000"/>
          <w:sz w:val="24"/>
        </w:rPr>
        <w:t>18706 North Creek Parkway, Suite 104</w:t>
      </w:r>
    </w:p>
    <w:p>
      <w:pPr>
        <w:pStyle w:val="TextBody"/>
        <w:bidi w:val="0"/>
        <w:jc w:val="center"/>
        <w:rPr>
          <w:rFonts w:ascii="Times New Roman" w:hAnsi="Times New Roman"/>
          <w:b/>
          <w:color w:val="000000"/>
          <w:sz w:val="24"/>
        </w:rPr>
      </w:pPr>
      <w:r>
        <w:rPr>
          <w:rFonts w:ascii="Times New Roman" w:hAnsi="Times New Roman"/>
          <w:b/>
          <w:color w:val="000000"/>
          <w:sz w:val="24"/>
        </w:rPr>
        <w:t>Bothell, WA 98011</w:t>
      </w:r>
    </w:p>
    <w:p>
      <w:pPr>
        <w:pStyle w:val="TextBody"/>
        <w:bidi w:val="0"/>
        <w:jc w:val="center"/>
        <w:rPr>
          <w:rFonts w:ascii="Times New Roman" w:hAnsi="Times New Roman"/>
          <w:b/>
          <w:color w:val="000000"/>
          <w:sz w:val="24"/>
        </w:rPr>
      </w:pPr>
      <w:r>
        <w:rPr>
          <w:rFonts w:ascii="Times New Roman" w:hAnsi="Times New Roman"/>
          <w:b/>
          <w:color w:val="000000"/>
          <w:sz w:val="24"/>
        </w:rPr>
        <w:t>(425) 620-8501</w:t>
      </w:r>
    </w:p>
    <w:p>
      <w:pPr>
        <w:pStyle w:val="TextBody"/>
        <w:bidi w:val="0"/>
        <w:jc w:val="center"/>
        <w:rPr>
          <w:rFonts w:ascii="Times New Roman" w:hAnsi="Times New Roman"/>
          <w:color w:val="000000"/>
          <w:sz w:val="16"/>
        </w:rPr>
      </w:pPr>
      <w:r>
        <w:rPr>
          <w:rFonts w:ascii="Times New Roman" w:hAnsi="Times New Roman"/>
          <w:color w:val="000000"/>
          <w:sz w:val="16"/>
        </w:rPr>
        <w:t>(Name, address and telephone number, including area code, of agent for service)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Copies to:</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Michael Nordtvedt</w:t>
      </w:r>
    </w:p>
    <w:p>
      <w:pPr>
        <w:pStyle w:val="TextBody"/>
        <w:bidi w:val="0"/>
        <w:jc w:val="center"/>
        <w:rPr>
          <w:rFonts w:ascii="Times New Roman" w:hAnsi="Times New Roman"/>
          <w:b/>
          <w:color w:val="000000"/>
          <w:sz w:val="24"/>
        </w:rPr>
      </w:pPr>
      <w:r>
        <w:rPr>
          <w:rFonts w:ascii="Times New Roman" w:hAnsi="Times New Roman"/>
          <w:b/>
          <w:color w:val="000000"/>
          <w:sz w:val="24"/>
        </w:rPr>
        <w:t>Bryan D. King</w:t>
      </w:r>
    </w:p>
    <w:p>
      <w:pPr>
        <w:pStyle w:val="TextBody"/>
        <w:bidi w:val="0"/>
        <w:jc w:val="center"/>
        <w:rPr>
          <w:rFonts w:ascii="Times New Roman" w:hAnsi="Times New Roman"/>
          <w:color w:val="000000"/>
          <w:sz w:val="24"/>
        </w:rPr>
      </w:pPr>
      <w:r>
        <w:rPr>
          <w:rFonts w:ascii="Times New Roman" w:hAnsi="Times New Roman"/>
          <w:color w:val="000000"/>
          <w:sz w:val="24"/>
        </w:rPr>
        <w:t>Wilson Sonsini Goodrich &amp; Rosati,</w:t>
      </w:r>
    </w:p>
    <w:p>
      <w:pPr>
        <w:pStyle w:val="TextBody"/>
        <w:bidi w:val="0"/>
        <w:jc w:val="center"/>
        <w:rPr>
          <w:rFonts w:ascii="Times New Roman" w:hAnsi="Times New Roman"/>
          <w:color w:val="000000"/>
          <w:sz w:val="24"/>
        </w:rPr>
      </w:pPr>
      <w:r>
        <w:rPr>
          <w:rFonts w:ascii="Times New Roman" w:hAnsi="Times New Roman"/>
          <w:color w:val="000000"/>
          <w:sz w:val="24"/>
        </w:rPr>
        <w:t>Professional Corporation</w:t>
      </w:r>
    </w:p>
    <w:p>
      <w:pPr>
        <w:pStyle w:val="TextBody"/>
        <w:bidi w:val="0"/>
        <w:jc w:val="center"/>
        <w:rPr>
          <w:rFonts w:ascii="Times New Roman" w:hAnsi="Times New Roman"/>
          <w:color w:val="000000"/>
          <w:sz w:val="24"/>
        </w:rPr>
      </w:pPr>
      <w:r>
        <w:rPr>
          <w:rFonts w:ascii="Times New Roman" w:hAnsi="Times New Roman"/>
          <w:color w:val="000000"/>
          <w:sz w:val="24"/>
        </w:rPr>
        <w:t>701 Fifth Avenue, Suite 5100</w:t>
      </w:r>
    </w:p>
    <w:p>
      <w:pPr>
        <w:pStyle w:val="TextBody"/>
        <w:bidi w:val="0"/>
        <w:jc w:val="center"/>
        <w:rPr>
          <w:rFonts w:ascii="Times New Roman" w:hAnsi="Times New Roman"/>
          <w:color w:val="000000"/>
          <w:sz w:val="24"/>
        </w:rPr>
      </w:pPr>
      <w:r>
        <w:rPr>
          <w:rFonts w:ascii="Times New Roman" w:hAnsi="Times New Roman"/>
          <w:color w:val="000000"/>
          <w:sz w:val="24"/>
        </w:rPr>
        <w:t>Seattle, WA 98104</w:t>
      </w:r>
    </w:p>
    <w:p>
      <w:pPr>
        <w:pStyle w:val="TextBody"/>
        <w:bidi w:val="0"/>
        <w:jc w:val="center"/>
        <w:rPr>
          <w:rFonts w:ascii="Times New Roman" w:hAnsi="Times New Roman"/>
          <w:color w:val="000000"/>
          <w:sz w:val="24"/>
        </w:rPr>
      </w:pPr>
      <w:r>
        <w:rPr>
          <w:rFonts w:ascii="Times New Roman" w:hAnsi="Times New Roman"/>
          <w:color w:val="000000"/>
          <w:sz w:val="24"/>
        </w:rPr>
        <w:t>(206) 883-2500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127" w:type="dxa"/>
        <w:jc w:val="left"/>
        <w:tblInd w:w="0" w:type="dxa"/>
        <w:tblLayout w:type="fixed"/>
        <w:tblCellMar>
          <w:top w:w="28" w:type="dxa"/>
          <w:left w:w="28" w:type="dxa"/>
          <w:bottom w:w="28" w:type="dxa"/>
          <w:right w:w="28" w:type="dxa"/>
        </w:tblCellMar>
      </w:tblPr>
      <w:tblGrid>
        <w:gridCol w:w="186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 ☐</w:t>
            </w:r>
          </w:p>
        </w:tc>
        <w:tc>
          <w:tcPr>
            <w:tcW w:w="2266" w:type="dxa"/>
            <w:tcBorders/>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Accelerated filer ☐</w:t>
            </w:r>
          </w:p>
        </w:tc>
      </w:tr>
      <w:tr>
        <w:trPr/>
        <w:tc>
          <w:tcPr>
            <w:tcW w:w="186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Non-accelerated filer ☒ </w:t>
            </w:r>
          </w:p>
        </w:tc>
        <w:tc>
          <w:tcPr>
            <w:tcW w:w="2266" w:type="dxa"/>
            <w:tcBorders/>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Smaller reporting company ☒</w:t>
            </w:r>
          </w:p>
        </w:tc>
      </w:tr>
      <w:tr>
        <w:trPr/>
        <w:tc>
          <w:tcPr>
            <w:tcW w:w="18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 xml:space="preserve">☐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4" w:type="dxa"/>
            <w:gridSpan w:val="9"/>
            <w:tcBorders/>
            <w:tcMar>
              <w:top w:w="0" w:type="dxa"/>
              <w:left w:w="0" w:type="dxa"/>
              <w:bottom w:w="0" w:type="dxa"/>
              <w:right w:w="0" w:type="dxa"/>
            </w:tcMar>
            <w:vAlign w:val="center"/>
          </w:tcPr>
          <w:p>
            <w:pPr>
              <w:pStyle w:val="TableContents"/>
              <w:pBdr>
                <w:top w:val="single" w:sz="6" w:space="1" w:color="000000"/>
              </w:pBdr>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on Form S-8 (the “Registration Statement”) is filed by Athira Pharma, Inc. (the “Registrant”) for the purpose of registering (a) 1,908,630 additional shares of common stock of the Registrant reserved for issuance under the Athira Pharma, Inc. 2020 Equity Incentive Plan (the “2020 Plan”), pursuant to the provision of the 2020 Plan providing for such automatic increase in the number of shares reserved for issuance, (b) 381,726 shares of common stock of the Registrant reserved for issuance under the Athira Pharma, Inc. 2020 Employee Stock Purchase Plan (the “2020 ESPP”), pursuant to the provision of the 2020 ESPP providing for such automatic increase in the number of shares reserved for issuance, and (c) 750,000 shares of common stock of the Registrant reserved for issuance under the Athira Pharma, Inc. 2024 Inducement Equity Incentive Plan (the “2024 Inducement Plan”).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on Form S-8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240" w:after="283"/>
        <w:jc w:val="center"/>
        <w:rPr>
          <w:rFonts w:ascii="Times New Roman" w:hAnsi="Times New Roman"/>
          <w:sz w:val="20"/>
        </w:rPr>
      </w:pPr>
      <w:bookmarkStart w:id="2" w:name="part_i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REGISTRATION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3_incorporation_documents_by_refere"/>
      <w:bookmarkEnd w:id="3"/>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Incorporation of Documents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 hereby incorporates by reference into this Registration Statement the following documents previously filed with the Securities and Exchange Commission (the “Commission"):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The Registrant’s Annual Report on Form 10-K for the fiscal year ended December 31, 2023, filed with the Commission on </w:t>
      </w:r>
      <w:r>
        <w:rPr>
          <w:rFonts w:ascii="Times New Roman" w:hAnsi="Times New Roman"/>
          <w:sz w:val="20"/>
        </w:rPr>
        <w:t>February 22, 2024</w:t>
      </w:r>
      <w:r>
        <w:rPr>
          <w:rFonts w:ascii="Times New Roman" w:hAnsi="Times New Roman"/>
          <w:color w:val="000000"/>
          <w:sz w:val="20"/>
        </w:rPr>
        <w:t xml:space="preserve">. pursuant to Section 13(a) under the Securities Exchange Act of 1934, as amended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 </w:t>
      </w:r>
    </w:p>
    <w:p>
      <w:pPr>
        <w:pStyle w:val="TextBody"/>
        <w:bidi w:val="0"/>
        <w:spacing w:before="240" w:after="283"/>
        <w:jc w:val="left"/>
        <w:rPr/>
      </w:pPr>
      <w:r>
        <w:rPr>
          <w:rFonts w:ascii="Times New Roman" w:hAnsi="Times New Roman"/>
          <w:color w:val="000000"/>
          <w:sz w:val="20"/>
        </w:rPr>
        <w:t xml:space="preserve">(3) The description of the Registrant’s Common Stock contained in the Registrant’s Registration Statement on Form 8-A (File No. 001-39503) filed with the Commission on </w:t>
      </w:r>
      <w:hyperlink r:id="rId2">
        <w:r>
          <w:rPr>
            <w:rStyle w:val="InternetLink"/>
            <w:rFonts w:ascii="Times New Roman" w:hAnsi="Times New Roman"/>
            <w:color w:val="0563C1"/>
            <w:sz w:val="20"/>
            <w:u w:val="single"/>
          </w:rPr>
          <w:t>September 9, 2020</w:t>
        </w:r>
      </w:hyperlink>
      <w:r>
        <w:rPr>
          <w:rFonts w:ascii="Times New Roman" w:hAnsi="Times New Roman"/>
          <w:color w:val="000000"/>
          <w:sz w:val="20"/>
        </w:rPr>
        <w:t xml:space="preserve">, pursuant to Section 12(b) of the Exchange Act, including any amendment or report filed for the purpose of updating such description.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validity of the shares of common stock offered hereby will be passed upon for the Registrant by Wilson Sonsini Goodrich &amp; Rosati, Professional Corporation, Seattle, Washington. Investment funds associated with Wilson Sonsini Goodrich &amp; Rosati, Professional Corporation, hold an aggregate of 13,706 shares of the Registrant’s common stock, which represent less than 1.0% of the Registrant’s outstanding shares of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jc w:val="left"/>
        <w:rPr>
          <w:rFonts w:ascii="Times New Roman" w:hAnsi="Times New Roman"/>
          <w:color w:val="000000"/>
          <w:sz w:val="20"/>
        </w:rPr>
      </w:pPr>
      <w:r>
        <w:rPr>
          <w:rFonts w:ascii="Times New Roman" w:hAnsi="Times New Roman"/>
          <w:color w:val="000000"/>
          <w:sz w:val="20"/>
        </w:rPr>
        <w:t>Our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4" w:name="item_8_exhibits"/>
      <w:bookmarkEnd w:id="4"/>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417"/>
        <w:gridCol w:w="146"/>
        <w:gridCol w:w="146"/>
        <w:gridCol w:w="460"/>
        <w:gridCol w:w="146"/>
        <w:gridCol w:w="146"/>
        <w:gridCol w:w="146"/>
        <w:gridCol w:w="899"/>
        <w:gridCol w:w="146"/>
        <w:gridCol w:w="146"/>
        <w:gridCol w:w="150"/>
        <w:gridCol w:w="481"/>
        <w:gridCol w:w="146"/>
        <w:gridCol w:w="146"/>
        <w:gridCol w:w="146"/>
        <w:gridCol w:w="1293"/>
        <w:gridCol w:w="19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8"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w:t>
              <w:br/>
              <w:t>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Specimen common stock certificate of the Registrant</w:t>
              </w:r>
            </w:hyperlink>
            <w:hyperlink r:id="rId4">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14,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2020 Equity Incentive Plan</w:t>
              </w:r>
            </w:hyperlink>
            <w:hyperlink r:id="rId6">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Stock Option Agreement under the 2020 Equity Incentive Plan</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Restricted Stock Award Agreement under the 2020 Equity Incentive Plan</w:t>
              </w:r>
            </w:hyperlink>
            <w:hyperlink r:id="rId10">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RSU Agreement under the 2020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333-248428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8,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2020 Employee Stock Purchase Plan, as amended and Form of Subscription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23, 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2024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001-39503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22, 2024</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w:anchor="atha-ex5_1.htm">
              <w:r>
                <w:rPr>
                  <w:rStyle w:val="InternetLink"/>
                  <w:rFonts w:ascii="Times New Roman" w:hAnsi="Times New Roman"/>
                  <w:color w:val="0000FF"/>
                  <w:sz w:val="20"/>
                  <w:u w:val="single"/>
                </w:rPr>
                <w:t>Opinion of Wilson Sonsini Goodrich &amp; Rosati, Professional Corporation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w:anchor="atha-ex23_1.htm">
              <w:r>
                <w:rPr>
                  <w:rStyle w:val="InternetLink"/>
                  <w:rFonts w:ascii="Times New Roman" w:hAnsi="Times New Roman"/>
                  <w:color w:val="0000FF"/>
                  <w:sz w:val="20"/>
                  <w:u w:val="single"/>
                </w:rPr>
                <w:t>Consent of Independent Registered Public Accounting Firm</w:t>
              </w:r>
            </w:hyperlink>
            <w:hyperlink w:anchor="atha-ex23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w:anchor="atha-ex5_1.htm">
              <w:r>
                <w:rPr>
                  <w:rStyle w:val="InternetLink"/>
                  <w:rFonts w:ascii="Times New Roman" w:hAnsi="Times New Roman"/>
                  <w:color w:val="0000FF"/>
                  <w:sz w:val="20"/>
                  <w:u w:val="single"/>
                </w:rPr>
                <w:t>Consent of Wilson Sonsini Goodrich &amp; Rosati, Professional Corporation (contained in Exhibit 5.1 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(contained on signature page hereto)</w:t>
              </w:r>
            </w:hyperlink>
            <w:hyperlink w:anchor="signature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7" w:type="dxa"/>
            <w:tcBorders/>
            <w:tcMar>
              <w:top w:w="0" w:type="dxa"/>
              <w:left w:w="0" w:type="dxa"/>
              <w:bottom w:w="0" w:type="dxa"/>
              <w:right w:w="0" w:type="dxa"/>
            </w:tcMar>
            <w:vAlign w:val="center"/>
          </w:tcPr>
          <w:p>
            <w:pPr>
              <w:pStyle w:val="TableContents"/>
              <w:bidi w:val="0"/>
              <w:spacing w:before="0" w:after="283"/>
              <w:jc w:val="left"/>
              <w:rPr/>
            </w:pPr>
            <w:hyperlink w:anchor="atha-exfiling_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240" w:after="283"/>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5" w:name="signatures"/>
      <w:bookmarkEnd w:id="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February 22, 2024. </w:t>
      </w:r>
    </w:p>
    <w:p>
      <w:pPr>
        <w:pStyle w:val="TextBody"/>
        <w:bidi w:val="0"/>
        <w:jc w:val="left"/>
        <w:rPr/>
      </w:pPr>
      <w:r>
        <w:rPr/>
        <w:t> </w:t>
      </w:r>
    </w:p>
    <w:tbl>
      <w:tblPr>
        <w:tblW w:w="3808" w:type="dxa"/>
        <w:jc w:val="left"/>
        <w:tblInd w:w="0" w:type="dxa"/>
        <w:tblLayout w:type="fixed"/>
        <w:tblCellMar>
          <w:top w:w="28" w:type="dxa"/>
          <w:left w:w="28" w:type="dxa"/>
          <w:bottom w:w="28" w:type="dxa"/>
          <w:right w:w="28" w:type="dxa"/>
        </w:tblCellMar>
      </w:tblPr>
      <w:tblGrid>
        <w:gridCol w:w="421"/>
        <w:gridCol w:w="146"/>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Mark Litton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Mark Litton,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constitutes and appoints Mark Litton and Andrew Gengos,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1801"/>
        <w:gridCol w:w="146"/>
        <w:gridCol w:w="4171"/>
        <w:gridCol w:w="146"/>
        <w:gridCol w:w="163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1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Mark Litton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Mark Litton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Andrew Genegos</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Andrew Gengos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Chief Business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Accounting and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Kelly A. Romano</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Kelly A. Romano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Joseph Edelman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Joseph Edelman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John M. Fluke, Jr.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John M. Fluke,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James A. Johnson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James A. Johnson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Barbara Kosacz</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Barbara Kosacz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Michael Panzara</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Michael Panzara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Grant Pickering</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Grant Pickering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72" w:hanging="0"/>
        <w:jc w:val="left"/>
        <w:rPr>
          <w:rFonts w:ascii="Georgia;serif" w:hAnsi="Georgia;serif"/>
          <w:color w:val="003D4C"/>
          <w:sz w:val="4"/>
        </w:rPr>
      </w:pPr>
      <w:bookmarkStart w:id="6" w:name="atha-ex5_1.htm"/>
      <w:bookmarkStart w:id="7" w:name="ksathaex5_1"/>
      <w:bookmarkEnd w:id="6"/>
      <w:bookmarkEnd w:id="7"/>
      <w:r>
        <w:rPr>
          <w:rFonts w:ascii="Georgia;serif" w:hAnsi="Georgia;serif"/>
          <w:color w:val="003D4C"/>
          <w:sz w:val="4"/>
        </w:rPr>
        <w:t>\</w:t>
      </w:r>
      <w:r>
        <w:br w:type="page"/>
      </w:r>
    </w:p>
    <w:p>
      <w:pPr>
        <w:pStyle w:val="TextBody"/>
        <w:bidi w:val="0"/>
        <w:spacing w:before="240" w:after="283"/>
        <w:jc w:val="right"/>
        <w:rPr>
          <w:rFonts w:ascii="Times New Roman" w:hAnsi="Times New Roman"/>
          <w:b/>
          <w:color w:val="000000"/>
          <w:sz w:val="22"/>
        </w:rPr>
      </w:pPr>
      <w:r>
        <w:rPr>
          <w:rFonts w:ascii="Times New Roman" w:hAnsi="Times New Roman"/>
          <w:b/>
          <w:color w:val="000000"/>
          <w:sz w:val="22"/>
        </w:rPr>
        <w:t>Exhibit 5.1</w:t>
      </w:r>
    </w:p>
    <w:tbl>
      <w:tblPr>
        <w:tblW w:w="8676" w:type="dxa"/>
        <w:jc w:val="left"/>
        <w:tblInd w:w="0" w:type="dxa"/>
        <w:tblLayout w:type="fixed"/>
        <w:tblCellMar>
          <w:top w:w="28" w:type="dxa"/>
          <w:left w:w="28" w:type="dxa"/>
          <w:bottom w:w="28" w:type="dxa"/>
          <w:right w:w="28" w:type="dxa"/>
        </w:tblCellMar>
      </w:tblPr>
      <w:tblGrid>
        <w:gridCol w:w="4022"/>
        <w:gridCol w:w="4654"/>
      </w:tblGrid>
      <w:tr>
        <w:trPr/>
        <w:tc>
          <w:tcPr>
            <w:tcW w:w="4022" w:type="dxa"/>
            <w:tcBorders/>
            <w:vAlign w:val="center"/>
          </w:tcPr>
          <w:p>
            <w:pPr>
              <w:pStyle w:val="TableContents"/>
              <w:bidi w:val="0"/>
              <w:spacing w:before="0" w:after="283"/>
              <w:jc w:val="left"/>
              <w:rPr>
                <w:sz w:val="4"/>
                <w:szCs w:val="4"/>
              </w:rPr>
            </w:pPr>
            <w:r>
              <w:rPr>
                <w:sz w:val="4"/>
                <w:szCs w:val="4"/>
              </w:rPr>
            </w:r>
          </w:p>
        </w:tc>
        <w:tc>
          <w:tcPr>
            <w:tcW w:w="4654" w:type="dxa"/>
            <w:tcBorders/>
            <w:vAlign w:val="center"/>
          </w:tcPr>
          <w:p>
            <w:pPr>
              <w:pStyle w:val="TableContents"/>
              <w:bidi w:val="0"/>
              <w:spacing w:before="0" w:after="283"/>
              <w:jc w:val="left"/>
              <w:rPr>
                <w:sz w:val="4"/>
                <w:szCs w:val="4"/>
              </w:rPr>
            </w:pPr>
            <w:r>
              <w:rPr>
                <w:sz w:val="4"/>
                <w:szCs w:val="4"/>
              </w:rPr>
            </w:r>
          </w:p>
        </w:tc>
      </w:tr>
      <w:tr>
        <w:trPr/>
        <w:tc>
          <w:tcPr>
            <w:tcW w:w="4022" w:type="dxa"/>
            <w:tcBorders/>
            <w:tcMar>
              <w:top w:w="0" w:type="dxa"/>
              <w:left w:w="0" w:type="dxa"/>
              <w:bottom w:w="0" w:type="dxa"/>
              <w:right w:w="0" w:type="dxa"/>
            </w:tcMar>
            <w:vAlign w:val="center"/>
          </w:tcPr>
          <w:p>
            <w:pPr>
              <w:pStyle w:val="TableContents"/>
              <w:bidi w:val="0"/>
              <w:spacing w:before="120" w:after="283"/>
              <w:ind w:left="0" w:right="0" w:firstLine="1941"/>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219200" cy="457200"/>
                          </a:xfrm>
                          <a:prstGeom prst="rect">
                            <a:avLst/>
                          </a:prstGeom>
                        </pic:spPr>
                      </pic:pic>
                    </a:graphicData>
                  </a:graphic>
                </wp:inline>
              </w:drawing>
            </w:r>
            <w:r>
              <w:rPr/>
              <w:t> </w:t>
            </w:r>
          </w:p>
        </w:tc>
        <w:tc>
          <w:tcPr>
            <w:tcW w:w="4654" w:type="dxa"/>
            <w:tcBorders/>
            <w:tcMar>
              <w:top w:w="0" w:type="dxa"/>
              <w:left w:w="0" w:type="dxa"/>
              <w:bottom w:w="0" w:type="dxa"/>
              <w:right w:w="0" w:type="dxa"/>
            </w:tcMar>
            <w:vAlign w:val="center"/>
          </w:tcPr>
          <w:p>
            <w:pPr>
              <w:pStyle w:val="TableContents"/>
              <w:bidi w:val="0"/>
              <w:spacing w:before="120" w:after="283"/>
              <w:ind w:left="1941" w:right="72" w:firstLine="1941"/>
              <w:jc w:val="left"/>
              <w:rPr>
                <w:rFonts w:ascii="Georgia;serif" w:hAnsi="Georgia;serif"/>
                <w:color w:val="003D4C"/>
                <w:sz w:val="16"/>
              </w:rPr>
            </w:pPr>
            <w:r>
              <w:rPr>
                <w:rFonts w:ascii="Georgia;serif" w:hAnsi="Georgia;serif"/>
                <w:color w:val="003D4C"/>
                <w:sz w:val="16"/>
              </w:rPr>
              <w:t>Wilson Sonsini Goodrich &amp; Rosati</w:t>
              <w:br/>
              <w:t>Professional Corporation</w:t>
            </w:r>
          </w:p>
          <w:p>
            <w:pPr>
              <w:pStyle w:val="TableContents"/>
              <w:bidi w:val="0"/>
              <w:spacing w:before="120" w:after="283"/>
              <w:ind w:left="1944" w:right="72" w:firstLine="1941"/>
              <w:jc w:val="left"/>
              <w:rPr>
                <w:rFonts w:ascii="Georgia;serif" w:hAnsi="Georgia;serif"/>
                <w:color w:val="003D4C"/>
                <w:sz w:val="16"/>
              </w:rPr>
            </w:pPr>
            <w:r>
              <w:rPr>
                <w:rFonts w:ascii="Georgia;serif" w:hAnsi="Georgia;serif"/>
                <w:color w:val="003D4C"/>
                <w:sz w:val="16"/>
              </w:rPr>
              <w:t>701 Fifth Avenue</w:t>
              <w:br/>
              <w:t>Suite 5100</w:t>
              <w:br/>
              <w:t>Seattle, Washington 98104-7036</w:t>
            </w:r>
          </w:p>
          <w:p>
            <w:pPr>
              <w:pStyle w:val="TableContents"/>
              <w:bidi w:val="0"/>
              <w:spacing w:before="120" w:after="283"/>
              <w:ind w:left="1941" w:right="72" w:firstLine="1941"/>
              <w:jc w:val="left"/>
              <w:rPr>
                <w:rFonts w:ascii="Times New Roman" w:hAnsi="Times New Roman"/>
                <w:sz w:val="16"/>
              </w:rPr>
            </w:pPr>
            <w:r>
              <w:rPr>
                <w:rFonts w:ascii="Georgia;serif" w:hAnsi="Georgia;serif"/>
                <w:smallCaps/>
                <w:color w:val="003D4C"/>
                <w:sz w:val="16"/>
              </w:rPr>
              <w:t>o</w:t>
            </w:r>
            <w:r>
              <w:rPr>
                <w:rFonts w:ascii="Georgia;serif" w:hAnsi="Georgia;serif"/>
                <w:color w:val="003D4C"/>
                <w:sz w:val="16"/>
              </w:rPr>
              <w:t>: 206.883.2500</w:t>
              <w:br/>
            </w:r>
            <w:r>
              <w:rPr>
                <w:rFonts w:ascii="Georgia;serif" w:hAnsi="Georgia;serif"/>
                <w:smallCaps/>
                <w:color w:val="003D4C"/>
                <w:sz w:val="16"/>
              </w:rPr>
              <w:t>f</w:t>
            </w:r>
            <w:r>
              <w:rPr>
                <w:rFonts w:ascii="Georgia;serif" w:hAnsi="Georgia;serif"/>
                <w:color w:val="003D4C"/>
                <w:sz w:val="16"/>
              </w:rPr>
              <w:t>: 866.974.7329</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February 22, 2024</w:t>
      </w:r>
    </w:p>
    <w:p>
      <w:pPr>
        <w:pStyle w:val="TextBody"/>
        <w:bidi w:val="0"/>
        <w:spacing w:before="240" w:after="283"/>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Athira Pharma, Inc.</w:t>
        <w:br/>
        <w:t>18706 North Creek Parkway, Suite 104</w:t>
        <w:br/>
        <w:t>Bothell, WA 98011</w:t>
      </w:r>
    </w:p>
    <w:p>
      <w:pPr>
        <w:pStyle w:val="TextBody"/>
        <w:bidi w:val="0"/>
        <w:jc w:val="both"/>
        <w:rPr>
          <w:rFonts w:ascii="Times New Roman" w:hAnsi="Times New Roman"/>
          <w:sz w:val="20"/>
        </w:rPr>
      </w:pPr>
      <w:r>
        <w:rPr>
          <w:rFonts w:ascii="Times New Roman" w:hAnsi="Times New Roman"/>
          <w:b/>
          <w:color w:val="000000"/>
          <w:sz w:val="22"/>
        </w:rPr>
        <w:t>Re:</w:t>
      </w:r>
      <w:r>
        <w:rPr>
          <w:rFonts w:ascii="Times New Roman" w:hAnsi="Times New Roman"/>
          <w:color w:val="000000"/>
          <w:sz w:val="20"/>
        </w:rPr>
        <w:t xml:space="preserve"> </w:t>
      </w:r>
      <w:r>
        <w:rPr>
          <w:rFonts w:ascii="Times New Roman" w:hAnsi="Times New Roman"/>
          <w:b/>
          <w:color w:val="000000"/>
          <w:sz w:val="22"/>
          <w:u w:val="single"/>
        </w:rPr>
        <w:t>Registration Statement on Form S-8</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Ladies and Gentlemen: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have examined the Registration Statement on Form S-8 (the “Registration Statement”) to be filed by Athira Pharma, Inc., a Delaware corporation, with the Securities and Exchange Commission on or about the date hereof, in connection with the registration under the Securities Act of 1933, as amended, of an aggregate of 3,040,356 shares of your common stock, par value $0.0001 per share (the “Shares”), consisting of: (i) 1,908,630 shares of common stock to be issued under the 2020 Equity Incentive Plan (the “2020 Plan”), (ii) 381,726 shares of common stock to be issued under the 2020 Employee Stock Purchase Plan (the “2020 ESPP”), and (iii) 750,000 shares of common stock to be issued under the 2024 Inducement Equity Incentive Plan (the “2024 Inducement Plan”, and together with the 2020 Plan and 2020 ESPP, the “Plans”). As your legal counsel, we have reviewed the actions proposed to be taken by you in connection with the issuance and sale of the Shares to be issued under the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It is our opinion that the Shares, when issued and sold in the manner referred to in the Plans and pursuant to the agreements that accompany the Plans, will be legally and validly issued, fully paid and nonassessable.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consent to the use of this opinion as an exhibit to the Registration Statement, and further consent to the use of our name wherever appearing in the Registration Statement and any amendments thereto.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spacing w:before="60" w:after="60"/>
        <w:jc w:val="center"/>
        <w:rPr>
          <w:rFonts w:ascii="Times New Roman" w:hAnsi="Times New Roman"/>
          <w:caps/>
          <w:color w:val="003D4C"/>
          <w:sz w:val="14"/>
        </w:rPr>
      </w:pPr>
      <w:r>
        <w:rPr>
          <w:rFonts w:ascii="Times New Roman" w:hAnsi="Times New Roman"/>
          <w:caps/>
          <w:color w:val="003D4C"/>
          <w:sz w:val="14"/>
        </w:rPr>
        <w:t>austin beijing boston brussels hong kong london los angeles new york palo alto</w:t>
        <w:br/>
        <w:t>san diego san francisco seattle shanghai washington, dc wilmington, 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096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609600" cy="2286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February 22, 2024</w:t>
      </w:r>
    </w:p>
    <w:p>
      <w:pPr>
        <w:pStyle w:val="TextBody"/>
        <w:bidi w:val="0"/>
        <w:jc w:val="left"/>
        <w:rPr>
          <w:rFonts w:ascii="Times New Roman" w:hAnsi="Times New Roman"/>
          <w:color w:val="000000"/>
          <w:sz w:val="22"/>
        </w:rPr>
      </w:pPr>
      <w:r>
        <w:rPr>
          <w:rFonts w:ascii="Times New Roman" w:hAnsi="Times New Roman"/>
          <w:color w:val="000000"/>
          <w:sz w:val="22"/>
        </w:rPr>
        <w:t>Page 2</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 Wilson Sonsini Goodrich &amp; Rosati, P.C.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WILSON SONSINI GOODRICH &amp; ROSATI</w:t>
        <w:br/>
        <w:t>Professional Corporation</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8" w:name="atha-ex23_1.htm"/>
      <w:bookmarkStart w:id="9" w:name="ksathaex23_1"/>
      <w:bookmarkEnd w:id="8"/>
      <w:bookmarkEnd w:id="9"/>
      <w:r>
        <w:rPr>
          <w:rFonts w:ascii="Times New Roman" w:hAnsi="Times New Roman"/>
          <w:b/>
          <w:color w:val="000000"/>
          <w:sz w:val="22"/>
        </w:rPr>
        <w:t>Exhibit 23.1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consent to the incorporation by reference in the Registration Statement (Form S-8) pertaining to the 2020 Equity Incentive Plan, 2020 Employee Stock Purchase Plan, and 2024 Inducement Equity Incentive Plan of Athira Pharma, Inc. of our report dated February 22, 2024, with respect to the consolidated financial statements of Athira Pharma, Inc., included in its Annual Report (Form 10-K) for the year ended December 31, 2023,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Ernst &amp; Young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Seattle, Washington</w:t>
      </w:r>
    </w:p>
    <w:p>
      <w:pPr>
        <w:pStyle w:val="TextBody"/>
        <w:bidi w:val="0"/>
        <w:jc w:val="left"/>
        <w:rPr>
          <w:rFonts w:ascii="Times New Roman" w:hAnsi="Times New Roman"/>
          <w:color w:val="000000"/>
          <w:sz w:val="24"/>
        </w:rPr>
      </w:pPr>
      <w:r>
        <w:rPr>
          <w:rFonts w:ascii="Times New Roman" w:hAnsi="Times New Roman"/>
          <w:color w:val="000000"/>
          <w:sz w:val="24"/>
        </w:rPr>
        <w:t>February 22, 2024</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atha-exfiling_fees.htm"/>
      <w:bookmarkStart w:id="11" w:name="ksathaexfiling_fees"/>
      <w:bookmarkEnd w:id="10"/>
      <w:bookmarkEnd w:id="11"/>
      <w:r>
        <w:rPr/>
        <w:t> </w:t>
      </w:r>
      <w:r>
        <w:br w:type="page"/>
      </w:r>
    </w:p>
    <w:p>
      <w:pPr>
        <w:pStyle w:val="TextBody"/>
        <w:bidi w:val="0"/>
        <w:jc w:val="right"/>
        <w:rPr>
          <w:rFonts w:ascii="Times New Roman" w:hAnsi="Times New Roman"/>
          <w:b/>
          <w:color w:val="000000"/>
          <w:sz w:val="20"/>
        </w:rPr>
      </w:pPr>
      <w:bookmarkStart w:id="12" w:name="section1"/>
      <w:bookmarkEnd w:id="12"/>
      <w:r>
        <w:rPr>
          <w:rFonts w:ascii="Times New Roman" w:hAnsi="Times New Roman"/>
          <w:b/>
          <w:color w:val="000000"/>
          <w:sz w:val="20"/>
        </w:rPr>
        <w:t>Exhibit 107</w:t>
      </w:r>
    </w:p>
    <w:p>
      <w:pPr>
        <w:pStyle w:val="TextBody"/>
        <w:bidi w:val="0"/>
        <w:spacing w:before="180" w:after="283"/>
        <w:jc w:val="center"/>
        <w:rPr>
          <w:rFonts w:ascii="Times New Roman" w:hAnsi="Times New Roman"/>
          <w:b/>
          <w:color w:val="000000"/>
          <w:sz w:val="22"/>
        </w:rPr>
      </w:pPr>
      <w:r>
        <w:rPr>
          <w:rFonts w:ascii="Times New Roman" w:hAnsi="Times New Roman"/>
          <w:b/>
          <w:color w:val="000000"/>
          <w:sz w:val="22"/>
        </w:rPr>
        <w:t>Calculation of Filing Fee Table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Form S-8</w:t>
      </w:r>
    </w:p>
    <w:p>
      <w:pPr>
        <w:pStyle w:val="TextBody"/>
        <w:bidi w:val="0"/>
        <w:spacing w:before="40" w:after="283"/>
        <w:jc w:val="center"/>
        <w:rPr>
          <w:rFonts w:ascii="Times New Roman" w:hAnsi="Times New Roman"/>
          <w:color w:val="000000"/>
          <w:sz w:val="22"/>
        </w:rPr>
      </w:pPr>
      <w:r>
        <w:rPr>
          <w:rFonts w:ascii="Times New Roman" w:hAnsi="Times New Roman"/>
          <w:color w:val="000000"/>
          <w:sz w:val="22"/>
        </w:rPr>
        <w:t>(Form Type)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Athira Pharma, Inc.</w:t>
      </w:r>
    </w:p>
    <w:p>
      <w:pPr>
        <w:pStyle w:val="TextBody"/>
        <w:bidi w:val="0"/>
        <w:spacing w:before="40" w:after="283"/>
        <w:jc w:val="center"/>
        <w:rPr>
          <w:rFonts w:ascii="Times New Roman" w:hAnsi="Times New Roman"/>
          <w:color w:val="000000"/>
          <w:sz w:val="22"/>
        </w:rPr>
      </w:pPr>
      <w:r>
        <w:rPr>
          <w:rFonts w:ascii="Times New Roman" w:hAnsi="Times New Roman"/>
          <w:color w:val="000000"/>
          <w:sz w:val="22"/>
        </w:rPr>
        <w:t>(Exact Name of Registrant as Specified in its Charter)</w:t>
      </w:r>
    </w:p>
    <w:p>
      <w:pPr>
        <w:pStyle w:val="TextBody"/>
        <w:bidi w:val="0"/>
        <w:spacing w:before="240" w:after="480"/>
        <w:jc w:val="center"/>
        <w:rPr>
          <w:rFonts w:ascii="Times New Roman" w:hAnsi="Times New Roman"/>
          <w:color w:val="000000"/>
          <w:sz w:val="22"/>
          <w:u w:val="single"/>
        </w:rPr>
      </w:pPr>
      <w:r>
        <w:rPr>
          <w:rFonts w:ascii="Times New Roman" w:hAnsi="Times New Roman"/>
          <w:color w:val="000000"/>
          <w:sz w:val="22"/>
          <w:u w:val="single"/>
        </w:rPr>
        <w:t>Table 1: Newly Registered Securities</w:t>
      </w:r>
    </w:p>
    <w:tbl>
      <w:tblPr>
        <w:tblW w:w="10205" w:type="dxa"/>
        <w:jc w:val="left"/>
        <w:tblInd w:w="0" w:type="dxa"/>
        <w:tblLayout w:type="fixed"/>
        <w:tblCellMar>
          <w:top w:w="28" w:type="dxa"/>
          <w:left w:w="28" w:type="dxa"/>
          <w:bottom w:w="28" w:type="dxa"/>
          <w:right w:w="28" w:type="dxa"/>
        </w:tblCellMar>
      </w:tblPr>
      <w:tblGrid>
        <w:gridCol w:w="792"/>
        <w:gridCol w:w="146"/>
        <w:gridCol w:w="1686"/>
        <w:gridCol w:w="146"/>
        <w:gridCol w:w="1058"/>
        <w:gridCol w:w="146"/>
        <w:gridCol w:w="894"/>
        <w:gridCol w:w="217"/>
        <w:gridCol w:w="146"/>
        <w:gridCol w:w="671"/>
        <w:gridCol w:w="255"/>
        <w:gridCol w:w="109"/>
        <w:gridCol w:w="146"/>
        <w:gridCol w:w="1276"/>
        <w:gridCol w:w="146"/>
        <w:gridCol w:w="1096"/>
        <w:gridCol w:w="146"/>
        <w:gridCol w:w="1129"/>
      </w:tblGrid>
      <w:tr>
        <w:trPr/>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Security Type</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Security Class Title</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8" w:space="0" w:color="000000"/>
            </w:tcBorders>
            <w:shd w:fill="CCEE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Amount</w:t>
            </w:r>
          </w:p>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Registered </w:t>
            </w:r>
            <w:r>
              <w:rPr>
                <w:rFonts w:ascii="Times New Roman" w:hAnsi="Times New Roman"/>
                <w:b/>
                <w:color w:val="000000"/>
                <w:sz w:val="12"/>
              </w:rPr>
              <w:t>(1)(2)</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8" w:space="0" w:color="000000"/>
            </w:tcBorders>
            <w:shd w:fill="CCEEFF" w:val="clear"/>
            <w:tcMar>
              <w:top w:w="0" w:type="dxa"/>
              <w:left w:w="0" w:type="dxa"/>
              <w:right w:w="0" w:type="dxa"/>
            </w:tcMar>
            <w:vAlign w:val="center"/>
          </w:tcPr>
          <w:p>
            <w:pPr>
              <w:pStyle w:val="TableContents"/>
              <w:bidi w:val="0"/>
              <w:spacing w:before="53" w:after="283"/>
              <w:jc w:val="center"/>
              <w:rPr>
                <w:rFonts w:ascii="Times New Roman" w:hAnsi="Times New Roman"/>
                <w:b/>
                <w:color w:val="000000"/>
                <w:sz w:val="18"/>
              </w:rPr>
            </w:pPr>
            <w:r>
              <w:rPr>
                <w:rFonts w:ascii="Times New Roman" w:hAnsi="Times New Roman"/>
                <w:b/>
                <w:color w:val="000000"/>
                <w:sz w:val="18"/>
              </w:rPr>
              <w:t>Proposed</w:t>
            </w:r>
          </w:p>
          <w:p>
            <w:pPr>
              <w:pStyle w:val="TableContents"/>
              <w:bidi w:val="0"/>
              <w:jc w:val="center"/>
              <w:rPr>
                <w:rFonts w:ascii="Times New Roman" w:hAnsi="Times New Roman"/>
                <w:b/>
                <w:color w:val="000000"/>
                <w:sz w:val="18"/>
              </w:rPr>
            </w:pPr>
            <w:r>
              <w:rPr>
                <w:rFonts w:ascii="Times New Roman" w:hAnsi="Times New Roman"/>
                <w:b/>
                <w:color w:val="000000"/>
                <w:sz w:val="18"/>
              </w:rPr>
              <w:t>Maximum</w:t>
            </w:r>
          </w:p>
          <w:p>
            <w:pPr>
              <w:pStyle w:val="TableContents"/>
              <w:bidi w:val="0"/>
              <w:jc w:val="center"/>
              <w:rPr>
                <w:rFonts w:ascii="Times New Roman" w:hAnsi="Times New Roman"/>
                <w:b/>
                <w:color w:val="000000"/>
                <w:sz w:val="18"/>
              </w:rPr>
            </w:pPr>
            <w:r>
              <w:rPr>
                <w:rFonts w:ascii="Times New Roman" w:hAnsi="Times New Roman"/>
                <w:b/>
                <w:color w:val="000000"/>
                <w:sz w:val="18"/>
              </w:rPr>
              <w:t>Offering Price</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Per Unit</w:t>
            </w:r>
          </w:p>
        </w:tc>
        <w:tc>
          <w:tcPr>
            <w:tcW w:w="255" w:type="dxa"/>
            <w:gridSpan w:val="2"/>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Maximum</w:t>
            </w:r>
          </w:p>
          <w:p>
            <w:pPr>
              <w:pStyle w:val="TableContents"/>
              <w:bidi w:val="0"/>
              <w:jc w:val="center"/>
              <w:rPr>
                <w:rFonts w:ascii="Times New Roman" w:hAnsi="Times New Roman"/>
                <w:b/>
                <w:color w:val="000000"/>
                <w:sz w:val="18"/>
              </w:rPr>
            </w:pPr>
            <w:r>
              <w:rPr>
                <w:rFonts w:ascii="Times New Roman" w:hAnsi="Times New Roman"/>
                <w:b/>
                <w:color w:val="000000"/>
                <w:sz w:val="18"/>
              </w:rPr>
              <w:t>Aggregate</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Offering Price</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Fee Rate</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top w:w="0" w:type="dxa"/>
              <w:left w:w="0" w:type="dxa"/>
              <w:right w:w="0" w:type="dxa"/>
            </w:tcMar>
            <w:vAlign w:val="center"/>
          </w:tcPr>
          <w:p>
            <w:pPr>
              <w:pStyle w:val="TableContents"/>
              <w:bidi w:val="0"/>
              <w:spacing w:before="53" w:after="283"/>
              <w:jc w:val="center"/>
              <w:rPr>
                <w:rFonts w:ascii="Times New Roman" w:hAnsi="Times New Roman"/>
                <w:b/>
                <w:color w:val="000000"/>
                <w:sz w:val="18"/>
              </w:rPr>
            </w:pPr>
            <w:r>
              <w:rPr>
                <w:rFonts w:ascii="Times New Roman" w:hAnsi="Times New Roman"/>
                <w:b/>
                <w:color w:val="000000"/>
                <w:sz w:val="18"/>
              </w:rPr>
              <w:t>Amount of</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Registration Fee</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 reserved for issuance pursuant to the 2020 Employee Stock Purchase Plan</w:t>
            </w:r>
          </w:p>
        </w:tc>
        <w:tc>
          <w:tcPr>
            <w:tcW w:w="146" w:type="dxa"/>
            <w:tcBorders/>
            <w:shd w:fill="FFFFFF" w:val="cle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Other </w:t>
            </w:r>
            <w:r>
              <w:rPr>
                <w:rFonts w:ascii="Times New Roman" w:hAnsi="Times New Roman"/>
                <w:b/>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381,726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$ 3.23</w:t>
            </w:r>
          </w:p>
        </w:tc>
        <w:tc>
          <w:tcPr>
            <w:tcW w:w="36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$ 1,234,597.32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$ 0.00014760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$ 182.23</w:t>
            </w:r>
          </w:p>
        </w:tc>
      </w:tr>
      <w:tr>
        <w:trPr/>
        <w:tc>
          <w:tcPr>
            <w:tcW w:w="7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 reserved for issuance pursuant to the 2020 Equity Incentive Plan</w:t>
            </w:r>
          </w:p>
        </w:tc>
        <w:tc>
          <w:tcPr>
            <w:tcW w:w="146" w:type="dxa"/>
            <w:tcBorders/>
            <w:shd w:fill="CCEEFF" w:val="clear"/>
            <w:vAlign w:val="center"/>
          </w:tcPr>
          <w:p>
            <w:pPr>
              <w:pStyle w:val="TableContents"/>
              <w:bidi w:val="0"/>
              <w:spacing w:before="0" w:after="283"/>
              <w:jc w:val="left"/>
              <w:rPr/>
            </w:pPr>
            <w:r>
              <w:rPr/>
              <w:t> </w:t>
            </w:r>
          </w:p>
        </w:tc>
        <w:tc>
          <w:tcPr>
            <w:tcW w:w="105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Other </w:t>
            </w:r>
            <w:r>
              <w:rPr>
                <w:rFonts w:ascii="Times New Roman" w:hAnsi="Times New Roman"/>
                <w:b/>
                <w:color w:val="000000"/>
                <w:sz w:val="12"/>
              </w:rPr>
              <w:t>(5)</w:t>
            </w:r>
          </w:p>
        </w:tc>
        <w:tc>
          <w:tcPr>
            <w:tcW w:w="146" w:type="dxa"/>
            <w:tcBorders/>
            <w:shd w:fill="CCEEFF" w:val="clear"/>
            <w:vAlign w:val="center"/>
          </w:tcPr>
          <w:p>
            <w:pPr>
              <w:pStyle w:val="TableContents"/>
              <w:bidi w:val="0"/>
              <w:spacing w:before="0" w:after="283"/>
              <w:jc w:val="left"/>
              <w:rPr/>
            </w:pPr>
            <w:r>
              <w:rPr/>
              <w:t>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1,908,630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(6)</w:t>
            </w:r>
          </w:p>
        </w:tc>
        <w:tc>
          <w:tcPr>
            <w:tcW w:w="146" w:type="dxa"/>
            <w:tcBorders/>
            <w:shd w:fill="CCEEFF" w:val="clear"/>
            <w:vAlign w:val="center"/>
          </w:tcPr>
          <w:p>
            <w:pPr>
              <w:pStyle w:val="TableContents"/>
              <w:bidi w:val="0"/>
              <w:spacing w:before="0" w:after="283"/>
              <w:jc w:val="left"/>
              <w:rPr/>
            </w:pPr>
            <w:r>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$ 3.81</w:t>
            </w:r>
          </w:p>
        </w:tc>
        <w:tc>
          <w:tcPr>
            <w:tcW w:w="364"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(5)</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$7,262,337.15</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$ 0.00014760</w:t>
            </w:r>
          </w:p>
        </w:tc>
        <w:tc>
          <w:tcPr>
            <w:tcW w:w="146" w:type="dxa"/>
            <w:tcBorders/>
            <w:shd w:fill="CCEEFF" w:val="clear"/>
            <w:vAlign w:val="center"/>
          </w:tcPr>
          <w:p>
            <w:pPr>
              <w:pStyle w:val="TableContents"/>
              <w:bidi w:val="0"/>
              <w:spacing w:before="0" w:after="283"/>
              <w:jc w:val="left"/>
              <w:rPr/>
            </w:pPr>
            <w:r>
              <w:rPr/>
              <w:t>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$ 1,071.92</w:t>
            </w:r>
          </w:p>
        </w:tc>
      </w:tr>
      <w:tr>
        <w:trPr/>
        <w:tc>
          <w:tcPr>
            <w:tcW w:w="7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 reserved for issuance pursuant to the 2024 Inducement Equity Incentive Plan</w:t>
            </w:r>
          </w:p>
        </w:tc>
        <w:tc>
          <w:tcPr>
            <w:tcW w:w="14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Other</w:t>
            </w:r>
            <w:r>
              <w:rPr>
                <w:rFonts w:ascii="Times New Roman" w:hAnsi="Times New Roman"/>
                <w:color w:val="000000"/>
                <w:sz w:val="12"/>
              </w:rPr>
              <w:t>(5)</w:t>
            </w:r>
          </w:p>
        </w:tc>
        <w:tc>
          <w:tcPr>
            <w:tcW w:w="14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21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$ 3.81</w:t>
            </w:r>
          </w:p>
        </w:tc>
        <w:tc>
          <w:tcPr>
            <w:tcW w:w="2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255" w:type="dxa"/>
            <w:gridSpan w:val="2"/>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$2,853,750.00</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$ 0.00014760</w:t>
            </w:r>
          </w:p>
        </w:tc>
        <w:tc>
          <w:tcPr>
            <w:tcW w:w="14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$ 421.21</w:t>
            </w:r>
          </w:p>
        </w:tc>
      </w:tr>
      <w:tr>
        <w:trPr/>
        <w:tc>
          <w:tcPr>
            <w:tcW w:w="7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255" w:type="dxa"/>
            <w:gridSpan w:val="2"/>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left"/>
              <w:rPr/>
            </w:pPr>
            <w:r>
              <w:rPr/>
              <w:t> </w:t>
            </w:r>
          </w:p>
        </w:tc>
      </w:tr>
      <w:tr>
        <w:trPr/>
        <w:tc>
          <w:tcPr>
            <w:tcW w:w="7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05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8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3,040,356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2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$ 11,350,684.47</w:t>
            </w:r>
          </w:p>
        </w:tc>
        <w:tc>
          <w:tcPr>
            <w:tcW w:w="146" w:type="dxa"/>
            <w:tcBorders/>
            <w:shd w:fill="CCEEFF" w:val="clear"/>
            <w:vAlign w:val="center"/>
          </w:tcPr>
          <w:p>
            <w:pPr>
              <w:pStyle w:val="TableContents"/>
              <w:bidi w:val="0"/>
              <w:spacing w:before="0" w:after="283"/>
              <w:jc w:val="righ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1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$ 1,675.36</w:t>
            </w:r>
          </w:p>
        </w:tc>
      </w:tr>
      <w:tr>
        <w:trPr/>
        <w:tc>
          <w:tcPr>
            <w:tcW w:w="8930" w:type="dxa"/>
            <w:gridSpan w:val="16"/>
            <w:tcBorders/>
            <w:shd w:fill="FFFFFF" w:val="clear"/>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8"/>
              </w:rPr>
            </w:pPr>
            <w:r>
              <w:rPr>
                <w:rFonts w:ascii="Times New Roman" w:hAnsi="Times New Roman"/>
                <w:b/>
                <w:color w:val="000000"/>
                <w:sz w:val="18"/>
              </w:rPr>
              <w:t>Total Fee Offsets</w:t>
            </w:r>
          </w:p>
        </w:tc>
        <w:tc>
          <w:tcPr>
            <w:tcW w:w="146" w:type="dxa"/>
            <w:tcBorders/>
            <w:shd w:fill="FFFFFF" w:val="cle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Times New Roman" w:hAnsi="Times New Roman"/>
                <w:b/>
                <w:color w:val="000000"/>
                <w:sz w:val="18"/>
              </w:rPr>
            </w:pPr>
            <w:r>
              <w:rPr>
                <w:rFonts w:ascii="Times New Roman" w:hAnsi="Times New Roman"/>
                <w:b/>
                <w:color w:val="000000"/>
                <w:sz w:val="18"/>
              </w:rPr>
              <w:t>$ —</w:t>
            </w:r>
          </w:p>
        </w:tc>
      </w:tr>
      <w:tr>
        <w:trPr/>
        <w:tc>
          <w:tcPr>
            <w:tcW w:w="8930" w:type="dxa"/>
            <w:gridSpan w:val="16"/>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8"/>
              </w:rPr>
            </w:pPr>
            <w:r>
              <w:rPr>
                <w:rFonts w:ascii="Times New Roman" w:hAnsi="Times New Roman"/>
                <w:b/>
                <w:color w:val="000000"/>
                <w:sz w:val="18"/>
              </w:rPr>
              <w:t>Net Fee Due</w:t>
            </w:r>
          </w:p>
        </w:tc>
        <w:tc>
          <w:tcPr>
            <w:tcW w:w="146" w:type="dxa"/>
            <w:tcBorders/>
            <w:shd w:fill="CCEEFF" w:val="clear"/>
            <w:vAlign w:val="center"/>
          </w:tcPr>
          <w:p>
            <w:pPr>
              <w:pStyle w:val="TableContents"/>
              <w:bidi w:val="0"/>
              <w:spacing w:before="0" w:after="283"/>
              <w:jc w:val="left"/>
              <w:rPr/>
            </w:pPr>
            <w:r>
              <w:rPr/>
              <w:t> </w:t>
            </w:r>
          </w:p>
        </w:tc>
        <w:tc>
          <w:tcPr>
            <w:tcW w:w="1129"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Times New Roman" w:hAnsi="Times New Roman"/>
                <w:b/>
                <w:color w:val="000000"/>
                <w:sz w:val="18"/>
              </w:rPr>
            </w:pPr>
            <w:r>
              <w:rPr>
                <w:rFonts w:ascii="Times New Roman" w:hAnsi="Times New Roman"/>
                <w:b/>
                <w:color w:val="000000"/>
                <w:sz w:val="18"/>
              </w:rPr>
              <w:t>$ 1,675.36</w:t>
            </w:r>
          </w:p>
        </w:tc>
      </w:tr>
    </w:tbl>
    <w:p>
      <w:pPr>
        <w:pStyle w:val="TextBody"/>
        <w:bidi w:val="0"/>
        <w:spacing w:before="60" w:after="283"/>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Represents shares of common stock, par value $0.0001 per share (“Common Stock”) of Athira Pharma, Inc. (the “Registrant”) available for issuance pursuant to awards granted pursuant to the Registrant’s 2020 Employee Stock Purchase Plan (the “2020 ESPP”), 2020 Equity Incentive Plan (the “2020 Plan”), and 2024 Inducement Equity Incentive Plan (the “2024 Inducement Plan”). In addition, pursuant to Rule 416(a) under the Securities Act of 1933, as amended (the “Securities Act”), this Registration Statement shall also cover any additional shares of the Registrant’s Common Stock that become issuable under the 2020 ESPP, 2020 Plan or 2024 Inducement Plan by reason of an event such as any stock split, stock dividend, recapitalization or similar transaction effected without receipt of consideration that increases the number of the Registrant’s outstanding shares of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For the sole purpose of calculating the registration fee, the amount to be registered under this Registration Statement has been broken down into subtotals.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Estimated in accordance with Rules (c) and (h) of Rule 457 under the Securities Act solely for the purposes of calculating the registration fee on the basis of 85% of $3.81 per share, which represents the average of the high and low price per share of the Registrant’s Common Stock on February 20, 2024, as reported on The Nasdaq Global Select Market. Pursuant to the 2020 ESPP, the purchase price of the shares of the Registrant’s Common Stock reserved for issuance thereunder will be 85% of the lower of the fair market value of the Common Stock on the first trading day of the offering period or on the last day of the offering period.</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Represents an automatic annual increase on January 1, 2024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120"/>
        <w:jc w:val="left"/>
        <w:rPr/>
      </w:pPr>
      <w:r>
        <w:rPr>
          <w:rFonts w:ascii="Times New Roman" w:hAnsi="Times New Roman"/>
          <w:color w:val="000000"/>
          <w:sz w:val="19"/>
        </w:rPr>
        <w:t>Estimated in accordance with Rules 457(c) and (h) of the Securities Act solely for purposes of calculating the registration fee on the basis of $3.81 per share, which represents the average of the high and low prices of the Registrant’s Common Stock on February 20, 2024, as reported on The Nasdaq Global Select Market</w:t>
      </w:r>
      <w:r>
        <w:rPr>
          <w:rFonts w:ascii="Times New Roman" w:hAnsi="Times New Roman"/>
          <w:color w:val="000000"/>
          <w:sz w:val="18"/>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Represents an automatic annual increase on January 1, 2024 to the number of shares of the Registrant’s Common Stock reserved for issuance under the 2020 Plan pursuant to an “evergreen” provision contained in the 2020 Plan. Pursuant to such provision, the number of shares of the Registrant’s Common Stock available for grant and issuance under the 2020 Plan is subject to an annual increase on the first day of each fiscal year by an amount equal to the least of (i) 3,230,000 shares of Common Stock , (ii) five percent (5%) of the outstanding shares of all classes of the Registrant’s Common Stock as of the last day of the immediately preceding fiscal year or (iii) such number of shares as the Registrant’s board of directors may determine no later than the last day of the Registrant’s immediately preceding fiscal year.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(7)</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Represents 750,000 shares of Common Stock of the Registrant available for issuance as a result of the approval of the 2024 Inducement Plan approved by the board of directors of the Registrant pursuant to the applicable listing rules of the Nasdaq Stock Market LLC.</w:t>
      </w:r>
    </w:p>
    <w:p>
      <w:pPr>
        <w:pStyle w:val="TextBody"/>
        <w:bidi w:val="0"/>
        <w:spacing w:before="240" w:after="48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63/000095012320009608/atha-8a12b.htm" TargetMode="External"/><Relationship Id="rId3" Type="http://schemas.openxmlformats.org/officeDocument/2006/relationships/hyperlink" Target="https://www.sec.gov/Archives/edgar/data/1620463/000156459020043324/atha-ex41_478.htm" TargetMode="External"/><Relationship Id="rId4" Type="http://schemas.openxmlformats.org/officeDocument/2006/relationships/hyperlink" Target="https://www.sec.gov/Archives/edgar/data/1620463/000156459020043324/atha-ex41_478.htm" TargetMode="External"/><Relationship Id="rId5" Type="http://schemas.openxmlformats.org/officeDocument/2006/relationships/hyperlink" Target="https://www.sec.gov/Archives/edgar/data/1620463/000156459020042848/atha-ex105_89.htm" TargetMode="External"/><Relationship Id="rId6" Type="http://schemas.openxmlformats.org/officeDocument/2006/relationships/hyperlink" Target="https://www.sec.gov/Archives/edgar/data/1620463/000156459020042848/atha-ex105_89.htm" TargetMode="External"/><Relationship Id="rId7" Type="http://schemas.openxmlformats.org/officeDocument/2006/relationships/hyperlink" Target="https://www.sec.gov/Archives/edgar/data/1620463/000156459020042848/atha-ex106_88.htm" TargetMode="External"/><Relationship Id="rId8" Type="http://schemas.openxmlformats.org/officeDocument/2006/relationships/hyperlink" Target="https://www.sec.gov/Archives/edgar/data/1620463/000156459020042848/atha-ex106_88.htm" TargetMode="External"/><Relationship Id="rId9" Type="http://schemas.openxmlformats.org/officeDocument/2006/relationships/hyperlink" Target="https://www.sec.gov/Archives/edgar/data/1620463/000156459020042848/atha-ex107_87.htm" TargetMode="External"/><Relationship Id="rId10" Type="http://schemas.openxmlformats.org/officeDocument/2006/relationships/hyperlink" Target="https://www.sec.gov/Archives/edgar/data/1620463/000156459020042848/atha-ex107_87.htm" TargetMode="External"/><Relationship Id="rId11" Type="http://schemas.openxmlformats.org/officeDocument/2006/relationships/hyperlink" Target="https://www.sec.gov/Archives/edgar/data/1620463/000156459020042848/atha-ex108_86.htm" TargetMode="External"/><Relationship Id="rId12" Type="http://schemas.openxmlformats.org/officeDocument/2006/relationships/hyperlink" Target="https://www.sec.gov/Archives/edgar/data/1620463/000095017023009498/atha-ex10_8.htm" TargetMode="External"/><Relationship Id="rId13" Type="http://schemas.openxmlformats.org/officeDocument/2006/relationships/hyperlink" Target="https://www.sec.gov/Archives/edgar/data/1620463/000095017024018764/atha-ex10_1.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4047</Words>
  <Characters>21696</Characters>
  <CharactersWithSpaces>26031</CharactersWithSpaces>
  <Paragraphs>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