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4132026_080417.xml.htm"/>
      <w:bookmarkStart w:id="1" w:name="ksform404132026_08041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Litton Mark James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LEONABIO,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18706 NORTH CREEK PARKWAY, SUITE 104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BOTHELL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98011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LeonaBio,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LONA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2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9.54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04/09/2026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750,000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04/08/2036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750,000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subject to the option shall be scheduled to vest monthly over a term of 48 months on the monthly anniversaries of the grant date, subject to the optionee continuing to be a Service Provider (as defined in the Issuer's 2026 Equity Incentive Plan) through the applicable vesting dates.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Mark Worthington, Attorney-in-Fact for Mark James Litton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04834" TargetMode="External"/><Relationship Id="rId5" Type="http://schemas.openxmlformats.org/officeDocument/2006/relationships/hyperlink" Target="http://www.sec.gov/cgi-bin/browse-edgar?action=getcompany&amp;CIK=000162046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627</Words>
  <Characters>3382</Characters>
  <CharactersWithSpaces>3947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