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864090dsc13da.htm"/>
      <w:bookmarkStart w:id="1" w:name="ksd864090dsc13da"/>
      <w:bookmarkEnd w:id="0"/>
      <w:bookmarkEnd w:id="1"/>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13D/A 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Athira Pharma,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04746L104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Alexander Rakitin </w:t>
      </w:r>
    </w:p>
    <w:p>
      <w:pPr>
        <w:pStyle w:val="TextBody"/>
        <w:bidi w:val="0"/>
        <w:spacing w:before="0" w:after="0"/>
        <w:jc w:val="center"/>
        <w:rPr>
          <w:rFonts w:ascii="Times New Roman" w:hAnsi="Times New Roman"/>
          <w:b/>
          <w:sz w:val="20"/>
        </w:rPr>
      </w:pPr>
      <w:r>
        <w:rPr>
          <w:rFonts w:ascii="Times New Roman" w:hAnsi="Times New Roman"/>
          <w:b/>
          <w:sz w:val="20"/>
        </w:rPr>
        <w:t xml:space="preserve">Perceptive Advisors LLC </w:t>
      </w:r>
    </w:p>
    <w:p>
      <w:pPr>
        <w:pStyle w:val="TextBody"/>
        <w:bidi w:val="0"/>
        <w:spacing w:before="0" w:after="0"/>
        <w:jc w:val="center"/>
        <w:rPr>
          <w:rFonts w:ascii="Times New Roman" w:hAnsi="Times New Roman"/>
          <w:b/>
          <w:sz w:val="20"/>
        </w:rPr>
      </w:pPr>
      <w:r>
        <w:rPr>
          <w:rFonts w:ascii="Times New Roman" w:hAnsi="Times New Roman"/>
          <w:b/>
          <w:sz w:val="20"/>
        </w:rPr>
        <w:t xml:space="preserve">51 Astor Place, 10th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10003 </w:t>
      </w:r>
    </w:p>
    <w:p>
      <w:pPr>
        <w:pStyle w:val="TextBody"/>
        <w:bidi w:val="0"/>
        <w:spacing w:before="0" w:after="0"/>
        <w:jc w:val="center"/>
        <w:rPr>
          <w:rFonts w:ascii="Times New Roman" w:hAnsi="Times New Roman"/>
          <w:b/>
          <w:sz w:val="20"/>
        </w:rPr>
      </w:pPr>
      <w:r>
        <w:rPr>
          <w:rFonts w:ascii="Times New Roman" w:hAnsi="Times New Roman"/>
          <w:b/>
          <w:sz w:val="20"/>
        </w:rPr>
        <w:t xml:space="preserve">(646) 205-5340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30,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Section 240.13d-7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18"/>
        <w:gridCol w:w="126"/>
        <w:gridCol w:w="3165"/>
        <w:gridCol w:w="126"/>
        <w:gridCol w:w="3070"/>
      </w:tblGrid>
      <w:tr>
        <w:trPr/>
        <w:tc>
          <w:tcPr>
            <w:tcW w:w="37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3718" w:type="dxa"/>
            <w:tcBorders/>
          </w:tcPr>
          <w:p>
            <w:pPr>
              <w:pStyle w:val="TableContents"/>
              <w:bidi w:val="0"/>
              <w:spacing w:before="0" w:after="283"/>
              <w:jc w:val="left"/>
              <w:rPr/>
            </w:pPr>
            <w:r>
              <w:rPr/>
              <w:t>CUSIP No. 04746L104</w:t>
            </w:r>
          </w:p>
        </w:tc>
        <w:tc>
          <w:tcPr>
            <w:tcW w:w="126"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0"/>
        <w:gridCol w:w="121"/>
        <w:gridCol w:w="740"/>
        <w:gridCol w:w="175"/>
        <w:gridCol w:w="175"/>
        <w:gridCol w:w="175"/>
        <w:gridCol w:w="8316"/>
      </w:tblGrid>
      <w:tr>
        <w:trPr/>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316" w:type="dxa"/>
            <w:tcBorders/>
            <w:vAlign w:val="center"/>
          </w:tcPr>
          <w:p>
            <w:pPr>
              <w:pStyle w:val="TableContents"/>
              <w:bidi w:val="0"/>
              <w:spacing w:before="0" w:after="283"/>
              <w:jc w:val="left"/>
              <w:rPr>
                <w:sz w:val="4"/>
                <w:szCs w:val="4"/>
              </w:rPr>
            </w:pPr>
            <w:r>
              <w:rPr>
                <w:sz w:val="4"/>
                <w:szCs w:val="4"/>
              </w:rPr>
            </w:r>
          </w:p>
        </w:tc>
      </w:tr>
      <w:tr>
        <w:trPr/>
        <w:tc>
          <w:tcPr>
            <w:tcW w:w="40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Perceptive Advisors LLC</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445"/>
        <w:gridCol w:w="174"/>
        <w:gridCol w:w="7750"/>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750"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5,402,964</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75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5,402,964</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5,402,964</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04746L104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0"/>
        <w:gridCol w:w="121"/>
        <w:gridCol w:w="752"/>
        <w:gridCol w:w="172"/>
        <w:gridCol w:w="169"/>
        <w:gridCol w:w="172"/>
        <w:gridCol w:w="8316"/>
      </w:tblGrid>
      <w:tr>
        <w:trPr/>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316" w:type="dxa"/>
            <w:tcBorders/>
            <w:vAlign w:val="center"/>
          </w:tcPr>
          <w:p>
            <w:pPr>
              <w:pStyle w:val="TableContents"/>
              <w:bidi w:val="0"/>
              <w:spacing w:before="0" w:after="283"/>
              <w:jc w:val="left"/>
              <w:rPr>
                <w:sz w:val="4"/>
                <w:szCs w:val="4"/>
              </w:rPr>
            </w:pPr>
            <w:r>
              <w:rPr>
                <w:sz w:val="4"/>
                <w:szCs w:val="4"/>
              </w:rPr>
            </w:r>
          </w:p>
        </w:tc>
      </w:tr>
      <w:tr>
        <w:trPr/>
        <w:tc>
          <w:tcPr>
            <w:tcW w:w="40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Joseph Edelman</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xml:space="preserve">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 of America</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445"/>
        <w:gridCol w:w="174"/>
        <w:gridCol w:w="7750"/>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750"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5,479,348</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75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5,479,348</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5,479,348</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14.2%</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04746L104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0"/>
        <w:gridCol w:w="121"/>
        <w:gridCol w:w="740"/>
        <w:gridCol w:w="175"/>
        <w:gridCol w:w="175"/>
        <w:gridCol w:w="175"/>
        <w:gridCol w:w="8316"/>
      </w:tblGrid>
      <w:tr>
        <w:trPr/>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316" w:type="dxa"/>
            <w:tcBorders/>
            <w:vAlign w:val="center"/>
          </w:tcPr>
          <w:p>
            <w:pPr>
              <w:pStyle w:val="TableContents"/>
              <w:bidi w:val="0"/>
              <w:spacing w:before="0" w:after="283"/>
              <w:jc w:val="left"/>
              <w:rPr>
                <w:sz w:val="4"/>
                <w:szCs w:val="4"/>
              </w:rPr>
            </w:pPr>
            <w:r>
              <w:rPr>
                <w:sz w:val="4"/>
                <w:szCs w:val="4"/>
              </w:rPr>
            </w:r>
          </w:p>
        </w:tc>
      </w:tr>
      <w:tr>
        <w:trPr/>
        <w:tc>
          <w:tcPr>
            <w:tcW w:w="40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8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Perceptive Life Sciences Master Fund, Ltd.</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8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xml:space="preserve">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445"/>
        <w:gridCol w:w="174"/>
        <w:gridCol w:w="7750"/>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750"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5,402,964</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75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5,402,964</w:t>
            </w:r>
          </w:p>
        </w:tc>
      </w:tr>
    </w:tbl>
    <w:tbl>
      <w:tblPr>
        <w:tblW w:w="4950" w:type="pct"/>
        <w:jc w:val="left"/>
        <w:tblInd w:w="0" w:type="dxa"/>
        <w:tblLayout w:type="fixed"/>
        <w:tblCellMar>
          <w:top w:w="0" w:type="dxa"/>
          <w:left w:w="0" w:type="dxa"/>
          <w:bottom w:w="0" w:type="dxa"/>
          <w:right w:w="0" w:type="dxa"/>
        </w:tblCellMar>
      </w:tblPr>
      <w:tblGrid>
        <w:gridCol w:w="428"/>
        <w:gridCol w:w="127"/>
        <w:gridCol w:w="674"/>
        <w:gridCol w:w="212"/>
        <w:gridCol w:w="205"/>
        <w:gridCol w:w="212"/>
        <w:gridCol w:w="8244"/>
      </w:tblGrid>
      <w:tr>
        <w:trPr/>
        <w:tc>
          <w:tcPr>
            <w:tcW w:w="42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4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5,402,964</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14.1%</w:t>
            </w:r>
          </w:p>
        </w:tc>
      </w:tr>
      <w:tr>
        <w:trPr/>
        <w:tc>
          <w:tcPr>
            <w:tcW w:w="4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2 of the Schedule 13D is amended and restated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No. 3 to the Schedule 13D is being filed by Perceptive Advisors LLC (Perceptive Advisors), Joseph Edelman (Mr. Edelman) and Perceptive Life Sciences Master Fund, Ltd. (the Master Fund, and together with Perceptive Advisors and Mr. Edelman, each of the foregoing, a Reporting Person, and collectively, the Reporting Persons). Perceptive Advisors serves as the investment advisor to the Master Fund and Mr. Edelman is the managing member of Perceptive Advisors. The agreement among the Reporting Persons to file this Schedule 13D jointly in accordance with Rule 13d-1(k) of the Securities Exchange Act of 1934, as amended, is attached as Exhibit 1 to the initial Schedule 13D filed February 8,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the principal business office of each of the Reporting Persons is 51 Astor Place 10th Floor, New York, NY 10003.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of Perceptive Advisors is managing funds in connection with purchasing, holding and selling securities for investment purposes. The principal business of the Master Fund is to invest in securities. The principal occupation of Mr. Edelman is as the managing member of Perceptive Advisors and other related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five years, none of the Reporting Persons, nor to the Reporting Persons knowledge, any of the persons listed on </w:t>
            </w:r>
            <w:r>
              <w:rPr>
                <w:rFonts w:ascii="Times New Roman" w:hAnsi="Times New Roman"/>
                <w:sz w:val="20"/>
                <w:u w:val="single"/>
              </w:rPr>
              <w:t>Schedule A</w:t>
            </w:r>
            <w:r>
              <w:rPr>
                <w:rFonts w:ascii="Times New Roman" w:hAnsi="Times New Roman"/>
                <w:sz w:val="20"/>
              </w:rPr>
              <w:t xml:space="preserve"> to this Amendment No. 3 to Schedule 13D, has been convicted in a criminal proceeding (excluding traffic violations or similar misdemeanors).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five years, none of the Reporting Persons, nor to the Reporting Persons knowledge, any of the persons listed on </w:t>
            </w:r>
            <w:r>
              <w:rPr>
                <w:rFonts w:ascii="Times New Roman" w:hAnsi="Times New Roman"/>
                <w:sz w:val="20"/>
                <w:u w:val="single"/>
              </w:rPr>
              <w:t>Schedule A</w:t>
            </w:r>
            <w:r>
              <w:rPr>
                <w:rFonts w:ascii="Times New Roman" w:hAnsi="Times New Roman"/>
                <w:sz w:val="20"/>
              </w:rPr>
              <w:t xml:space="preserve"> to this Amendment No. 3 to Schedule 13D,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other than the previously announced settlement order entered into by Perceptive Advisors with the Securities and Exchange Commission dated September 6, 2022 (File No. 3-21031).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Perceptive Advisors is a Delaware limited liability company. Mr. Edelman is a United States citizen. The Master Fund is a Cayman Islands corporation. </w:t>
            </w:r>
          </w:p>
        </w:tc>
      </w:tr>
    </w:tbl>
    <w:p>
      <w:pPr>
        <w:pStyle w:val="TextBody"/>
        <w:bidi w:val="0"/>
        <w:spacing w:before="240" w:after="0"/>
        <w:jc w:val="left"/>
        <w:rPr>
          <w:rFonts w:ascii="Times New Roman" w:hAnsi="Times New Roman"/>
          <w:sz w:val="20"/>
        </w:rPr>
      </w:pPr>
      <w:r>
        <w:rPr>
          <w:rFonts w:ascii="Times New Roman" w:hAnsi="Times New Roman"/>
          <w:sz w:val="20"/>
          <w:u w:val="single"/>
        </w:rPr>
        <w:t>Schedule A</w:t>
      </w:r>
      <w:r>
        <w:rPr>
          <w:rFonts w:ascii="Times New Roman" w:hAnsi="Times New Roman"/>
          <w:sz w:val="20"/>
        </w:rPr>
        <w:t xml:space="preserve"> to this Amendment No. 3 to Schedule 13D sets forth the information regarding the directors of the Master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4 of the Schedule 13D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Reporting Persons acquired the shares of Common Stock set forth in Item 5 and hold their shares of Common Stock for investment purposes. Mr. Edelman is a director of the Issuer. </w:t>
      </w:r>
    </w:p>
    <w:p>
      <w:pPr>
        <w:pStyle w:val="TextBody"/>
        <w:bidi w:val="0"/>
        <w:spacing w:before="120" w:after="0"/>
        <w:jc w:val="left"/>
        <w:rPr>
          <w:rFonts w:ascii="Times New Roman" w:hAnsi="Times New Roman"/>
          <w:sz w:val="20"/>
        </w:rPr>
      </w:pPr>
      <w:r>
        <w:rPr>
          <w:rFonts w:ascii="Times New Roman" w:hAnsi="Times New Roman"/>
          <w:sz w:val="20"/>
        </w:rPr>
        <w:t xml:space="preserve">Each Reporting Person expects to continuously review such persons investment in the Issuer and, depending on various factors including but not limited to, the price of the shares of Common Stock, the terms and conditions of the transaction, prevailing market conditions and such other considerations as such Reporting Person deems relevant, may at any time or from time to time, and subject to any required regulatory approvals, acquire additional shares of Common Stock, preferred stock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Reporting Person also may, at any time, subject to compliance with applicable securities laws and regulatory requirements dispose or distribute some or all of its of his Common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Representatives of the Reporting Persons are engaged in discussions with the Issuers management and other third parties with respect to a potential extraordinary transaction involving the Issuer and other third parties. There is no assurance that any such transaction will develop or materialize, or if it does, as to its timing or whether the Reporting Persons will participate.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indicated herein, no Reporting Person, as a stockholder of the Issuer, has any plans or proposals that relates or would result in any of the transactions or other matters specified in clauses (a) though (j) of Item 4 of Schedule 13D. Each Reporting Person may, at any time and from time to time, review or reconsider its or his position and/or change its or his purpose and/or formulate plans or proposals with respect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5 of the Schedule 13D is amended and supplemented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rows 11 and 13 of the cover pages to this Schedule 13D is incorporated by reference. The percentage set forth in row 13 is based on 38,439,375 outstanding shares of Common Stock as of July 29, 2024, as reported by the Issuer in Amendment No. 1 to its Quarterly Report on Form 10-Q filed with the Securities and Exchange Commission on August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rows 7 through 10 of the cover pages to this Schedule 13D is incorporated by reference. Mr. Edelmans cover page includes 76,384 shares of Common Stock that may be acquired upon the exercise of vested options awarded to Mr. Edelman in connection with his role as a director of the Issuer.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October 31,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PERCEPTIVE ADVISORS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Edelman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Joseph Edelman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Edelman</w:t>
            </w:r>
          </w:p>
        </w:tc>
      </w:tr>
      <w:tr>
        <w:trPr/>
        <w:tc>
          <w:tcPr>
            <w:tcW w:w="4082" w:type="dxa"/>
            <w:gridSpan w:val="3"/>
            <w:tcBorders/>
          </w:tcPr>
          <w:p>
            <w:pPr>
              <w:pStyle w:val="TableContents"/>
              <w:bidi w:val="0"/>
              <w:spacing w:before="0" w:after="283"/>
              <w:jc w:val="left"/>
              <w:rPr/>
            </w:pPr>
            <w:r>
              <w:rPr/>
              <w:t>JOSEPH EDELMAN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PERCEPTIVE LIFE SCIENCES MASTER FUND, LTD.</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Perceptive Advisors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Edelman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Joseph Edelman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Managing Member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the name, address, principal occupation, citizenship and beneficial ownership of Ordinary Shares of each director of the Master Fund.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6"/>
        <w:gridCol w:w="120"/>
        <w:gridCol w:w="2289"/>
        <w:gridCol w:w="120"/>
        <w:gridCol w:w="2373"/>
        <w:gridCol w:w="120"/>
        <w:gridCol w:w="2317"/>
      </w:tblGrid>
      <w:tr>
        <w:trPr/>
        <w:tc>
          <w:tcPr>
            <w:tcW w:w="28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Master Fund</w:t>
            </w:r>
          </w:p>
        </w:tc>
      </w:tr>
      <w:tr>
        <w:trPr/>
        <w:tc>
          <w:tcPr>
            <w:tcW w:w="28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and Citizenship</w:t>
            </w:r>
          </w:p>
        </w:tc>
        <w:tc>
          <w:tcPr>
            <w:tcW w:w="120" w:type="dxa"/>
            <w:tcBorders/>
            <w:vAlign w:val="bottom"/>
          </w:tcPr>
          <w:p>
            <w:pPr>
              <w:pStyle w:val="TableContents"/>
              <w:bidi w:val="0"/>
              <w:spacing w:before="0" w:after="283"/>
              <w:jc w:val="left"/>
              <w:rPr/>
            </w:pPr>
            <w:r>
              <w:rPr/>
              <w:t>  </w:t>
            </w:r>
          </w:p>
        </w:tc>
        <w:tc>
          <w:tcPr>
            <w:tcW w:w="22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bottom"/>
          </w:tcPr>
          <w:p>
            <w:pPr>
              <w:pStyle w:val="TableContents"/>
              <w:bidi w:val="0"/>
              <w:spacing w:before="0" w:after="283"/>
              <w:jc w:val="left"/>
              <w:rPr/>
            </w:pPr>
            <w:r>
              <w:rPr/>
              <w:t>  </w:t>
            </w:r>
          </w:p>
        </w:tc>
        <w:tc>
          <w:tcPr>
            <w:tcW w:w="23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Business Address</w:t>
            </w:r>
          </w:p>
        </w:tc>
        <w:tc>
          <w:tcPr>
            <w:tcW w:w="120" w:type="dxa"/>
            <w:tcBorders/>
            <w:vAlign w:val="bottom"/>
          </w:tcPr>
          <w:p>
            <w:pPr>
              <w:pStyle w:val="TableContents"/>
              <w:bidi w:val="0"/>
              <w:spacing w:before="0" w:after="283"/>
              <w:jc w:val="left"/>
              <w:rPr/>
            </w:pPr>
            <w:r>
              <w:rPr/>
              <w:t>  </w:t>
            </w:r>
          </w:p>
        </w:tc>
        <w:tc>
          <w:tcPr>
            <w:tcW w:w="231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Beneficial Ownership of</w:t>
            </w:r>
          </w:p>
          <w:p>
            <w:pPr>
              <w:pStyle w:val="TableContents"/>
              <w:bidi w:val="0"/>
              <w:spacing w:before="0" w:after="20"/>
              <w:jc w:val="center"/>
              <w:rPr>
                <w:rFonts w:ascii="Times New Roman" w:hAnsi="Times New Roman"/>
                <w:b/>
                <w:sz w:val="16"/>
              </w:rPr>
            </w:pPr>
            <w:r>
              <w:rPr>
                <w:rFonts w:ascii="Times New Roman" w:hAnsi="Times New Roman"/>
                <w:b/>
                <w:sz w:val="16"/>
              </w:rPr>
              <w:t>Ordinary Shares</w:t>
            </w:r>
          </w:p>
        </w:tc>
      </w:tr>
      <w:tr>
        <w:trPr/>
        <w:tc>
          <w:tcPr>
            <w:tcW w:w="2866" w:type="dxa"/>
            <w:tcBorders/>
          </w:tcPr>
          <w:p>
            <w:pPr>
              <w:pStyle w:val="TableContents"/>
              <w:bidi w:val="0"/>
              <w:spacing w:before="0" w:after="0"/>
              <w:jc w:val="center"/>
              <w:rPr>
                <w:rFonts w:ascii="Times New Roman" w:hAnsi="Times New Roman"/>
                <w:sz w:val="20"/>
              </w:rPr>
            </w:pPr>
            <w:r>
              <w:rPr>
                <w:rFonts w:ascii="Times New Roman" w:hAnsi="Times New Roman"/>
                <w:sz w:val="20"/>
              </w:rPr>
              <w:t>Scott Dakers</w:t>
            </w:r>
          </w:p>
          <w:p>
            <w:pPr>
              <w:pStyle w:val="TableContents"/>
              <w:bidi w:val="0"/>
              <w:spacing w:before="0" w:after="20"/>
              <w:jc w:val="center"/>
              <w:rPr>
                <w:rFonts w:ascii="Times New Roman" w:hAnsi="Times New Roman"/>
                <w:sz w:val="20"/>
              </w:rPr>
            </w:pPr>
            <w:r>
              <w:rPr>
                <w:rFonts w:ascii="Times New Roman" w:hAnsi="Times New Roman"/>
                <w:sz w:val="20"/>
              </w:rPr>
              <w:t>(United Kingdom)</w:t>
            </w:r>
          </w:p>
        </w:tc>
        <w:tc>
          <w:tcPr>
            <w:tcW w:w="120" w:type="dxa"/>
            <w:tcBorders/>
            <w:vAlign w:val="bottom"/>
          </w:tcPr>
          <w:p>
            <w:pPr>
              <w:pStyle w:val="TableContents"/>
              <w:bidi w:val="0"/>
              <w:spacing w:before="0" w:after="283"/>
              <w:jc w:val="left"/>
              <w:rPr/>
            </w:pPr>
            <w:r>
              <w:rPr/>
              <w:t>  </w:t>
            </w:r>
          </w:p>
        </w:tc>
        <w:tc>
          <w:tcPr>
            <w:tcW w:w="2289"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0"/>
              <w:jc w:val="center"/>
              <w:rPr>
                <w:rFonts w:ascii="Times New Roman" w:hAnsi="Times New Roman"/>
                <w:sz w:val="20"/>
              </w:rPr>
            </w:pPr>
            <w:r>
              <w:rPr>
                <w:rFonts w:ascii="Times New Roman" w:hAnsi="Times New Roman"/>
                <w:sz w:val="20"/>
              </w:rPr>
              <w:t>c/o Elian Fiduciary Services (Cayman) Limited</w:t>
            </w:r>
          </w:p>
          <w:p>
            <w:pPr>
              <w:pStyle w:val="TableContents"/>
              <w:bidi w:val="0"/>
              <w:spacing w:before="0" w:after="0"/>
              <w:jc w:val="center"/>
              <w:rPr>
                <w:rFonts w:ascii="Times New Roman" w:hAnsi="Times New Roman"/>
                <w:sz w:val="20"/>
              </w:rPr>
            </w:pPr>
            <w:r>
              <w:rPr>
                <w:rFonts w:ascii="Times New Roman" w:hAnsi="Times New Roman"/>
                <w:sz w:val="20"/>
              </w:rPr>
              <w:t>190 Elgin Avenue, George Town</w:t>
            </w:r>
          </w:p>
          <w:p>
            <w:pPr>
              <w:pStyle w:val="TableContents"/>
              <w:bidi w:val="0"/>
              <w:spacing w:before="0" w:after="0"/>
              <w:jc w:val="center"/>
              <w:rPr>
                <w:rFonts w:ascii="Times New Roman" w:hAnsi="Times New Roman"/>
                <w:sz w:val="20"/>
              </w:rPr>
            </w:pPr>
            <w:r>
              <w:rPr>
                <w:rFonts w:ascii="Times New Roman" w:hAnsi="Times New Roman"/>
                <w:sz w:val="20"/>
              </w:rPr>
              <w:t>Grand Cayman KY1-9007</w:t>
            </w:r>
          </w:p>
          <w:p>
            <w:pPr>
              <w:pStyle w:val="TableContents"/>
              <w:bidi w:val="0"/>
              <w:spacing w:before="0" w:after="20"/>
              <w:jc w:val="center"/>
              <w:rPr>
                <w:rFonts w:ascii="Times New Roman" w:hAnsi="Times New Roman"/>
                <w:sz w:val="20"/>
              </w:rPr>
            </w:pPr>
            <w:r>
              <w:rPr>
                <w:rFonts w:ascii="Times New Roman" w:hAnsi="Times New Roman"/>
                <w:sz w:val="20"/>
              </w:rPr>
              <w:t>Cayman Islands</w:t>
            </w:r>
          </w:p>
        </w:tc>
        <w:tc>
          <w:tcPr>
            <w:tcW w:w="120" w:type="dxa"/>
            <w:tcBorders/>
            <w:vAlign w:val="bottom"/>
          </w:tcPr>
          <w:p>
            <w:pPr>
              <w:pStyle w:val="TableContents"/>
              <w:bidi w:val="0"/>
              <w:spacing w:before="0" w:after="283"/>
              <w:jc w:val="left"/>
              <w:rPr/>
            </w:pPr>
            <w:r>
              <w:rPr/>
              <w:t>  </w:t>
            </w:r>
          </w:p>
        </w:tc>
        <w:tc>
          <w:tcPr>
            <w:tcW w:w="2317" w:type="dxa"/>
            <w:tcBorders/>
          </w:tcPr>
          <w:p>
            <w:pPr>
              <w:pStyle w:val="TableContents"/>
              <w:bidi w:val="0"/>
              <w:spacing w:before="0" w:after="283"/>
              <w:jc w:val="center"/>
              <w:rPr/>
            </w:pPr>
            <w:r>
              <w:rPr/>
              <w:t>None</w:t>
            </w:r>
          </w:p>
        </w:tc>
      </w:tr>
      <w:tr>
        <w:trPr>
          <w:trHeight w:val="120" w:hRule="atLeast"/>
        </w:trPr>
        <w:tc>
          <w:tcPr>
            <w:tcW w:w="2866" w:type="dxa"/>
            <w:tcBorders/>
            <w:vAlign w:val="center"/>
          </w:tcPr>
          <w:p>
            <w:pPr>
              <w:pStyle w:val="TableContents"/>
              <w:bidi w:val="0"/>
              <w:spacing w:before="0" w:after="283"/>
              <w:jc w:val="left"/>
              <w:rPr>
                <w:sz w:val="4"/>
                <w:szCs w:val="4"/>
              </w:rPr>
            </w:pPr>
            <w:r>
              <w:rPr>
                <w:sz w:val="4"/>
                <w:szCs w:val="4"/>
              </w:rPr>
            </w:r>
          </w:p>
        </w:tc>
        <w:tc>
          <w:tcPr>
            <w:tcW w:w="2409" w:type="dxa"/>
            <w:gridSpan w:val="2"/>
            <w:tcBorders/>
            <w:vAlign w:val="center"/>
          </w:tcPr>
          <w:p>
            <w:pPr>
              <w:pStyle w:val="TableContents"/>
              <w:bidi w:val="0"/>
              <w:spacing w:before="0" w:after="283"/>
              <w:jc w:val="left"/>
              <w:rPr>
                <w:sz w:val="4"/>
                <w:szCs w:val="4"/>
              </w:rPr>
            </w:pPr>
            <w:r>
              <w:rPr>
                <w:sz w:val="4"/>
                <w:szCs w:val="4"/>
              </w:rPr>
            </w:r>
          </w:p>
        </w:tc>
        <w:tc>
          <w:tcPr>
            <w:tcW w:w="2493" w:type="dxa"/>
            <w:gridSpan w:val="2"/>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r>
      <w:tr>
        <w:trPr/>
        <w:tc>
          <w:tcPr>
            <w:tcW w:w="2866" w:type="dxa"/>
            <w:tcBorders/>
          </w:tcPr>
          <w:p>
            <w:pPr>
              <w:pStyle w:val="TableContents"/>
              <w:bidi w:val="0"/>
              <w:spacing w:before="0" w:after="0"/>
              <w:jc w:val="center"/>
              <w:rPr>
                <w:rFonts w:ascii="Times New Roman" w:hAnsi="Times New Roman"/>
                <w:sz w:val="20"/>
              </w:rPr>
            </w:pPr>
            <w:r>
              <w:rPr>
                <w:rFonts w:ascii="Times New Roman" w:hAnsi="Times New Roman"/>
                <w:sz w:val="20"/>
              </w:rPr>
              <w:t>Ernest A. Morrison</w:t>
            </w:r>
          </w:p>
          <w:p>
            <w:pPr>
              <w:pStyle w:val="TableContents"/>
              <w:bidi w:val="0"/>
              <w:spacing w:before="0" w:after="20"/>
              <w:jc w:val="center"/>
              <w:rPr>
                <w:rFonts w:ascii="Times New Roman" w:hAnsi="Times New Roman"/>
                <w:sz w:val="20"/>
              </w:rPr>
            </w:pPr>
            <w:r>
              <w:rPr>
                <w:rFonts w:ascii="Times New Roman" w:hAnsi="Times New Roman"/>
                <w:sz w:val="20"/>
              </w:rPr>
              <w:t>(United Kingdom)</w:t>
            </w:r>
          </w:p>
        </w:tc>
        <w:tc>
          <w:tcPr>
            <w:tcW w:w="120" w:type="dxa"/>
            <w:tcBorders/>
            <w:vAlign w:val="bottom"/>
          </w:tcPr>
          <w:p>
            <w:pPr>
              <w:pStyle w:val="TableContents"/>
              <w:bidi w:val="0"/>
              <w:spacing w:before="0" w:after="283"/>
              <w:jc w:val="left"/>
              <w:rPr/>
            </w:pPr>
            <w:r>
              <w:rPr/>
              <w:t>  </w:t>
            </w:r>
          </w:p>
        </w:tc>
        <w:tc>
          <w:tcPr>
            <w:tcW w:w="2289"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0"/>
              <w:jc w:val="center"/>
              <w:rPr>
                <w:rFonts w:ascii="Times New Roman" w:hAnsi="Times New Roman"/>
                <w:sz w:val="20"/>
              </w:rPr>
            </w:pPr>
            <w:r>
              <w:rPr>
                <w:rFonts w:ascii="Times New Roman" w:hAnsi="Times New Roman"/>
                <w:sz w:val="20"/>
              </w:rPr>
              <w:t>Cox Hallett Wilkinson</w:t>
            </w:r>
          </w:p>
          <w:p>
            <w:pPr>
              <w:pStyle w:val="TableContents"/>
              <w:bidi w:val="0"/>
              <w:spacing w:before="0" w:after="0"/>
              <w:jc w:val="center"/>
              <w:rPr>
                <w:rFonts w:ascii="Times New Roman" w:hAnsi="Times New Roman"/>
                <w:sz w:val="20"/>
              </w:rPr>
            </w:pPr>
            <w:r>
              <w:rPr>
                <w:rFonts w:ascii="Times New Roman" w:hAnsi="Times New Roman"/>
                <w:sz w:val="20"/>
              </w:rPr>
              <w:t>Milner House</w:t>
            </w:r>
          </w:p>
          <w:p>
            <w:pPr>
              <w:pStyle w:val="TableContents"/>
              <w:bidi w:val="0"/>
              <w:spacing w:before="0" w:after="0"/>
              <w:jc w:val="center"/>
              <w:rPr>
                <w:rFonts w:ascii="Times New Roman" w:hAnsi="Times New Roman"/>
                <w:sz w:val="20"/>
              </w:rPr>
            </w:pPr>
            <w:r>
              <w:rPr>
                <w:rFonts w:ascii="Times New Roman" w:hAnsi="Times New Roman"/>
                <w:sz w:val="20"/>
              </w:rPr>
              <w:t>18 Parliament Street</w:t>
            </w:r>
          </w:p>
          <w:p>
            <w:pPr>
              <w:pStyle w:val="TableContents"/>
              <w:bidi w:val="0"/>
              <w:spacing w:before="0" w:after="0"/>
              <w:jc w:val="center"/>
              <w:rPr>
                <w:rFonts w:ascii="Times New Roman" w:hAnsi="Times New Roman"/>
                <w:sz w:val="20"/>
              </w:rPr>
            </w:pPr>
            <w:r>
              <w:rPr>
                <w:rFonts w:ascii="Times New Roman" w:hAnsi="Times New Roman"/>
                <w:sz w:val="20"/>
              </w:rPr>
              <w:t>P.O. Box HM 1561</w:t>
            </w:r>
          </w:p>
          <w:p>
            <w:pPr>
              <w:pStyle w:val="TableContents"/>
              <w:bidi w:val="0"/>
              <w:spacing w:before="0" w:after="0"/>
              <w:jc w:val="center"/>
              <w:rPr>
                <w:rFonts w:ascii="Times New Roman" w:hAnsi="Times New Roman"/>
                <w:sz w:val="20"/>
              </w:rPr>
            </w:pPr>
            <w:r>
              <w:rPr>
                <w:rFonts w:ascii="Times New Roman" w:hAnsi="Times New Roman"/>
                <w:sz w:val="20"/>
              </w:rPr>
              <w:t>Hamilton HM FX</w:t>
            </w:r>
          </w:p>
          <w:p>
            <w:pPr>
              <w:pStyle w:val="TableContents"/>
              <w:bidi w:val="0"/>
              <w:spacing w:before="0" w:after="20"/>
              <w:jc w:val="center"/>
              <w:rPr>
                <w:rFonts w:ascii="Times New Roman" w:hAnsi="Times New Roman"/>
                <w:sz w:val="20"/>
              </w:rPr>
            </w:pPr>
            <w:r>
              <w:rPr>
                <w:rFonts w:ascii="Times New Roman" w:hAnsi="Times New Roman"/>
                <w:sz w:val="20"/>
              </w:rPr>
              <w:t>Bermuda</w:t>
            </w:r>
          </w:p>
        </w:tc>
        <w:tc>
          <w:tcPr>
            <w:tcW w:w="120" w:type="dxa"/>
            <w:tcBorders/>
            <w:vAlign w:val="bottom"/>
          </w:tcPr>
          <w:p>
            <w:pPr>
              <w:pStyle w:val="TableContents"/>
              <w:bidi w:val="0"/>
              <w:spacing w:before="0" w:after="283"/>
              <w:jc w:val="left"/>
              <w:rPr/>
            </w:pPr>
            <w:r>
              <w:rPr/>
              <w:t>  </w:t>
            </w:r>
          </w:p>
        </w:tc>
        <w:tc>
          <w:tcPr>
            <w:tcW w:w="2317" w:type="dxa"/>
            <w:tcBorders/>
          </w:tcPr>
          <w:p>
            <w:pPr>
              <w:pStyle w:val="TableContents"/>
              <w:bidi w:val="0"/>
              <w:spacing w:before="0" w:after="283"/>
              <w:jc w:val="center"/>
              <w:rPr/>
            </w:pPr>
            <w:r>
              <w:rPr/>
              <w:t>None</w:t>
            </w:r>
          </w:p>
        </w:tc>
      </w:tr>
      <w:tr>
        <w:trPr>
          <w:trHeight w:val="120" w:hRule="atLeast"/>
        </w:trPr>
        <w:tc>
          <w:tcPr>
            <w:tcW w:w="2866" w:type="dxa"/>
            <w:tcBorders/>
            <w:vAlign w:val="center"/>
          </w:tcPr>
          <w:p>
            <w:pPr>
              <w:pStyle w:val="TableContents"/>
              <w:bidi w:val="0"/>
              <w:spacing w:before="0" w:after="283"/>
              <w:jc w:val="left"/>
              <w:rPr>
                <w:sz w:val="4"/>
                <w:szCs w:val="4"/>
              </w:rPr>
            </w:pPr>
            <w:r>
              <w:rPr>
                <w:sz w:val="4"/>
                <w:szCs w:val="4"/>
              </w:rPr>
            </w:r>
          </w:p>
        </w:tc>
        <w:tc>
          <w:tcPr>
            <w:tcW w:w="2409" w:type="dxa"/>
            <w:gridSpan w:val="2"/>
            <w:tcBorders/>
            <w:vAlign w:val="center"/>
          </w:tcPr>
          <w:p>
            <w:pPr>
              <w:pStyle w:val="TableContents"/>
              <w:bidi w:val="0"/>
              <w:spacing w:before="0" w:after="283"/>
              <w:jc w:val="left"/>
              <w:rPr>
                <w:sz w:val="4"/>
                <w:szCs w:val="4"/>
              </w:rPr>
            </w:pPr>
            <w:r>
              <w:rPr>
                <w:sz w:val="4"/>
                <w:szCs w:val="4"/>
              </w:rPr>
            </w:r>
          </w:p>
        </w:tc>
        <w:tc>
          <w:tcPr>
            <w:tcW w:w="2493" w:type="dxa"/>
            <w:gridSpan w:val="2"/>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r>
      <w:tr>
        <w:trPr/>
        <w:tc>
          <w:tcPr>
            <w:tcW w:w="2866" w:type="dxa"/>
            <w:tcBorders/>
          </w:tcPr>
          <w:p>
            <w:pPr>
              <w:pStyle w:val="TableContents"/>
              <w:bidi w:val="0"/>
              <w:spacing w:before="0" w:after="0"/>
              <w:jc w:val="center"/>
              <w:rPr>
                <w:rFonts w:ascii="Times New Roman" w:hAnsi="Times New Roman"/>
                <w:sz w:val="20"/>
              </w:rPr>
            </w:pPr>
            <w:r>
              <w:rPr>
                <w:rFonts w:ascii="Times New Roman" w:hAnsi="Times New Roman"/>
                <w:sz w:val="20"/>
              </w:rPr>
              <w:t>James Nicholas</w:t>
            </w:r>
          </w:p>
          <w:p>
            <w:pPr>
              <w:pStyle w:val="TableContents"/>
              <w:bidi w:val="0"/>
              <w:spacing w:before="0" w:after="20"/>
              <w:jc w:val="center"/>
              <w:rPr>
                <w:rFonts w:ascii="Times New Roman" w:hAnsi="Times New Roman"/>
                <w:sz w:val="20"/>
              </w:rPr>
            </w:pPr>
            <w:r>
              <w:rPr>
                <w:rFonts w:ascii="Times New Roman" w:hAnsi="Times New Roman"/>
                <w:sz w:val="20"/>
              </w:rPr>
              <w:t>(United States)</w:t>
            </w:r>
          </w:p>
        </w:tc>
        <w:tc>
          <w:tcPr>
            <w:tcW w:w="120" w:type="dxa"/>
            <w:tcBorders/>
            <w:vAlign w:val="bottom"/>
          </w:tcPr>
          <w:p>
            <w:pPr>
              <w:pStyle w:val="TableContents"/>
              <w:bidi w:val="0"/>
              <w:spacing w:before="0" w:after="283"/>
              <w:jc w:val="left"/>
              <w:rPr/>
            </w:pPr>
            <w:r>
              <w:rPr/>
              <w:t>  </w:t>
            </w:r>
          </w:p>
        </w:tc>
        <w:tc>
          <w:tcPr>
            <w:tcW w:w="2289"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373" w:type="dxa"/>
            <w:tcBorders/>
          </w:tcPr>
          <w:p>
            <w:pPr>
              <w:pStyle w:val="TableContents"/>
              <w:bidi w:val="0"/>
              <w:spacing w:before="0" w:after="0"/>
              <w:jc w:val="center"/>
              <w:rPr>
                <w:rFonts w:ascii="Times New Roman" w:hAnsi="Times New Roman"/>
                <w:sz w:val="20"/>
              </w:rPr>
            </w:pPr>
            <w:r>
              <w:rPr>
                <w:rFonts w:ascii="Times New Roman" w:hAnsi="Times New Roman"/>
                <w:sz w:val="20"/>
              </w:rPr>
              <w:t>c/o GenesisPoint LLC</w:t>
            </w:r>
          </w:p>
          <w:p>
            <w:pPr>
              <w:pStyle w:val="TableContents"/>
              <w:bidi w:val="0"/>
              <w:spacing w:before="0" w:after="0"/>
              <w:jc w:val="center"/>
              <w:rPr>
                <w:rFonts w:ascii="Times New Roman" w:hAnsi="Times New Roman"/>
                <w:sz w:val="20"/>
              </w:rPr>
            </w:pPr>
            <w:r>
              <w:rPr>
                <w:rFonts w:ascii="Times New Roman" w:hAnsi="Times New Roman"/>
                <w:sz w:val="20"/>
              </w:rPr>
              <w:t>30 Old Kings Highway S</w:t>
            </w:r>
          </w:p>
          <w:p>
            <w:pPr>
              <w:pStyle w:val="TableContents"/>
              <w:bidi w:val="0"/>
              <w:spacing w:before="0" w:after="20"/>
              <w:jc w:val="center"/>
              <w:rPr>
                <w:rFonts w:ascii="Times New Roman" w:hAnsi="Times New Roman"/>
                <w:sz w:val="20"/>
              </w:rPr>
            </w:pPr>
            <w:r>
              <w:rPr>
                <w:rFonts w:ascii="Times New Roman" w:hAnsi="Times New Roman"/>
                <w:sz w:val="20"/>
              </w:rPr>
              <w:t>Darien, CT 06820</w:t>
            </w:r>
          </w:p>
        </w:tc>
        <w:tc>
          <w:tcPr>
            <w:tcW w:w="120" w:type="dxa"/>
            <w:tcBorders/>
            <w:vAlign w:val="bottom"/>
          </w:tcPr>
          <w:p>
            <w:pPr>
              <w:pStyle w:val="TableContents"/>
              <w:bidi w:val="0"/>
              <w:spacing w:before="0" w:after="283"/>
              <w:jc w:val="left"/>
              <w:rPr/>
            </w:pPr>
            <w:r>
              <w:rPr/>
              <w:t>  </w:t>
            </w:r>
          </w:p>
        </w:tc>
        <w:tc>
          <w:tcPr>
            <w:tcW w:w="2317" w:type="dxa"/>
            <w:tcBorders/>
          </w:tcPr>
          <w:p>
            <w:pPr>
              <w:pStyle w:val="TableContents"/>
              <w:bidi w:val="0"/>
              <w:spacing w:before="0" w:after="283"/>
              <w:jc w:val="center"/>
              <w:rPr/>
            </w:pPr>
            <w:r>
              <w:rPr/>
              <w:t>None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1864</Words>
  <Characters>9510</Characters>
  <CharactersWithSpaces>11477</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