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-228600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96520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22"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001-39503</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191"/>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8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Bothell, WA 98011</w:t>
            </w:r>
          </w:p>
        </w:tc>
        <w:tc>
          <w:tcPr>
            <w:tcW w:w="178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296"/>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230"/>
        </w:trPr>
        <w:tc>
          <w:tcPr>
            <w:tcW w:w="2160" w:type="dxa"/>
            <w:vAlign w:val="bottom"/>
          </w:tcPr>
          <w:p>
            <w:pPr>
              <w:spacing w:after="0"/>
              <w:rPr>
                <w:sz w:val="19"/>
                <w:szCs w:val="19"/>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74"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226" w:right="479" w:bottom="1440" w:gutter="0" w:footer="0" w:header="0"/>
        </w:sectPr>
      </w:pPr>
    </w:p>
    <w:p>
      <w:pPr>
        <w:spacing w:after="0" w:line="11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5" w:lineRule="exact"/>
        <w:rPr>
          <w:sz w:val="24"/>
          <w:szCs w:val="24"/>
          <w:color w:val="auto"/>
        </w:rPr>
      </w:pPr>
    </w:p>
    <w:p>
      <w:pPr>
        <w:sectPr>
          <w:pgSz w:w="11900" w:h="16838" w:orient="portrait"/>
          <w:cols w:equalWidth="0" w:num="3">
            <w:col w:w="4340" w:space="720"/>
            <w:col w:w="2160" w:space="720"/>
            <w:col w:w="3160"/>
          </w:cols>
          <w:pgMar w:left="320" w:top="1226" w:right="47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ATHA</w:t>
      </w:r>
    </w:p>
    <w:p>
      <w:pPr>
        <w:spacing w:after="0" w:line="20" w:lineRule="exact"/>
        <w:rPr>
          <w:sz w:val="24"/>
          <w:szCs w:val="24"/>
          <w:color w:val="auto"/>
        </w:rPr>
      </w:pPr>
      <w:r>
        <w:rPr>
          <w:sz w:val="24"/>
          <w:szCs w:val="24"/>
          <w:color w:val="auto"/>
        </w:rPr>
        <w:br w:type="column"/>
      </w:r>
    </w:p>
    <w:p>
      <w:pPr>
        <w:jc w:val="right"/>
        <w:ind w:right="820"/>
        <w:spacing w:after="0"/>
        <w:rPr>
          <w:sz w:val="20"/>
          <w:szCs w:val="20"/>
          <w:color w:val="auto"/>
        </w:rPr>
      </w:pPr>
      <w:r>
        <w:rPr>
          <w:rFonts w:ascii="Times New Roman" w:cs="Times New Roman" w:eastAsia="Times New Roman" w:hAnsi="Times New Roman"/>
          <w:sz w:val="16"/>
          <w:szCs w:val="16"/>
          <w:color w:val="auto"/>
        </w:rPr>
        <w:t>The Nasdaq Stock Market LLC</w:t>
      </w:r>
    </w:p>
    <w:p>
      <w:pPr>
        <w:jc w:val="right"/>
        <w:ind w:right="880"/>
        <w:spacing w:after="0"/>
        <w:rPr>
          <w:sz w:val="20"/>
          <w:szCs w:val="20"/>
          <w:color w:val="auto"/>
        </w:rPr>
      </w:pPr>
      <w:r>
        <w:rPr>
          <w:rFonts w:ascii="Times New Roman" w:cs="Times New Roman" w:eastAsia="Times New Roman" w:hAnsi="Times New Roman"/>
          <w:sz w:val="16"/>
          <w:szCs w:val="16"/>
          <w:color w:val="auto"/>
        </w:rPr>
        <w:t>(The Nasdaq Capital Market)</w:t>
      </w:r>
    </w:p>
    <w:p>
      <w:pPr>
        <w:spacing w:after="0" w:line="87" w:lineRule="exact"/>
        <w:rPr>
          <w:sz w:val="24"/>
          <w:szCs w:val="24"/>
          <w:color w:val="auto"/>
        </w:rPr>
      </w:pPr>
    </w:p>
    <w:p>
      <w:pPr>
        <w:sectPr>
          <w:pgSz w:w="11900" w:h="16838" w:orient="portrait"/>
          <w:cols w:equalWidth="0" w:num="3">
            <w:col w:w="4680" w:space="720"/>
            <w:col w:w="2120" w:space="720"/>
            <w:col w:w="2860"/>
          </w:cols>
          <w:pgMar w:left="320" w:top="1226" w:right="47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26"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May 9, 2025, Athira Pharma, Inc. (the “Company”) issued a press release reporting its financial results for the quarter ended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herewith as Exhibit 99.1.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7.01 Regulation FD Disclosure.</w:t>
      </w:r>
    </w:p>
    <w:p>
      <w:pPr>
        <w:spacing w:after="0" w:line="12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X account (@athirapharma), LinkedIn account (www.linkedin.com/company/athirapharma), Instagram account (@athirapharma)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102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Athira Pharma, Inc. press release dated May 9,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760" w:type="dxa"/>
            <w:vAlign w:val="bottom"/>
            <w:tcBorders>
              <w:right w:val="single" w:sz="8" w:color="0000EE"/>
            </w:tcBorders>
            <w:shd w:val="clear" w:color="auto" w:fill="0000FF"/>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358"/>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38"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Athira Pharma, Inc.</w:t>
            </w:r>
          </w:p>
        </w:tc>
      </w:tr>
      <w:tr>
        <w:trPr>
          <w:trHeight w:val="432"/>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 May 9, 2025</w:t>
            </w:r>
          </w:p>
        </w:tc>
        <w:tc>
          <w:tcPr>
            <w:tcW w:w="2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Litton</w:t>
            </w:r>
          </w:p>
        </w:tc>
      </w:tr>
      <w:tr>
        <w:trPr>
          <w:trHeight w:val="191"/>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Mark Litton</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627"/>
        </w:trPr>
        <w:tc>
          <w:tcPr>
            <w:tcW w:w="36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6350</wp:posOffset>
            </wp:positionV>
            <wp:extent cx="1491615"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16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Athira Pharma Reports First Quarter 2025 Financial Results and Pipeline and Business Updates</w:t>
      </w:r>
    </w:p>
    <w:p>
      <w:pPr>
        <w:spacing w:after="0" w:line="175" w:lineRule="exact"/>
        <w:rPr>
          <w:sz w:val="20"/>
          <w:szCs w:val="20"/>
          <w:color w:val="auto"/>
        </w:rPr>
      </w:pPr>
    </w:p>
    <w:p>
      <w:pPr>
        <w:jc w:val="center"/>
        <w:ind w:right="40"/>
        <w:spacing w:after="0" w:line="259" w:lineRule="auto"/>
        <w:rPr>
          <w:sz w:val="20"/>
          <w:szCs w:val="20"/>
          <w:color w:val="auto"/>
        </w:rPr>
      </w:pPr>
      <w:r>
        <w:rPr>
          <w:rFonts w:ascii="Arial" w:cs="Arial" w:eastAsia="Arial" w:hAnsi="Arial"/>
          <w:sz w:val="22"/>
          <w:szCs w:val="22"/>
          <w:i w:val="1"/>
          <w:iCs w:val="1"/>
          <w:color w:val="auto"/>
        </w:rPr>
        <w:t>Completed healthy volunteer Phase 1 clinical study of ATH-1105 as a potential treatment for amyotrophic lateral sclerosis (ALS); full healthy volunteer data expected in 2H25</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On-track to enable dosing ALS patients in late 2025</w:t>
      </w:r>
    </w:p>
    <w:p>
      <w:pPr>
        <w:spacing w:after="0" w:line="209"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b w:val="1"/>
          <w:bCs w:val="1"/>
          <w:color w:val="auto"/>
        </w:rPr>
        <w:t xml:space="preserve">BOTHELL, Wash., May 9, 2025 – Athira Pharma, Inc. </w:t>
      </w:r>
      <w:r>
        <w:rPr>
          <w:rFonts w:ascii="Arial" w:cs="Arial" w:eastAsia="Arial" w:hAnsi="Arial"/>
          <w:sz w:val="20"/>
          <w:szCs w:val="20"/>
          <w:color w:val="auto"/>
        </w:rPr>
        <w:t>(NASDAQ: ATHA), a clinical stage biopharmaceutical company focused</w:t>
      </w:r>
      <w:r>
        <w:rPr>
          <w:rFonts w:ascii="Arial" w:cs="Arial" w:eastAsia="Arial" w:hAnsi="Arial"/>
          <w:sz w:val="20"/>
          <w:szCs w:val="20"/>
          <w:b w:val="1"/>
          <w:bCs w:val="1"/>
          <w:color w:val="auto"/>
        </w:rPr>
        <w:t xml:space="preserve"> </w:t>
      </w:r>
      <w:r>
        <w:rPr>
          <w:rFonts w:ascii="Arial" w:cs="Arial" w:eastAsia="Arial" w:hAnsi="Arial"/>
          <w:sz w:val="20"/>
          <w:szCs w:val="20"/>
          <w:color w:val="auto"/>
        </w:rPr>
        <w:t>on developing small molecules to restore neuronal health and slow neurodegeneration, today reported financial results for the quarter ended March 31, 2025, and provided recent pipeline and business updates.</w:t>
      </w:r>
    </w:p>
    <w:p>
      <w:pPr>
        <w:spacing w:after="0" w:line="170"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“We continue to focus our efforts on advancing ATH-1105 as a potential therapy for ALS. ATH-1105 has shown encouraging evidence of statistically significant improvements in nerve and motor function and biomarkers of inflammation and neurodegeneration in various preclinical models, along with a favorable safety profile and tolerability in healthy volunteers,” said Mark Litton, Ph.D., President and Chief Executive Officer of Athira. “We look forward to sharing the full results from the first-in-human Phase 1 trial of ATH-1105 in healthy volunteers in the second half of this year, keeping us on-track to enable dosing ALS patients in late 2025.”</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Development &amp; Pipeline Programs</w:t>
      </w:r>
    </w:p>
    <w:p>
      <w:pPr>
        <w:spacing w:after="0" w:line="204" w:lineRule="exact"/>
        <w:rPr>
          <w:sz w:val="20"/>
          <w:szCs w:val="20"/>
          <w:color w:val="auto"/>
        </w:rPr>
      </w:pPr>
    </w:p>
    <w:p>
      <w:pPr>
        <w:ind w:right="580"/>
        <w:spacing w:after="0" w:line="241" w:lineRule="auto"/>
        <w:rPr>
          <w:sz w:val="20"/>
          <w:szCs w:val="20"/>
          <w:color w:val="auto"/>
        </w:rPr>
      </w:pPr>
      <w:r>
        <w:rPr>
          <w:rFonts w:ascii="Arial" w:cs="Arial" w:eastAsia="Arial" w:hAnsi="Arial"/>
          <w:sz w:val="20"/>
          <w:szCs w:val="20"/>
          <w:color w:val="auto"/>
        </w:rPr>
        <w:t>Athira’s drug development pipeline includes next-generation small molecule drug candidates designed to promote the neurotrophic hepatocyte growth factor (HGF) system, which activates neuroprotective, neurotrophic and anti-inflammatory pathways in the central and peripheral nervous systems.</w:t>
      </w:r>
    </w:p>
    <w:p>
      <w:pPr>
        <w:spacing w:after="0" w:line="169" w:lineRule="exact"/>
        <w:rPr>
          <w:sz w:val="20"/>
          <w:szCs w:val="20"/>
          <w:color w:val="auto"/>
        </w:rPr>
      </w:pPr>
    </w:p>
    <w:p>
      <w:pPr>
        <w:ind w:right="280"/>
        <w:spacing w:after="0" w:line="237" w:lineRule="auto"/>
        <w:rPr>
          <w:sz w:val="20"/>
          <w:szCs w:val="20"/>
          <w:color w:val="auto"/>
        </w:rPr>
      </w:pPr>
      <w:r>
        <w:rPr>
          <w:rFonts w:ascii="Arial" w:cs="Arial" w:eastAsia="Arial" w:hAnsi="Arial"/>
          <w:sz w:val="20"/>
          <w:szCs w:val="20"/>
          <w:b w:val="1"/>
          <w:bCs w:val="1"/>
          <w:color w:val="auto"/>
        </w:rPr>
        <w:t xml:space="preserve">ATH-1105 </w:t>
      </w:r>
      <w:r>
        <w:rPr>
          <w:rFonts w:ascii="Arial" w:cs="Arial" w:eastAsia="Arial" w:hAnsi="Arial"/>
          <w:sz w:val="20"/>
          <w:szCs w:val="20"/>
          <w:color w:val="auto"/>
        </w:rPr>
        <w:t>– A novel, orally available, brain-penetrant, next-generation small molecule drug candidate designed to positively</w:t>
      </w:r>
      <w:r>
        <w:rPr>
          <w:rFonts w:ascii="Arial" w:cs="Arial" w:eastAsia="Arial" w:hAnsi="Arial"/>
          <w:sz w:val="20"/>
          <w:szCs w:val="20"/>
          <w:b w:val="1"/>
          <w:bCs w:val="1"/>
          <w:color w:val="auto"/>
        </w:rPr>
        <w:t xml:space="preserve"> </w:t>
      </w:r>
      <w:r>
        <w:rPr>
          <w:rFonts w:ascii="Arial" w:cs="Arial" w:eastAsia="Arial" w:hAnsi="Arial"/>
          <w:sz w:val="20"/>
          <w:szCs w:val="20"/>
          <w:color w:val="auto"/>
        </w:rPr>
        <w:t>modulate the neurotrophic HGF system for potential treatment of neurodegenerative diseases, including amyotrophic lateral sclerosis (ALS), Alzheimer’s disease, and Parkinson’s disease. ATH-1105 is currently in clinical development for the potential treatment of ALS.</w:t>
      </w:r>
    </w:p>
    <w:p>
      <w:pPr>
        <w:spacing w:after="0" w:line="174" w:lineRule="exact"/>
        <w:rPr>
          <w:sz w:val="20"/>
          <w:szCs w:val="20"/>
          <w:color w:val="auto"/>
        </w:rPr>
      </w:pPr>
    </w:p>
    <w:p>
      <w:pPr>
        <w:ind w:left="760" w:right="20" w:hanging="378"/>
        <w:spacing w:after="0" w:line="228"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Athira conducted the first-in-human Phase 1 (NCT 06432647) double-blind, placebo-controlled clinical trial that enrolled 80 healthy volunteers to evaluate single and multiple oral ascending doses of ATH-1105. The study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spacing w:after="0" w:line="4"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Athira is on track to enable dosing ALS patients in late 2025.</w:t>
      </w:r>
    </w:p>
    <w:p>
      <w:pPr>
        <w:ind w:left="760" w:right="140" w:hanging="378"/>
        <w:spacing w:after="0" w:line="23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ATH-1105’s potential is supported by a growing body of preclinical evidence demonstrating statistically significant improvements in nerve and motor function, biomarkers of inflammation and neurodegeneration, and survival in various models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ind w:left="760" w:right="20" w:hanging="378"/>
        <w:spacing w:after="0" w:line="236"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These data have been presented at a variety of key scientific and medical meetings including the American Association of Neurology (AAN), the Alzheimer’s Association International Congress (AAIC), the Northeast Amyotrophic Lateral Sclerosis Consortium® (NEALS), and the Motor Neurone Disease Association (MNDA), and published in Frontiers in Neuroscience, 2024.</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Presentation</w:t>
      </w:r>
    </w:p>
    <w:p>
      <w:pPr>
        <w:spacing w:after="0" w:line="215" w:lineRule="exact"/>
        <w:rPr>
          <w:sz w:val="20"/>
          <w:szCs w:val="20"/>
          <w:color w:val="auto"/>
        </w:rPr>
      </w:pPr>
    </w:p>
    <w:p>
      <w:pPr>
        <w:ind w:right="80"/>
        <w:spacing w:after="0" w:line="217" w:lineRule="auto"/>
        <w:rPr>
          <w:sz w:val="20"/>
          <w:szCs w:val="20"/>
          <w:color w:val="auto"/>
        </w:rPr>
      </w:pPr>
      <w:r>
        <w:rPr>
          <w:rFonts w:ascii="Arial" w:cs="Arial" w:eastAsia="Arial" w:hAnsi="Arial"/>
          <w:sz w:val="20"/>
          <w:szCs w:val="20"/>
          <w:color w:val="auto"/>
        </w:rPr>
        <w:t>Athira will be presenting Phase 1 and nonclinical efficacy data for ATH-1105 for the potential treatment of ALS at the 4</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Annual ALS Drug Development Summit taking place May 12-14, 2025, in Boston, Massachusetts.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Presentation details: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Title: </w:t>
      </w:r>
      <w:r>
        <w:rPr>
          <w:rFonts w:ascii="Arial" w:cs="Arial" w:eastAsia="Arial" w:hAnsi="Arial"/>
          <w:sz w:val="20"/>
          <w:szCs w:val="20"/>
          <w:color w:val="auto"/>
        </w:rPr>
        <w:t>Advancing ATH-1105 for ALS Through Early Clinical and PK Data</w:t>
      </w:r>
    </w:p>
    <w:p>
      <w:pPr>
        <w:spacing w:after="0" w:line="231" w:lineRule="auto"/>
        <w:rPr>
          <w:sz w:val="20"/>
          <w:szCs w:val="20"/>
          <w:color w:val="auto"/>
        </w:rPr>
      </w:pPr>
      <w:r>
        <w:rPr>
          <w:rFonts w:ascii="Arial" w:cs="Arial" w:eastAsia="Arial" w:hAnsi="Arial"/>
          <w:sz w:val="20"/>
          <w:szCs w:val="20"/>
          <w:b w:val="1"/>
          <w:bCs w:val="1"/>
          <w:color w:val="auto"/>
        </w:rPr>
        <w:t xml:space="preserve">Scope: </w:t>
      </w:r>
      <w:r>
        <w:rPr>
          <w:rFonts w:ascii="Arial" w:cs="Arial" w:eastAsia="Arial" w:hAnsi="Arial"/>
          <w:sz w:val="20"/>
          <w:szCs w:val="20"/>
          <w:color w:val="auto"/>
        </w:rPr>
        <w:t>Nonclinical efficacy and Ph1 data supporting clinical translation of ATH-1105 in ALS</w:t>
      </w:r>
    </w:p>
    <w:p>
      <w:pPr>
        <w:spacing w:after="0" w:line="231" w:lineRule="auto"/>
        <w:rPr>
          <w:sz w:val="20"/>
          <w:szCs w:val="20"/>
          <w:color w:val="auto"/>
        </w:rPr>
      </w:pPr>
      <w:r>
        <w:rPr>
          <w:rFonts w:ascii="Arial" w:cs="Arial" w:eastAsia="Arial" w:hAnsi="Arial"/>
          <w:sz w:val="20"/>
          <w:szCs w:val="20"/>
          <w:b w:val="1"/>
          <w:bCs w:val="1"/>
          <w:color w:val="auto"/>
        </w:rPr>
        <w:t xml:space="preserve">Format: </w:t>
      </w:r>
      <w:r>
        <w:rPr>
          <w:rFonts w:ascii="Arial" w:cs="Arial" w:eastAsia="Arial" w:hAnsi="Arial"/>
          <w:sz w:val="20"/>
          <w:szCs w:val="20"/>
          <w:color w:val="auto"/>
        </w:rPr>
        <w:t>Oral</w:t>
      </w:r>
    </w:p>
    <w:p>
      <w:pPr>
        <w:spacing w:after="0" w:line="180" w:lineRule="auto"/>
        <w:rPr>
          <w:sz w:val="20"/>
          <w:szCs w:val="20"/>
          <w:color w:val="auto"/>
        </w:rPr>
      </w:pPr>
      <w:r>
        <w:rPr>
          <w:rFonts w:ascii="Arial" w:cs="Arial" w:eastAsia="Arial" w:hAnsi="Arial"/>
          <w:sz w:val="20"/>
          <w:szCs w:val="20"/>
          <w:b w:val="1"/>
          <w:bCs w:val="1"/>
          <w:color w:val="auto"/>
        </w:rPr>
        <w:t xml:space="preserve">Date/time: </w:t>
      </w:r>
      <w:r>
        <w:rPr>
          <w:rFonts w:ascii="Arial" w:cs="Arial" w:eastAsia="Arial" w:hAnsi="Arial"/>
          <w:sz w:val="20"/>
          <w:szCs w:val="20"/>
          <w:color w:val="auto"/>
        </w:rPr>
        <w:t>Tuesday May 13</w:t>
      </w:r>
      <w:r>
        <w:rPr>
          <w:rFonts w:ascii="Arial" w:cs="Arial" w:eastAsia="Arial" w:hAnsi="Arial"/>
          <w:sz w:val="26"/>
          <w:szCs w:val="26"/>
          <w:color w:val="auto"/>
          <w:vertAlign w:val="superscript"/>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at 11:00 AM EST</w:t>
      </w:r>
    </w:p>
    <w:p>
      <w:pPr>
        <w:spacing w:after="0" w:line="1" w:lineRule="exact"/>
        <w:rPr>
          <w:sz w:val="20"/>
          <w:szCs w:val="20"/>
          <w:color w:val="auto"/>
        </w:rPr>
      </w:pPr>
    </w:p>
    <w:p>
      <w:pPr>
        <w:ind w:right="1020"/>
        <w:spacing w:after="0" w:line="239" w:lineRule="auto"/>
        <w:rPr>
          <w:sz w:val="20"/>
          <w:szCs w:val="20"/>
          <w:color w:val="auto"/>
        </w:rPr>
      </w:pPr>
      <w:r>
        <w:rPr>
          <w:rFonts w:ascii="Arial" w:cs="Arial" w:eastAsia="Arial" w:hAnsi="Arial"/>
          <w:sz w:val="20"/>
          <w:szCs w:val="20"/>
          <w:b w:val="1"/>
          <w:bCs w:val="1"/>
          <w:color w:val="auto"/>
        </w:rPr>
        <w:t xml:space="preserve">Presenters: </w:t>
      </w:r>
      <w:r>
        <w:rPr>
          <w:rFonts w:ascii="Arial" w:cs="Arial" w:eastAsia="Arial" w:hAnsi="Arial"/>
          <w:sz w:val="20"/>
          <w:szCs w:val="20"/>
          <w:color w:val="auto"/>
        </w:rPr>
        <w:t>Sherif Reda, Ph.D., Director, Drug Discovery Research, Athira Pharma; and Kai-Bin Ooi, Director, Drug</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Operations, Athira Pharma</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Exploration of Strategic Alternatives</w:t>
      </w:r>
    </w:p>
    <w:p>
      <w:pPr>
        <w:spacing w:after="0" w:line="204" w:lineRule="exact"/>
        <w:rPr>
          <w:sz w:val="20"/>
          <w:szCs w:val="20"/>
          <w:color w:val="auto"/>
        </w:rPr>
      </w:pPr>
    </w:p>
    <w:p>
      <w:pPr>
        <w:ind w:left="760" w:right="20" w:hanging="378"/>
        <w:spacing w:after="0" w:line="229"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Following Athira’s receipt of the topline results of LIFT-AD in September 2024, the company's Phase 2/3 clinical trial of its then-lead drug candidate fosgonimeton in mild-to-moderate Alzheimer’s disease which did not meet its primary or key secondary endpoints, the company made the determination to explore strategic alternatives focused on maximizing stockholder value. Athira engaged Cantor Fitzgerald &amp; Co. to act as an advisor in this process.</w:t>
      </w:r>
    </w:p>
    <w:p>
      <w:pPr>
        <w:spacing w:after="0" w:line="3"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Additionally, Athira paused further development of fosgonimeton, including the related open label extension clinical trial, while continuing the development of ATH-1105 and exploring partnering options.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w:t>
      </w:r>
    </w:p>
    <w:p>
      <w:pPr>
        <w:spacing w:after="0" w:line="202" w:lineRule="exact"/>
        <w:rPr>
          <w:sz w:val="20"/>
          <w:szCs w:val="20"/>
          <w:color w:val="auto"/>
        </w:rPr>
      </w:pPr>
    </w:p>
    <w:p>
      <w:pPr>
        <w:jc w:val="both"/>
        <w:ind w:left="760" w:right="80" w:hanging="378"/>
        <w:spacing w:after="0" w:line="232"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cash equivalents and investments were $36.7 million as of March 31, 2025, compared to $51.3</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as of December 31, 2024. Net cash used in operations was $14.7 million for the quarter ended March 31, 2025, compared to $25.8 million for the quarter ended March 31, 2024.</w:t>
      </w:r>
    </w:p>
    <w:p>
      <w:pPr>
        <w:ind w:left="760" w:right="440" w:hanging="378"/>
        <w:spacing w:after="0" w:line="225"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Research and Development (R&amp;D) Expenses. </w:t>
      </w:r>
      <w:r>
        <w:rPr>
          <w:rFonts w:ascii="Arial" w:cs="Arial" w:eastAsia="Arial" w:hAnsi="Arial"/>
          <w:sz w:val="20"/>
          <w:szCs w:val="20"/>
          <w:color w:val="auto"/>
        </w:rPr>
        <w:t>R&amp;D expenses were $4.3 million for the quarter ended March 31,</w:t>
      </w:r>
      <w:r>
        <w:rPr>
          <w:rFonts w:ascii="Arial" w:cs="Arial" w:eastAsia="Arial" w:hAnsi="Arial"/>
          <w:sz w:val="20"/>
          <w:szCs w:val="20"/>
          <w:b w:val="1"/>
          <w:bCs w:val="1"/>
          <w:color w:val="auto"/>
        </w:rPr>
        <w:t xml:space="preserve"> </w:t>
      </w:r>
      <w:r>
        <w:rPr>
          <w:rFonts w:ascii="Arial" w:cs="Arial" w:eastAsia="Arial" w:hAnsi="Arial"/>
          <w:sz w:val="20"/>
          <w:szCs w:val="20"/>
          <w:color w:val="auto"/>
        </w:rPr>
        <w:t>2025, compared to $21.2 million for the quarter ended March 31, 2024. The decrease was driven primarily by decreases in fosgonimeton program costs and personnel-related expenses.</w:t>
      </w:r>
    </w:p>
    <w:p>
      <w:pPr>
        <w:ind w:left="760" w:right="120" w:hanging="378"/>
        <w:spacing w:after="0" w:line="225"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General and Administrative (G&amp;A) Expenses. </w:t>
      </w:r>
      <w:r>
        <w:rPr>
          <w:rFonts w:ascii="Arial" w:cs="Arial" w:eastAsia="Arial" w:hAnsi="Arial"/>
          <w:sz w:val="20"/>
          <w:szCs w:val="20"/>
          <w:color w:val="auto"/>
        </w:rPr>
        <w:t>G&amp;A expenses were $5.2 million for the quarter ended March 31,</w:t>
      </w:r>
      <w:r>
        <w:rPr>
          <w:rFonts w:ascii="Arial" w:cs="Arial" w:eastAsia="Arial" w:hAnsi="Arial"/>
          <w:sz w:val="20"/>
          <w:szCs w:val="20"/>
          <w:b w:val="1"/>
          <w:bCs w:val="1"/>
          <w:color w:val="auto"/>
        </w:rPr>
        <w:t xml:space="preserve"> </w:t>
      </w:r>
      <w:r>
        <w:rPr>
          <w:rFonts w:ascii="Arial" w:cs="Arial" w:eastAsia="Arial" w:hAnsi="Arial"/>
          <w:sz w:val="20"/>
          <w:szCs w:val="20"/>
          <w:color w:val="auto"/>
        </w:rPr>
        <w:t>2025, compared to $6.5 million for the quarter ended March 31, 2024, primarily as a result of a decrease in personnel-related expenses.</w:t>
      </w:r>
    </w:p>
    <w:p>
      <w:pPr>
        <w:ind w:left="760" w:right="100" w:hanging="378"/>
        <w:spacing w:after="0" w:line="239"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$9.1 million, or $0.23 per share, for the quarter ended March 31, 2025, compared to a net loss</w:t>
      </w:r>
      <w:r>
        <w:rPr>
          <w:rFonts w:ascii="Arial" w:cs="Arial" w:eastAsia="Arial" w:hAnsi="Arial"/>
          <w:sz w:val="20"/>
          <w:szCs w:val="20"/>
          <w:b w:val="1"/>
          <w:bCs w:val="1"/>
          <w:color w:val="auto"/>
        </w:rPr>
        <w:t xml:space="preserve"> </w:t>
      </w:r>
      <w:r>
        <w:rPr>
          <w:rFonts w:ascii="Arial" w:cs="Arial" w:eastAsia="Arial" w:hAnsi="Arial"/>
          <w:sz w:val="20"/>
          <w:szCs w:val="20"/>
          <w:color w:val="auto"/>
        </w:rPr>
        <w:t>of $26.3 million, or $0.69 per share, for the quarter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5" w:name="page6"/>
    <w:bookmarkEnd w:id="5"/>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Athira Pharma, Inc.</w:t>
      </w:r>
    </w:p>
    <w:p>
      <w:pPr>
        <w:spacing w:after="0" w:line="204"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color w:val="auto"/>
        </w:rPr>
        <w:t>Athira Pharma, Inc., headquartered in the Seattle, Washington area, is a clinical-stage biopharmaceutical company focused on developing small molecules to restore neuronal health and slow neurodegeneration. Athira aims to alter the course of neurological diseases by advancing its pipeline of drug candidates that modulate the neurotrophic HGF system. For more information, visit www.athira.com. You can also follow Athira on Facebook, LinkedIn, X and Instagram.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Athira’s drug candidates as potential treatments for amyotrophic lateral sclerosis, Alzheimer’s disease, Parkinson’s disease, and other neurodegenerative diseases; future development plans and the timing thereof; the potential learnings from preclinical studies and other nonclinical data and their ability to inform and improve future clinical development plans; the potential learnings from our Phase 1 ATH-1105 clinical trial, the timing of anticipated release of results and the implications of such learnings for future development plans; expectations regarding the potential efficacy and commercial potential of Athira’s drug candidates; Athira’s ability to advance its drug candidates into later stages of development; and Athira’s plans and expectations regarding Athira’s exploration of strategic alternatives and partnering options. Forward-looking statements generally include statements that are predictive in nature and depend upon or refer to future events or conditions, and include words such as “may,” “will,” “should,” “on track,” “would,” “expect,” “plan,” “believe,” “intend,” “pursue,” “continue,” “suggest,” “potential,” “target,”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data from preclinical and clinical trials may not support the safety, efficacy and tolerability of Athira’s drug candidates; development of drug candidates may cease or be delayed; regulatory authorities could object to protocols, amendments and other submissions; future potential regulatory milestones for drug candidates, including those related to current and planned clinical studies, may be insufficient to support regulatory submissions or approval; whether Athira’s trials are sufficiently powered to meet the planned endpoints; Athira may not be able to recruit sufficient patients for its clinical trials; the outcome of legal proceedings that may in the future be instituted against Athira, its directors and officers; possible negative interactions of Athira's drug candidates with other treatments; FDA regulatory delays and uncertainty and new policies implemented under the current administration, including executive orders, changes in the leadership of federal agencies such as the FDA and SEC, staff layoffs, budget cuts to agency programs and research, and changes in drug pricing controls; Athira’s assumptions regarding its financial condition and the sufficiency of its cash, cash equivalents and investments to fund its planned operations may be incorrect; adverse conditions in the general domestic and global economic markets, including as a result of tariffs; the impact of competition; the impact of drug candidate development and clinical activities on operating expenses; the impact of new or changing laws and regulations; risks related to Athira’s exploration of strategic alternatives; as well as the other risks detailed in Athira’s filings with the Securities and Exchange Commission from time to time. These forward-looking statements speak only as of the date hereof and Athira undertakes no obligation to update forward-looking statements. Athira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57" w:lineRule="auto"/>
        <w:rPr>
          <w:sz w:val="20"/>
          <w:szCs w:val="20"/>
          <w:color w:val="auto"/>
        </w:rPr>
      </w:pPr>
      <w:r>
        <w:rPr>
          <w:rFonts w:ascii="Arial" w:cs="Arial" w:eastAsia="Arial" w:hAnsi="Arial"/>
          <w:sz w:val="20"/>
          <w:szCs w:val="20"/>
          <w:color w:val="auto"/>
        </w:rPr>
        <w:t>may not actually achieve the plans, intentions, or expectations disclosed in its forward-looking statements, and you should not place undue reliance on the forward-looking statements.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Julie Rathbun</w:t>
      </w:r>
    </w:p>
    <w:p>
      <w:pPr>
        <w:spacing w:after="0" w:line="229" w:lineRule="auto"/>
        <w:rPr>
          <w:sz w:val="20"/>
          <w:szCs w:val="20"/>
          <w:color w:val="auto"/>
        </w:rPr>
      </w:pPr>
      <w:r>
        <w:rPr>
          <w:rFonts w:ascii="Arial" w:cs="Arial" w:eastAsia="Arial" w:hAnsi="Arial"/>
          <w:sz w:val="20"/>
          <w:szCs w:val="20"/>
          <w:color w:val="auto"/>
        </w:rPr>
        <w:t>Athira Pharma</w:t>
      </w:r>
    </w:p>
    <w:p>
      <w:pPr>
        <w:spacing w:after="0" w:line="226" w:lineRule="auto"/>
        <w:rPr>
          <w:sz w:val="20"/>
          <w:szCs w:val="20"/>
          <w:color w:val="auto"/>
        </w:rPr>
      </w:pPr>
      <w:r>
        <w:rPr>
          <w:rFonts w:ascii="Arial" w:cs="Arial" w:eastAsia="Arial" w:hAnsi="Arial"/>
          <w:sz w:val="20"/>
          <w:szCs w:val="20"/>
          <w:color w:val="467886"/>
        </w:rPr>
        <w:t>Julie.rathbun@athira.com</w:t>
      </w:r>
    </w:p>
    <w:p>
      <w:pPr>
        <w:spacing w:after="0"/>
        <w:rPr>
          <w:sz w:val="20"/>
          <w:szCs w:val="20"/>
          <w:color w:val="auto"/>
        </w:rPr>
      </w:pPr>
      <w:r>
        <w:rPr>
          <w:rFonts w:ascii="Arial" w:cs="Arial" w:eastAsia="Arial" w:hAnsi="Arial"/>
          <w:sz w:val="20"/>
          <w:szCs w:val="20"/>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14" w:right="5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254"/>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3"/>
        </w:trPr>
        <w:tc>
          <w:tcPr>
            <w:tcW w:w="580" w:type="dxa"/>
            <w:vAlign w:val="bottom"/>
          </w:tcPr>
          <w:p>
            <w:pPr>
              <w:spacing w:after="0"/>
              <w:rPr>
                <w:sz w:val="17"/>
                <w:szCs w:val="17"/>
                <w:color w:val="auto"/>
              </w:rPr>
            </w:pPr>
          </w:p>
        </w:tc>
        <w:tc>
          <w:tcPr>
            <w:tcW w:w="5000" w:type="dxa"/>
            <w:vAlign w:val="bottom"/>
            <w:shd w:val="clear" w:color="auto" w:fill="D1F3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900" w:type="dxa"/>
            <w:vAlign w:val="bottom"/>
            <w:shd w:val="clear" w:color="auto" w:fill="D1F3FF"/>
          </w:tcPr>
          <w:p>
            <w:pPr>
              <w:spacing w:after="0"/>
              <w:rPr>
                <w:sz w:val="17"/>
                <w:szCs w:val="17"/>
                <w:color w:val="auto"/>
              </w:rPr>
            </w:pPr>
          </w:p>
        </w:tc>
        <w:tc>
          <w:tcPr>
            <w:tcW w:w="140" w:type="dxa"/>
            <w:vAlign w:val="bottom"/>
            <w:shd w:val="clear" w:color="auto" w:fill="D1F3FF"/>
          </w:tcPr>
          <w:p>
            <w:pPr>
              <w:spacing w:after="0"/>
              <w:rPr>
                <w:sz w:val="17"/>
                <w:szCs w:val="17"/>
                <w:color w:val="auto"/>
              </w:rPr>
            </w:pPr>
          </w:p>
        </w:tc>
        <w:tc>
          <w:tcPr>
            <w:tcW w:w="1280" w:type="dxa"/>
            <w:vAlign w:val="bottom"/>
            <w:shd w:val="clear" w:color="auto" w:fill="D1F3FF"/>
          </w:tcPr>
          <w:p>
            <w:pPr>
              <w:spacing w:after="0"/>
              <w:rPr>
                <w:sz w:val="17"/>
                <w:szCs w:val="17"/>
                <w:color w:val="auto"/>
              </w:rPr>
            </w:pPr>
          </w:p>
        </w:tc>
        <w:tc>
          <w:tcPr>
            <w:tcW w:w="240" w:type="dxa"/>
            <w:vAlign w:val="bottom"/>
            <w:shd w:val="clear" w:color="auto" w:fill="D1F3FF"/>
          </w:tcPr>
          <w:p>
            <w:pPr>
              <w:spacing w:after="0"/>
              <w:rPr>
                <w:sz w:val="17"/>
                <w:szCs w:val="17"/>
                <w:color w:val="auto"/>
              </w:rPr>
            </w:pPr>
          </w:p>
        </w:tc>
        <w:tc>
          <w:tcPr>
            <w:tcW w:w="140" w:type="dxa"/>
            <w:vAlign w:val="bottom"/>
            <w:shd w:val="clear" w:color="auto" w:fill="D1F3FF"/>
          </w:tcPr>
          <w:p>
            <w:pPr>
              <w:spacing w:after="0"/>
              <w:rPr>
                <w:sz w:val="17"/>
                <w:szCs w:val="17"/>
                <w:color w:val="auto"/>
              </w:rPr>
            </w:pPr>
          </w:p>
        </w:tc>
        <w:tc>
          <w:tcPr>
            <w:tcW w:w="1280" w:type="dxa"/>
            <w:vAlign w:val="bottom"/>
            <w:shd w:val="clear" w:color="auto" w:fill="D1F3FF"/>
          </w:tcPr>
          <w:p>
            <w:pPr>
              <w:spacing w:after="0"/>
              <w:rPr>
                <w:sz w:val="17"/>
                <w:szCs w:val="17"/>
                <w:color w:val="auto"/>
              </w:rPr>
            </w:pPr>
          </w:p>
        </w:tc>
        <w:tc>
          <w:tcPr>
            <w:tcW w:w="120" w:type="dxa"/>
            <w:vAlign w:val="bottom"/>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000" w:type="dxa"/>
            <w:vAlign w:val="bottom"/>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26,422</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48,438</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000" w:type="dxa"/>
            <w:vAlign w:val="bottom"/>
            <w:shd w:val="clear" w:color="auto" w:fill="D1F3FF"/>
          </w:tcPr>
          <w:p>
            <w:pPr>
              <w:ind w:left="100"/>
              <w:spacing w:after="0" w:line="202" w:lineRule="exact"/>
              <w:rPr>
                <w:sz w:val="20"/>
                <w:szCs w:val="20"/>
                <w:color w:val="auto"/>
              </w:rPr>
            </w:pPr>
            <w:r>
              <w:rPr>
                <w:rFonts w:ascii="Arial" w:cs="Arial" w:eastAsia="Arial" w:hAnsi="Arial"/>
                <w:sz w:val="18"/>
                <w:szCs w:val="18"/>
                <w:color w:val="auto"/>
              </w:rPr>
              <w:t>Short-term investments</w:t>
            </w:r>
          </w:p>
        </w:tc>
        <w:tc>
          <w:tcPr>
            <w:tcW w:w="1900" w:type="dxa"/>
            <w:vAlign w:val="bottom"/>
            <w:shd w:val="clear" w:color="auto" w:fill="D1F3FF"/>
          </w:tcPr>
          <w:p>
            <w:pPr>
              <w:spacing w:after="0"/>
              <w:rPr>
                <w:sz w:val="17"/>
                <w:szCs w:val="17"/>
                <w:color w:val="auto"/>
              </w:rPr>
            </w:pPr>
          </w:p>
        </w:tc>
        <w:tc>
          <w:tcPr>
            <w:tcW w:w="140" w:type="dxa"/>
            <w:vAlign w:val="bottom"/>
            <w:shd w:val="clear" w:color="auto" w:fill="D1F3FF"/>
          </w:tcPr>
          <w:p>
            <w:pPr>
              <w:spacing w:after="0"/>
              <w:rPr>
                <w:sz w:val="17"/>
                <w:szCs w:val="17"/>
                <w:color w:val="auto"/>
              </w:rPr>
            </w:pPr>
          </w:p>
        </w:tc>
        <w:tc>
          <w:tcPr>
            <w:tcW w:w="1280" w:type="dxa"/>
            <w:vAlign w:val="bottom"/>
            <w:shd w:val="clear" w:color="auto" w:fill="D1F3FF"/>
          </w:tcPr>
          <w:p>
            <w:pPr>
              <w:jc w:val="right"/>
              <w:spacing w:after="0" w:line="202" w:lineRule="exact"/>
              <w:rPr>
                <w:sz w:val="20"/>
                <w:szCs w:val="20"/>
                <w:color w:val="auto"/>
              </w:rPr>
            </w:pPr>
            <w:r>
              <w:rPr>
                <w:rFonts w:ascii="Arial" w:cs="Arial" w:eastAsia="Arial" w:hAnsi="Arial"/>
                <w:sz w:val="18"/>
                <w:szCs w:val="18"/>
                <w:color w:val="auto"/>
              </w:rPr>
              <w:t>10,248</w:t>
            </w:r>
          </w:p>
        </w:tc>
        <w:tc>
          <w:tcPr>
            <w:tcW w:w="240" w:type="dxa"/>
            <w:vAlign w:val="bottom"/>
            <w:shd w:val="clear" w:color="auto" w:fill="D1F3FF"/>
          </w:tcPr>
          <w:p>
            <w:pPr>
              <w:spacing w:after="0"/>
              <w:rPr>
                <w:sz w:val="17"/>
                <w:szCs w:val="17"/>
                <w:color w:val="auto"/>
              </w:rPr>
            </w:pPr>
          </w:p>
        </w:tc>
        <w:tc>
          <w:tcPr>
            <w:tcW w:w="140" w:type="dxa"/>
            <w:vAlign w:val="bottom"/>
            <w:shd w:val="clear" w:color="auto" w:fill="D1F3FF"/>
          </w:tcPr>
          <w:p>
            <w:pPr>
              <w:spacing w:after="0"/>
              <w:rPr>
                <w:sz w:val="17"/>
                <w:szCs w:val="17"/>
                <w:color w:val="auto"/>
              </w:rPr>
            </w:pPr>
          </w:p>
        </w:tc>
        <w:tc>
          <w:tcPr>
            <w:tcW w:w="1280" w:type="dxa"/>
            <w:vAlign w:val="bottom"/>
            <w:shd w:val="clear" w:color="auto" w:fill="D1F3FF"/>
          </w:tcPr>
          <w:p>
            <w:pPr>
              <w:jc w:val="right"/>
              <w:spacing w:after="0" w:line="202" w:lineRule="exact"/>
              <w:rPr>
                <w:sz w:val="20"/>
                <w:szCs w:val="20"/>
                <w:color w:val="auto"/>
              </w:rPr>
            </w:pPr>
            <w:r>
              <w:rPr>
                <w:rFonts w:ascii="Arial" w:cs="Arial" w:eastAsia="Arial" w:hAnsi="Arial"/>
                <w:sz w:val="18"/>
                <w:szCs w:val="18"/>
                <w:color w:val="auto"/>
              </w:rPr>
              <w:t>2,837</w:t>
            </w:r>
          </w:p>
        </w:tc>
        <w:tc>
          <w:tcPr>
            <w:tcW w:w="120" w:type="dxa"/>
            <w:vAlign w:val="bottom"/>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000" w:type="dxa"/>
            <w:vAlign w:val="bottom"/>
          </w:tcPr>
          <w:p>
            <w:pPr>
              <w:ind w:left="100"/>
              <w:spacing w:after="0" w:line="202" w:lineRule="exact"/>
              <w:rPr>
                <w:sz w:val="20"/>
                <w:szCs w:val="20"/>
                <w:color w:val="auto"/>
              </w:rPr>
            </w:pPr>
            <w:r>
              <w:rPr>
                <w:rFonts w:ascii="Arial" w:cs="Arial" w:eastAsia="Arial" w:hAnsi="Arial"/>
                <w:sz w:val="18"/>
                <w:szCs w:val="18"/>
                <w:color w:val="auto"/>
              </w:rPr>
              <w:t>Other short-term assets</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3,183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3,566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000" w:type="dxa"/>
            <w:vAlign w:val="bottom"/>
            <w:tcBorders>
              <w:bottom w:val="single" w:sz="8" w:color="D1F3FF"/>
            </w:tcBorders>
            <w:shd w:val="clear" w:color="auto" w:fill="D1F3FF"/>
          </w:tcPr>
          <w:p>
            <w:pPr>
              <w:ind w:left="100"/>
              <w:spacing w:after="0" w:line="202" w:lineRule="exact"/>
              <w:rPr>
                <w:sz w:val="20"/>
                <w:szCs w:val="20"/>
                <w:color w:val="auto"/>
              </w:rPr>
            </w:pPr>
            <w:r>
              <w:rPr>
                <w:rFonts w:ascii="Arial" w:cs="Arial" w:eastAsia="Arial" w:hAnsi="Arial"/>
                <w:sz w:val="18"/>
                <w:szCs w:val="18"/>
                <w:color w:val="auto"/>
              </w:rPr>
              <w:t>Other long-term assets</w:t>
            </w:r>
          </w:p>
        </w:tc>
        <w:tc>
          <w:tcPr>
            <w:tcW w:w="1900" w:type="dxa"/>
            <w:vAlign w:val="bottom"/>
            <w:tcBorders>
              <w:bottom w:val="single" w:sz="8" w:color="D1F3FF"/>
            </w:tcBorders>
            <w:shd w:val="clear" w:color="auto" w:fill="D1F3FF"/>
          </w:tcPr>
          <w:p>
            <w:pPr>
              <w:spacing w:after="0"/>
              <w:rPr>
                <w:sz w:val="17"/>
                <w:szCs w:val="17"/>
                <w:color w:val="auto"/>
              </w:rPr>
            </w:pPr>
          </w:p>
        </w:tc>
        <w:tc>
          <w:tcPr>
            <w:tcW w:w="140" w:type="dxa"/>
            <w:vAlign w:val="bottom"/>
            <w:tcBorders>
              <w:bottom w:val="single" w:sz="8" w:color="auto"/>
            </w:tcBorders>
            <w:shd w:val="clear" w:color="auto" w:fill="D1F3FF"/>
          </w:tcPr>
          <w:p>
            <w:pPr>
              <w:spacing w:after="0"/>
              <w:rPr>
                <w:sz w:val="17"/>
                <w:szCs w:val="17"/>
                <w:color w:val="auto"/>
              </w:rPr>
            </w:pPr>
          </w:p>
        </w:tc>
        <w:tc>
          <w:tcPr>
            <w:tcW w:w="1280" w:type="dxa"/>
            <w:vAlign w:val="bottom"/>
            <w:tcBorders>
              <w:bottom w:val="single" w:sz="8" w:color="auto"/>
            </w:tcBorders>
            <w:shd w:val="clear" w:color="auto" w:fill="D1F3FF"/>
          </w:tcPr>
          <w:p>
            <w:pPr>
              <w:jc w:val="right"/>
              <w:spacing w:after="0" w:line="202" w:lineRule="exact"/>
              <w:rPr>
                <w:sz w:val="20"/>
                <w:szCs w:val="20"/>
                <w:color w:val="auto"/>
              </w:rPr>
            </w:pPr>
            <w:r>
              <w:rPr>
                <w:rFonts w:ascii="Arial" w:cs="Arial" w:eastAsia="Arial" w:hAnsi="Arial"/>
                <w:sz w:val="18"/>
                <w:szCs w:val="18"/>
                <w:color w:val="auto"/>
              </w:rPr>
              <w:t>3,660</w:t>
            </w:r>
          </w:p>
        </w:tc>
        <w:tc>
          <w:tcPr>
            <w:tcW w:w="240" w:type="dxa"/>
            <w:vAlign w:val="bottom"/>
            <w:tcBorders>
              <w:bottom w:val="single" w:sz="8" w:color="D1F3FF"/>
            </w:tcBorders>
            <w:shd w:val="clear" w:color="auto" w:fill="D1F3FF"/>
          </w:tcPr>
          <w:p>
            <w:pPr>
              <w:spacing w:after="0"/>
              <w:rPr>
                <w:sz w:val="17"/>
                <w:szCs w:val="17"/>
                <w:color w:val="auto"/>
              </w:rPr>
            </w:pPr>
          </w:p>
        </w:tc>
        <w:tc>
          <w:tcPr>
            <w:tcW w:w="140" w:type="dxa"/>
            <w:vAlign w:val="bottom"/>
            <w:tcBorders>
              <w:bottom w:val="single" w:sz="8" w:color="auto"/>
            </w:tcBorders>
            <w:shd w:val="clear" w:color="auto" w:fill="D1F3FF"/>
          </w:tcPr>
          <w:p>
            <w:pPr>
              <w:spacing w:after="0"/>
              <w:rPr>
                <w:sz w:val="17"/>
                <w:szCs w:val="17"/>
                <w:color w:val="auto"/>
              </w:rPr>
            </w:pPr>
          </w:p>
        </w:tc>
        <w:tc>
          <w:tcPr>
            <w:tcW w:w="1280" w:type="dxa"/>
            <w:vAlign w:val="bottom"/>
            <w:tcBorders>
              <w:bottom w:val="single" w:sz="8" w:color="auto"/>
            </w:tcBorders>
            <w:shd w:val="clear" w:color="auto" w:fill="D1F3FF"/>
          </w:tcPr>
          <w:p>
            <w:pPr>
              <w:jc w:val="right"/>
              <w:spacing w:after="0" w:line="202" w:lineRule="exact"/>
              <w:rPr>
                <w:sz w:val="20"/>
                <w:szCs w:val="20"/>
                <w:color w:val="auto"/>
              </w:rPr>
            </w:pPr>
            <w:r>
              <w:rPr>
                <w:rFonts w:ascii="Arial" w:cs="Arial" w:eastAsia="Arial" w:hAnsi="Arial"/>
                <w:sz w:val="18"/>
                <w:szCs w:val="18"/>
                <w:color w:val="auto"/>
              </w:rPr>
              <w:t>3,938</w:t>
            </w:r>
          </w:p>
        </w:tc>
        <w:tc>
          <w:tcPr>
            <w:tcW w:w="120" w:type="dxa"/>
            <w:vAlign w:val="bottom"/>
            <w:tcBorders>
              <w:bottom w:val="single" w:sz="8" w:color="D1F3FF"/>
            </w:tcBorders>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000" w:type="dxa"/>
            <w:vAlign w:val="bottom"/>
          </w:tcPr>
          <w:p>
            <w:pPr>
              <w:spacing w:after="0" w:line="196" w:lineRule="exact"/>
              <w:rPr>
                <w:sz w:val="20"/>
                <w:szCs w:val="20"/>
                <w:color w:val="auto"/>
              </w:rPr>
            </w:pPr>
            <w:r>
              <w:rPr>
                <w:rFonts w:ascii="Arial" w:cs="Arial" w:eastAsia="Arial" w:hAnsi="Arial"/>
                <w:sz w:val="18"/>
                <w:szCs w:val="18"/>
                <w:color w:val="auto"/>
              </w:rPr>
              <w:t>Total assets</w:t>
            </w:r>
          </w:p>
        </w:tc>
        <w:tc>
          <w:tcPr>
            <w:tcW w:w="2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43,513</w:t>
            </w:r>
          </w:p>
        </w:tc>
        <w:tc>
          <w:tcPr>
            <w:tcW w:w="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58,779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5000" w:type="dxa"/>
            <w:vAlign w:val="bottom"/>
            <w:shd w:val="clear" w:color="auto" w:fill="D1F3FF"/>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900" w:type="dxa"/>
            <w:vAlign w:val="bottom"/>
            <w:shd w:val="clear" w:color="auto" w:fill="D1F3FF"/>
          </w:tcPr>
          <w:p>
            <w:pPr>
              <w:spacing w:after="0"/>
              <w:rPr>
                <w:sz w:val="15"/>
                <w:szCs w:val="15"/>
                <w:color w:val="auto"/>
              </w:rPr>
            </w:pPr>
          </w:p>
        </w:tc>
        <w:tc>
          <w:tcPr>
            <w:tcW w:w="140" w:type="dxa"/>
            <w:vAlign w:val="bottom"/>
            <w:shd w:val="clear" w:color="auto" w:fill="D1F3FF"/>
          </w:tcPr>
          <w:p>
            <w:pPr>
              <w:spacing w:after="0"/>
              <w:rPr>
                <w:sz w:val="15"/>
                <w:szCs w:val="15"/>
                <w:color w:val="auto"/>
              </w:rPr>
            </w:pPr>
          </w:p>
        </w:tc>
        <w:tc>
          <w:tcPr>
            <w:tcW w:w="1280" w:type="dxa"/>
            <w:vAlign w:val="bottom"/>
            <w:shd w:val="clear" w:color="auto" w:fill="D1F3FF"/>
          </w:tcPr>
          <w:p>
            <w:pPr>
              <w:spacing w:after="0"/>
              <w:rPr>
                <w:sz w:val="15"/>
                <w:szCs w:val="15"/>
                <w:color w:val="auto"/>
              </w:rPr>
            </w:pPr>
          </w:p>
        </w:tc>
        <w:tc>
          <w:tcPr>
            <w:tcW w:w="240" w:type="dxa"/>
            <w:vAlign w:val="bottom"/>
            <w:shd w:val="clear" w:color="auto" w:fill="D1F3FF"/>
          </w:tcPr>
          <w:p>
            <w:pPr>
              <w:spacing w:after="0"/>
              <w:rPr>
                <w:sz w:val="15"/>
                <w:szCs w:val="15"/>
                <w:color w:val="auto"/>
              </w:rPr>
            </w:pPr>
          </w:p>
        </w:tc>
        <w:tc>
          <w:tcPr>
            <w:tcW w:w="140" w:type="dxa"/>
            <w:vAlign w:val="bottom"/>
            <w:shd w:val="clear" w:color="auto" w:fill="D1F3FF"/>
          </w:tcPr>
          <w:p>
            <w:pPr>
              <w:spacing w:after="0"/>
              <w:rPr>
                <w:sz w:val="15"/>
                <w:szCs w:val="15"/>
                <w:color w:val="auto"/>
              </w:rPr>
            </w:pPr>
          </w:p>
        </w:tc>
        <w:tc>
          <w:tcPr>
            <w:tcW w:w="1280" w:type="dxa"/>
            <w:vAlign w:val="bottom"/>
            <w:shd w:val="clear" w:color="auto" w:fill="D1F3FF"/>
          </w:tcPr>
          <w:p>
            <w:pPr>
              <w:spacing w:after="0"/>
              <w:rPr>
                <w:sz w:val="15"/>
                <w:szCs w:val="15"/>
                <w:color w:val="auto"/>
              </w:rPr>
            </w:pPr>
          </w:p>
        </w:tc>
        <w:tc>
          <w:tcPr>
            <w:tcW w:w="120" w:type="dxa"/>
            <w:vAlign w:val="bottom"/>
            <w:shd w:val="clear" w:color="auto" w:fill="D1F3FF"/>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580" w:type="dxa"/>
            <w:vAlign w:val="bottom"/>
          </w:tcPr>
          <w:p>
            <w:pPr>
              <w:spacing w:after="0"/>
              <w:rPr>
                <w:sz w:val="17"/>
                <w:szCs w:val="17"/>
                <w:color w:val="auto"/>
              </w:rPr>
            </w:pPr>
          </w:p>
        </w:tc>
        <w:tc>
          <w:tcPr>
            <w:tcW w:w="5000" w:type="dxa"/>
            <w:vAlign w:val="bottom"/>
          </w:tcPr>
          <w:p>
            <w:pPr>
              <w:ind w:left="100"/>
              <w:spacing w:after="0" w:line="202" w:lineRule="exact"/>
              <w:rPr>
                <w:sz w:val="20"/>
                <w:szCs w:val="20"/>
                <w:color w:val="auto"/>
              </w:rPr>
            </w:pPr>
            <w:r>
              <w:rPr>
                <w:rFonts w:ascii="Arial" w:cs="Arial" w:eastAsia="Arial" w:hAnsi="Arial"/>
                <w:sz w:val="18"/>
                <w:szCs w:val="18"/>
                <w:color w:val="auto"/>
              </w:rPr>
              <w:t>Current liabilities</w:t>
            </w:r>
          </w:p>
        </w:tc>
        <w:tc>
          <w:tcPr>
            <w:tcW w:w="2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5,492</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13,135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000" w:type="dxa"/>
            <w:vAlign w:val="bottom"/>
            <w:tcBorders>
              <w:bottom w:val="single" w:sz="8" w:color="D1F3FF"/>
            </w:tcBorders>
            <w:shd w:val="clear" w:color="auto" w:fill="D1F3FF"/>
          </w:tcPr>
          <w:p>
            <w:pPr>
              <w:ind w:left="100"/>
              <w:spacing w:after="0" w:line="202" w:lineRule="exact"/>
              <w:rPr>
                <w:sz w:val="20"/>
                <w:szCs w:val="20"/>
                <w:color w:val="auto"/>
              </w:rPr>
            </w:pPr>
            <w:r>
              <w:rPr>
                <w:rFonts w:ascii="Arial" w:cs="Arial" w:eastAsia="Arial" w:hAnsi="Arial"/>
                <w:sz w:val="18"/>
                <w:szCs w:val="18"/>
                <w:color w:val="auto"/>
              </w:rPr>
              <w:t>Long-term liabilities</w:t>
            </w:r>
          </w:p>
        </w:tc>
        <w:tc>
          <w:tcPr>
            <w:tcW w:w="1900" w:type="dxa"/>
            <w:vAlign w:val="bottom"/>
            <w:tcBorders>
              <w:bottom w:val="single" w:sz="8" w:color="D1F3FF"/>
            </w:tcBorders>
            <w:shd w:val="clear" w:color="auto" w:fill="D1F3FF"/>
          </w:tcPr>
          <w:p>
            <w:pPr>
              <w:spacing w:after="0"/>
              <w:rPr>
                <w:sz w:val="17"/>
                <w:szCs w:val="17"/>
                <w:color w:val="auto"/>
              </w:rPr>
            </w:pPr>
          </w:p>
        </w:tc>
        <w:tc>
          <w:tcPr>
            <w:tcW w:w="140" w:type="dxa"/>
            <w:vAlign w:val="bottom"/>
            <w:tcBorders>
              <w:bottom w:val="single" w:sz="8" w:color="D1F3FF"/>
            </w:tcBorders>
            <w:shd w:val="clear" w:color="auto" w:fill="D1F3FF"/>
          </w:tcPr>
          <w:p>
            <w:pPr>
              <w:spacing w:after="0"/>
              <w:rPr>
                <w:sz w:val="17"/>
                <w:szCs w:val="17"/>
                <w:color w:val="auto"/>
              </w:rPr>
            </w:pPr>
          </w:p>
        </w:tc>
        <w:tc>
          <w:tcPr>
            <w:tcW w:w="1280" w:type="dxa"/>
            <w:vAlign w:val="bottom"/>
            <w:tcBorders>
              <w:bottom w:val="single" w:sz="8" w:color="auto"/>
            </w:tcBorders>
            <w:shd w:val="clear" w:color="auto" w:fill="D1F3FF"/>
          </w:tcPr>
          <w:p>
            <w:pPr>
              <w:jc w:val="right"/>
              <w:spacing w:after="0" w:line="202" w:lineRule="exact"/>
              <w:rPr>
                <w:sz w:val="20"/>
                <w:szCs w:val="20"/>
                <w:color w:val="auto"/>
              </w:rPr>
            </w:pPr>
            <w:r>
              <w:rPr>
                <w:rFonts w:ascii="Arial" w:cs="Arial" w:eastAsia="Arial" w:hAnsi="Arial"/>
                <w:sz w:val="18"/>
                <w:szCs w:val="18"/>
                <w:color w:val="auto"/>
              </w:rPr>
              <w:t>691</w:t>
            </w:r>
          </w:p>
        </w:tc>
        <w:tc>
          <w:tcPr>
            <w:tcW w:w="240" w:type="dxa"/>
            <w:vAlign w:val="bottom"/>
            <w:tcBorders>
              <w:bottom w:val="single" w:sz="8" w:color="D1F3FF"/>
            </w:tcBorders>
            <w:shd w:val="clear" w:color="auto" w:fill="D1F3FF"/>
          </w:tcPr>
          <w:p>
            <w:pPr>
              <w:spacing w:after="0"/>
              <w:rPr>
                <w:sz w:val="17"/>
                <w:szCs w:val="17"/>
                <w:color w:val="auto"/>
              </w:rPr>
            </w:pPr>
          </w:p>
        </w:tc>
        <w:tc>
          <w:tcPr>
            <w:tcW w:w="140" w:type="dxa"/>
            <w:vAlign w:val="bottom"/>
            <w:tcBorders>
              <w:bottom w:val="single" w:sz="8" w:color="D1F3FF"/>
            </w:tcBorders>
            <w:shd w:val="clear" w:color="auto" w:fill="D1F3FF"/>
          </w:tcPr>
          <w:p>
            <w:pPr>
              <w:spacing w:after="0"/>
              <w:rPr>
                <w:sz w:val="17"/>
                <w:szCs w:val="17"/>
                <w:color w:val="auto"/>
              </w:rPr>
            </w:pPr>
          </w:p>
        </w:tc>
        <w:tc>
          <w:tcPr>
            <w:tcW w:w="1280" w:type="dxa"/>
            <w:vAlign w:val="bottom"/>
            <w:tcBorders>
              <w:bottom w:val="single" w:sz="8" w:color="auto"/>
            </w:tcBorders>
            <w:shd w:val="clear" w:color="auto" w:fill="D1F3FF"/>
          </w:tcPr>
          <w:p>
            <w:pPr>
              <w:jc w:val="right"/>
              <w:spacing w:after="0" w:line="202" w:lineRule="exact"/>
              <w:rPr>
                <w:sz w:val="20"/>
                <w:szCs w:val="20"/>
                <w:color w:val="auto"/>
              </w:rPr>
            </w:pPr>
            <w:r>
              <w:rPr>
                <w:rFonts w:ascii="Arial" w:cs="Arial" w:eastAsia="Arial" w:hAnsi="Arial"/>
                <w:sz w:val="18"/>
                <w:szCs w:val="18"/>
                <w:color w:val="auto"/>
              </w:rPr>
              <w:t>803</w:t>
            </w:r>
          </w:p>
        </w:tc>
        <w:tc>
          <w:tcPr>
            <w:tcW w:w="120" w:type="dxa"/>
            <w:vAlign w:val="bottom"/>
            <w:tcBorders>
              <w:bottom w:val="single" w:sz="8" w:color="D1F3FF"/>
            </w:tcBorders>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000" w:type="dxa"/>
            <w:vAlign w:val="bottom"/>
          </w:tcPr>
          <w:p>
            <w:pPr>
              <w:spacing w:after="0" w:line="196" w:lineRule="exact"/>
              <w:rPr>
                <w:sz w:val="20"/>
                <w:szCs w:val="20"/>
                <w:color w:val="auto"/>
              </w:rPr>
            </w:pPr>
            <w:r>
              <w:rPr>
                <w:rFonts w:ascii="Arial" w:cs="Arial" w:eastAsia="Arial" w:hAnsi="Arial"/>
                <w:sz w:val="18"/>
                <w:szCs w:val="18"/>
                <w:color w:val="auto"/>
              </w:rPr>
              <w:t>Total liabilities</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6,183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13,938</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000" w:type="dxa"/>
            <w:vAlign w:val="bottom"/>
            <w:tcBorders>
              <w:bottom w:val="single" w:sz="8" w:color="D1F3FF"/>
            </w:tcBorders>
            <w:shd w:val="clear" w:color="auto" w:fill="D1F3FF"/>
          </w:tcPr>
          <w:p>
            <w:pPr>
              <w:spacing w:after="0" w:line="202" w:lineRule="exact"/>
              <w:rPr>
                <w:sz w:val="20"/>
                <w:szCs w:val="20"/>
                <w:color w:val="auto"/>
              </w:rPr>
            </w:pPr>
            <w:r>
              <w:rPr>
                <w:rFonts w:ascii="Arial" w:cs="Arial" w:eastAsia="Arial" w:hAnsi="Arial"/>
                <w:sz w:val="18"/>
                <w:szCs w:val="18"/>
                <w:color w:val="auto"/>
              </w:rPr>
              <w:t>Stockholders' equity</w:t>
            </w:r>
          </w:p>
        </w:tc>
        <w:tc>
          <w:tcPr>
            <w:tcW w:w="1900" w:type="dxa"/>
            <w:vAlign w:val="bottom"/>
            <w:tcBorders>
              <w:bottom w:val="single" w:sz="8" w:color="D1F3FF"/>
            </w:tcBorders>
            <w:shd w:val="clear" w:color="auto" w:fill="D1F3FF"/>
          </w:tcPr>
          <w:p>
            <w:pPr>
              <w:spacing w:after="0"/>
              <w:rPr>
                <w:sz w:val="17"/>
                <w:szCs w:val="17"/>
                <w:color w:val="auto"/>
              </w:rPr>
            </w:pPr>
          </w:p>
        </w:tc>
        <w:tc>
          <w:tcPr>
            <w:tcW w:w="140" w:type="dxa"/>
            <w:vAlign w:val="bottom"/>
            <w:tcBorders>
              <w:bottom w:val="single" w:sz="8" w:color="auto"/>
            </w:tcBorders>
            <w:shd w:val="clear" w:color="auto" w:fill="D1F3FF"/>
          </w:tcPr>
          <w:p>
            <w:pPr>
              <w:spacing w:after="0"/>
              <w:rPr>
                <w:sz w:val="17"/>
                <w:szCs w:val="17"/>
                <w:color w:val="auto"/>
              </w:rPr>
            </w:pPr>
          </w:p>
        </w:tc>
        <w:tc>
          <w:tcPr>
            <w:tcW w:w="1280" w:type="dxa"/>
            <w:vAlign w:val="bottom"/>
            <w:tcBorders>
              <w:bottom w:val="single" w:sz="8" w:color="auto"/>
            </w:tcBorders>
            <w:shd w:val="clear" w:color="auto" w:fill="D1F3FF"/>
          </w:tcPr>
          <w:p>
            <w:pPr>
              <w:jc w:val="right"/>
              <w:spacing w:after="0" w:line="202" w:lineRule="exact"/>
              <w:rPr>
                <w:sz w:val="20"/>
                <w:szCs w:val="20"/>
                <w:color w:val="auto"/>
              </w:rPr>
            </w:pPr>
            <w:r>
              <w:rPr>
                <w:rFonts w:ascii="Arial" w:cs="Arial" w:eastAsia="Arial" w:hAnsi="Arial"/>
                <w:sz w:val="18"/>
                <w:szCs w:val="18"/>
                <w:color w:val="auto"/>
              </w:rPr>
              <w:t>37,330</w:t>
            </w:r>
          </w:p>
        </w:tc>
        <w:tc>
          <w:tcPr>
            <w:tcW w:w="240" w:type="dxa"/>
            <w:vAlign w:val="bottom"/>
            <w:tcBorders>
              <w:bottom w:val="single" w:sz="8" w:color="D1F3FF"/>
            </w:tcBorders>
            <w:shd w:val="clear" w:color="auto" w:fill="D1F3FF"/>
          </w:tcPr>
          <w:p>
            <w:pPr>
              <w:spacing w:after="0"/>
              <w:rPr>
                <w:sz w:val="17"/>
                <w:szCs w:val="17"/>
                <w:color w:val="auto"/>
              </w:rPr>
            </w:pPr>
          </w:p>
        </w:tc>
        <w:tc>
          <w:tcPr>
            <w:tcW w:w="140" w:type="dxa"/>
            <w:vAlign w:val="bottom"/>
            <w:tcBorders>
              <w:bottom w:val="single" w:sz="8" w:color="auto"/>
            </w:tcBorders>
            <w:shd w:val="clear" w:color="auto" w:fill="D1F3FF"/>
          </w:tcPr>
          <w:p>
            <w:pPr>
              <w:spacing w:after="0"/>
              <w:rPr>
                <w:sz w:val="17"/>
                <w:szCs w:val="17"/>
                <w:color w:val="auto"/>
              </w:rPr>
            </w:pPr>
          </w:p>
        </w:tc>
        <w:tc>
          <w:tcPr>
            <w:tcW w:w="1280" w:type="dxa"/>
            <w:vAlign w:val="bottom"/>
            <w:tcBorders>
              <w:bottom w:val="single" w:sz="8" w:color="auto"/>
            </w:tcBorders>
            <w:shd w:val="clear" w:color="auto" w:fill="D1F3FF"/>
          </w:tcPr>
          <w:p>
            <w:pPr>
              <w:jc w:val="right"/>
              <w:spacing w:after="0" w:line="202" w:lineRule="exact"/>
              <w:rPr>
                <w:sz w:val="20"/>
                <w:szCs w:val="20"/>
                <w:color w:val="auto"/>
              </w:rPr>
            </w:pPr>
            <w:r>
              <w:rPr>
                <w:rFonts w:ascii="Arial" w:cs="Arial" w:eastAsia="Arial" w:hAnsi="Arial"/>
                <w:sz w:val="18"/>
                <w:szCs w:val="18"/>
                <w:color w:val="auto"/>
              </w:rPr>
              <w:t>44,841</w:t>
            </w:r>
          </w:p>
        </w:tc>
        <w:tc>
          <w:tcPr>
            <w:tcW w:w="120" w:type="dxa"/>
            <w:vAlign w:val="bottom"/>
            <w:tcBorders>
              <w:bottom w:val="single" w:sz="8" w:color="D1F3FF"/>
            </w:tcBorders>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000" w:type="dxa"/>
            <w:vAlign w:val="bottom"/>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43,513</w:t>
            </w:r>
          </w:p>
        </w:tc>
        <w:tc>
          <w:tcPr>
            <w:tcW w:w="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58,779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07"/>
        </w:trPr>
        <w:tc>
          <w:tcPr>
            <w:tcW w:w="58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-2022475</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-2022475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-1473835</wp:posOffset>
            </wp:positionV>
            <wp:extent cx="59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-1473835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-1207770</wp:posOffset>
            </wp:positionV>
            <wp:extent cx="59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-1207770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Athira Pharma,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(Amounts in thousands, except share and per share amounts)</w:t>
      </w:r>
    </w:p>
    <w:p>
      <w:pPr>
        <w:jc w:val="center"/>
        <w:ind w:right="-3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040"/>
          </w:cols>
          <w:pgMar w:left="900" w:top="1417" w:right="9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641223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Research and development</w:t>
      </w:r>
    </w:p>
    <w:p>
      <w:pPr>
        <w:ind w:left="160"/>
        <w:spacing w:after="0" w:line="234" w:lineRule="auto"/>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6424930" cy="402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24930" cy="4025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Total operating expenses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641223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ind w:right="1640"/>
        <w:spacing w:after="0" w:line="287" w:lineRule="auto"/>
        <w:rPr>
          <w:sz w:val="20"/>
          <w:szCs w:val="20"/>
          <w:color w:val="auto"/>
        </w:rPr>
      </w:pPr>
      <w:r>
        <w:rPr>
          <w:rFonts w:ascii="Arial" w:cs="Arial" w:eastAsia="Arial" w:hAnsi="Arial"/>
          <w:sz w:val="17"/>
          <w:szCs w:val="17"/>
          <w:color w:val="auto"/>
        </w:rPr>
        <w:t>Unrealized (loss) gain on available-for-sale securities Comprehensive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641223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ind w:left="140" w:right="1760" w:hanging="149"/>
        <w:spacing w:after="0" w:line="239" w:lineRule="auto"/>
        <w:rPr>
          <w:sz w:val="20"/>
          <w:szCs w:val="20"/>
          <w:color w:val="auto"/>
        </w:rPr>
      </w:pPr>
      <w:r>
        <w:rPr>
          <w:rFonts w:ascii="Arial" w:cs="Arial" w:eastAsia="Arial" w:hAnsi="Arial"/>
          <w:sz w:val="18"/>
          <w:szCs w:val="18"/>
          <w:color w:val="auto"/>
        </w:rPr>
        <w:t>Net loss per share attributable to common stockholders, basic and diluted</w:t>
      </w:r>
    </w:p>
    <w:p>
      <w:pPr>
        <w:spacing w:after="0" w:line="1" w:lineRule="exact"/>
        <w:rPr>
          <w:sz w:val="20"/>
          <w:szCs w:val="20"/>
          <w:color w:val="auto"/>
        </w:rPr>
      </w:pPr>
    </w:p>
    <w:p>
      <w:pPr>
        <w:ind w:left="140" w:right="1660" w:hanging="149"/>
        <w:spacing w:after="0" w:line="242" w:lineRule="auto"/>
        <w:rPr>
          <w:sz w:val="20"/>
          <w:szCs w:val="20"/>
          <w:color w:val="auto"/>
        </w:rPr>
      </w:pPr>
      <w:r>
        <w:rPr>
          <w:rFonts w:ascii="Arial" w:cs="Arial" w:eastAsia="Arial" w:hAnsi="Arial"/>
          <w:sz w:val="18"/>
          <w:szCs w:val="18"/>
          <w:color w:val="auto"/>
        </w:rPr>
        <w:t>Weighted-average shares used in computing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1416050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-396240</wp:posOffset>
            </wp:positionV>
            <wp:extent cx="6412230" cy="386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386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3"/>
                <w:szCs w:val="13"/>
                <w:color w:val="auto"/>
              </w:rPr>
            </w:pPr>
          </w:p>
        </w:tc>
      </w:tr>
      <w:tr>
        <w:trPr>
          <w:trHeight w:val="380"/>
        </w:trPr>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4,302</w:t>
            </w:r>
          </w:p>
        </w:tc>
        <w:tc>
          <w:tcPr>
            <w:tcW w:w="2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21,236</w:t>
            </w:r>
          </w:p>
        </w:tc>
        <w:tc>
          <w:tcPr>
            <w:tcW w:w="60" w:type="dxa"/>
            <w:vAlign w:val="bottom"/>
          </w:tcPr>
          <w:p>
            <w:pPr>
              <w:spacing w:after="0"/>
              <w:rPr>
                <w:sz w:val="24"/>
                <w:szCs w:val="24"/>
                <w:color w:val="auto"/>
              </w:rPr>
            </w:pPr>
          </w:p>
        </w:tc>
      </w:tr>
      <w:tr>
        <w:trPr>
          <w:trHeight w:val="221"/>
        </w:trPr>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w:t>
            </w:r>
          </w:p>
        </w:tc>
        <w:tc>
          <w:tcPr>
            <w:tcW w:w="6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9,536</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27,687</w:t>
            </w:r>
          </w:p>
        </w:tc>
        <w:tc>
          <w:tcPr>
            <w:tcW w:w="60" w:type="dxa"/>
            <w:vAlign w:val="bottom"/>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Arial" w:cs="Arial" w:eastAsia="Arial" w:hAnsi="Arial"/>
                <w:sz w:val="18"/>
                <w:szCs w:val="18"/>
                <w:color w:val="auto"/>
              </w:rPr>
              <w:t>(9,536)</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Arial" w:cs="Arial" w:eastAsia="Arial" w:hAnsi="Arial"/>
                <w:sz w:val="18"/>
                <w:szCs w:val="18"/>
                <w:color w:val="auto"/>
              </w:rPr>
              <w:t>(27,687)</w:t>
            </w:r>
          </w:p>
        </w:tc>
        <w:tc>
          <w:tcPr>
            <w:tcW w:w="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6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(9,143)</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(26,337)</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212</w:t>
            </w:r>
          </w:p>
        </w:tc>
        <w:tc>
          <w:tcPr>
            <w:tcW w:w="60" w:type="dxa"/>
            <w:vAlign w:val="bottom"/>
          </w:tcPr>
          <w:p>
            <w:pPr>
              <w:spacing w:after="0"/>
              <w:rPr>
                <w:sz w:val="15"/>
                <w:szCs w:val="15"/>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(9,148)</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(26,125)</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(0.69)</w:t>
            </w: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39,042,445</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38,321,573</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6200" w:space="720"/>
            <w:col w:w="3120"/>
          </w:cols>
          <w:pgMar w:left="900" w:top="1417" w:right="959" w:bottom="1440" w:gutter="0" w:footer="0" w:header="0"/>
          <w:type w:val="continuous"/>
        </w:sectPr>
      </w:pPr>
    </w:p>
    <w:bookmarkStart w:id="9" w:name="page10"/>
    <w:bookmarkEnd w:id="9"/>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2025-05-09T15:22:32Z</dcterms:created>
  <dcterms:modified xsi:type="dcterms:W3CDTF">2025-05-09T15:22:32Z</dcterms:modified>
</cp:coreProperties>
</file>