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CHURCH KEVIN</w:t>
              </w:r>
            </w:hyperlink>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Athira Pharma,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ATHA</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3"/>
            <w:vMerge w:val="restart"/>
          </w:tcPr>
          <w:p>
            <w:pPr>
              <w:spacing w:after="0"/>
              <w:rPr>
                <w:sz w:val="20"/>
                <w:szCs w:val="20"/>
                <w:color w:val="auto"/>
              </w:rPr>
            </w:pPr>
            <w:r>
              <w:rPr>
                <w:rFonts w:ascii="Arial" w:cs="Arial" w:eastAsia="Arial" w:hAnsi="Arial"/>
                <w:sz w:val="17"/>
                <w:szCs w:val="17"/>
                <w:color w:val="0000FF"/>
              </w:rPr>
              <w:t>C/O ATHIRA PHARMA, INC.</w:t>
            </w:r>
          </w:p>
        </w:tc>
        <w:tc>
          <w:tcPr>
            <w:tcW w:w="136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Arial" w:cs="Arial" w:eastAsia="Arial" w:hAnsi="Arial"/>
                <w:sz w:val="17"/>
                <w:szCs w:val="17"/>
                <w:color w:val="0000FF"/>
              </w:rPr>
              <w:t>05/18/2021</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3"/>
            <w:vMerge w:val="continue"/>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37"/>
        <w:spacing w:after="0"/>
        <w:rPr>
          <w:sz w:val="20"/>
          <w:szCs w:val="20"/>
          <w:color w:val="auto"/>
        </w:rPr>
      </w:pPr>
      <w:r>
        <w:rPr>
          <w:rFonts w:ascii="Arial" w:cs="Arial" w:eastAsia="Arial" w:hAnsi="Arial"/>
          <w:sz w:val="17"/>
          <w:szCs w:val="17"/>
          <w:color w:val="0000FF"/>
        </w:rPr>
        <w:t>Vice President of Discovery</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8"/>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jc w:val="right"/>
              <w:ind w:right="521"/>
              <w:spacing w:after="0" w:line="173" w:lineRule="exact"/>
              <w:rPr>
                <w:sz w:val="20"/>
                <w:szCs w:val="20"/>
                <w:color w:val="auto"/>
              </w:rPr>
            </w:pPr>
            <w:r>
              <w:rPr>
                <w:rFonts w:ascii="Arial" w:cs="Arial" w:eastAsia="Arial" w:hAnsi="Arial"/>
                <w:sz w:val="17"/>
                <w:szCs w:val="17"/>
                <w:color w:val="0000FF"/>
              </w:rPr>
              <w:t>06/09/2021</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BOTHELL</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WA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98011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right="49"/>
              <w:spacing w:after="0"/>
              <w:rPr>
                <w:sz w:val="20"/>
                <w:szCs w:val="20"/>
                <w:color w:val="auto"/>
              </w:rPr>
            </w:pPr>
            <w:r>
              <w:rPr>
                <w:rFonts w:ascii="Arial" w:cs="Arial" w:eastAsia="Arial" w:hAnsi="Arial"/>
                <w:sz w:val="17"/>
                <w:szCs w:val="17"/>
                <w:color w:val="0000FF"/>
              </w:rPr>
              <w:t>05/18/2021</w:t>
            </w:r>
            <w:r>
              <w:rPr>
                <w:rFonts w:ascii="Arial" w:cs="Arial" w:eastAsia="Arial" w:hAnsi="Arial"/>
                <w:sz w:val="21"/>
                <w:szCs w:val="21"/>
                <w:color w:val="008000"/>
                <w:vertAlign w:val="superscript"/>
              </w:rPr>
              <w:t>(2)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3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68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185</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14.45</w:t>
            </w:r>
            <w:r>
              <w:rPr>
                <w:rFonts w:ascii="Arial" w:cs="Arial" w:eastAsia="Arial" w:hAnsi="Arial"/>
                <w:sz w:val="21"/>
                <w:szCs w:val="21"/>
                <w:color w:val="008000"/>
                <w:w w:val="95"/>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41,166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jc w:val="right"/>
              <w:ind w:right="129"/>
              <w:spacing w:after="0"/>
              <w:rPr>
                <w:sz w:val="20"/>
                <w:szCs w:val="20"/>
                <w:color w:val="auto"/>
              </w:rPr>
            </w:pPr>
            <w:r>
              <w:rPr>
                <w:rFonts w:ascii="Arial" w:cs="Arial" w:eastAsia="Arial" w:hAnsi="Arial"/>
                <w:sz w:val="17"/>
                <w:szCs w:val="17"/>
                <w:color w:val="0000FF"/>
              </w:rPr>
              <w:t>06/08/2021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0000FF"/>
              </w:rPr>
              <w:t>3,152</w:t>
            </w:r>
          </w:p>
        </w:tc>
        <w:tc>
          <w:tcPr>
            <w:tcW w:w="68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1.04</w:t>
            </w: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44,318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1.04</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06/08/2021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3,152</w:t>
            </w:r>
          </w:p>
        </w:tc>
        <w:tc>
          <w:tcPr>
            <w:tcW w:w="5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08/30/2026</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3,152</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4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original Form 4 filed on June 9, 2021 is being amended to voluntarily report the acquisition of shares of the issuer's common stock pursuant to the Athira Pharma, Inc. 2020 Employee Stock Purchase Plan ("ESPP"), for the ESPP Purchase Period (as defined in the ESPP) of October 2, 2020 through May 18, 2021. This transaction is also exempt under Rule 16b-3(c).</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Purchase Period ended May 18, 2021 and is the Purchase Period comprising the Offering Period (as defined in the ESPP) that began October 2,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ESPP, these shares were purchased based on 85% of the initial public offering price from the issuer's initial public offering.</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September 1, 2016.</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Glenna Mileson, Attorney in </w:t>
      </w:r>
      <w:r>
        <w:rPr>
          <w:rFonts w:ascii="Arial" w:cs="Arial" w:eastAsia="Arial" w:hAnsi="Arial"/>
          <w:sz w:val="33"/>
          <w:szCs w:val="33"/>
          <w:color w:val="0000FF"/>
          <w:vertAlign w:val="subscript"/>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608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Kevin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43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361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2499"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2021-06-10T17:43:37Z</dcterms:created>
  <dcterms:modified xsi:type="dcterms:W3CDTF">2021-06-10T17:43:37Z</dcterms:modified>
</cp:coreProperties>
</file>