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165"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380" w:hanging="33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3"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Athira Pharma,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3700" w:type="dxa"/>
            <w:vAlign w:val="bottom"/>
          </w:tcPr>
          <w:p>
            <w:pPr>
              <w:jc w:val="center"/>
              <w:ind w:left="939"/>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60" w:type="dxa"/>
            <w:vAlign w:val="bottom"/>
          </w:tcPr>
          <w:p>
            <w:pPr>
              <w:jc w:val="center"/>
              <w:ind w:right="1019"/>
              <w:spacing w:after="0"/>
              <w:rPr>
                <w:sz w:val="20"/>
                <w:szCs w:val="20"/>
                <w:color w:val="auto"/>
              </w:rPr>
            </w:pPr>
            <w:r>
              <w:rPr>
                <w:rFonts w:ascii="Arial" w:cs="Arial" w:eastAsia="Arial" w:hAnsi="Arial"/>
                <w:sz w:val="18"/>
                <w:szCs w:val="18"/>
                <w:b w:val="1"/>
                <w:bCs w:val="1"/>
                <w:color w:val="auto"/>
                <w:w w:val="99"/>
              </w:rPr>
              <w:t>45-3368487</w:t>
            </w:r>
          </w:p>
        </w:tc>
      </w:tr>
      <w:tr>
        <w:trPr>
          <w:trHeight w:val="189"/>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(State or other jurisdiction of</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incorporation or organization)</w:t>
            </w:r>
          </w:p>
        </w:tc>
        <w:tc>
          <w:tcPr>
            <w:tcW w:w="3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Identification No.)</w:t>
            </w:r>
          </w:p>
        </w:tc>
      </w:tr>
      <w:tr>
        <w:trPr>
          <w:trHeight w:val="313"/>
        </w:trPr>
        <w:tc>
          <w:tcPr>
            <w:tcW w:w="7000" w:type="dxa"/>
            <w:vAlign w:val="bottom"/>
            <w:gridSpan w:val="4"/>
          </w:tcPr>
          <w:p>
            <w:pPr>
              <w:jc w:val="center"/>
              <w:ind w:left="3239"/>
              <w:spacing w:after="0"/>
              <w:rPr>
                <w:sz w:val="20"/>
                <w:szCs w:val="20"/>
                <w:color w:val="auto"/>
              </w:rPr>
            </w:pPr>
            <w:r>
              <w:rPr>
                <w:rFonts w:ascii="Arial" w:cs="Arial" w:eastAsia="Arial" w:hAnsi="Arial"/>
                <w:sz w:val="18"/>
                <w:szCs w:val="18"/>
                <w:b w:val="1"/>
                <w:bCs w:val="1"/>
                <w:color w:val="auto"/>
                <w:w w:val="99"/>
              </w:rPr>
              <w:t>18706 North Creek Parkway, Suite 104</w:t>
            </w:r>
          </w:p>
        </w:tc>
        <w:tc>
          <w:tcPr>
            <w:tcW w:w="3060" w:type="dxa"/>
            <w:vAlign w:val="bottom"/>
          </w:tcPr>
          <w:p>
            <w:pPr>
              <w:spacing w:after="0"/>
              <w:rPr>
                <w:sz w:val="24"/>
                <w:szCs w:val="24"/>
                <w:color w:val="auto"/>
              </w:rPr>
            </w:pPr>
          </w:p>
        </w:tc>
      </w:tr>
      <w:tr>
        <w:trPr>
          <w:trHeight w:val="212"/>
        </w:trPr>
        <w:tc>
          <w:tcPr>
            <w:tcW w:w="3700" w:type="dxa"/>
            <w:vAlign w:val="bottom"/>
          </w:tcPr>
          <w:p>
            <w:pPr>
              <w:spacing w:after="0"/>
              <w:rPr>
                <w:sz w:val="18"/>
                <w:szCs w:val="18"/>
                <w:color w:val="auto"/>
              </w:rPr>
            </w:pPr>
          </w:p>
        </w:tc>
        <w:tc>
          <w:tcPr>
            <w:tcW w:w="3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Bothell, Washington 98011</w:t>
            </w:r>
          </w:p>
        </w:tc>
        <w:tc>
          <w:tcPr>
            <w:tcW w:w="3060" w:type="dxa"/>
            <w:vAlign w:val="bottom"/>
          </w:tcPr>
          <w:p>
            <w:pPr>
              <w:spacing w:after="0"/>
              <w:rPr>
                <w:sz w:val="18"/>
                <w:szCs w:val="18"/>
                <w:color w:val="auto"/>
              </w:rPr>
            </w:pPr>
          </w:p>
        </w:tc>
      </w:tr>
      <w:tr>
        <w:trPr>
          <w:trHeight w:val="152"/>
        </w:trPr>
        <w:tc>
          <w:tcPr>
            <w:tcW w:w="3700" w:type="dxa"/>
            <w:vAlign w:val="bottom"/>
          </w:tcPr>
          <w:p>
            <w:pPr>
              <w:spacing w:after="0"/>
              <w:rPr>
                <w:sz w:val="13"/>
                <w:szCs w:val="13"/>
                <w:color w:val="auto"/>
              </w:rPr>
            </w:pPr>
          </w:p>
        </w:tc>
        <w:tc>
          <w:tcPr>
            <w:tcW w:w="33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rPr>
              <w:t>(Address of principal executive offices)</w:t>
            </w:r>
          </w:p>
        </w:tc>
        <w:tc>
          <w:tcPr>
            <w:tcW w:w="3060" w:type="dxa"/>
            <w:vAlign w:val="bottom"/>
          </w:tcPr>
          <w:p>
            <w:pPr>
              <w:spacing w:after="0"/>
              <w:rPr>
                <w:sz w:val="13"/>
                <w:szCs w:val="13"/>
                <w:color w:val="auto"/>
              </w:rPr>
            </w:pPr>
          </w:p>
        </w:tc>
      </w:tr>
      <w:tr>
        <w:trPr>
          <w:trHeight w:val="212"/>
        </w:trPr>
        <w:tc>
          <w:tcPr>
            <w:tcW w:w="3700" w:type="dxa"/>
            <w:vAlign w:val="bottom"/>
          </w:tcPr>
          <w:p>
            <w:pPr>
              <w:spacing w:after="0"/>
              <w:rPr>
                <w:sz w:val="18"/>
                <w:szCs w:val="18"/>
                <w:color w:val="auto"/>
              </w:rPr>
            </w:pPr>
          </w:p>
        </w:tc>
        <w:tc>
          <w:tcPr>
            <w:tcW w:w="2580" w:type="dxa"/>
            <w:vAlign w:val="bottom"/>
            <w:gridSpan w:val="2"/>
          </w:tcPr>
          <w:p>
            <w:pPr>
              <w:jc w:val="center"/>
              <w:ind w:left="216"/>
              <w:spacing w:after="0"/>
              <w:rPr>
                <w:sz w:val="20"/>
                <w:szCs w:val="20"/>
                <w:color w:val="auto"/>
              </w:rPr>
            </w:pPr>
            <w:r>
              <w:rPr>
                <w:rFonts w:ascii="Arial" w:cs="Arial" w:eastAsia="Arial" w:hAnsi="Arial"/>
                <w:sz w:val="18"/>
                <w:szCs w:val="18"/>
                <w:b w:val="1"/>
                <w:bCs w:val="1"/>
                <w:color w:val="auto"/>
              </w:rPr>
              <w:t>(425) 620-8501</w:t>
            </w: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0"/>
        </w:trPr>
        <w:tc>
          <w:tcPr>
            <w:tcW w:w="7000" w:type="dxa"/>
            <w:vAlign w:val="bottom"/>
            <w:gridSpan w:val="4"/>
          </w:tcPr>
          <w:p>
            <w:pPr>
              <w:jc w:val="center"/>
              <w:ind w:left="323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120"/>
        </w:trPr>
        <w:tc>
          <w:tcPr>
            <w:tcW w:w="4040" w:type="dxa"/>
            <w:vAlign w:val="bottom"/>
            <w:gridSpan w:val="2"/>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3780" w:type="dxa"/>
            <w:vAlign w:val="bottom"/>
            <w:gridSpan w:val="2"/>
          </w:tcPr>
          <w:p>
            <w:pPr>
              <w:spacing w:after="0"/>
              <w:rPr>
                <w:sz w:val="10"/>
                <w:szCs w:val="10"/>
                <w:color w:val="auto"/>
              </w:rPr>
            </w:pPr>
          </w:p>
        </w:tc>
      </w:tr>
      <w:tr>
        <w:trPr>
          <w:trHeight w:val="318"/>
        </w:trPr>
        <w:tc>
          <w:tcPr>
            <w:tcW w:w="10060" w:type="dxa"/>
            <w:vAlign w:val="bottom"/>
            <w:gridSpan w:val="5"/>
          </w:tcPr>
          <w:p>
            <w:pPr>
              <w:jc w:val="center"/>
              <w:ind w:left="1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12"/>
        </w:trPr>
        <w:tc>
          <w:tcPr>
            <w:tcW w:w="3700" w:type="dxa"/>
            <w:vAlign w:val="bottom"/>
          </w:tcPr>
          <w:p>
            <w:pPr>
              <w:jc w:val="center"/>
              <w:ind w:right="19"/>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4"/>
                <w:szCs w:val="24"/>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5"/>
        </w:trPr>
        <w:tc>
          <w:tcPr>
            <w:tcW w:w="3700" w:type="dxa"/>
            <w:vAlign w:val="bottom"/>
          </w:tcPr>
          <w:p>
            <w:pPr>
              <w:jc w:val="center"/>
              <w:ind w:right="39"/>
              <w:spacing w:after="0"/>
              <w:rPr>
                <w:sz w:val="20"/>
                <w:szCs w:val="20"/>
                <w:color w:val="auto"/>
              </w:rPr>
            </w:pPr>
            <w:r>
              <w:rPr>
                <w:rFonts w:ascii="Arial" w:cs="Arial" w:eastAsia="Arial" w:hAnsi="Arial"/>
                <w:sz w:val="18"/>
                <w:szCs w:val="18"/>
                <w:color w:val="auto"/>
                <w:w w:val="99"/>
              </w:rPr>
              <w:t>Common Stock, $0.0001 par value per share</w:t>
            </w:r>
          </w:p>
        </w:tc>
        <w:tc>
          <w:tcPr>
            <w:tcW w:w="340" w:type="dxa"/>
            <w:vAlign w:val="bottom"/>
          </w:tcPr>
          <w:p>
            <w:pPr>
              <w:spacing w:after="0"/>
              <w:rPr>
                <w:sz w:val="22"/>
                <w:szCs w:val="22"/>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ATHA</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57"/>
        </w:trPr>
        <w:tc>
          <w:tcPr>
            <w:tcW w:w="3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34" w:lineRule="exact"/>
        <w:rPr>
          <w:sz w:val="24"/>
          <w:szCs w:val="24"/>
          <w:color w:val="auto"/>
        </w:rPr>
      </w:pPr>
    </w:p>
    <w:p>
      <w:pPr>
        <w:ind w:right="240" w:firstLine="515"/>
        <w:spacing w:after="0" w:line="21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80" w:firstLine="515"/>
        <w:spacing w:after="0" w:line="21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right="460" w:firstLine="515"/>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77"/>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54"/>
        </w:trPr>
        <w:tc>
          <w:tcPr>
            <w:tcW w:w="3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3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122" w:lineRule="exact"/>
        <w:rPr>
          <w:sz w:val="24"/>
          <w:szCs w:val="24"/>
          <w:color w:val="auto"/>
        </w:rPr>
      </w:pPr>
    </w:p>
    <w:p>
      <w:pPr>
        <w:ind w:right="520" w:firstLine="515"/>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November 5, 2021 there were 37,351,104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3"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30" w:type="dxa"/>
        <w:tblCellMar>
          <w:top w:w="0" w:type="dxa"/>
          <w:left w:w="0" w:type="dxa"/>
          <w:bottom w:w="0" w:type="dxa"/>
          <w:right w:w="0" w:type="dxa"/>
        </w:tblCellMar>
      </w:tblPr>
      <w:tr>
        <w:trPr>
          <w:trHeight w:val="189"/>
        </w:trPr>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7"/>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and Comprehensive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Convertible Preferred Stock and Stockholders’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30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vMerge w:val="continue"/>
          </w:tcPr>
          <w:p>
            <w:pPr>
              <w:spacing w:after="0"/>
              <w:rPr>
                <w:sz w:val="19"/>
                <w:szCs w:val="19"/>
                <w:color w:val="auto"/>
              </w:rPr>
            </w:pPr>
          </w:p>
        </w:tc>
        <w:tc>
          <w:tcPr>
            <w:tcW w:w="930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7"/>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1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7"/>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1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1140" w:type="dxa"/>
            <w:vAlign w:val="bottom"/>
            <w:gridSpan w:val="2"/>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Signatures</w:t>
              </w:r>
            </w:hyperlink>
          </w:p>
        </w:tc>
        <w:tc>
          <w:tcPr>
            <w:tcW w:w="620" w:type="dxa"/>
            <w:vAlign w:val="bottom"/>
            <w:tcBorders>
              <w:top w:val="single" w:sz="8" w:color="0000FF"/>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8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i w:val="1"/>
          <w:iCs w:val="1"/>
          <w:color w:val="auto"/>
        </w:rPr>
        <w:t>This report includes our trademarks and registered trademarks, including Athira, Athira Pharma, the Athira logo, and other trademarks or service marks of Athira. Each other trademark, trade name or service mark appearing in this report belongs to its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SUMMARY RISK FACTORS</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captioned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Factors.” The following is a summary of the principal risks we face: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are a late clinical-stage biopharmaceutical company with a limited operating history.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development of ATH-1017 may never lead to a marketable product.</w:t>
      </w:r>
    </w:p>
    <w:p>
      <w:pPr>
        <w:spacing w:after="0" w:line="131" w:lineRule="exact"/>
        <w:rPr>
          <w:sz w:val="20"/>
          <w:szCs w:val="20"/>
          <w:color w:val="auto"/>
        </w:rPr>
      </w:pPr>
    </w:p>
    <w:p>
      <w:pPr>
        <w:jc w:val="both"/>
        <w:ind w:left="960"/>
        <w:spacing w:after="0" w:line="268" w:lineRule="auto"/>
        <w:rPr>
          <w:sz w:val="20"/>
          <w:szCs w:val="20"/>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1a/1b clinical trial,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100" w:lineRule="exact"/>
        <w:rPr>
          <w:sz w:val="20"/>
          <w:szCs w:val="20"/>
          <w:color w:val="auto"/>
        </w:rPr>
      </w:pPr>
    </w:p>
    <w:p>
      <w:pPr>
        <w:jc w:val="both"/>
        <w:ind w:left="960"/>
        <w:spacing w:after="0" w:line="267" w:lineRule="auto"/>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in connection with her doctoral research at Washington State University. The special committee’s findings included that she altered images in her 2011 doctoral dissertation and at least four research papers that she co-authored while a graduate student at Washington State University, and published from 2011 to 2014, that we cited challenged research papers in certain communications and applications, and that WSU’s dihexa patent, exclusively licensed to us, incorporated certain of these altered images. Washington State University has undertaken a review of claims of potential research misconduct involving our former chief executive officer’s doctoral research at Washington State University. We cannot predict when WSU’s investigation will be completed or what conclusions WSU will reach.</w:t>
      </w:r>
    </w:p>
    <w:p>
      <w:pPr>
        <w:spacing w:after="0" w:line="102"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spacing w:after="0" w:line="89" w:lineRule="exact"/>
        <w:rPr>
          <w:sz w:val="20"/>
          <w:szCs w:val="20"/>
          <w:color w:val="auto"/>
        </w:rPr>
      </w:pPr>
    </w:p>
    <w:p>
      <w:pPr>
        <w:jc w:val="both"/>
        <w:ind w:left="960"/>
        <w:spacing w:after="0" w:line="269" w:lineRule="auto"/>
        <w:rPr>
          <w:sz w:val="20"/>
          <w:szCs w:val="20"/>
          <w:color w:val="auto"/>
        </w:rPr>
      </w:pPr>
      <w:r>
        <w:rPr>
          <w:rFonts w:ascii="Arial" w:cs="Arial" w:eastAsia="Arial" w:hAnsi="Arial"/>
          <w:sz w:val="18"/>
          <w:szCs w:val="18"/>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98"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spacing w:after="0" w:line="89"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We and certain of our directors and executive officers have been named as defendants in lawsuits that could result in substantial costs and divert management’s attention.</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The continuing effects of the novel coronavirus disease, or COVID-19, pandemic, including the recent emergence of new, highly contagious variants thereof, could adversely impact our business, including our nonclinical studies and clinical trials.</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95" w:lineRule="exact"/>
        <w:rPr>
          <w:sz w:val="20"/>
          <w:szCs w:val="20"/>
          <w:color w:val="auto"/>
        </w:rPr>
      </w:pPr>
    </w:p>
    <w:p>
      <w:pPr>
        <w:jc w:val="both"/>
        <w:ind w:left="960"/>
        <w:spacing w:after="0" w:line="269" w:lineRule="auto"/>
        <w:rPr>
          <w:sz w:val="20"/>
          <w:szCs w:val="20"/>
          <w:color w:val="auto"/>
        </w:rPr>
      </w:pPr>
      <w:r>
        <w:rPr>
          <w:rFonts w:ascii="Arial" w:cs="Arial" w:eastAsia="Arial" w:hAnsi="Arial"/>
          <w:sz w:val="18"/>
          <w:szCs w:val="18"/>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jc w:val="both"/>
        <w:ind w:left="960"/>
        <w:spacing w:after="0" w:line="271" w:lineRule="auto"/>
        <w:rPr>
          <w:sz w:val="20"/>
          <w:szCs w:val="20"/>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spacing w:after="0" w:line="89"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27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107,328</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128,447</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grant receivable</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238,992</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103,649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347,331</w:t>
            </w:r>
          </w:p>
        </w:tc>
        <w:tc>
          <w:tcPr>
            <w:tcW w:w="3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operating lease liability</w:t>
            </w:r>
          </w:p>
        </w:tc>
        <w:tc>
          <w:tcPr>
            <w:tcW w:w="22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9,386</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liability, less current portion</w:t>
            </w:r>
          </w:p>
        </w:tc>
        <w:tc>
          <w:tcPr>
            <w:tcW w:w="22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11,094</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280"/>
              <w:spacing w:after="0"/>
              <w:rPr>
                <w:sz w:val="20"/>
                <w:szCs w:val="20"/>
                <w:color w:val="auto"/>
              </w:rPr>
            </w:pPr>
            <w:r>
              <w:rPr>
                <w:rFonts w:ascii="Arial" w:cs="Arial" w:eastAsia="Arial" w:hAnsi="Arial"/>
                <w:sz w:val="18"/>
                <w:szCs w:val="18"/>
                <w:color w:val="auto"/>
              </w:rPr>
              <w:t>Common stock, $0.0001 par value; 900,000,000 shares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20"/>
              <w:spacing w:after="0"/>
              <w:rPr>
                <w:sz w:val="20"/>
                <w:szCs w:val="20"/>
                <w:color w:val="auto"/>
              </w:rPr>
            </w:pPr>
            <w:r>
              <w:rPr>
                <w:rFonts w:ascii="Arial" w:cs="Arial" w:eastAsia="Arial" w:hAnsi="Arial"/>
                <w:sz w:val="18"/>
                <w:szCs w:val="18"/>
                <w:color w:val="auto"/>
              </w:rPr>
              <w:t>authorized at September 30, 2021 and December 31, 2020,</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420"/>
              <w:spacing w:after="0"/>
              <w:rPr>
                <w:sz w:val="20"/>
                <w:szCs w:val="20"/>
                <w:color w:val="auto"/>
              </w:rPr>
            </w:pPr>
            <w:r>
              <w:rPr>
                <w:rFonts w:ascii="Arial" w:cs="Arial" w:eastAsia="Arial" w:hAnsi="Arial"/>
                <w:sz w:val="18"/>
                <w:szCs w:val="18"/>
                <w:color w:val="auto"/>
              </w:rPr>
              <w:t>respectively; 37,351,104 and 32,485,784 shares issued</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420"/>
              <w:spacing w:after="0"/>
              <w:rPr>
                <w:sz w:val="20"/>
                <w:szCs w:val="20"/>
                <w:color w:val="auto"/>
              </w:rPr>
            </w:pPr>
            <w:r>
              <w:rPr>
                <w:rFonts w:ascii="Arial" w:cs="Arial" w:eastAsia="Arial" w:hAnsi="Arial"/>
                <w:sz w:val="18"/>
                <w:szCs w:val="18"/>
                <w:color w:val="auto"/>
              </w:rPr>
              <w:t>and outstanding at September 30, 2021 and December 31,</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640" w:type="dxa"/>
            <w:vAlign w:val="bottom"/>
          </w:tcPr>
          <w:p>
            <w:pPr>
              <w:ind w:left="420"/>
              <w:spacing w:after="0"/>
              <w:rPr>
                <w:sz w:val="20"/>
                <w:szCs w:val="20"/>
                <w:color w:val="auto"/>
              </w:rPr>
            </w:pPr>
            <w:r>
              <w:rPr>
                <w:rFonts w:ascii="Arial" w:cs="Arial" w:eastAsia="Arial" w:hAnsi="Arial"/>
                <w:sz w:val="18"/>
                <w:szCs w:val="18"/>
                <w:color w:val="auto"/>
              </w:rPr>
              <w:t>2020, respectively</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415,785</w:t>
            </w:r>
          </w:p>
        </w:tc>
        <w:tc>
          <w:tcPr>
            <w:tcW w:w="3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315,288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(79,556 )</w:t>
            </w:r>
          </w:p>
        </w:tc>
        <w:tc>
          <w:tcPr>
            <w:tcW w:w="2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(41,042 )</w:t>
            </w:r>
          </w:p>
        </w:tc>
        <w:tc>
          <w:tcPr>
            <w:tcW w:w="0" w:type="dxa"/>
            <w:vAlign w:val="bottom"/>
          </w:tcPr>
          <w:p>
            <w:pPr>
              <w:spacing w:after="0"/>
              <w:rPr>
                <w:sz w:val="1"/>
                <w:szCs w:val="1"/>
                <w:color w:val="auto"/>
              </w:rPr>
            </w:pPr>
          </w:p>
        </w:tc>
      </w:tr>
      <w:tr>
        <w:trPr>
          <w:trHeight w:val="250"/>
        </w:trPr>
        <w:tc>
          <w:tcPr>
            <w:tcW w:w="7640" w:type="dxa"/>
            <w:vAlign w:val="bottom"/>
            <w:tcBorders>
              <w:top w:val="single" w:sz="8" w:color="CFF0FC"/>
            </w:tcBorders>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336,237</w:t>
            </w:r>
          </w:p>
        </w:tc>
        <w:tc>
          <w:tcPr>
            <w:tcW w:w="3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274,282</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 and stockholders'</w:t>
            </w:r>
          </w:p>
        </w:tc>
        <w:tc>
          <w:tcPr>
            <w:tcW w:w="2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347,331</w:t>
            </w:r>
          </w:p>
        </w:tc>
        <w:tc>
          <w:tcPr>
            <w:tcW w:w="300" w:type="dxa"/>
            <w:vAlign w:val="bottom"/>
            <w:shd w:val="clear" w:color="auto" w:fill="CFF0FC"/>
          </w:tcPr>
          <w:p>
            <w:pPr>
              <w:spacing w:after="0"/>
              <w:rPr>
                <w:sz w:val="21"/>
                <w:szCs w:val="21"/>
                <w:color w:val="auto"/>
              </w:rPr>
            </w:pP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FF0FC"/>
            </w:tcBorders>
            <w:shd w:val="clear" w:color="auto" w:fill="CFF0FC"/>
          </w:tcPr>
          <w:p>
            <w:pPr>
              <w:ind w:left="680"/>
              <w:spacing w:after="0" w:line="202" w:lineRule="exact"/>
              <w:rPr>
                <w:sz w:val="20"/>
                <w:szCs w:val="20"/>
                <w:color w:val="auto"/>
              </w:rPr>
            </w:pPr>
            <w:r>
              <w:rPr>
                <w:rFonts w:ascii="Arial" w:cs="Arial" w:eastAsia="Arial" w:hAnsi="Arial"/>
                <w:sz w:val="18"/>
                <w:szCs w:val="18"/>
                <w:color w:val="auto"/>
              </w:rPr>
              <w:t>equity</w:t>
            </w: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3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-3408045</wp:posOffset>
            </wp:positionV>
            <wp:extent cx="17970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-3408045</wp:posOffset>
            </wp:positionV>
            <wp:extent cx="596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-2396490</wp:posOffset>
            </wp:positionV>
            <wp:extent cx="17970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-2396490</wp:posOffset>
            </wp:positionV>
            <wp:extent cx="596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-2062480</wp:posOffset>
            </wp:positionV>
            <wp:extent cx="1797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-2062480</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-485140</wp:posOffset>
            </wp:positionV>
            <wp:extent cx="17970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-485140</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797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79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10,707</w:t>
            </w:r>
          </w:p>
        </w:tc>
        <w:tc>
          <w:tcPr>
            <w:tcW w:w="2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5,830</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30,176</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7,119</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15,068</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(17,826 )</w:t>
            </w:r>
          </w:p>
        </w:tc>
        <w:tc>
          <w:tcPr>
            <w:tcW w:w="3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(7,397 )</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(45,244 )</w:t>
            </w:r>
          </w:p>
        </w:tc>
        <w:tc>
          <w:tcPr>
            <w:tcW w:w="3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(10,916 )</w:t>
            </w:r>
          </w:p>
        </w:tc>
        <w:tc>
          <w:tcPr>
            <w:tcW w:w="0" w:type="dxa"/>
            <w:vAlign w:val="bottom"/>
          </w:tcPr>
          <w:p>
            <w:pPr>
              <w:spacing w:after="0"/>
              <w:rPr>
                <w:sz w:val="1"/>
                <w:szCs w:val="1"/>
                <w:color w:val="auto"/>
              </w:rPr>
            </w:pP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Grant income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(1,059 )</w:t>
            </w:r>
          </w:p>
        </w:tc>
        <w:tc>
          <w:tcPr>
            <w:tcW w:w="2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(1,359 )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(15,674 )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(8,456 )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(38,514 )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(12,253 )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gain on available-for-sale securities</w:t>
            </w:r>
          </w:p>
        </w:tc>
        <w:tc>
          <w:tcPr>
            <w:tcW w:w="2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(33 )</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(29 )</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Comprehensive loss attributable to common</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(15,707 )</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(8,449 )</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(38,543 )</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(12,246 )</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stockholders</w:t>
            </w:r>
          </w:p>
        </w:tc>
        <w:tc>
          <w:tcPr>
            <w:tcW w:w="2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w:t>
            </w: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(0.42 )</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(1.12 )</w:t>
            </w:r>
          </w:p>
        </w:tc>
        <w:tc>
          <w:tcPr>
            <w:tcW w:w="2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(1.12 )</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stockholders, basic and diluted</w:t>
            </w:r>
          </w:p>
        </w:tc>
        <w:tc>
          <w:tcPr>
            <w:tcW w:w="240" w:type="dxa"/>
            <w:vAlign w:val="bottom"/>
            <w:vMerge w:val="continue"/>
            <w:shd w:val="clear" w:color="auto" w:fill="CFF0FC"/>
          </w:tcPr>
          <w:p>
            <w:pPr>
              <w:spacing w:after="0"/>
              <w:rPr>
                <w:sz w:val="21"/>
                <w:szCs w:val="21"/>
                <w:color w:val="auto"/>
              </w:rPr>
            </w:pPr>
          </w:p>
        </w:tc>
        <w:tc>
          <w:tcPr>
            <w:tcW w:w="1460" w:type="dxa"/>
            <w:vAlign w:val="bottom"/>
            <w:gridSpan w:val="2"/>
            <w:vMerge w:val="continue"/>
            <w:shd w:val="clear" w:color="auto" w:fill="CFF0FC"/>
          </w:tcPr>
          <w:p>
            <w:pPr>
              <w:spacing w:after="0"/>
              <w:rPr>
                <w:sz w:val="21"/>
                <w:szCs w:val="21"/>
                <w:color w:val="auto"/>
              </w:rPr>
            </w:pPr>
          </w:p>
        </w:tc>
        <w:tc>
          <w:tcPr>
            <w:tcW w:w="340" w:type="dxa"/>
            <w:vAlign w:val="bottom"/>
            <w:vMerge w:val="continue"/>
            <w:shd w:val="clear" w:color="auto" w:fill="CFF0FC"/>
          </w:tcPr>
          <w:p>
            <w:pPr>
              <w:spacing w:after="0"/>
              <w:rPr>
                <w:sz w:val="21"/>
                <w:szCs w:val="21"/>
                <w:color w:val="auto"/>
              </w:rPr>
            </w:pPr>
          </w:p>
        </w:tc>
        <w:tc>
          <w:tcPr>
            <w:tcW w:w="1320" w:type="dxa"/>
            <w:vAlign w:val="bottom"/>
            <w:gridSpan w:val="2"/>
            <w:vMerge w:val="continue"/>
            <w:shd w:val="clear" w:color="auto" w:fill="CFF0FC"/>
          </w:tcPr>
          <w:p>
            <w:pPr>
              <w:spacing w:after="0"/>
              <w:rPr>
                <w:sz w:val="21"/>
                <w:szCs w:val="21"/>
                <w:color w:val="auto"/>
              </w:rPr>
            </w:pPr>
          </w:p>
        </w:tc>
        <w:tc>
          <w:tcPr>
            <w:tcW w:w="240" w:type="dxa"/>
            <w:vAlign w:val="bottom"/>
            <w:vMerge w:val="continue"/>
            <w:shd w:val="clear" w:color="auto" w:fill="CFF0FC"/>
          </w:tcPr>
          <w:p>
            <w:pPr>
              <w:spacing w:after="0"/>
              <w:rPr>
                <w:sz w:val="21"/>
                <w:szCs w:val="21"/>
                <w:color w:val="auto"/>
              </w:rPr>
            </w:pPr>
          </w:p>
        </w:tc>
        <w:tc>
          <w:tcPr>
            <w:tcW w:w="1400" w:type="dxa"/>
            <w:vAlign w:val="bottom"/>
            <w:gridSpan w:val="2"/>
            <w:vMerge w:val="continue"/>
            <w:shd w:val="clear" w:color="auto" w:fill="CFF0FC"/>
          </w:tcPr>
          <w:p>
            <w:pPr>
              <w:spacing w:after="0"/>
              <w:rPr>
                <w:sz w:val="21"/>
                <w:szCs w:val="21"/>
                <w:color w:val="auto"/>
              </w:rPr>
            </w:pPr>
          </w:p>
        </w:tc>
        <w:tc>
          <w:tcPr>
            <w:tcW w:w="340" w:type="dxa"/>
            <w:vAlign w:val="bottom"/>
            <w:vMerge w:val="continue"/>
            <w:shd w:val="clear" w:color="auto" w:fill="CFF0FC"/>
          </w:tcPr>
          <w:p>
            <w:pPr>
              <w:spacing w:after="0"/>
              <w:rPr>
                <w:sz w:val="21"/>
                <w:szCs w:val="21"/>
                <w:color w:val="auto"/>
              </w:rPr>
            </w:pPr>
          </w:p>
        </w:tc>
        <w:tc>
          <w:tcPr>
            <w:tcW w:w="118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Weighted-average shares used in computing</w:t>
            </w: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net loss per share attributable to common</w:t>
            </w:r>
          </w:p>
        </w:tc>
        <w:tc>
          <w:tcPr>
            <w:tcW w:w="2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37,312,356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7,564,538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34,315,047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5,155,338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stockholders, basic and diluted</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-2105025</wp:posOffset>
            </wp:positionV>
            <wp:extent cx="15430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-2105025</wp:posOffset>
            </wp:positionV>
            <wp:extent cx="13716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-2105025</wp:posOffset>
            </wp:positionV>
            <wp:extent cx="1371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-2105025</wp:posOffset>
            </wp:positionV>
            <wp:extent cx="596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-1436370</wp:posOffset>
            </wp:positionV>
            <wp:extent cx="1543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-1436370</wp:posOffset>
            </wp:positionV>
            <wp:extent cx="13716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-1436370</wp:posOffset>
            </wp:positionV>
            <wp:extent cx="1371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-1436370</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-1076325</wp:posOffset>
            </wp:positionV>
            <wp:extent cx="1543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-1076325</wp:posOffset>
            </wp:positionV>
            <wp:extent cx="13716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-1076325</wp:posOffset>
            </wp:positionV>
            <wp:extent cx="1371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-1076325</wp:posOffset>
            </wp:positionV>
            <wp:extent cx="596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-479425</wp:posOffset>
            </wp:positionV>
            <wp:extent cx="1543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-462280</wp:posOffset>
            </wp:positionV>
            <wp:extent cx="1543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-479425</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-462280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-479425</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-462280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-479425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-462280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 Equity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left="3320"/>
        <w:spacing w:after="0"/>
        <w:rPr>
          <w:sz w:val="20"/>
          <w:szCs w:val="20"/>
          <w:color w:val="auto"/>
        </w:rPr>
      </w:pPr>
      <w:r>
        <w:rPr>
          <w:rFonts w:ascii="Arial" w:cs="Arial" w:eastAsia="Arial" w:hAnsi="Arial"/>
          <w:sz w:val="11"/>
          <w:szCs w:val="11"/>
          <w:b w:val="1"/>
          <w:bCs w:val="1"/>
          <w:color w:val="auto"/>
        </w:rPr>
        <w:t>Convertible</w:t>
      </w:r>
    </w:p>
    <w:p>
      <w:pPr>
        <w:spacing w:after="0" w:line="15" w:lineRule="exact"/>
        <w:rPr>
          <w:sz w:val="20"/>
          <w:szCs w:val="20"/>
          <w:color w:val="auto"/>
        </w:rPr>
      </w:pPr>
    </w:p>
    <w:p>
      <w:pPr>
        <w:jc w:val="center"/>
        <w:ind w:left="3320"/>
        <w:spacing w:after="0"/>
        <w:rPr>
          <w:sz w:val="20"/>
          <w:szCs w:val="20"/>
          <w:color w:val="auto"/>
        </w:rPr>
      </w:pPr>
      <w:r>
        <w:rPr>
          <w:rFonts w:ascii="Arial" w:cs="Arial" w:eastAsia="Arial" w:hAnsi="Arial"/>
          <w:sz w:val="11"/>
          <w:szCs w:val="11"/>
          <w:b w:val="1"/>
          <w:bCs w:val="1"/>
          <w:color w:val="auto"/>
        </w:rPr>
        <w:t>Preferred Stock</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Balance as of January 1, 2020</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3420" w:type="dxa"/>
            <w:vAlign w:val="bottom"/>
            <w:vMerge w:val="continue"/>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2,617,386</w:t>
            </w:r>
          </w:p>
        </w:tc>
        <w:tc>
          <w:tcPr>
            <w:tcW w:w="1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17,051</w:t>
            </w: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Issuance of common stock upon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exercise of common stock options</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3420" w:type="dxa"/>
            <w:vAlign w:val="bottom"/>
          </w:tcPr>
          <w:p>
            <w:pPr>
              <w:ind w:left="20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rPr>
                <w:sz w:val="20"/>
                <w:szCs w:val="20"/>
                <w:color w:val="auto"/>
              </w:rPr>
            </w:pPr>
            <w:r>
              <w:rPr>
                <w:rFonts w:ascii="Arial" w:cs="Arial" w:eastAsia="Arial" w:hAnsi="Arial"/>
                <w:sz w:val="11"/>
                <w:szCs w:val="11"/>
                <w:color w:val="auto"/>
              </w:rPr>
              <w:t>Net loss</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5"/>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as of March 31, 2020</w:t>
            </w:r>
          </w:p>
        </w:tc>
        <w:tc>
          <w:tcPr>
            <w:tcW w:w="8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2,617,386</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17,051</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3420" w:type="dxa"/>
            <w:vAlign w:val="bottom"/>
            <w:tcBorders>
              <w:top w:val="single" w:sz="8" w:color="CFF0FC"/>
            </w:tcBorders>
          </w:tcPr>
          <w:p>
            <w:pPr>
              <w:ind w:left="200"/>
              <w:spacing w:after="0" w:line="121" w:lineRule="exact"/>
              <w:rPr>
                <w:sz w:val="20"/>
                <w:szCs w:val="20"/>
                <w:color w:val="auto"/>
              </w:rPr>
            </w:pPr>
            <w:r>
              <w:rPr>
                <w:rFonts w:ascii="Arial" w:cs="Arial" w:eastAsia="Arial" w:hAnsi="Arial"/>
                <w:sz w:val="11"/>
                <w:szCs w:val="11"/>
                <w:color w:val="auto"/>
              </w:rPr>
              <w:t>Issuance of common stock upon</w:t>
            </w: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exercise of common stock options</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Issuance of Series B convertible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preferred stock and common stock</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warrants, net of issuance costs</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of $3.5 million</w:t>
            </w:r>
          </w:p>
        </w:tc>
        <w:tc>
          <w:tcPr>
            <w:tcW w:w="840" w:type="dxa"/>
            <w:vAlign w:val="bottom"/>
          </w:tcPr>
          <w:p>
            <w:pPr>
              <w:jc w:val="right"/>
              <w:spacing w:after="0"/>
              <w:rPr>
                <w:sz w:val="20"/>
                <w:szCs w:val="20"/>
                <w:color w:val="auto"/>
              </w:rPr>
            </w:pPr>
            <w:r>
              <w:rPr>
                <w:rFonts w:ascii="Arial" w:cs="Arial" w:eastAsia="Arial" w:hAnsi="Arial"/>
                <w:sz w:val="11"/>
                <w:szCs w:val="11"/>
                <w:color w:val="auto"/>
              </w:rPr>
              <w:t>9,372,765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70,971</w:t>
            </w: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Issuance of the Series B-1 convertible</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preferred stock upon conversion of</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convertible notes</w:t>
            </w:r>
          </w:p>
        </w:tc>
        <w:tc>
          <w:tcPr>
            <w:tcW w:w="840" w:type="dxa"/>
            <w:vAlign w:val="bottom"/>
          </w:tcPr>
          <w:p>
            <w:pPr>
              <w:jc w:val="right"/>
              <w:spacing w:after="0"/>
              <w:rPr>
                <w:sz w:val="20"/>
                <w:szCs w:val="20"/>
                <w:color w:val="auto"/>
              </w:rPr>
            </w:pPr>
            <w:r>
              <w:rPr>
                <w:rFonts w:ascii="Arial" w:cs="Arial" w:eastAsia="Arial" w:hAnsi="Arial"/>
                <w:sz w:val="11"/>
                <w:szCs w:val="11"/>
                <w:color w:val="auto"/>
              </w:rPr>
              <w:t>512,858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4,515</w:t>
            </w: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Exercise of common stock warrants</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3420" w:type="dxa"/>
            <w:vAlign w:val="bottom"/>
          </w:tcPr>
          <w:p>
            <w:pPr>
              <w:ind w:left="20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rPr>
                <w:sz w:val="20"/>
                <w:szCs w:val="20"/>
                <w:color w:val="auto"/>
              </w:rPr>
            </w:pPr>
            <w:r>
              <w:rPr>
                <w:rFonts w:ascii="Arial" w:cs="Arial" w:eastAsia="Arial" w:hAnsi="Arial"/>
                <w:sz w:val="11"/>
                <w:szCs w:val="11"/>
                <w:color w:val="auto"/>
              </w:rPr>
              <w:t>Net loss</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420" w:type="dxa"/>
            <w:vAlign w:val="bottom"/>
            <w:tcBorders>
              <w:top w:val="single" w:sz="8" w:color="CFF0FC"/>
            </w:tcBorders>
          </w:tcPr>
          <w:p>
            <w:pPr>
              <w:ind w:left="20"/>
              <w:spacing w:after="0"/>
              <w:rPr>
                <w:sz w:val="20"/>
                <w:szCs w:val="20"/>
                <w:color w:val="auto"/>
              </w:rPr>
            </w:pPr>
            <w:r>
              <w:rPr>
                <w:rFonts w:ascii="Arial" w:cs="Arial" w:eastAsia="Arial" w:hAnsi="Arial"/>
                <w:sz w:val="11"/>
                <w:szCs w:val="11"/>
                <w:b w:val="1"/>
                <w:bCs w:val="1"/>
                <w:color w:val="auto"/>
              </w:rPr>
              <w:t>Balance as of June 30, 2020</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12,503,009</w:t>
            </w: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92,537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0"/>
              <w:spacing w:after="0"/>
              <w:rPr>
                <w:sz w:val="20"/>
                <w:szCs w:val="20"/>
                <w:color w:val="auto"/>
              </w:rPr>
            </w:pPr>
            <w:r>
              <w:rPr>
                <w:rFonts w:ascii="Arial" w:cs="Arial" w:eastAsia="Arial" w:hAnsi="Arial"/>
                <w:sz w:val="11"/>
                <w:szCs w:val="11"/>
                <w:color w:val="auto"/>
              </w:rPr>
              <w:t>Issuance of common stock upon</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2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exercise of common stock options</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Proceeds from initial public offering,</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net of underwriters' discounts and</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commissions and issuance costs</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300"/>
              <w:spacing w:after="0"/>
              <w:rPr>
                <w:sz w:val="20"/>
                <w:szCs w:val="20"/>
                <w:color w:val="auto"/>
              </w:rPr>
            </w:pPr>
            <w:r>
              <w:rPr>
                <w:rFonts w:ascii="Arial" w:cs="Arial" w:eastAsia="Arial" w:hAnsi="Arial"/>
                <w:sz w:val="11"/>
                <w:szCs w:val="11"/>
                <w:color w:val="auto"/>
              </w:rPr>
              <w:t>of $3.3 million</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Conversion of convertible preferred stock</w:t>
            </w: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(12,503,009 )</w:t>
            </w: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(92,537 )</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Exercise of common stock warrants</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rPr>
                <w:sz w:val="20"/>
                <w:szCs w:val="20"/>
                <w:color w:val="auto"/>
              </w:rPr>
            </w:pPr>
            <w:r>
              <w:rPr>
                <w:rFonts w:ascii="Arial" w:cs="Arial" w:eastAsia="Arial" w:hAnsi="Arial"/>
                <w:sz w:val="11"/>
                <w:szCs w:val="11"/>
                <w:color w:val="auto"/>
              </w:rPr>
              <w:t>Stock-based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4"/>
        </w:trPr>
        <w:tc>
          <w:tcPr>
            <w:tcW w:w="34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6"/>
                <w:szCs w:val="16"/>
                <w:color w:val="auto"/>
              </w:rPr>
            </w:pP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8"/>
        </w:trPr>
        <w:tc>
          <w:tcPr>
            <w:tcW w:w="3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Net loss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20" w:type="dxa"/>
            <w:vAlign w:val="bottom"/>
          </w:tcPr>
          <w:p>
            <w:pPr>
              <w:ind w:left="20"/>
              <w:spacing w:after="0"/>
              <w:rPr>
                <w:sz w:val="20"/>
                <w:szCs w:val="20"/>
                <w:color w:val="auto"/>
              </w:rPr>
            </w:pPr>
            <w:r>
              <w:rPr>
                <w:rFonts w:ascii="Arial" w:cs="Arial" w:eastAsia="Arial" w:hAnsi="Arial"/>
                <w:sz w:val="11"/>
                <w:szCs w:val="11"/>
                <w:b w:val="1"/>
                <w:bCs w:val="1"/>
                <w:color w:val="auto"/>
              </w:rPr>
              <w:t>Balance as of September 30, 2020</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-133350</wp:posOffset>
            </wp:positionV>
            <wp:extent cx="1028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302" w:lineRule="exact"/>
        <w:rPr>
          <w:sz w:val="20"/>
          <w:szCs w:val="20"/>
          <w:color w:val="auto"/>
        </w:rPr>
      </w:pPr>
    </w:p>
    <w:p>
      <w:pPr>
        <w:jc w:val="center"/>
        <w:ind w:left="3320"/>
        <w:spacing w:after="0"/>
        <w:rPr>
          <w:sz w:val="20"/>
          <w:szCs w:val="20"/>
          <w:color w:val="auto"/>
        </w:rPr>
      </w:pPr>
      <w:r>
        <w:rPr>
          <w:rFonts w:ascii="Arial" w:cs="Arial" w:eastAsia="Arial" w:hAnsi="Arial"/>
          <w:sz w:val="11"/>
          <w:szCs w:val="11"/>
          <w:b w:val="1"/>
          <w:bCs w:val="1"/>
          <w:color w:val="auto"/>
        </w:rPr>
        <w:t>Convertible</w:t>
      </w:r>
    </w:p>
    <w:p>
      <w:pPr>
        <w:spacing w:after="0" w:line="15" w:lineRule="exact"/>
        <w:rPr>
          <w:sz w:val="20"/>
          <w:szCs w:val="20"/>
          <w:color w:val="auto"/>
        </w:rPr>
      </w:pPr>
    </w:p>
    <w:p>
      <w:pPr>
        <w:jc w:val="center"/>
        <w:ind w:left="3320"/>
        <w:spacing w:after="0"/>
        <w:rPr>
          <w:sz w:val="20"/>
          <w:szCs w:val="20"/>
          <w:color w:val="auto"/>
        </w:rPr>
      </w:pPr>
      <w:r>
        <w:rPr>
          <w:rFonts w:ascii="Arial" w:cs="Arial" w:eastAsia="Arial" w:hAnsi="Arial"/>
          <w:sz w:val="11"/>
          <w:szCs w:val="11"/>
          <w:b w:val="1"/>
          <w:bCs w:val="1"/>
          <w:color w:val="auto"/>
        </w:rPr>
        <w:t>Preferred Stock</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20" w:type="dxa"/>
            <w:vAlign w:val="bottom"/>
          </w:tcPr>
          <w:p>
            <w:pPr>
              <w:spacing w:after="0"/>
              <w:rPr>
                <w:sz w:val="13"/>
                <w:szCs w:val="13"/>
                <w:color w:val="auto"/>
              </w:rPr>
            </w:pPr>
          </w:p>
        </w:tc>
        <w:tc>
          <w:tcPr>
            <w:tcW w:w="660" w:type="dxa"/>
            <w:vAlign w:val="bottom"/>
            <w:tcBorders>
              <w:top w:val="single" w:sz="8" w:color="auto"/>
            </w:tcBorders>
          </w:tcPr>
          <w:p>
            <w:pPr>
              <w:ind w:left="240"/>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3"/>
        </w:trPr>
        <w:tc>
          <w:tcPr>
            <w:tcW w:w="3420" w:type="dxa"/>
            <w:vAlign w:val="bottom"/>
          </w:tcPr>
          <w:p>
            <w:pPr>
              <w:ind w:left="20"/>
              <w:spacing w:after="0"/>
              <w:rPr>
                <w:sz w:val="20"/>
                <w:szCs w:val="20"/>
                <w:color w:val="auto"/>
              </w:rPr>
            </w:pPr>
            <w:r>
              <w:rPr>
                <w:rFonts w:ascii="Arial" w:cs="Arial" w:eastAsia="Arial" w:hAnsi="Arial"/>
                <w:sz w:val="11"/>
                <w:szCs w:val="11"/>
                <w:b w:val="1"/>
                <w:bCs w:val="1"/>
                <w:color w:val="auto"/>
              </w:rPr>
              <w:t>Balance as of January 1, 2021</w:t>
            </w:r>
          </w:p>
        </w:tc>
        <w:tc>
          <w:tcPr>
            <w:tcW w:w="660" w:type="dxa"/>
            <w:vAlign w:val="bottom"/>
          </w:tcPr>
          <w:p>
            <w:pPr>
              <w:spacing w:after="0"/>
              <w:rPr>
                <w:sz w:val="11"/>
                <w:szCs w:val="11"/>
                <w:color w:val="auto"/>
              </w:rPr>
            </w:pP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3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1"/>
                <w:szCs w:val="11"/>
                <w:color w:val="auto"/>
              </w:rPr>
            </w:pPr>
          </w:p>
        </w:tc>
      </w:tr>
      <w:tr>
        <w:trPr>
          <w:trHeight w:val="162"/>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Issuance of common stock upon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exercise of common stock options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and vesting of restricted stock units</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1"/>
                <w:szCs w:val="11"/>
                <w:color w:val="auto"/>
              </w:rPr>
            </w:pPr>
          </w:p>
        </w:tc>
      </w:tr>
      <w:tr>
        <w:trPr>
          <w:trHeight w:val="162"/>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Proceeds from follow-on public offering,</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net of underwriters' discounts and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commissions and issuance costs</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1"/>
                <w:szCs w:val="11"/>
                <w:color w:val="auto"/>
              </w:rPr>
            </w:pPr>
          </w:p>
        </w:tc>
      </w:tr>
      <w:tr>
        <w:trPr>
          <w:trHeight w:val="162"/>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Stock-based compensation</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4"/>
                <w:szCs w:val="14"/>
                <w:color w:val="auto"/>
              </w:rPr>
            </w:pPr>
          </w:p>
        </w:tc>
      </w:tr>
      <w:tr>
        <w:trPr>
          <w:trHeight w:val="184"/>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Other comprehensive loss</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6"/>
                <w:szCs w:val="16"/>
                <w:color w:val="auto"/>
              </w:rPr>
            </w:pPr>
          </w:p>
        </w:tc>
      </w:tr>
      <w:tr>
        <w:trPr>
          <w:trHeight w:val="158"/>
        </w:trPr>
        <w:tc>
          <w:tcPr>
            <w:tcW w:w="3420" w:type="dxa"/>
            <w:vAlign w:val="bottom"/>
          </w:tcPr>
          <w:p>
            <w:pPr>
              <w:ind w:left="200"/>
              <w:spacing w:after="0"/>
              <w:rPr>
                <w:sz w:val="20"/>
                <w:szCs w:val="20"/>
                <w:color w:val="auto"/>
              </w:rPr>
            </w:pPr>
            <w:r>
              <w:rPr>
                <w:rFonts w:ascii="Arial" w:cs="Arial" w:eastAsia="Arial" w:hAnsi="Arial"/>
                <w:sz w:val="11"/>
                <w:szCs w:val="11"/>
                <w:color w:val="auto"/>
              </w:rPr>
              <w:t>Net loss</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r>
      <w:tr>
        <w:trPr>
          <w:trHeight w:val="205"/>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as of March 31, 2021</w:t>
            </w:r>
          </w:p>
        </w:tc>
        <w:tc>
          <w:tcPr>
            <w:tcW w:w="6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1"/>
                <w:szCs w:val="11"/>
                <w:color w:val="auto"/>
                <w:w w:val="90"/>
              </w:rPr>
              <w:t>—</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r>
      <w:tr>
        <w:trPr>
          <w:trHeight w:val="120"/>
        </w:trPr>
        <w:tc>
          <w:tcPr>
            <w:tcW w:w="3420" w:type="dxa"/>
            <w:vAlign w:val="bottom"/>
            <w:tcBorders>
              <w:top w:val="single" w:sz="8" w:color="CFF0FC"/>
            </w:tcBorders>
          </w:tcPr>
          <w:p>
            <w:pPr>
              <w:ind w:left="200"/>
              <w:spacing w:after="0" w:line="121" w:lineRule="exact"/>
              <w:rPr>
                <w:sz w:val="20"/>
                <w:szCs w:val="20"/>
                <w:color w:val="auto"/>
              </w:rPr>
            </w:pPr>
            <w:r>
              <w:rPr>
                <w:rFonts w:ascii="Arial" w:cs="Arial" w:eastAsia="Arial" w:hAnsi="Arial"/>
                <w:sz w:val="11"/>
                <w:szCs w:val="11"/>
                <w:color w:val="auto"/>
              </w:rPr>
              <w:t>Issuance of common stock upon</w:t>
            </w: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right w:val="single" w:sz="8" w:color="auto"/>
            </w:tcBorders>
          </w:tcPr>
          <w:p>
            <w:pPr>
              <w:spacing w:after="0"/>
              <w:rPr>
                <w:sz w:val="10"/>
                <w:szCs w:val="10"/>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exercise of common stock options</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1"/>
                <w:szCs w:val="11"/>
                <w:color w:val="auto"/>
              </w:rPr>
            </w:pPr>
          </w:p>
        </w:tc>
      </w:tr>
      <w:tr>
        <w:trPr>
          <w:trHeight w:val="162"/>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Issuance of common stock under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employee stock purchase plan</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1"/>
                <w:szCs w:val="11"/>
                <w:color w:val="auto"/>
              </w:rPr>
            </w:pPr>
          </w:p>
        </w:tc>
      </w:tr>
      <w:tr>
        <w:trPr>
          <w:trHeight w:val="162"/>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Stock-based compensation</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4"/>
                <w:szCs w:val="14"/>
                <w:color w:val="auto"/>
              </w:rPr>
            </w:pPr>
          </w:p>
        </w:tc>
      </w:tr>
      <w:tr>
        <w:trPr>
          <w:trHeight w:val="184"/>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Other comprehensive income</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6"/>
                <w:szCs w:val="16"/>
                <w:color w:val="auto"/>
              </w:rPr>
            </w:pPr>
          </w:p>
        </w:tc>
      </w:tr>
      <w:tr>
        <w:trPr>
          <w:trHeight w:val="158"/>
        </w:trPr>
        <w:tc>
          <w:tcPr>
            <w:tcW w:w="3420" w:type="dxa"/>
            <w:vAlign w:val="bottom"/>
          </w:tcPr>
          <w:p>
            <w:pPr>
              <w:ind w:left="200"/>
              <w:spacing w:after="0"/>
              <w:rPr>
                <w:sz w:val="20"/>
                <w:szCs w:val="20"/>
                <w:color w:val="auto"/>
              </w:rPr>
            </w:pPr>
            <w:r>
              <w:rPr>
                <w:rFonts w:ascii="Arial" w:cs="Arial" w:eastAsia="Arial" w:hAnsi="Arial"/>
                <w:sz w:val="11"/>
                <w:szCs w:val="11"/>
                <w:color w:val="auto"/>
              </w:rPr>
              <w:t>Net loss</w:t>
            </w: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3"/>
                <w:szCs w:val="13"/>
                <w:color w:val="auto"/>
              </w:rPr>
            </w:pPr>
          </w:p>
        </w:tc>
      </w:tr>
      <w:tr>
        <w:trPr>
          <w:trHeight w:val="205"/>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as of June 30, 2021</w:t>
            </w:r>
          </w:p>
        </w:tc>
        <w:tc>
          <w:tcPr>
            <w:tcW w:w="6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1"/>
                <w:szCs w:val="11"/>
                <w:color w:val="auto"/>
                <w:w w:val="90"/>
              </w:rPr>
              <w:t>—</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r>
      <w:tr>
        <w:trPr>
          <w:trHeight w:val="120"/>
        </w:trPr>
        <w:tc>
          <w:tcPr>
            <w:tcW w:w="3420" w:type="dxa"/>
            <w:vAlign w:val="bottom"/>
            <w:tcBorders>
              <w:top w:val="single" w:sz="8" w:color="CFF0FC"/>
            </w:tcBorders>
          </w:tcPr>
          <w:p>
            <w:pPr>
              <w:ind w:left="200"/>
              <w:spacing w:after="0" w:line="121" w:lineRule="exact"/>
              <w:rPr>
                <w:sz w:val="20"/>
                <w:szCs w:val="20"/>
                <w:color w:val="auto"/>
              </w:rPr>
            </w:pPr>
            <w:r>
              <w:rPr>
                <w:rFonts w:ascii="Arial" w:cs="Arial" w:eastAsia="Arial" w:hAnsi="Arial"/>
                <w:sz w:val="11"/>
                <w:szCs w:val="11"/>
                <w:color w:val="auto"/>
              </w:rPr>
              <w:t>Issuance of common stock upon</w:t>
            </w: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FF0FC"/>
              <w:right w:val="single" w:sz="8" w:color="auto"/>
            </w:tcBorders>
          </w:tcPr>
          <w:p>
            <w:pPr>
              <w:spacing w:after="0"/>
              <w:rPr>
                <w:sz w:val="10"/>
                <w:szCs w:val="10"/>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exercise of common stock options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r>
      <w:tr>
        <w:trPr>
          <w:trHeight w:val="135"/>
        </w:trPr>
        <w:tc>
          <w:tcPr>
            <w:tcW w:w="4080" w:type="dxa"/>
            <w:vAlign w:val="bottom"/>
            <w:gridSpan w:val="2"/>
          </w:tcPr>
          <w:p>
            <w:pPr>
              <w:ind w:left="300"/>
              <w:spacing w:after="0"/>
              <w:rPr>
                <w:sz w:val="20"/>
                <w:szCs w:val="20"/>
                <w:color w:val="auto"/>
              </w:rPr>
            </w:pPr>
            <w:r>
              <w:rPr>
                <w:rFonts w:ascii="Arial" w:cs="Arial" w:eastAsia="Arial" w:hAnsi="Arial"/>
                <w:sz w:val="11"/>
                <w:szCs w:val="11"/>
                <w:color w:val="auto"/>
              </w:rPr>
              <w:t>and vesting of restricted stock units</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1"/>
                <w:szCs w:val="11"/>
                <w:color w:val="auto"/>
              </w:rPr>
            </w:pPr>
          </w:p>
        </w:tc>
      </w:tr>
      <w:tr>
        <w:trPr>
          <w:trHeight w:val="162"/>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Stock-based compensation</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4"/>
                <w:szCs w:val="14"/>
                <w:color w:val="auto"/>
              </w:rPr>
            </w:pPr>
          </w:p>
        </w:tc>
      </w:tr>
      <w:tr>
        <w:trPr>
          <w:trHeight w:val="184"/>
        </w:trPr>
        <w:tc>
          <w:tcPr>
            <w:tcW w:w="4080" w:type="dxa"/>
            <w:vAlign w:val="bottom"/>
            <w:gridSpan w:val="2"/>
          </w:tcPr>
          <w:p>
            <w:pPr>
              <w:ind w:left="200"/>
              <w:spacing w:after="0"/>
              <w:rPr>
                <w:sz w:val="20"/>
                <w:szCs w:val="20"/>
                <w:color w:val="auto"/>
              </w:rPr>
            </w:pPr>
            <w:r>
              <w:rPr>
                <w:rFonts w:ascii="Arial" w:cs="Arial" w:eastAsia="Arial" w:hAnsi="Arial"/>
                <w:sz w:val="11"/>
                <w:szCs w:val="11"/>
                <w:color w:val="auto"/>
              </w:rPr>
              <w:t>Other comprehensive loss</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right w:val="single" w:sz="8" w:color="auto"/>
            </w:tcBorders>
          </w:tcPr>
          <w:p>
            <w:pPr>
              <w:spacing w:after="0"/>
              <w:rPr>
                <w:sz w:val="16"/>
                <w:szCs w:val="16"/>
                <w:color w:val="auto"/>
              </w:rPr>
            </w:pPr>
          </w:p>
        </w:tc>
      </w:tr>
      <w:tr>
        <w:trPr>
          <w:trHeight w:val="158"/>
        </w:trPr>
        <w:tc>
          <w:tcPr>
            <w:tcW w:w="3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Net loss</w:t>
            </w:r>
          </w:p>
        </w:tc>
        <w:tc>
          <w:tcPr>
            <w:tcW w:w="66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1"/>
                <w:szCs w:val="11"/>
                <w:color w:val="auto"/>
                <w:w w:val="90"/>
              </w:rPr>
              <w:t>—</w:t>
            </w:r>
          </w:p>
        </w:tc>
        <w:tc>
          <w:tcPr>
            <w:tcW w:w="16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right w:val="single" w:sz="8" w:color="CFF0FC"/>
            </w:tcBorders>
            <w:shd w:val="clear" w:color="auto" w:fill="CFF0FC"/>
          </w:tcPr>
          <w:p>
            <w:pPr>
              <w:spacing w:after="0"/>
              <w:rPr>
                <w:sz w:val="13"/>
                <w:szCs w:val="13"/>
                <w:color w:val="auto"/>
              </w:rPr>
            </w:pPr>
          </w:p>
        </w:tc>
      </w:tr>
      <w:tr>
        <w:trPr>
          <w:trHeight w:val="139"/>
        </w:trPr>
        <w:tc>
          <w:tcPr>
            <w:tcW w:w="408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 as of September 30, 2021</w:t>
            </w:r>
          </w:p>
        </w:tc>
        <w:tc>
          <w:tcPr>
            <w:tcW w:w="180" w:type="dxa"/>
            <w:vAlign w:val="bottom"/>
          </w:tcPr>
          <w:p>
            <w:pPr>
              <w:ind w:left="60"/>
              <w:spacing w:after="0"/>
              <w:rPr>
                <w:sz w:val="20"/>
                <w:szCs w:val="20"/>
                <w:color w:val="auto"/>
              </w:rPr>
            </w:pPr>
            <w:r>
              <w:rPr>
                <w:rFonts w:ascii="Arial" w:cs="Arial" w:eastAsia="Arial" w:hAnsi="Arial"/>
                <w:sz w:val="11"/>
                <w:szCs w:val="11"/>
                <w:color w:val="auto"/>
                <w:w w:val="90"/>
              </w:rPr>
              <w:t>—</w:t>
            </w:r>
          </w:p>
        </w:tc>
        <w:tc>
          <w:tcPr>
            <w:tcW w:w="3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2"/>
                <w:szCs w:val="12"/>
                <w:color w:val="auto"/>
              </w:rPr>
            </w:pPr>
          </w:p>
        </w:tc>
      </w:tr>
      <w:tr>
        <w:trPr>
          <w:trHeight w:val="20"/>
        </w:trPr>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-133350</wp:posOffset>
            </wp:positionV>
            <wp:extent cx="1028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69"/>
        </w:trPr>
        <w:tc>
          <w:tcPr>
            <w:tcW w:w="1680" w:type="dxa"/>
            <w:vAlign w:val="bottom"/>
            <w:gridSpan w:val="3"/>
            <w:vMerge w:val="restart"/>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4"/>
        </w:trPr>
        <w:tc>
          <w:tcPr>
            <w:tcW w:w="168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42"/>
        </w:trPr>
        <w:tc>
          <w:tcPr>
            <w:tcW w:w="86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3,641,449</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1,364</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(21,087 )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(19,723 )</w:t>
            </w:r>
          </w:p>
        </w:tc>
        <w:tc>
          <w:tcPr>
            <w:tcW w:w="0" w:type="dxa"/>
            <w:vAlign w:val="bottom"/>
          </w:tcPr>
          <w:p>
            <w:pPr>
              <w:spacing w:after="0"/>
              <w:rPr>
                <w:sz w:val="1"/>
                <w:szCs w:val="1"/>
                <w:color w:val="auto"/>
              </w:rPr>
            </w:pPr>
          </w:p>
        </w:tc>
      </w:tr>
      <w:tr>
        <w:trPr>
          <w:trHeight w:val="297"/>
        </w:trPr>
        <w:tc>
          <w:tcPr>
            <w:tcW w:w="860" w:type="dxa"/>
            <w:vAlign w:val="bottom"/>
          </w:tcPr>
          <w:p>
            <w:pPr>
              <w:jc w:val="right"/>
              <w:spacing w:after="0"/>
              <w:rPr>
                <w:sz w:val="20"/>
                <w:szCs w:val="20"/>
                <w:color w:val="auto"/>
              </w:rPr>
            </w:pPr>
            <w:r>
              <w:rPr>
                <w:rFonts w:ascii="Arial" w:cs="Arial" w:eastAsia="Arial" w:hAnsi="Arial"/>
                <w:sz w:val="11"/>
                <w:szCs w:val="11"/>
                <w:color w:val="auto"/>
              </w:rPr>
              <w:t>220,043</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(1,805 )</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(1,805 )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3,861,492</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1,598</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(22,892 )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(21,294 )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tcPr>
          <w:p>
            <w:pPr>
              <w:jc w:val="right"/>
              <w:spacing w:after="0"/>
              <w:rPr>
                <w:sz w:val="20"/>
                <w:szCs w:val="20"/>
                <w:color w:val="auto"/>
              </w:rPr>
            </w:pPr>
            <w:r>
              <w:rPr>
                <w:rFonts w:ascii="Arial" w:cs="Arial" w:eastAsia="Arial" w:hAnsi="Arial"/>
                <w:sz w:val="11"/>
                <w:szCs w:val="11"/>
                <w:color w:val="auto"/>
              </w:rPr>
              <w:t>58,006</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7"/>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688,067</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(1,992 )</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(1,992 )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4,607,565</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12,355</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(24,884 )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(12,529 )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tcPr>
          <w:p>
            <w:pPr>
              <w:jc w:val="right"/>
              <w:spacing w:after="0"/>
              <w:rPr>
                <w:sz w:val="20"/>
                <w:szCs w:val="20"/>
                <w:color w:val="auto"/>
              </w:rPr>
            </w:pPr>
            <w:r>
              <w:rPr>
                <w:rFonts w:ascii="Arial" w:cs="Arial" w:eastAsia="Arial" w:hAnsi="Arial"/>
                <w:sz w:val="11"/>
                <w:szCs w:val="11"/>
                <w:color w:val="auto"/>
              </w:rPr>
              <w:t>262,285</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7"/>
        </w:trPr>
        <w:tc>
          <w:tcPr>
            <w:tcW w:w="860" w:type="dxa"/>
            <w:vAlign w:val="bottom"/>
          </w:tcPr>
          <w:p>
            <w:pPr>
              <w:jc w:val="right"/>
              <w:spacing w:after="0"/>
              <w:rPr>
                <w:sz w:val="20"/>
                <w:szCs w:val="20"/>
                <w:color w:val="auto"/>
              </w:rPr>
            </w:pPr>
            <w:r>
              <w:rPr>
                <w:rFonts w:ascii="Arial" w:cs="Arial" w:eastAsia="Arial" w:hAnsi="Arial"/>
                <w:sz w:val="11"/>
                <w:szCs w:val="11"/>
                <w:color w:val="auto"/>
              </w:rPr>
              <w:t>12,000,000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186,445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186,446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12,503,009</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92,535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92,537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1,714,536</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(8,456 )</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(8,456 )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31,087,395</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292,800</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(33,340 )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259,470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69"/>
        </w:trPr>
        <w:tc>
          <w:tcPr>
            <w:tcW w:w="1680" w:type="dxa"/>
            <w:vAlign w:val="bottom"/>
            <w:gridSpan w:val="3"/>
            <w:vMerge w:val="restart"/>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4"/>
        </w:trPr>
        <w:tc>
          <w:tcPr>
            <w:tcW w:w="168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2"/>
                <w:szCs w:val="12"/>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42"/>
        </w:trPr>
        <w:tc>
          <w:tcPr>
            <w:tcW w:w="860" w:type="dxa"/>
            <w:vAlign w:val="bottom"/>
          </w:tcPr>
          <w:p>
            <w:pPr>
              <w:jc w:val="right"/>
              <w:ind w:right="206"/>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Deficit</w:t>
            </w:r>
          </w:p>
        </w:tc>
        <w:tc>
          <w:tcPr>
            <w:tcW w:w="14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32,485,784</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315,288</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33</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(41,042 )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274,282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right"/>
              <w:spacing w:after="0"/>
              <w:rPr>
                <w:sz w:val="20"/>
                <w:szCs w:val="20"/>
                <w:color w:val="auto"/>
              </w:rPr>
            </w:pPr>
            <w:r>
              <w:rPr>
                <w:rFonts w:ascii="Arial" w:cs="Arial" w:eastAsia="Arial" w:hAnsi="Arial"/>
                <w:sz w:val="11"/>
                <w:szCs w:val="11"/>
                <w:color w:val="auto"/>
              </w:rPr>
              <w:t>64,527</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right"/>
              <w:spacing w:after="0"/>
              <w:rPr>
                <w:sz w:val="20"/>
                <w:szCs w:val="20"/>
                <w:color w:val="auto"/>
              </w:rPr>
            </w:pPr>
            <w:r>
              <w:rPr>
                <w:rFonts w:ascii="Arial" w:cs="Arial" w:eastAsia="Arial" w:hAnsi="Arial"/>
                <w:sz w:val="11"/>
                <w:szCs w:val="11"/>
                <w:color w:val="auto"/>
              </w:rPr>
              <w:t>4,600,000</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96,761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96,762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(5 )</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(8,866 )</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(8,866 )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37,150,311</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413,093</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28</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(49,908 )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363,217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tcPr>
          <w:p>
            <w:pPr>
              <w:jc w:val="right"/>
              <w:spacing w:after="0"/>
              <w:rPr>
                <w:sz w:val="20"/>
                <w:szCs w:val="20"/>
                <w:color w:val="auto"/>
              </w:rPr>
            </w:pPr>
            <w:r>
              <w:rPr>
                <w:rFonts w:ascii="Arial" w:cs="Arial" w:eastAsia="Arial" w:hAnsi="Arial"/>
                <w:sz w:val="11"/>
                <w:szCs w:val="11"/>
                <w:color w:val="auto"/>
              </w:rPr>
              <w:t>85,593</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60" w:type="dxa"/>
            <w:vAlign w:val="bottom"/>
          </w:tcPr>
          <w:p>
            <w:pPr>
              <w:jc w:val="right"/>
              <w:spacing w:after="0"/>
              <w:rPr>
                <w:sz w:val="20"/>
                <w:szCs w:val="20"/>
                <w:color w:val="auto"/>
              </w:rPr>
            </w:pPr>
            <w:r>
              <w:rPr>
                <w:rFonts w:ascii="Arial" w:cs="Arial" w:eastAsia="Arial" w:hAnsi="Arial"/>
                <w:sz w:val="11"/>
                <w:szCs w:val="11"/>
                <w:color w:val="auto"/>
              </w:rPr>
              <w:t>15,867</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(13,974 )</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(13,974 )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860" w:type="dxa"/>
            <w:vAlign w:val="bottom"/>
          </w:tcPr>
          <w:p>
            <w:pPr>
              <w:jc w:val="right"/>
              <w:spacing w:after="0"/>
              <w:rPr>
                <w:sz w:val="20"/>
                <w:szCs w:val="20"/>
                <w:color w:val="auto"/>
              </w:rPr>
            </w:pPr>
            <w:r>
              <w:rPr>
                <w:rFonts w:ascii="Arial" w:cs="Arial" w:eastAsia="Arial" w:hAnsi="Arial"/>
                <w:sz w:val="11"/>
                <w:szCs w:val="11"/>
                <w:color w:val="auto"/>
              </w:rPr>
              <w:t>37,251,771</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414,550</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37</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(63,882 )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350,709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60" w:type="dxa"/>
            <w:vAlign w:val="bottom"/>
          </w:tcPr>
          <w:p>
            <w:pPr>
              <w:jc w:val="right"/>
              <w:spacing w:after="0"/>
              <w:rPr>
                <w:sz w:val="20"/>
                <w:szCs w:val="20"/>
                <w:color w:val="auto"/>
              </w:rPr>
            </w:pPr>
            <w:r>
              <w:rPr>
                <w:rFonts w:ascii="Arial" w:cs="Arial" w:eastAsia="Arial" w:hAnsi="Arial"/>
                <w:sz w:val="11"/>
                <w:szCs w:val="11"/>
                <w:color w:val="auto"/>
              </w:rPr>
              <w:t>99,333</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1"/>
                <w:szCs w:val="11"/>
                <w:color w:val="auto"/>
              </w:rPr>
              <w:t>(33 )</w:t>
            </w: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62"/>
        </w:trPr>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(15,674 )</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(15,674 )</w:t>
            </w: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860" w:type="dxa"/>
            <w:vAlign w:val="bottom"/>
          </w:tcPr>
          <w:p>
            <w:pPr>
              <w:jc w:val="right"/>
              <w:spacing w:after="0"/>
              <w:rPr>
                <w:sz w:val="20"/>
                <w:szCs w:val="20"/>
                <w:color w:val="auto"/>
              </w:rPr>
            </w:pPr>
            <w:r>
              <w:rPr>
                <w:rFonts w:ascii="Arial" w:cs="Arial" w:eastAsia="Arial" w:hAnsi="Arial"/>
                <w:sz w:val="11"/>
                <w:szCs w:val="11"/>
                <w:color w:val="auto"/>
              </w:rPr>
              <w:t>37,351,104</w:t>
            </w:r>
          </w:p>
        </w:tc>
        <w:tc>
          <w:tcPr>
            <w:tcW w:w="820" w:type="dxa"/>
            <w:vAlign w:val="bottom"/>
            <w:gridSpan w:val="2"/>
          </w:tcPr>
          <w:p>
            <w:pPr>
              <w:jc w:val="right"/>
              <w:ind w:right="546"/>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415,785</w:t>
            </w:r>
          </w:p>
        </w:tc>
        <w:tc>
          <w:tcPr>
            <w:tcW w:w="2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4</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80"/>
              <w:spacing w:after="0"/>
              <w:rPr>
                <w:sz w:val="20"/>
                <w:szCs w:val="20"/>
                <w:color w:val="auto"/>
              </w:rPr>
            </w:pPr>
            <w:r>
              <w:rPr>
                <w:rFonts w:ascii="Arial" w:cs="Arial" w:eastAsia="Arial" w:hAnsi="Arial"/>
                <w:sz w:val="11"/>
                <w:szCs w:val="11"/>
                <w:color w:val="auto"/>
              </w:rPr>
              <w:t>(79,556 )</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336,237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-6578600</wp:posOffset>
            </wp:positionV>
            <wp:extent cx="7132320" cy="424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2418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-5965825</wp:posOffset>
            </wp:positionV>
            <wp:extent cx="7132320" cy="35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5560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-5434330</wp:posOffset>
            </wp:positionV>
            <wp:extent cx="7132320" cy="360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6004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-4799965</wp:posOffset>
            </wp:positionV>
            <wp:extent cx="713232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-4606925</wp:posOffset>
            </wp:positionV>
            <wp:extent cx="7132320" cy="441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4132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-3805555</wp:posOffset>
            </wp:positionV>
            <wp:extent cx="71323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-3599815</wp:posOffset>
            </wp:positionV>
            <wp:extent cx="71323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-3406775</wp:posOffset>
            </wp:positionV>
            <wp:extent cx="379730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97300" cy="26543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-2961005</wp:posOffset>
            </wp:positionV>
            <wp:extent cx="7132320" cy="424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2418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-2262505</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-1885315</wp:posOffset>
            </wp:positionV>
            <wp:extent cx="7132320" cy="35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5560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-1353820</wp:posOffset>
            </wp:positionV>
            <wp:extent cx="71323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-1062355</wp:posOffset>
            </wp:positionV>
            <wp:extent cx="7132320" cy="35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5560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-445135</wp:posOffset>
            </wp:positionV>
            <wp:extent cx="71323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-252095</wp:posOffset>
            </wp:positionV>
            <wp:extent cx="3797300"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9730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20"/>
            <w:col w:w="5860"/>
          </w:cols>
          <w:pgMar w:left="320" w:top="360" w:right="339" w:bottom="1440" w:gutter="0" w:footer="0" w:header="0"/>
          <w:type w:val="continuous"/>
        </w:sectPr>
      </w:pP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 w:name="page8"/>
    <w:bookmarkEnd w:id="7"/>
    <w:p>
      <w:pPr>
        <w:ind w:left="4800"/>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7"/>
                <w:szCs w:val="17"/>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(38,514 )</w:t>
            </w:r>
          </w:p>
        </w:tc>
        <w:tc>
          <w:tcPr>
            <w:tcW w:w="122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(12,253 )</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3,188</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353</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Other non-cash expense</w:t>
            </w:r>
          </w:p>
        </w:tc>
        <w:tc>
          <w:tcPr>
            <w:tcW w:w="10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premiums and accretion of discounts on</w:t>
            </w: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68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available-for-sale securities, net</w:t>
            </w:r>
          </w:p>
        </w:tc>
        <w:tc>
          <w:tcPr>
            <w:tcW w:w="10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347</w:t>
            </w: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Unbilled grant receivable</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48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5,152</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(5,919 )</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480"/>
              <w:spacing w:after="0"/>
              <w:rPr>
                <w:sz w:val="20"/>
                <w:szCs w:val="20"/>
                <w:color w:val="auto"/>
              </w:rPr>
            </w:pPr>
            <w:r>
              <w:rPr>
                <w:rFonts w:ascii="Arial" w:cs="Arial" w:eastAsia="Arial" w:hAnsi="Arial"/>
                <w:sz w:val="14"/>
                <w:szCs w:val="14"/>
                <w:color w:val="auto"/>
              </w:rPr>
              <w:t>Accounts payable and accrued liabilities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4,913</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03"/>
        </w:trPr>
        <w:tc>
          <w:tcPr>
            <w:tcW w:w="7680" w:type="dxa"/>
            <w:vAlign w:val="bottom"/>
          </w:tcPr>
          <w:p>
            <w:pPr>
              <w:ind w:left="480"/>
              <w:spacing w:after="0"/>
              <w:rPr>
                <w:sz w:val="20"/>
                <w:szCs w:val="20"/>
                <w:color w:val="auto"/>
              </w:rPr>
            </w:pPr>
            <w:r>
              <w:rPr>
                <w:rFonts w:ascii="Arial" w:cs="Arial" w:eastAsia="Arial" w:hAnsi="Arial"/>
                <w:sz w:val="14"/>
                <w:szCs w:val="14"/>
                <w:color w:val="auto"/>
              </w:rPr>
              <w:t>Operating lease liability</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w:t>
            </w:r>
          </w:p>
        </w:tc>
        <w:tc>
          <w:tcPr>
            <w:tcW w:w="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(24,921 )</w:t>
            </w:r>
          </w:p>
        </w:tc>
        <w:tc>
          <w:tcPr>
            <w:tcW w:w="1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(13,448 )</w:t>
            </w:r>
          </w:p>
        </w:tc>
        <w:tc>
          <w:tcPr>
            <w:tcW w:w="0" w:type="dxa"/>
            <w:vAlign w:val="bottom"/>
          </w:tcPr>
          <w:p>
            <w:pPr>
              <w:spacing w:after="0"/>
              <w:rPr>
                <w:sz w:val="1"/>
                <w:szCs w:val="1"/>
                <w:color w:val="auto"/>
              </w:rPr>
            </w:pPr>
          </w:p>
        </w:tc>
      </w:tr>
      <w:tr>
        <w:trPr>
          <w:trHeight w:val="190"/>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available-for-sale securities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(269,378 )</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(94,281 )</w:t>
            </w: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Maturities of available-for-sale securities</w:t>
            </w:r>
          </w:p>
        </w:tc>
        <w:tc>
          <w:tcPr>
            <w:tcW w:w="10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226,420</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sales of available-for-sale securities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18,052</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68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(546 )</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Principal payments received on stockholder note receivable</w:t>
            </w: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6"/>
        </w:trPr>
        <w:tc>
          <w:tcPr>
            <w:tcW w:w="7680" w:type="dxa"/>
            <w:vAlign w:val="bottom"/>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(25,452 )</w:t>
            </w:r>
          </w:p>
        </w:tc>
        <w:tc>
          <w:tcPr>
            <w:tcW w:w="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(94,310 )</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Proceeds from exercise of common stock options</w:t>
            </w:r>
          </w:p>
        </w:tc>
        <w:tc>
          <w:tcPr>
            <w:tcW w:w="10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issuance costs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8"/>
              </w:rPr>
              <w:t>187,224</w:t>
            </w:r>
          </w:p>
        </w:tc>
        <w:tc>
          <w:tcPr>
            <w:tcW w:w="0" w:type="dxa"/>
            <w:vAlign w:val="bottom"/>
          </w:tcPr>
          <w:p>
            <w:pPr>
              <w:spacing w:after="0"/>
              <w:rPr>
                <w:sz w:val="1"/>
                <w:szCs w:val="1"/>
                <w:color w:val="auto"/>
              </w:rPr>
            </w:pPr>
          </w:p>
        </w:tc>
      </w:tr>
      <w:tr>
        <w:trPr>
          <w:trHeight w:val="191"/>
        </w:trPr>
        <w:tc>
          <w:tcPr>
            <w:tcW w:w="7680" w:type="dxa"/>
            <w:vAlign w:val="bottom"/>
          </w:tcPr>
          <w:p>
            <w:pPr>
              <w:ind w:left="200"/>
              <w:spacing w:after="0"/>
              <w:rPr>
                <w:sz w:val="20"/>
                <w:szCs w:val="20"/>
                <w:color w:val="auto"/>
              </w:rPr>
            </w:pPr>
            <w:r>
              <w:rPr>
                <w:rFonts w:ascii="Arial" w:cs="Arial" w:eastAsia="Arial" w:hAnsi="Arial"/>
                <w:sz w:val="14"/>
                <w:szCs w:val="14"/>
                <w:color w:val="auto"/>
              </w:rPr>
              <w:t>Proceeds from issuance of convertible preferred stock and common</w:t>
            </w: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320"/>
              <w:spacing w:after="0"/>
              <w:rPr>
                <w:sz w:val="20"/>
                <w:szCs w:val="20"/>
                <w:color w:val="auto"/>
              </w:rPr>
            </w:pPr>
            <w:r>
              <w:rPr>
                <w:rFonts w:ascii="Arial" w:cs="Arial" w:eastAsia="Arial" w:hAnsi="Arial"/>
                <w:sz w:val="14"/>
                <w:szCs w:val="14"/>
                <w:color w:val="auto"/>
              </w:rPr>
              <w:t>stock warrants, net of issuance costs</w:t>
            </w:r>
          </w:p>
        </w:tc>
        <w:tc>
          <w:tcPr>
            <w:tcW w:w="10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81,926</w:t>
            </w:r>
          </w:p>
        </w:tc>
        <w:tc>
          <w:tcPr>
            <w:tcW w:w="0" w:type="dxa"/>
            <w:vAlign w:val="bottom"/>
          </w:tcPr>
          <w:p>
            <w:pPr>
              <w:spacing w:after="0"/>
              <w:rPr>
                <w:sz w:val="1"/>
                <w:szCs w:val="1"/>
                <w:color w:val="auto"/>
              </w:rPr>
            </w:pPr>
          </w:p>
        </w:tc>
      </w:tr>
      <w:tr>
        <w:trPr>
          <w:trHeight w:val="208"/>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common stock warrants</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7"/>
        </w:trPr>
        <w:tc>
          <w:tcPr>
            <w:tcW w:w="7680" w:type="dxa"/>
            <w:vAlign w:val="bottom"/>
          </w:tcPr>
          <w:p>
            <w:pPr>
              <w:ind w:left="200"/>
              <w:spacing w:after="0"/>
              <w:rPr>
                <w:sz w:val="20"/>
                <w:szCs w:val="20"/>
                <w:color w:val="auto"/>
              </w:rPr>
            </w:pPr>
            <w:r>
              <w:rPr>
                <w:rFonts w:ascii="Arial" w:cs="Arial" w:eastAsia="Arial" w:hAnsi="Arial"/>
                <w:sz w:val="14"/>
                <w:szCs w:val="14"/>
                <w:color w:val="auto"/>
              </w:rPr>
              <w:t>Proceeds from follow-on public offering, net of issuance costs</w:t>
            </w:r>
          </w:p>
        </w:tc>
        <w:tc>
          <w:tcPr>
            <w:tcW w:w="10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96,762</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convertible notes, including derivative,</w:t>
            </w:r>
          </w:p>
        </w:tc>
        <w:tc>
          <w:tcPr>
            <w:tcW w:w="102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74"/>
        </w:trPr>
        <w:tc>
          <w:tcPr>
            <w:tcW w:w="768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4"/>
                <w:szCs w:val="14"/>
                <w:color w:val="auto"/>
              </w:rPr>
              <w:t>net of issuance costs</w:t>
            </w:r>
          </w:p>
        </w:tc>
        <w:tc>
          <w:tcPr>
            <w:tcW w:w="10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97,076</w:t>
            </w:r>
          </w:p>
        </w:tc>
        <w:tc>
          <w:tcPr>
            <w:tcW w:w="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271,427</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46,703</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8"/>
              </w:rPr>
              <w:t>163,669</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60,625</w:t>
            </w:r>
          </w:p>
        </w:tc>
        <w:tc>
          <w:tcPr>
            <w:tcW w:w="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107,328</w:t>
            </w:r>
          </w:p>
        </w:tc>
        <w:tc>
          <w:tcPr>
            <w:tcW w:w="1220" w:type="dxa"/>
            <w:vAlign w:val="bottom"/>
            <w:gridSpan w:val="2"/>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8"/>
              </w:rPr>
              <w:t>165,725</w:t>
            </w:r>
          </w:p>
        </w:tc>
        <w:tc>
          <w:tcPr>
            <w:tcW w:w="0" w:type="dxa"/>
            <w:vAlign w:val="bottom"/>
          </w:tcPr>
          <w:p>
            <w:pPr>
              <w:spacing w:after="0"/>
              <w:rPr>
                <w:sz w:val="1"/>
                <w:szCs w:val="1"/>
                <w:color w:val="auto"/>
              </w:rPr>
            </w:pPr>
          </w:p>
        </w:tc>
      </w:tr>
      <w:tr>
        <w:trPr>
          <w:trHeight w:val="17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0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 included in accounts</w:t>
            </w:r>
          </w:p>
        </w:tc>
        <w:tc>
          <w:tcPr>
            <w:tcW w:w="1020" w:type="dxa"/>
            <w:vAlign w:val="bottom"/>
            <w:vMerge w:val="restart"/>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219</w:t>
            </w:r>
          </w:p>
        </w:tc>
        <w:tc>
          <w:tcPr>
            <w:tcW w:w="160" w:type="dxa"/>
            <w:vAlign w:val="bottom"/>
            <w:vMerge w:val="restart"/>
            <w:shd w:val="clear" w:color="auto" w:fill="CFF0FC"/>
          </w:tcPr>
          <w:p>
            <w:pPr>
              <w:spacing w:after="0"/>
              <w:rPr>
                <w:sz w:val="17"/>
                <w:szCs w:val="17"/>
                <w:color w:val="auto"/>
              </w:rPr>
            </w:pPr>
          </w:p>
        </w:tc>
        <w:tc>
          <w:tcPr>
            <w:tcW w:w="1060" w:type="dxa"/>
            <w:vAlign w:val="bottom"/>
            <w:vMerge w:val="restart"/>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FF0FC"/>
            </w:tcBorders>
            <w:shd w:val="clear" w:color="auto" w:fill="CFF0FC"/>
          </w:tcPr>
          <w:p>
            <w:pPr>
              <w:ind w:left="320"/>
              <w:spacing w:after="0" w:line="147" w:lineRule="exact"/>
              <w:rPr>
                <w:sz w:val="20"/>
                <w:szCs w:val="20"/>
                <w:color w:val="auto"/>
              </w:rPr>
            </w:pPr>
            <w:r>
              <w:rPr>
                <w:rFonts w:ascii="Arial" w:cs="Arial" w:eastAsia="Arial" w:hAnsi="Arial"/>
                <w:sz w:val="14"/>
                <w:szCs w:val="14"/>
                <w:color w:val="auto"/>
              </w:rPr>
              <w:t>payable and accrued liabilities</w:t>
            </w: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200"/>
              <w:spacing w:after="0"/>
              <w:rPr>
                <w:sz w:val="20"/>
                <w:szCs w:val="20"/>
                <w:color w:val="auto"/>
              </w:rPr>
            </w:pPr>
            <w:r>
              <w:rPr>
                <w:rFonts w:ascii="Arial" w:cs="Arial" w:eastAsia="Arial" w:hAnsi="Arial"/>
                <w:sz w:val="14"/>
                <w:szCs w:val="14"/>
                <w:color w:val="auto"/>
              </w:rPr>
              <w:t>Deferred offering costs included in accounts payable and</w:t>
            </w:r>
          </w:p>
        </w:tc>
        <w:tc>
          <w:tcPr>
            <w:tcW w:w="1020" w:type="dxa"/>
            <w:vAlign w:val="bottom"/>
            <w:vMerge w:val="restart"/>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147"/>
        </w:trPr>
        <w:tc>
          <w:tcPr>
            <w:tcW w:w="7680" w:type="dxa"/>
            <w:vAlign w:val="bottom"/>
          </w:tcPr>
          <w:p>
            <w:pPr>
              <w:ind w:left="320"/>
              <w:spacing w:after="0" w:line="147" w:lineRule="exact"/>
              <w:rPr>
                <w:sz w:val="20"/>
                <w:szCs w:val="20"/>
                <w:color w:val="auto"/>
              </w:rPr>
            </w:pPr>
            <w:r>
              <w:rPr>
                <w:rFonts w:ascii="Arial" w:cs="Arial" w:eastAsia="Arial" w:hAnsi="Arial"/>
                <w:sz w:val="14"/>
                <w:szCs w:val="14"/>
                <w:color w:val="auto"/>
              </w:rPr>
              <w:t>accrued liabilities</w:t>
            </w:r>
          </w:p>
        </w:tc>
        <w:tc>
          <w:tcPr>
            <w:tcW w:w="10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Allocation of proceeds to common stock warrants issued in Series B</w:t>
            </w:r>
          </w:p>
        </w:tc>
        <w:tc>
          <w:tcPr>
            <w:tcW w:w="1020" w:type="dxa"/>
            <w:vAlign w:val="bottom"/>
            <w:vMerge w:val="restart"/>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4"/>
                <w:szCs w:val="14"/>
                <w:color w:val="auto"/>
              </w:rPr>
            </w:pPr>
          </w:p>
        </w:tc>
        <w:tc>
          <w:tcPr>
            <w:tcW w:w="1060" w:type="dxa"/>
            <w:vAlign w:val="bottom"/>
            <w:vMerge w:val="restart"/>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10,591</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FF0FC"/>
            </w:tcBorders>
            <w:shd w:val="clear" w:color="auto" w:fill="CFF0FC"/>
          </w:tcPr>
          <w:p>
            <w:pPr>
              <w:ind w:left="320"/>
              <w:spacing w:after="0" w:line="147" w:lineRule="exact"/>
              <w:rPr>
                <w:sz w:val="20"/>
                <w:szCs w:val="20"/>
                <w:color w:val="auto"/>
              </w:rPr>
            </w:pPr>
            <w:r>
              <w:rPr>
                <w:rFonts w:ascii="Arial" w:cs="Arial" w:eastAsia="Arial" w:hAnsi="Arial"/>
                <w:sz w:val="14"/>
                <w:szCs w:val="14"/>
                <w:color w:val="auto"/>
              </w:rPr>
              <w:t>convertible preferred stock financing</w:t>
            </w: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680" w:type="dxa"/>
            <w:vAlign w:val="bottom"/>
          </w:tcPr>
          <w:p>
            <w:pPr>
              <w:ind w:left="200"/>
              <w:spacing w:after="0"/>
              <w:rPr>
                <w:sz w:val="20"/>
                <w:szCs w:val="20"/>
                <w:color w:val="auto"/>
              </w:rPr>
            </w:pPr>
            <w:r>
              <w:rPr>
                <w:rFonts w:ascii="Arial" w:cs="Arial" w:eastAsia="Arial" w:hAnsi="Arial"/>
                <w:sz w:val="14"/>
                <w:szCs w:val="14"/>
                <w:color w:val="auto"/>
              </w:rPr>
              <w:t>Issuance of Series B-1 preferred stock upon conversion of</w:t>
            </w:r>
          </w:p>
        </w:tc>
        <w:tc>
          <w:tcPr>
            <w:tcW w:w="1020" w:type="dxa"/>
            <w:vAlign w:val="bottom"/>
            <w:vMerge w:val="restart"/>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4,515</w:t>
            </w:r>
          </w:p>
        </w:tc>
        <w:tc>
          <w:tcPr>
            <w:tcW w:w="0" w:type="dxa"/>
            <w:vAlign w:val="bottom"/>
          </w:tcPr>
          <w:p>
            <w:pPr>
              <w:spacing w:after="0"/>
              <w:rPr>
                <w:sz w:val="1"/>
                <w:szCs w:val="1"/>
                <w:color w:val="auto"/>
              </w:rPr>
            </w:pPr>
          </w:p>
        </w:tc>
      </w:tr>
      <w:tr>
        <w:trPr>
          <w:trHeight w:val="147"/>
        </w:trPr>
        <w:tc>
          <w:tcPr>
            <w:tcW w:w="7680" w:type="dxa"/>
            <w:vAlign w:val="bottom"/>
          </w:tcPr>
          <w:p>
            <w:pPr>
              <w:ind w:left="320"/>
              <w:spacing w:after="0" w:line="147" w:lineRule="exact"/>
              <w:rPr>
                <w:sz w:val="20"/>
                <w:szCs w:val="20"/>
                <w:color w:val="auto"/>
              </w:rPr>
            </w:pPr>
            <w:r>
              <w:rPr>
                <w:rFonts w:ascii="Arial" w:cs="Arial" w:eastAsia="Arial" w:hAnsi="Arial"/>
                <w:sz w:val="14"/>
                <w:szCs w:val="14"/>
                <w:color w:val="auto"/>
              </w:rPr>
              <w:t>promissory notes</w:t>
            </w:r>
          </w:p>
        </w:tc>
        <w:tc>
          <w:tcPr>
            <w:tcW w:w="10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Recognition of warrant liability in connection with Series B convertible</w:t>
            </w:r>
          </w:p>
        </w:tc>
        <w:tc>
          <w:tcPr>
            <w:tcW w:w="1020" w:type="dxa"/>
            <w:vAlign w:val="bottom"/>
            <w:vMerge w:val="restart"/>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4"/>
                <w:szCs w:val="14"/>
                <w:color w:val="auto"/>
              </w:rPr>
            </w:pPr>
          </w:p>
        </w:tc>
        <w:tc>
          <w:tcPr>
            <w:tcW w:w="1060" w:type="dxa"/>
            <w:vAlign w:val="bottom"/>
            <w:vMerge w:val="restart"/>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FF0FC"/>
            </w:tcBorders>
            <w:shd w:val="clear" w:color="auto" w:fill="CFF0FC"/>
          </w:tcPr>
          <w:p>
            <w:pPr>
              <w:ind w:left="320"/>
              <w:spacing w:after="0" w:line="147" w:lineRule="exact"/>
              <w:rPr>
                <w:sz w:val="20"/>
                <w:szCs w:val="20"/>
                <w:color w:val="auto"/>
              </w:rPr>
            </w:pPr>
            <w:r>
              <w:rPr>
                <w:rFonts w:ascii="Arial" w:cs="Arial" w:eastAsia="Arial" w:hAnsi="Arial"/>
                <w:sz w:val="14"/>
                <w:szCs w:val="14"/>
                <w:color w:val="auto"/>
              </w:rPr>
              <w:t>preferred stock financing</w:t>
            </w: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0"/>
              <w:spacing w:after="0"/>
              <w:rPr>
                <w:sz w:val="20"/>
                <w:szCs w:val="20"/>
                <w:color w:val="auto"/>
              </w:rPr>
            </w:pPr>
            <w:r>
              <w:rPr>
                <w:rFonts w:ascii="Arial" w:cs="Arial" w:eastAsia="Arial" w:hAnsi="Arial"/>
                <w:sz w:val="14"/>
                <w:szCs w:val="14"/>
                <w:color w:val="auto"/>
              </w:rPr>
              <w:t>Recognition of derivative liability upon issuance of convertible notes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Conversion of convertible preferred stock upon closing of</w:t>
            </w:r>
          </w:p>
        </w:tc>
        <w:tc>
          <w:tcPr>
            <w:tcW w:w="1020" w:type="dxa"/>
            <w:vAlign w:val="bottom"/>
            <w:vMerge w:val="restart"/>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4"/>
                <w:szCs w:val="14"/>
                <w:color w:val="auto"/>
              </w:rPr>
            </w:pPr>
          </w:p>
        </w:tc>
        <w:tc>
          <w:tcPr>
            <w:tcW w:w="1060" w:type="dxa"/>
            <w:vAlign w:val="bottom"/>
            <w:vMerge w:val="restart"/>
            <w:shd w:val="clear" w:color="auto" w:fill="CFF0FC"/>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92,537</w:t>
            </w:r>
          </w:p>
        </w:tc>
        <w:tc>
          <w:tcPr>
            <w:tcW w:w="0" w:type="dxa"/>
            <w:vAlign w:val="bottom"/>
          </w:tcPr>
          <w:p>
            <w:pPr>
              <w:spacing w:after="0"/>
              <w:rPr>
                <w:sz w:val="1"/>
                <w:szCs w:val="1"/>
                <w:color w:val="auto"/>
              </w:rPr>
            </w:pPr>
          </w:p>
        </w:tc>
      </w:tr>
      <w:tr>
        <w:trPr>
          <w:trHeight w:val="187"/>
        </w:trPr>
        <w:tc>
          <w:tcPr>
            <w:tcW w:w="7680" w:type="dxa"/>
            <w:vAlign w:val="bottom"/>
            <w:tcBorders>
              <w:bottom w:val="single" w:sz="8" w:color="CFF0FC"/>
            </w:tcBorders>
            <w:shd w:val="clear" w:color="auto" w:fill="CFF0FC"/>
          </w:tcPr>
          <w:p>
            <w:pPr>
              <w:ind w:left="320"/>
              <w:spacing w:after="0" w:line="147" w:lineRule="exact"/>
              <w:rPr>
                <w:sz w:val="20"/>
                <w:szCs w:val="20"/>
                <w:color w:val="auto"/>
              </w:rPr>
            </w:pPr>
            <w:r>
              <w:rPr>
                <w:rFonts w:ascii="Arial" w:cs="Arial" w:eastAsia="Arial" w:hAnsi="Arial"/>
                <w:sz w:val="14"/>
                <w:szCs w:val="14"/>
                <w:color w:val="auto"/>
              </w:rPr>
              <w:t>initial public offering</w:t>
            </w: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80" w:type="dxa"/>
            <w:vAlign w:val="bottom"/>
          </w:tcPr>
          <w:p>
            <w:pPr>
              <w:ind w:left="200"/>
              <w:spacing w:after="0"/>
              <w:rPr>
                <w:sz w:val="20"/>
                <w:szCs w:val="20"/>
                <w:color w:val="auto"/>
              </w:rPr>
            </w:pPr>
            <w:r>
              <w:rPr>
                <w:rFonts w:ascii="Arial" w:cs="Arial" w:eastAsia="Arial" w:hAnsi="Arial"/>
                <w:sz w:val="14"/>
                <w:szCs w:val="14"/>
                <w:color w:val="auto"/>
              </w:rPr>
              <w:t>Right-of-use asset obtained in exchange for new operating lease liability</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680</w:t>
            </w:r>
          </w:p>
        </w:tc>
        <w:tc>
          <w:tcPr>
            <w:tcW w:w="1220" w:type="dxa"/>
            <w:vAlign w:val="bottom"/>
            <w:gridSpan w:val="2"/>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-4479925</wp:posOffset>
            </wp:positionV>
            <wp:extent cx="1117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-3699510</wp:posOffset>
            </wp:positionV>
            <wp:extent cx="1117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-2439670</wp:posOffset>
            </wp:positionV>
            <wp:extent cx="11176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-1902460</wp:posOffset>
            </wp:positionV>
            <wp:extent cx="111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-1885315</wp:posOffset>
            </wp:positionV>
            <wp:extent cx="111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-1533525</wp:posOffset>
            </wp:positionV>
            <wp:extent cx="1117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-1516380</wp:posOffset>
            </wp:positionV>
            <wp:extent cx="1117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-1054100</wp:posOffset>
            </wp:positionV>
            <wp:extent cx="1117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-1036955</wp:posOffset>
            </wp:positionV>
            <wp:extent cx="1117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-573405</wp:posOffset>
            </wp:positionV>
            <wp:extent cx="111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-556895</wp:posOffset>
            </wp:positionV>
            <wp:extent cx="1117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-179705</wp:posOffset>
            </wp:positionV>
            <wp:extent cx="1117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1117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2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Bothell and Seattle, Washington. The Company is a late clinical-stage biopharmaceutical company focused on developing small molecules to restore neuronal health and stop neurodegeneration.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January 2021, the Company completed a follow-on public offering of its common stock. As part of the follow-on offering, the Company issued and sold 4,000,000 shares of its common stock at a public offering price of $22.50 per share. The Company received net proceeds of approximately $84.1 million from the follow-on offering, after deducting underwriting discounts and commissions and offering costs. In February 2021, the Company sold an additional 600,000 shares of common stock to the underwriters of the follow-on public offering upon full exercise of the underwriters’ option to purchase additional shares at the follow-on public offering price of $22.50 per share, less underwriting discounts and commissions and offering costs resulting in net proceeds to the Company of approximately $12.7 million.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2021, it has raised aggregate net cash proceeds of $407.4 million primarily from the issuance of its common stock, convertible preferred stock, common stock warrants, and convertible notes. As of September 30, 2021, the Company had $339.4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spacing w:after="0" w:line="2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Based upon the Company’s current operating plan, it estimates that its $339.4 million of cash, cash equivalents, and investments at September 30, 2021 will be sufficient to fund its operating expenses and capital expenditure requirements through at least the 12 months following the date of this Quarterly Report on Form 10-Q.</w:t>
      </w:r>
    </w:p>
    <w:p>
      <w:pPr>
        <w:spacing w:after="0" w:line="262" w:lineRule="exact"/>
        <w:rPr>
          <w:sz w:val="20"/>
          <w:szCs w:val="20"/>
          <w:color w:val="auto"/>
        </w:rPr>
      </w:pPr>
    </w:p>
    <w:p>
      <w:pPr>
        <w:jc w:val="center"/>
        <w:ind w:right="8340"/>
        <w:spacing w:after="0"/>
        <w:rPr>
          <w:sz w:val="20"/>
          <w:szCs w:val="20"/>
          <w:color w:val="auto"/>
        </w:rPr>
      </w:pPr>
      <w:r>
        <w:rPr>
          <w:rFonts w:ascii="Arial" w:cs="Arial" w:eastAsia="Arial" w:hAnsi="Arial"/>
          <w:sz w:val="18"/>
          <w:szCs w:val="18"/>
          <w:b w:val="1"/>
          <w:bCs w:val="1"/>
          <w:color w:val="auto"/>
        </w:rPr>
        <w:t>2. Significant Accounting Policies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unaudited condensed consolidated financial statements have been prepared in conformity with U.S. generally accepted accounting principles (“U.S. GAAP”). During the third quarter of 2020, the Company incorporated Athira Pharma Australia PTY LTD in Australia and since its creation, the Australian subsidiary’s financial position and results of operations are consolidated in the accompanying unaudited condensed consolidated financial statements.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accompanying unaudited condensed consolidated balance sheet as of September 30, 2021, and condensed consolidated statements of operations and comprehensive loss, cash flows, and convertible preferred stock and stockholders’ (deficit) equity for the three and nine months ended September 30, 2021 and 2020, are unaudited. The balance sheet as of December 31, 2020 was derived from the audited consolidated financial statements as of and for the year ended December 31, 2020. The unaudited interim condensed consolidated financial statements have been prepared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both"/>
        <w:spacing w:after="0" w:line="267" w:lineRule="auto"/>
        <w:rPr>
          <w:sz w:val="20"/>
          <w:szCs w:val="20"/>
          <w:color w:val="auto"/>
        </w:rPr>
      </w:pPr>
      <w:r>
        <w:rPr>
          <w:rFonts w:ascii="Arial" w:cs="Arial" w:eastAsia="Arial" w:hAnsi="Arial"/>
          <w:sz w:val="18"/>
          <w:szCs w:val="18"/>
          <w:color w:val="auto"/>
        </w:rPr>
        <w:t>on a basis consistent with the audited annual financial statements as of and for the year ended December 31, 2020, and, in the opinion of management, reflect all adjustments, consisting solely of normal recurring adjustments, necessary for the fair presentation of the Company’s financial position as of September 30, 2021, and the condensed consolidated results of its operations and its cash flows for the three and nine months ended September 30, 2021 and 2020. The financial data and other information disclosed in these notes related to the three and nine months ended September 30, 2021 and 2020 are also unaudited. The condensed consolidated results of operations for the three and nine months ended September 30, 2021 are not necessarily indicative of the results to be expected for the full year ending December 31, 2021 or any other period. These interim condensed consolidated financial statements should be read in conjunction with the Company’s audited consolidated financial statements as of and for the year ended December 31, 2020 included in its Annual Report on Form 10-K filed with the SEC on March 25, 2021.</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3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carrying amounts of certain financial instruments, including cash, cash equivalents, investments, accounts payable and accrued expenses approximate their fair values due to the short-term nature of those amounts. The fair values of the grant liability to Washington Life Sciences Discovery Fund (“LSDF”), currently managed by the Washington State Department of Commerce, the derivative liability, and the convertible preferred stock warrant liability were estimated using level 3 unobservable inputs.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28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Freestanding warrants to purchase shares of the Company’s convertible preferred stock were accounted for as liabilities at fair value, because the shares underlying the warrants contained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adjusted the liability for the final change in the fair value of these warrants immediately preceding their automatic exercise in connection with the Company’s initial public offering (“IPO”). Subsequent to the Company’s IPO, the corresponding liability was reclassified to additional paid in capital.</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Income</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Grant income in the accompanying statements of operations consisted of the following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96"/>
        </w:trPr>
        <w:tc>
          <w:tcPr>
            <w:tcW w:w="3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4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Alzheimer's Association Part the Cloud</w:t>
            </w:r>
          </w:p>
        </w:tc>
        <w:tc>
          <w:tcPr>
            <w:tcW w:w="18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37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Research Grant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21"/>
                <w:szCs w:val="21"/>
                <w:color w:val="auto"/>
              </w:rPr>
            </w:pP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National Institutes of Health Grant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90"/>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grant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-25400</wp:posOffset>
            </wp:positionV>
            <wp:extent cx="93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93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recorded in the accompanying balance sheets as receivables from these granting agencies were as follows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3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r>
      <w:tr>
        <w:trPr>
          <w:trHeight w:val="196"/>
        </w:trPr>
        <w:tc>
          <w:tcPr>
            <w:tcW w:w="5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Alzheimer's Association Part the Cloud Research</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0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Grant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21"/>
                <w:szCs w:val="21"/>
                <w:color w:val="auto"/>
              </w:rPr>
            </w:pPr>
          </w:p>
        </w:tc>
      </w:tr>
      <w:tr>
        <w:trPr>
          <w:trHeight w:val="250"/>
        </w:trPr>
        <w:tc>
          <w:tcPr>
            <w:tcW w:w="5040" w:type="dxa"/>
            <w:vAlign w:val="bottom"/>
          </w:tcPr>
          <w:p>
            <w:pPr>
              <w:spacing w:after="0"/>
              <w:rPr>
                <w:sz w:val="20"/>
                <w:szCs w:val="20"/>
                <w:color w:val="auto"/>
              </w:rPr>
            </w:pPr>
            <w:r>
              <w:rPr>
                <w:rFonts w:ascii="Arial" w:cs="Arial" w:eastAsia="Arial" w:hAnsi="Arial"/>
                <w:sz w:val="18"/>
                <w:szCs w:val="18"/>
                <w:color w:val="auto"/>
              </w:rPr>
              <w:t>National Institutes of Health Grant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r>
      <w:tr>
        <w:trPr>
          <w:trHeight w:val="29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grant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1460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460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January 2019, the Alzheimer’s Association awarded the Company a $1.0 million Part the Cloud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received the remaining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$224,000 in March 2021 after having completed certain development milestones in October 2020. The Company recognized income related to the Part the Cloud research grant as qualifying expenses under the grant agreement were incurred.</w:t>
      </w:r>
    </w:p>
    <w:p>
      <w:pPr>
        <w:spacing w:after="0" w:line="2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December 2020, the Company accepted a grant from the National Institute on Aging (“NIA”) of the National Institutes of Health (“NIH”) to support its ACT-AD Phase 2 clinical trial for ATH-1017, the Company’s lead therapeutic candidate being developed for the treatment of individuals with mild-to-moderate Alzheimer’s disease. Under the terms of the agreement, the Company may potentially receive $7.8 million with the potential for an additional $7.4 million, up to an aggregate of $15.2 million. The Company recognizes income related to the NIH grant as qualifying expenses under the grant agreement are incurred. The Company received cash of $2.6 million and $5.5 million related to the NIH grant during the three and nine months ended September 30, 2021, respectively.</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28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income or loss. Realized gains and losses on the sale of these securities are recognized in net loss.</w:t>
      </w:r>
    </w:p>
    <w:p>
      <w:pPr>
        <w:spacing w:after="0" w:line="24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8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4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 xml:space="preserve">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25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spacing w:after="0" w:line="2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23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23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4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color w:val="auto"/>
        </w:rPr>
        <w:t>Segments</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8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Although there were several other new accounting pronouncements issued or proposed by the FASB, the Company does not believe any of these have had or will have material impact on its condensed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71" w:lineRule="exact"/>
        <w:rPr>
          <w:sz w:val="20"/>
          <w:szCs w:val="20"/>
          <w:color w:val="auto"/>
        </w:rPr>
      </w:pPr>
    </w:p>
    <w:p>
      <w:pPr>
        <w:jc w:val="both"/>
        <w:ind w:right="20" w:firstLine="509"/>
        <w:spacing w:after="0" w:line="298"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53" w:lineRule="exact"/>
        <w:rPr>
          <w:sz w:val="20"/>
          <w:szCs w:val="20"/>
          <w:color w:val="auto"/>
        </w:rPr>
      </w:pPr>
    </w:p>
    <w:p>
      <w:pPr>
        <w:jc w:val="both"/>
        <w:ind w:firstLine="509"/>
        <w:spacing w:after="0" w:line="298"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53"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22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following tables reflect the Company’s financial asset balances measured on a recurring basis as of September 30, 2021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820" w:type="dxa"/>
            <w:vAlign w:val="bottom"/>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9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80" w:type="dxa"/>
            <w:vAlign w:val="bottom"/>
            <w:tcBorders>
              <w:top w:val="single" w:sz="8" w:color="auto"/>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CFF0FC"/>
            </w:tcBorders>
            <w:shd w:val="clear" w:color="auto" w:fill="CFF0FC"/>
          </w:tcPr>
          <w:p>
            <w:pPr>
              <w:spacing w:after="0"/>
              <w:rPr>
                <w:sz w:val="21"/>
                <w:szCs w:val="21"/>
                <w:color w:val="auto"/>
              </w:rPr>
            </w:pPr>
          </w:p>
        </w:tc>
        <w:tc>
          <w:tcPr>
            <w:tcW w:w="20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Money market fund</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72,487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8"/>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72,487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80" w:type="dxa"/>
            <w:vAlign w:val="bottom"/>
            <w:gridSpan w:val="4"/>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21,763</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gridSpan w:val="2"/>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Total cash equivalents</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220" w:type="dxa"/>
            <w:vAlign w:val="bottom"/>
          </w:tcPr>
          <w:p>
            <w:pPr>
              <w:jc w:val="right"/>
              <w:ind w:right="18"/>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94,249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85,642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4"/>
            <w:shd w:val="clear" w:color="auto" w:fill="CFF0FC"/>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tcBorders>
              <w:left w:val="single" w:sz="8" w:color="CFF0FC"/>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4"/>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40,858</w:t>
            </w: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Corporate bonds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10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128,436</w:t>
            </w:r>
          </w:p>
        </w:tc>
        <w:tc>
          <w:tcPr>
            <w:tcW w:w="34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24"/>
                <w:szCs w:val="24"/>
                <w:color w:val="auto"/>
              </w:rPr>
            </w:pPr>
          </w:p>
        </w:tc>
        <w:tc>
          <w:tcPr>
            <w:tcW w:w="140" w:type="dxa"/>
            <w:vAlign w:val="bottom"/>
            <w:tcBorders>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(5 )</w:t>
            </w:r>
          </w:p>
        </w:tc>
        <w:tc>
          <w:tcPr>
            <w:tcW w:w="2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128,447</w:t>
            </w: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60" w:type="dxa"/>
            <w:vAlign w:val="bottom"/>
            <w:tcBorders>
              <w:top w:val="single" w:sz="8" w:color="CFF0FC"/>
              <w:bottom w:val="single" w:sz="8" w:color="auto"/>
            </w:tcBorders>
            <w:gridSpan w:val="2"/>
          </w:tcPr>
          <w:p>
            <w:pPr>
              <w:ind w:left="20"/>
              <w:spacing w:after="0"/>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tcBorders>
            <w:gridSpan w:val="2"/>
          </w:tcPr>
          <w:p>
            <w:pPr>
              <w:spacing w:after="0"/>
              <w:rPr>
                <w:sz w:val="20"/>
                <w:szCs w:val="20"/>
                <w:color w:val="auto"/>
              </w:rPr>
            </w:pPr>
          </w:p>
        </w:tc>
        <w:tc>
          <w:tcPr>
            <w:tcW w:w="10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80" w:type="dxa"/>
            <w:vAlign w:val="bottom"/>
            <w:gridSpan w:val="4"/>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100,347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100,345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gridSpan w:val="4"/>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Total long-term investments</w:t>
            </w:r>
          </w:p>
        </w:tc>
        <w:tc>
          <w:tcPr>
            <w:tcW w:w="10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103,655</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(23 )</w:t>
            </w:r>
          </w:p>
        </w:tc>
        <w:tc>
          <w:tcPr>
            <w:tcW w:w="2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103,649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33"/>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820" w:type="dxa"/>
            <w:vAlign w:val="bottom"/>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FF0FC"/>
            </w:tcBorders>
            <w:gridSpan w:val="3"/>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Money market fund</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gridSpan w:val="4"/>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FF0FC"/>
          </w:tcPr>
          <w:p>
            <w:pPr>
              <w:spacing w:after="0"/>
              <w:rPr>
                <w:sz w:val="22"/>
                <w:szCs w:val="22"/>
                <w:color w:val="auto"/>
              </w:rPr>
            </w:pPr>
          </w:p>
        </w:tc>
        <w:tc>
          <w:tcPr>
            <w:tcW w:w="120" w:type="dxa"/>
            <w:vAlign w:val="bottom"/>
            <w:tcBorders>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44,318</w:t>
            </w:r>
          </w:p>
        </w:tc>
        <w:tc>
          <w:tcPr>
            <w:tcW w:w="22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200" w:type="dxa"/>
            <w:vAlign w:val="bottom"/>
            <w:tcBorders>
              <w:left w:val="single" w:sz="8" w:color="CFF0FC"/>
              <w:right w:val="single" w:sz="8" w:color="CFF0FC"/>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44,316</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gridSpan w:val="4"/>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FF0FC"/>
            </w:tcBorders>
            <w:gridSpan w:val="4"/>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22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w:t>
            </w:r>
          </w:p>
        </w:tc>
        <w:tc>
          <w:tcPr>
            <w:tcW w:w="80" w:type="dxa"/>
            <w:vAlign w:val="bottom"/>
            <w:tcBorders>
              <w:bottom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Total cash equivalents</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200" w:type="dxa"/>
            <w:vAlign w:val="bottom"/>
          </w:tcPr>
          <w:p>
            <w:pPr>
              <w:spacing w:after="0"/>
              <w:rPr>
                <w:sz w:val="21"/>
                <w:szCs w:val="21"/>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FF0FC"/>
            </w:tcBorders>
            <w:gridSpan w:val="3"/>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Commercial paper</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77,272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4"/>
            <w:shd w:val="clear" w:color="auto" w:fill="CFF0FC"/>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tcBorders>
              <w:left w:val="single" w:sz="8" w:color="CFF0FC"/>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4"/>
            <w:shd w:val="clear" w:color="auto" w:fill="CFF0FC"/>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31,835</w:t>
            </w:r>
          </w:p>
        </w:tc>
        <w:tc>
          <w:tcPr>
            <w:tcW w:w="22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U.S. treasury bills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FF0FC"/>
            </w:tcBorders>
            <w:gridSpan w:val="4"/>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80" w:type="dxa"/>
            <w:vAlign w:val="bottom"/>
            <w:tcBorders>
              <w:bottom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gridSpan w:val="4"/>
          </w:tcPr>
          <w:p>
            <w:pPr>
              <w:ind w:left="20"/>
              <w:spacing w:after="0"/>
              <w:rPr>
                <w:sz w:val="20"/>
                <w:szCs w:val="20"/>
                <w:color w:val="auto"/>
              </w:rPr>
            </w:pPr>
            <w:r>
              <w:rPr>
                <w:rFonts w:ascii="Arial" w:cs="Arial" w:eastAsia="Arial" w:hAnsi="Arial"/>
                <w:sz w:val="18"/>
                <w:szCs w:val="18"/>
                <w:color w:val="auto"/>
              </w:rPr>
              <w:t>Total short-term investments</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124,056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(7 )</w:t>
            </w:r>
          </w:p>
        </w:tc>
        <w:tc>
          <w:tcPr>
            <w:tcW w:w="200" w:type="dxa"/>
            <w:vAlign w:val="bottom"/>
          </w:tcPr>
          <w:p>
            <w:pPr>
              <w:spacing w:after="0"/>
              <w:rPr>
                <w:sz w:val="21"/>
                <w:szCs w:val="21"/>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124,057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CFF0FC"/>
            </w:tcBorders>
            <w:gridSpan w:val="3"/>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left w:val="single" w:sz="8" w:color="CFF0FC"/>
              <w:bottom w:val="single" w:sz="8" w:color="CFF0FC"/>
              <w:right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gridSpan w:val="4"/>
          </w:tcPr>
          <w:p>
            <w:pPr>
              <w:ind w:left="280"/>
              <w:spacing w:after="0"/>
              <w:rPr>
                <w:sz w:val="20"/>
                <w:szCs w:val="20"/>
                <w:color w:val="auto"/>
              </w:rPr>
            </w:pPr>
            <w:r>
              <w:rPr>
                <w:rFonts w:ascii="Arial" w:cs="Arial" w:eastAsia="Arial" w:hAnsi="Arial"/>
                <w:sz w:val="18"/>
                <w:szCs w:val="18"/>
                <w:color w:val="auto"/>
              </w:rPr>
              <w:t>U.S. government debt and agency</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80" w:type="dxa"/>
            <w:vAlign w:val="bottom"/>
            <w:gridSpan w:val="4"/>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78,924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gridSpan w:val="4"/>
            <w:shd w:val="clear" w:color="auto" w:fill="CFF0FC"/>
          </w:tcPr>
          <w:p>
            <w:pPr>
              <w:ind w:left="280"/>
              <w:spacing w:after="0"/>
              <w:rPr>
                <w:sz w:val="20"/>
                <w:szCs w:val="20"/>
                <w:color w:val="auto"/>
              </w:rPr>
            </w:pPr>
            <w:r>
              <w:rPr>
                <w:rFonts w:ascii="Arial" w:cs="Arial" w:eastAsia="Arial" w:hAnsi="Arial"/>
                <w:sz w:val="18"/>
                <w:szCs w:val="18"/>
                <w:color w:val="auto"/>
              </w:rPr>
              <w:t>U.S. treasury bills</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w:t>
            </w:r>
          </w:p>
        </w:tc>
        <w:tc>
          <w:tcPr>
            <w:tcW w:w="22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right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FF0FC"/>
              <w:bottom w:val="single" w:sz="8" w:color="CFF0FC"/>
              <w:right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w:t>
            </w:r>
          </w:p>
        </w:tc>
        <w:tc>
          <w:tcPr>
            <w:tcW w:w="80" w:type="dxa"/>
            <w:vAlign w:val="bottom"/>
            <w:tcBorders>
              <w:bottom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080" w:type="dxa"/>
            <w:vAlign w:val="bottom"/>
            <w:gridSpan w:val="4"/>
          </w:tcPr>
          <w:p>
            <w:pPr>
              <w:ind w:left="20"/>
              <w:spacing w:after="0"/>
              <w:rPr>
                <w:sz w:val="20"/>
                <w:szCs w:val="20"/>
                <w:color w:val="auto"/>
              </w:rPr>
            </w:pPr>
            <w:r>
              <w:rPr>
                <w:rFonts w:ascii="Arial" w:cs="Arial" w:eastAsia="Arial" w:hAnsi="Arial"/>
                <w:sz w:val="18"/>
                <w:szCs w:val="18"/>
                <w:color w:val="auto"/>
              </w:rPr>
              <w:t>Total long-term investments</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83,475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83,509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-6065520</wp:posOffset>
            </wp:positionV>
            <wp:extent cx="7747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-5731510</wp:posOffset>
            </wp:positionV>
            <wp:extent cx="1371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-5731510</wp:posOffset>
            </wp:positionV>
            <wp:extent cx="1371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-5731510</wp:posOffset>
            </wp:positionV>
            <wp:extent cx="12827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27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-5731510</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-5371465</wp:posOffset>
            </wp:positionV>
            <wp:extent cx="7747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-4559935</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-4542790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-4559935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-4542790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-4559935</wp:posOffset>
            </wp:positionV>
            <wp:extent cx="128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-4542790</wp:posOffset>
            </wp:positionV>
            <wp:extent cx="128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-4559935</wp:posOffset>
            </wp:positionV>
            <wp:extent cx="51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-4542790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-3728085</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-3710940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-3728085</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-3710940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-3728085</wp:posOffset>
            </wp:positionV>
            <wp:extent cx="1282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-3710940</wp:posOffset>
            </wp:positionV>
            <wp:extent cx="128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-3728085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-3710940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-3005455</wp:posOffset>
            </wp:positionV>
            <wp:extent cx="7747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-2199640</wp:posOffset>
            </wp:positionV>
            <wp:extent cx="7747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-2199640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-2199640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-1839595</wp:posOffset>
            </wp:positionV>
            <wp:extent cx="7747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-1033780</wp:posOffset>
            </wp:positionV>
            <wp:extent cx="7747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-1033780</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-1033780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-673735</wp:posOffset>
            </wp:positionV>
            <wp:extent cx="7747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-193675</wp:posOffset>
            </wp:positionV>
            <wp:extent cx="7747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-193675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-193675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All the commercial paper, U.S. government debt and agency securities, U.S. treasury bills, and corporate bonds designated as short-term investments have an effective maturity date that is equal to or less than one year from the respective balance sheet date. Those that are designated as long-term investments have an effective maturity date that is more than one year, but less than two years, from the respective balance sheet date.</w:t>
      </w:r>
    </w:p>
    <w:p>
      <w:pPr>
        <w:spacing w:after="0" w:line="28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September 30, 2021 and December 31, 2020 consisted of the following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4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22"/>
                <w:szCs w:val="22"/>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Office furniture, fixtures, and</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6"/>
        </w:trPr>
        <w:tc>
          <w:tcPr>
            <w:tcW w:w="4920" w:type="dxa"/>
            <w:vAlign w:val="bottom"/>
          </w:tcPr>
          <w:p>
            <w:pPr>
              <w:ind w:left="160"/>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40" w:type="dxa"/>
            <w:vAlign w:val="bottom"/>
          </w:tcPr>
          <w:p>
            <w:pPr>
              <w:spacing w:after="0"/>
              <w:rPr>
                <w:sz w:val="21"/>
                <w:szCs w:val="21"/>
                <w:color w:val="auto"/>
              </w:rPr>
            </w:pPr>
          </w:p>
        </w:tc>
      </w:tr>
      <w:tr>
        <w:trPr>
          <w:trHeight w:val="25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at cost</w:t>
            </w: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14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(71 )</w:t>
            </w:r>
          </w:p>
        </w:tc>
      </w:tr>
      <w:tr>
        <w:trPr>
          <w:trHeight w:val="290"/>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1543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1543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both"/>
        <w:ind w:firstLine="586"/>
        <w:spacing w:after="0" w:line="277" w:lineRule="auto"/>
        <w:rPr>
          <w:sz w:val="20"/>
          <w:szCs w:val="20"/>
          <w:color w:val="auto"/>
        </w:rPr>
      </w:pPr>
      <w:r>
        <w:rPr>
          <w:rFonts w:ascii="Arial" w:cs="Arial" w:eastAsia="Arial" w:hAnsi="Arial"/>
          <w:sz w:val="18"/>
          <w:szCs w:val="18"/>
          <w:color w:val="auto"/>
        </w:rPr>
        <w:t>Depreciation expense was $123,000 and $353,000 for the three and nine months ended September 30, 2021, respectively. The Company did not incur depreciation expense during the three and nine months ended September 30,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benefits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FF0FC"/>
          </w:tcPr>
          <w:p>
            <w:pPr>
              <w:spacing w:after="0"/>
              <w:rPr>
                <w:sz w:val="22"/>
                <w:szCs w:val="22"/>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r>
      <w:tr>
        <w:trPr>
          <w:trHeight w:val="257"/>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50"/>
        </w:trPr>
        <w:tc>
          <w:tcPr>
            <w:tcW w:w="5060" w:type="dxa"/>
            <w:vAlign w:val="bottom"/>
          </w:tcPr>
          <w:p>
            <w:pPr>
              <w:ind w:left="260"/>
              <w:spacing w:after="0"/>
              <w:rPr>
                <w:sz w:val="20"/>
                <w:szCs w:val="20"/>
                <w:color w:val="auto"/>
              </w:rPr>
            </w:pPr>
            <w:r>
              <w:rPr>
                <w:rFonts w:ascii="Arial" w:cs="Arial" w:eastAsia="Arial" w:hAnsi="Arial"/>
                <w:sz w:val="18"/>
                <w:szCs w:val="18"/>
                <w:color w:val="auto"/>
              </w:rPr>
              <w:t>Total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8,148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-193675</wp:posOffset>
            </wp:positionV>
            <wp:extent cx="1460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 (Expense), Net</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consisted of the following (in thousands):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30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r>
      <w:tr>
        <w:trPr>
          <w:trHeight w:val="196"/>
        </w:trPr>
        <w:tc>
          <w:tcPr>
            <w:tcW w:w="4280" w:type="dxa"/>
            <w:vAlign w:val="bottom"/>
          </w:tcPr>
          <w:p>
            <w:pPr>
              <w:spacing w:after="0"/>
              <w:rPr>
                <w:sz w:val="17"/>
                <w:szCs w:val="17"/>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2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w:t>
            </w:r>
          </w:p>
        </w:tc>
        <w:tc>
          <w:tcPr>
            <w:tcW w:w="680" w:type="dxa"/>
            <w:vAlign w:val="bottom"/>
            <w:shd w:val="clear" w:color="auto" w:fill="CFF0FC"/>
          </w:tcPr>
          <w:p>
            <w:pPr>
              <w:jc w:val="right"/>
              <w:ind w:right="501"/>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2"/>
                <w:szCs w:val="22"/>
                <w:color w:val="auto"/>
              </w:rPr>
            </w:pP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56"/>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(366 )</w:t>
            </w:r>
          </w:p>
        </w:tc>
      </w:tr>
      <w:tr>
        <w:trPr>
          <w:trHeight w:val="26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680" w:type="dxa"/>
            <w:vAlign w:val="bottom"/>
            <w:shd w:val="clear" w:color="auto" w:fill="CFF0FC"/>
          </w:tcPr>
          <w:p>
            <w:pPr>
              <w:spacing w:after="0"/>
              <w:rPr>
                <w:sz w:val="22"/>
                <w:szCs w:val="2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(132 )</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Change in fair value of grant liability</w:t>
            </w:r>
          </w:p>
        </w:tc>
        <w:tc>
          <w:tcPr>
            <w:tcW w:w="6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(453 )</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(464 )</w:t>
            </w:r>
          </w:p>
        </w:tc>
      </w:tr>
      <w:tr>
        <w:trPr>
          <w:trHeight w:val="25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Change in convertible preferred stock</w:t>
            </w: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2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warrant liability</w:t>
            </w:r>
          </w:p>
        </w:tc>
        <w:tc>
          <w:tcPr>
            <w:tcW w:w="6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(641 )</w:t>
            </w: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(641 )</w:t>
            </w:r>
          </w:p>
        </w:tc>
      </w:tr>
      <w:tr>
        <w:trPr>
          <w:trHeight w:val="250"/>
        </w:trPr>
        <w:tc>
          <w:tcPr>
            <w:tcW w:w="4280" w:type="dxa"/>
            <w:vAlign w:val="bottom"/>
          </w:tcPr>
          <w:p>
            <w:pPr>
              <w:spacing w:after="0"/>
              <w:rPr>
                <w:sz w:val="20"/>
                <w:szCs w:val="20"/>
                <w:color w:val="auto"/>
              </w:rPr>
            </w:pPr>
            <w:r>
              <w:rPr>
                <w:rFonts w:ascii="Arial" w:cs="Arial" w:eastAsia="Arial" w:hAnsi="Arial"/>
                <w:sz w:val="18"/>
                <w:szCs w:val="18"/>
                <w:color w:val="auto"/>
              </w:rPr>
              <w:t>Gain on extinguishment of convertible notes</w:t>
            </w: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r>
      <w:tr>
        <w:trPr>
          <w:trHeight w:val="27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other income (expense), net</w:t>
            </w:r>
          </w:p>
        </w:tc>
        <w:tc>
          <w:tcPr>
            <w:tcW w:w="680" w:type="dxa"/>
            <w:vAlign w:val="bottom"/>
            <w:shd w:val="clear" w:color="auto" w:fill="CFF0FC"/>
          </w:tcPr>
          <w:p>
            <w:pPr>
              <w:jc w:val="right"/>
              <w:ind w:right="501"/>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(1,059 )</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(1,359 )</w:t>
            </w: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1289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128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1289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1289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1289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1289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Significant Agreements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28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products covered by the licensed patents, including dihexa, the chemical compound into which ATH-1017 metabolizes following administration.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both"/>
        <w:ind w:firstLine="509"/>
        <w:spacing w:after="0" w:line="277"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annual maintenance fees. All contractual requirements have been met as of September 30, 2021.</w:t>
      </w:r>
    </w:p>
    <w:p>
      <w:pPr>
        <w:spacing w:after="0" w:line="21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During the year ended December 31, 2020, the Phase 2 clinical trial milestone had been reached and a payment of $50,000 to WSU was recorded.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960"/>
        <w:spacing w:after="0" w:line="246" w:lineRule="auto"/>
        <w:rPr>
          <w:sz w:val="20"/>
          <w:szCs w:val="20"/>
          <w:color w:val="auto"/>
        </w:rPr>
      </w:pPr>
      <w:r>
        <w:rPr>
          <w:rFonts w:ascii="Arial" w:cs="Arial" w:eastAsia="Arial" w:hAnsi="Arial"/>
          <w:sz w:val="18"/>
          <w:szCs w:val="18"/>
          <w:color w:val="auto"/>
        </w:rPr>
        <w:t>$300,000 – At initiation of the first Phase 3 clinical trial in the United States, European Union or Japan for the first licensed product; and</w:t>
      </w:r>
    </w:p>
    <w:p>
      <w:pPr>
        <w:spacing w:after="0" w:line="8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$600,000 – Upon receipt of marketing approval in the United States, European Union or Japan for the first licensed product.</w:t>
      </w:r>
    </w:p>
    <w:p>
      <w:pPr>
        <w:spacing w:after="0" w:line="26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September 30, 2021, no net sales of any licensed products had occurred and the Company had not incurred a royalty obligation under this agreement.</w:t>
      </w:r>
    </w:p>
    <w:p>
      <w:pPr>
        <w:spacing w:after="0" w:line="23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based upon the sublicense consideration received in such event. Such amounts are dependent on the terms of the underlying sublicense and range from the mid-single digits to mid-teens of any non-sales based payments received, and low twenties of net sales based sublicense royalties. As of September 30, 2021, the Company has not entered into or incurred any liability from a sublicense agreement.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Grant Liability</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82" w:lineRule="exact"/>
        <w:rPr>
          <w:sz w:val="20"/>
          <w:szCs w:val="20"/>
          <w:color w:val="auto"/>
        </w:rPr>
      </w:pPr>
    </w:p>
    <w:p>
      <w:pPr>
        <w:ind w:left="960" w:right="3380"/>
        <w:spacing w:after="0" w:line="360" w:lineRule="auto"/>
        <w:rPr>
          <w:sz w:val="20"/>
          <w:szCs w:val="20"/>
          <w:color w:val="auto"/>
        </w:rPr>
      </w:pPr>
      <w:r>
        <w:rPr>
          <w:rFonts w:ascii="Arial" w:cs="Arial" w:eastAsia="Arial" w:hAnsi="Arial"/>
          <w:sz w:val="18"/>
          <w:szCs w:val="18"/>
          <w:color w:val="auto"/>
        </w:rPr>
        <w:t>receipt of license revenue, sales revenue, or consideration related to the underlying IP; transfers the underlying IP without receiving consideration; relocation of the Company from Washington state;</w:t>
      </w:r>
    </w:p>
    <w:p>
      <w:pPr>
        <w:ind w:left="960"/>
        <w:spacing w:after="0"/>
        <w:rPr>
          <w:sz w:val="20"/>
          <w:szCs w:val="20"/>
          <w:color w:val="auto"/>
        </w:rPr>
      </w:pPr>
      <w:r>
        <w:rPr>
          <w:rFonts w:ascii="Arial" w:cs="Arial" w:eastAsia="Arial" w:hAnsi="Arial"/>
          <w:sz w:val="18"/>
          <w:szCs w:val="18"/>
          <w:color w:val="auto"/>
        </w:rPr>
        <w:t>completion of an initial public offering;</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third-party acquisition of a controlling interest in the Company, and;</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termination of the agreements.</w:t>
      </w:r>
    </w:p>
    <w:p>
      <w:pPr>
        <w:spacing w:after="0" w:line="23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 xml:space="preserve">To appropriately capture the economics of this arrangement, the grant liability was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Overall</w:t>
      </w:r>
      <w:r>
        <w:rPr>
          <w:rFonts w:ascii="Arial" w:cs="Arial" w:eastAsia="Arial" w:hAnsi="Arial"/>
          <w:sz w:val="18"/>
          <w:szCs w:val="18"/>
          <w:color w:val="auto"/>
        </w:rPr>
        <w:t>. The estimated fair value of the grant liability was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were subject to significant judgment, and payment may have been in an amount different from the liability that the Company estimated. However, total payments under the agreements would not exceed $1.5 million.</w:t>
      </w:r>
    </w:p>
    <w:p>
      <w:pPr>
        <w:spacing w:after="0" w:line="24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consummation of the Company’s IPO in September 2020 was a triggering event under the terms of the grant and the liability was remeasured to the pay-off amount of $1.5 million prior to settlement. The change in the fair value of the liability resulted in expense of approximately $464,000 for the year ended December 31, 2020, which was included in other income (expense), net in the accompanying consolidated statements of operations and comprehensive loss.</w:t>
      </w:r>
    </w:p>
    <w:p>
      <w:pPr>
        <w:spacing w:after="0" w:line="22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$0.9 million and $1.3 million and in 2019 and 2018, respectively. The notes accrued interest at a rate of 5% per year and mature in December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8"/>
          <w:szCs w:val="18"/>
          <w:color w:val="auto"/>
        </w:rPr>
        <w:t>2021,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may have also elected to convert their notes to shares of common stock upon the maturity of the notes at the then fair value of common stock. If the Company experienced a change in control, holders may have either converted the outstanding principal amount plus any accrued interest into shares of common stock at the then fair value of common stock or may have required the Company to repurchase the notes in cash at a price equal to 200% of the outstanding principal amount plus any accrued interest.</w:t>
      </w:r>
    </w:p>
    <w:p>
      <w:pPr>
        <w:spacing w:after="0" w:line="23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24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23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310" w:lineRule="exact"/>
        <w:rPr>
          <w:sz w:val="20"/>
          <w:szCs w:val="20"/>
          <w:color w:val="auto"/>
        </w:rPr>
      </w:pPr>
    </w:p>
    <w:p>
      <w:pPr>
        <w:ind w:left="520" w:right="8180" w:hanging="512"/>
        <w:spacing w:after="0" w:line="610" w:lineRule="auto"/>
        <w:tabs>
          <w:tab w:leader="none" w:pos="21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jc w:val="both"/>
        <w:ind w:firstLine="509"/>
        <w:spacing w:after="0" w:line="269"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We accrue a liability when management believes that it is both probable that a liability has been incurred and the amount of loss can be reasonably estimated, and as of September 30, 2021, we have not recorded any such liabilities. The following is a brief description of the more significant legal proceedings.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Securities Class Actions</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the Company and the Company’s former Chief Executive Officer Dr. Leen Kawas, captioned </w:t>
      </w:r>
      <w:r>
        <w:rPr>
          <w:rFonts w:ascii="Arial" w:cs="Arial" w:eastAsia="Arial" w:hAnsi="Arial"/>
          <w:sz w:val="18"/>
          <w:szCs w:val="18"/>
          <w:i w:val="1"/>
          <w:iCs w:val="1"/>
          <w:color w:val="auto"/>
        </w:rPr>
        <w:t>Wang v.</w:t>
      </w:r>
      <w:r>
        <w:rPr>
          <w:rFonts w:ascii="Arial" w:cs="Arial" w:eastAsia="Arial" w:hAnsi="Arial"/>
          <w:sz w:val="18"/>
          <w:szCs w:val="18"/>
          <w:color w:val="auto"/>
        </w:rPr>
        <w:t xml:space="preserve"> </w:t>
      </w:r>
      <w:r>
        <w:rPr>
          <w:rFonts w:ascii="Arial" w:cs="Arial" w:eastAsia="Arial" w:hAnsi="Arial"/>
          <w:sz w:val="18"/>
          <w:szCs w:val="18"/>
          <w:i w:val="1"/>
          <w:iCs w:val="1"/>
          <w:color w:val="auto"/>
        </w:rPr>
        <w:t>Athira Pharma, Inc., et al.</w:t>
      </w:r>
      <w:r>
        <w:rPr>
          <w:rFonts w:ascii="Arial" w:cs="Arial" w:eastAsia="Arial" w:hAnsi="Arial"/>
          <w:sz w:val="18"/>
          <w:szCs w:val="18"/>
          <w:color w:val="auto"/>
        </w:rPr>
        <w:t>, No. 2:21-cv-00861. Plaintiffs Wang and Gao assert claims under Sections 10(b) and 20(a)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Act of 1934 and SEC Rule 10b-5, alleging that the defendants made materially false and misleading statements and omitted material adverse facts regarding the Company’s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the Company failed to disclose to investors that certain research conducted by Dr. Kawas was allegedly tainted by scientific misconduct during her doctoral work at WSU, including the manipulation of data, and that as a result, the defendants’ positive statements about the Company’s business, operations, and prospects were materially misleading.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seek unspecified compensatory and punitive damages, and reasonable costs and expenses, including attorneys’ fees.</w:t>
      </w:r>
    </w:p>
    <w:p>
      <w:pPr>
        <w:spacing w:after="0" w:line="29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the Company, Dr. Kawas, the Company’s Chief Financial Officer, certain members of the Company’s board of directors at the time of the Company’s IPO, as well as the IPO underwriters, captioned </w:t>
      </w:r>
      <w:r>
        <w:rPr>
          <w:rFonts w:ascii="Arial" w:cs="Arial" w:eastAsia="Arial" w:hAnsi="Arial"/>
          <w:sz w:val="18"/>
          <w:szCs w:val="18"/>
          <w:i w:val="1"/>
          <w:iCs w:val="1"/>
          <w:color w:val="auto"/>
        </w:rPr>
        <w:t>Jawandha v. Athira Pharma,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No. 2:21-cv-00862. The</w:t>
      </w:r>
      <w:r>
        <w:rPr>
          <w:rFonts w:ascii="Arial" w:cs="Arial" w:eastAsia="Arial" w:hAnsi="Arial"/>
          <w:sz w:val="18"/>
          <w:szCs w:val="18"/>
          <w:i w:val="1"/>
          <w:iCs w:val="1"/>
          <w:color w:val="auto"/>
        </w:rPr>
        <w:t xml:space="preserve"> Jawandha </w:t>
      </w:r>
      <w:r>
        <w:rPr>
          <w:rFonts w:ascii="Arial" w:cs="Arial" w:eastAsia="Arial" w:hAnsi="Arial"/>
          <w:sz w:val="18"/>
          <w:szCs w:val="18"/>
          <w:color w:val="auto"/>
        </w:rPr>
        <w:t>complaint asserts violations of Sections 11 and 15 of the Securities Act of 1933, alleging that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IPO registration statement was materially false and misleading because it omitted to state that certain of Dr. Kawas’s published doctoral research papers at WSU contained allegedly improperly altered images, that the research was allegedly foundational to the Company’s efforts to develop treatments for Alzheimer’s disease, and that the defendants’ positive statements about the Company’s business, operations, and prospects were materially misleading. The plaintiff seeks unspecified compensatory damages, and reasonable costs and expenses, including attorneys’ fees.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 w:name="page18"/>
    <w:bookmarkEnd w:id="17"/>
    <w:p>
      <w:pPr>
        <w:jc w:val="both"/>
        <w:ind w:firstLine="509"/>
        <w:spacing w:after="0" w:line="268"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the Company, Dr. Kawas, the Company’s Chief Financial Officer, and the same members of the Company’s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of 1933, alleging that purported issues with Dr. Kawas’s doctoral research at WSU should have been disclosed in the Company’s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On August 9, 2021, the Honorable Judge Thomas S. Zilly, the district judge presiding over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No.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2:21-cv-00861, issued an order consolidating the three cases under that case number and postponing a response from defendants until after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a lead plaintiff and the submission or designation of a consolidated complaint. On October 5, 2021, the district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 an order appointing lead plaintiffs and approved their selection of lead and liaison counsel.</w:t>
      </w:r>
    </w:p>
    <w:p>
      <w:pPr>
        <w:spacing w:after="0" w:line="27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 cannot predict the outcome of these suits, and failure by the Company to obtain a favorable resolution of these suits could have a material adverse effect on its business, results of operations and financial condition. The Company’s chances of success on the merits are still uncertain and any possible loss or range of loss cannot be reasonably estimated and as such the Company has not recorded a liability as of September 30, 2021.</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00" w:lineRule="exact"/>
        <w:rPr>
          <w:sz w:val="20"/>
          <w:szCs w:val="20"/>
          <w:color w:val="auto"/>
        </w:rPr>
      </w:pPr>
    </w:p>
    <w:p>
      <w:pPr>
        <w:spacing w:after="0" w:line="20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Company has operating leases for laboratory and office facilities in Bothell, Washington that expire in August 2027. The initial terms of the leases range from 6.3 to 7 years and the Company has options to extend the leases for an additional five years that it is not reasonably certain to exercise. Additionally, the Company has a lease agreement for laboratory and office facilities at the University of Washington in Seattle, Washington with an initial term of 12 months for which the Company recognizes expense on a straight-line basis within operating expenses. As of September 30, 2021, the Company was not party to any finance leases.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7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56"/>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Remaining 2021</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22"/>
                <w:szCs w:val="22"/>
                <w:color w:val="auto"/>
              </w:rPr>
            </w:pPr>
          </w:p>
        </w:tc>
      </w:tr>
      <w:tr>
        <w:trPr>
          <w:trHeight w:val="250"/>
        </w:trPr>
        <w:tc>
          <w:tcPr>
            <w:tcW w:w="71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r>
      <w:tr>
        <w:trPr>
          <w:trHeight w:val="26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22"/>
                <w:szCs w:val="22"/>
                <w:color w:val="auto"/>
              </w:rPr>
            </w:pPr>
          </w:p>
        </w:tc>
      </w:tr>
      <w:tr>
        <w:trPr>
          <w:trHeight w:val="250"/>
        </w:trPr>
        <w:tc>
          <w:tcPr>
            <w:tcW w:w="71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r>
      <w:tr>
        <w:trPr>
          <w:trHeight w:val="26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FF0FC"/>
          </w:tcPr>
          <w:p>
            <w:pPr>
              <w:spacing w:after="0"/>
              <w:rPr>
                <w:sz w:val="22"/>
                <w:szCs w:val="22"/>
                <w:color w:val="auto"/>
              </w:rPr>
            </w:pPr>
          </w:p>
        </w:tc>
      </w:tr>
      <w:tr>
        <w:trPr>
          <w:trHeight w:val="250"/>
        </w:trPr>
        <w:tc>
          <w:tcPr>
            <w:tcW w:w="71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r>
      <w:tr>
        <w:trPr>
          <w:trHeight w:val="256"/>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2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FF0FC"/>
          </w:tcPr>
          <w:p>
            <w:pPr>
              <w:spacing w:after="0"/>
              <w:rPr>
                <w:sz w:val="22"/>
                <w:szCs w:val="22"/>
                <w:color w:val="auto"/>
              </w:rPr>
            </w:pPr>
          </w:p>
        </w:tc>
      </w:tr>
      <w:tr>
        <w:trPr>
          <w:trHeight w:val="250"/>
        </w:trPr>
        <w:tc>
          <w:tcPr>
            <w:tcW w:w="7180" w:type="dxa"/>
            <w:vAlign w:val="bottom"/>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24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(593 )</w:t>
            </w:r>
          </w:p>
        </w:tc>
      </w:tr>
      <w:tr>
        <w:trPr>
          <w:trHeight w:val="257"/>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2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(280 )</w:t>
            </w:r>
          </w:p>
        </w:tc>
      </w:tr>
      <w:tr>
        <w:trPr>
          <w:trHeight w:val="250"/>
        </w:trPr>
        <w:tc>
          <w:tcPr>
            <w:tcW w:w="718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Net lease liability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top w:val="single" w:sz="8" w:color="CFF0FC"/>
            </w:tcBorders>
          </w:tcPr>
          <w:p>
            <w:pPr>
              <w:spacing w:after="0"/>
              <w:rPr>
                <w:sz w:val="21"/>
                <w:szCs w:val="2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6356985</wp:posOffset>
            </wp:positionH>
            <wp:positionV relativeFrom="paragraph">
              <wp:posOffset>-193675</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7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weighted average remaining lease term and the weighted average discount rate used to determine the operating lease liability were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7100" w:type="dxa"/>
            <w:vAlign w:val="bottom"/>
          </w:tcPr>
          <w:p>
            <w:pPr>
              <w:spacing w:after="0"/>
              <w:rPr>
                <w:sz w:val="17"/>
                <w:szCs w:val="17"/>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r>
      <w:tr>
        <w:trPr>
          <w:trHeight w:val="25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(years)</w:t>
            </w:r>
          </w:p>
        </w:tc>
        <w:tc>
          <w:tcPr>
            <w:tcW w:w="1600" w:type="dxa"/>
            <w:vAlign w:val="bottom"/>
            <w:shd w:val="clear" w:color="auto" w:fill="CFF0FC"/>
          </w:tcPr>
          <w:p>
            <w:pPr>
              <w:ind w:left="132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22"/>
                <w:szCs w:val="22"/>
                <w:color w:val="auto"/>
              </w:rPr>
            </w:pPr>
          </w:p>
        </w:tc>
      </w:tr>
      <w:tr>
        <w:trPr>
          <w:trHeight w:val="243"/>
        </w:trPr>
        <w:tc>
          <w:tcPr>
            <w:tcW w:w="71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880" w:type="dxa"/>
            <w:vAlign w:val="bottom"/>
            <w:gridSpan w:val="2"/>
          </w:tcPr>
          <w:p>
            <w:pPr>
              <w:ind w:left="1320"/>
              <w:spacing w:after="0"/>
              <w:rPr>
                <w:sz w:val="20"/>
                <w:szCs w:val="20"/>
                <w:color w:val="auto"/>
              </w:rPr>
            </w:pPr>
            <w:r>
              <w:rPr>
                <w:rFonts w:ascii="Arial" w:cs="Arial" w:eastAsia="Arial" w:hAnsi="Arial"/>
                <w:sz w:val="18"/>
                <w:szCs w:val="18"/>
                <w:color w:val="auto"/>
              </w:rPr>
              <w:t>8.1 %</w:t>
            </w:r>
          </w:p>
        </w:tc>
      </w:tr>
    </w:tbl>
    <w:p>
      <w:pPr>
        <w:spacing w:after="0" w:line="31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Operating lease expense was $89,000 and $235,000 for the three and nine months ended September 30, 2021, respectively. Variable lease expense was $33,000 and $73,000 for operating leases during the three and nine months ended September 30, 2021, respectively. Rent expense recognized for short term leases was $3,000 and $18,000 for the three months ended September 30, 2021 and 2020, respectively, and $16,000 and $57,000 for the nine months ended September 30, 2021 and 2020,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34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31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300" w:type="dxa"/>
            <w:vAlign w:val="bottom"/>
          </w:tcPr>
          <w:p>
            <w:pPr>
              <w:jc w:val="right"/>
              <w:ind w:right="7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upon the exercise of outstanding</w:t>
            </w:r>
          </w:p>
        </w:tc>
        <w:tc>
          <w:tcPr>
            <w:tcW w:w="13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stock options</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2,323,821</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1,974,870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Shares available for future grant under the 2020 Equity</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6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300" w:type="dxa"/>
            <w:vAlign w:val="bottom"/>
          </w:tcPr>
          <w:p>
            <w:pPr>
              <w:jc w:val="right"/>
              <w:spacing w:after="0"/>
              <w:rPr>
                <w:sz w:val="20"/>
                <w:szCs w:val="20"/>
                <w:color w:val="auto"/>
              </w:rPr>
            </w:pPr>
            <w:r>
              <w:rPr>
                <w:rFonts w:ascii="Arial" w:cs="Arial" w:eastAsia="Arial" w:hAnsi="Arial"/>
                <w:sz w:val="18"/>
                <w:szCs w:val="18"/>
                <w:color w:val="auto"/>
              </w:rPr>
              <w:t>4,768,090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3,742,235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 under the Employee</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631,984</w:t>
            </w:r>
          </w:p>
        </w:tc>
        <w:tc>
          <w:tcPr>
            <w:tcW w:w="220" w:type="dxa"/>
            <w:vAlign w:val="bottom"/>
            <w:vMerge w:val="restart"/>
            <w:shd w:val="clear" w:color="auto" w:fill="CFF0FC"/>
          </w:tcPr>
          <w:p>
            <w:pPr>
              <w:spacing w:after="0"/>
              <w:rPr>
                <w:sz w:val="21"/>
                <w:szCs w:val="21"/>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323,000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Stock Purchase Plan</w:t>
            </w: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vMerge w:val="continue"/>
            <w:shd w:val="clear" w:color="auto" w:fill="CFF0FC"/>
          </w:tcPr>
          <w:p>
            <w:pPr>
              <w:spacing w:after="0"/>
              <w:rPr>
                <w:sz w:val="19"/>
                <w:szCs w:val="19"/>
                <w:color w:val="auto"/>
              </w:rPr>
            </w:pPr>
          </w:p>
        </w:tc>
        <w:tc>
          <w:tcPr>
            <w:tcW w:w="12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spacing w:after="0"/>
              <w:rPr>
                <w:sz w:val="20"/>
                <w:szCs w:val="20"/>
                <w:color w:val="auto"/>
              </w:rPr>
            </w:pPr>
            <w:r>
              <w:rPr>
                <w:rFonts w:ascii="Arial" w:cs="Arial" w:eastAsia="Arial" w:hAnsi="Arial"/>
                <w:sz w:val="18"/>
                <w:szCs w:val="18"/>
                <w:color w:val="auto"/>
              </w:rPr>
              <w:t>7,723,895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6,040,105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-193675</wp:posOffset>
            </wp:positionV>
            <wp:extent cx="14605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Company’s 2020 Equity Incentive Plan (“2020 Plan”) provides for annual increases in the number of shares that may be issued under the 2020 Plan on January 1, 2021 and each subsequent January 1, thereafter, by a number of shares equal to the least of (a) 3,230,000 shares, (b) 5% of the number of shares of common stock issued and outstanding on the immediately preceding December 31, or (c) an amount determined by the Company’s board of directors.</w:t>
      </w:r>
    </w:p>
    <w:p>
      <w:pPr>
        <w:spacing w:after="0" w:line="3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Company’s 2020 Employee Stock Purchase Plan (“ESPP”) provides for annual increases in the number of shares that may be issued under the ESPP on January 1, 2021 and each subsequent January 1, thereafter, by a number of shares equal to the least of (a) 646,000 shares, (b) 1% of the number of shares of common stock issued and outstanding on the immediately preceding December 31, or (c) an amount determined by the Company’s board of directors.</w:t>
      </w:r>
    </w:p>
    <w:p>
      <w:pPr>
        <w:spacing w:after="0" w:line="28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Effective January 1, 2021, the Company’s 2020 Plan and ESPP reserves increased by 1,624,259 shares and 324,851 shares, respectively.</w:t>
      </w:r>
    </w:p>
    <w:p>
      <w:pPr>
        <w:spacing w:after="0" w:line="2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2021, the Company issued 15,867 shares of common stock to service providers under the ESPP.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Stock-based Compensation</w:t>
      </w:r>
    </w:p>
    <w:p>
      <w:pPr>
        <w:spacing w:after="0" w:line="301" w:lineRule="exact"/>
        <w:rPr>
          <w:sz w:val="20"/>
          <w:szCs w:val="20"/>
          <w:color w:val="auto"/>
        </w:rPr>
      </w:pPr>
    </w:p>
    <w:p>
      <w:pPr>
        <w:ind w:left="5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stock-based compensation</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1,105</w:t>
            </w:r>
          </w:p>
        </w:tc>
        <w:tc>
          <w:tcPr>
            <w:tcW w:w="140" w:type="dxa"/>
            <w:vAlign w:val="bottom"/>
            <w:vMerge w:val="restart"/>
            <w:shd w:val="clear" w:color="auto" w:fill="CFF0FC"/>
          </w:tcPr>
          <w:p>
            <w:pPr>
              <w:spacing w:after="0"/>
              <w:rPr>
                <w:sz w:val="21"/>
                <w:szCs w:val="2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vMerge w:val="restart"/>
            <w:shd w:val="clear" w:color="auto" w:fill="CFF0FC"/>
          </w:tcPr>
          <w:p>
            <w:pPr>
              <w:spacing w:after="0"/>
              <w:rPr>
                <w:sz w:val="21"/>
                <w:szCs w:val="21"/>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100" w:type="dxa"/>
            <w:vAlign w:val="bottom"/>
            <w:vMerge w:val="restart"/>
            <w:shd w:val="clear" w:color="auto" w:fill="CFF0FC"/>
          </w:tcPr>
          <w:p>
            <w:pPr>
              <w:spacing w:after="0"/>
              <w:rPr>
                <w:sz w:val="21"/>
                <w:szCs w:val="2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shd w:val="clear" w:color="auto" w:fill="CFF0FC"/>
          </w:tcPr>
          <w:p>
            <w:pPr>
              <w:ind w:left="260"/>
              <w:spacing w:after="0" w:line="202" w:lineRule="exact"/>
              <w:rPr>
                <w:sz w:val="20"/>
                <w:szCs w:val="20"/>
                <w:color w:val="auto"/>
              </w:rPr>
            </w:pPr>
            <w:r>
              <w:rPr>
                <w:rFonts w:ascii="Arial" w:cs="Arial" w:eastAsia="Arial" w:hAnsi="Arial"/>
                <w:sz w:val="18"/>
                <w:szCs w:val="18"/>
                <w:color w:val="auto"/>
              </w:rPr>
              <w:t>expense</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76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60" w:type="dxa"/>
            <w:vAlign w:val="bottom"/>
            <w:tcBorders>
              <w:bottom w:val="single" w:sz="8" w:color="auto"/>
            </w:tcBorders>
            <w:vMerge w:val="continue"/>
            <w:shd w:val="clear" w:color="auto" w:fill="CFF0FC"/>
          </w:tcPr>
          <w:p>
            <w:pPr>
              <w:spacing w:after="0"/>
              <w:rPr>
                <w:sz w:val="21"/>
                <w:szCs w:val="21"/>
                <w:color w:val="auto"/>
              </w:rPr>
            </w:pPr>
          </w:p>
        </w:tc>
        <w:tc>
          <w:tcPr>
            <w:tcW w:w="76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6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-25400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30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71" w:lineRule="exact"/>
        <w:rPr>
          <w:sz w:val="20"/>
          <w:szCs w:val="20"/>
          <w:color w:val="auto"/>
        </w:rPr>
      </w:pPr>
    </w:p>
    <w:p>
      <w:pPr>
        <w:jc w:val="both"/>
        <w:ind w:left="960"/>
        <w:spacing w:after="0" w:line="270"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78" w:lineRule="exact"/>
        <w:rPr>
          <w:sz w:val="20"/>
          <w:szCs w:val="20"/>
          <w:color w:val="auto"/>
        </w:rPr>
      </w:pPr>
    </w:p>
    <w:p>
      <w:pPr>
        <w:jc w:val="both"/>
        <w:ind w:left="960"/>
        <w:spacing w:after="0" w:line="29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53" w:lineRule="exact"/>
        <w:rPr>
          <w:sz w:val="20"/>
          <w:szCs w:val="20"/>
          <w:color w:val="auto"/>
        </w:rPr>
      </w:pPr>
    </w:p>
    <w:p>
      <w:pPr>
        <w:jc w:val="both"/>
        <w:ind w:left="960"/>
        <w:spacing w:after="0" w:line="27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74" w:lineRule="exact"/>
        <w:rPr>
          <w:sz w:val="20"/>
          <w:szCs w:val="20"/>
          <w:color w:val="auto"/>
        </w:rPr>
      </w:pPr>
    </w:p>
    <w:p>
      <w:pPr>
        <w:jc w:val="both"/>
        <w:ind w:left="960" w:right="20"/>
        <w:spacing w:after="0" w:line="282"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67" w:lineRule="exact"/>
        <w:rPr>
          <w:sz w:val="20"/>
          <w:szCs w:val="20"/>
          <w:color w:val="auto"/>
        </w:rPr>
      </w:pPr>
    </w:p>
    <w:p>
      <w:pPr>
        <w:jc w:val="both"/>
        <w:ind w:left="960"/>
        <w:spacing w:after="0" w:line="298"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going</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Therefore, it used an expected dividend yield of zero.</w:t>
      </w:r>
    </w:p>
    <w:p>
      <w:pPr>
        <w:spacing w:after="0" w:line="219" w:lineRule="exact"/>
        <w:rPr>
          <w:sz w:val="20"/>
          <w:szCs w:val="20"/>
          <w:color w:val="auto"/>
        </w:rPr>
      </w:pPr>
    </w:p>
    <w:p>
      <w:pPr>
        <w:jc w:val="both"/>
        <w:ind w:right="20" w:firstLine="509"/>
        <w:spacing w:after="0" w:line="223"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31"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94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0.81 %</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0.49 %</w:t>
            </w: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89.34 %</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80.11 %</w:t>
            </w:r>
          </w:p>
        </w:tc>
      </w:tr>
      <w:tr>
        <w:trPr>
          <w:trHeight w:val="26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38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300" w:type="dxa"/>
            <w:vAlign w:val="bottom"/>
            <w:shd w:val="clear" w:color="auto" w:fill="CFF0FC"/>
          </w:tcPr>
          <w:p>
            <w:pPr>
              <w:spacing w:after="0"/>
              <w:rPr>
                <w:sz w:val="22"/>
                <w:szCs w:val="22"/>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weighted-average grant-date fair value of options granted to employees and directors during the nine months ended September 30, 2021 and 2020 was $10.2 million and $2.1 million, respectively. No options were granted to advisors during the nine months ended September 30, 2021. The weighted-average fair value of options granted to advisors during the nine months ended September 30, 2020 was $0.7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shares available for grant under the 2020 Plan during the nine months ended September 30, 2021 were as follows:</w:t>
      </w:r>
    </w:p>
    <w:p>
      <w:pPr>
        <w:spacing w:after="0" w:line="240"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r>
      <w:tr>
        <w:trPr>
          <w:trHeight w:val="175"/>
        </w:trPr>
        <w:tc>
          <w:tcPr>
            <w:tcW w:w="52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Available</w:t>
            </w:r>
          </w:p>
        </w:tc>
      </w:tr>
      <w:tr>
        <w:trPr>
          <w:trHeight w:val="196"/>
        </w:trPr>
        <w:tc>
          <w:tcPr>
            <w:tcW w:w="5200" w:type="dxa"/>
            <w:vAlign w:val="bottom"/>
          </w:tcPr>
          <w:p>
            <w:pPr>
              <w:spacing w:after="0"/>
              <w:rPr>
                <w:sz w:val="17"/>
                <w:szCs w:val="17"/>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for Grant</w:t>
            </w:r>
          </w:p>
        </w:tc>
      </w:tr>
      <w:tr>
        <w:trPr>
          <w:trHeight w:val="25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grant at December 31, 2020</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3,742,235</w:t>
            </w:r>
          </w:p>
        </w:tc>
        <w:tc>
          <w:tcPr>
            <w:tcW w:w="120" w:type="dxa"/>
            <w:vAlign w:val="bottom"/>
            <w:shd w:val="clear" w:color="auto" w:fill="CFF0FC"/>
          </w:tcPr>
          <w:p>
            <w:pPr>
              <w:spacing w:after="0"/>
              <w:rPr>
                <w:sz w:val="22"/>
                <w:szCs w:val="22"/>
                <w:color w:val="auto"/>
              </w:rPr>
            </w:pP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2020 Plan reserve increase on January 1, 2021</w:t>
            </w:r>
          </w:p>
        </w:tc>
        <w:tc>
          <w:tcPr>
            <w:tcW w:w="1420" w:type="dxa"/>
            <w:vAlign w:val="bottom"/>
          </w:tcPr>
          <w:p>
            <w:pPr>
              <w:jc w:val="right"/>
              <w:spacing w:after="0"/>
              <w:rPr>
                <w:sz w:val="20"/>
                <w:szCs w:val="20"/>
                <w:color w:val="auto"/>
              </w:rPr>
            </w:pPr>
            <w:r>
              <w:rPr>
                <w:rFonts w:ascii="Arial" w:cs="Arial" w:eastAsia="Arial" w:hAnsi="Arial"/>
                <w:sz w:val="18"/>
                <w:szCs w:val="18"/>
                <w:color w:val="auto"/>
              </w:rPr>
              <w:t>1,624,259</w:t>
            </w:r>
          </w:p>
        </w:tc>
        <w:tc>
          <w:tcPr>
            <w:tcW w:w="120" w:type="dxa"/>
            <w:vAlign w:val="bottom"/>
          </w:tcPr>
          <w:p>
            <w:pPr>
              <w:spacing w:after="0"/>
              <w:rPr>
                <w:sz w:val="21"/>
                <w:szCs w:val="21"/>
                <w:color w:val="auto"/>
              </w:rPr>
            </w:pPr>
          </w:p>
        </w:tc>
      </w:tr>
      <w:tr>
        <w:trPr>
          <w:trHeight w:val="26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Options and restricted stock units granted</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(661,928 )</w:t>
            </w:r>
          </w:p>
        </w:tc>
      </w:tr>
      <w:tr>
        <w:trPr>
          <w:trHeight w:val="250"/>
        </w:trPr>
        <w:tc>
          <w:tcPr>
            <w:tcW w:w="5200" w:type="dxa"/>
            <w:vAlign w:val="bottom"/>
          </w:tcPr>
          <w:p>
            <w:pPr>
              <w:spacing w:after="0"/>
              <w:rPr>
                <w:sz w:val="20"/>
                <w:szCs w:val="20"/>
                <w:color w:val="auto"/>
              </w:rPr>
            </w:pPr>
            <w:r>
              <w:rPr>
                <w:rFonts w:ascii="Arial" w:cs="Arial" w:eastAsia="Arial" w:hAnsi="Arial"/>
                <w:sz w:val="18"/>
                <w:szCs w:val="18"/>
                <w:color w:val="auto"/>
              </w:rPr>
              <w:t>Options forfeited, cancelled,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63,524</w:t>
            </w:r>
          </w:p>
        </w:tc>
        <w:tc>
          <w:tcPr>
            <w:tcW w:w="120" w:type="dxa"/>
            <w:vAlign w:val="bottom"/>
          </w:tcPr>
          <w:p>
            <w:pPr>
              <w:spacing w:after="0"/>
              <w:rPr>
                <w:sz w:val="21"/>
                <w:szCs w:val="21"/>
                <w:color w:val="auto"/>
              </w:rPr>
            </w:pPr>
          </w:p>
        </w:tc>
      </w:tr>
      <w:tr>
        <w:trPr>
          <w:trHeight w:val="29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available for grant at September 30, 2021</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4,768,090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under the 2020 Plan for the nine months ended September 30, 2021 was as follows: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5"/>
                <w:szCs w:val="15"/>
                <w:color w:val="auto"/>
              </w:rPr>
            </w:pPr>
          </w:p>
        </w:tc>
      </w:tr>
      <w:tr>
        <w:trPr>
          <w:trHeight w:val="175"/>
        </w:trPr>
        <w:tc>
          <w:tcPr>
            <w:tcW w:w="3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78"/>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60"/>
              <w:spacing w:after="0"/>
              <w:rPr>
                <w:sz w:val="20"/>
                <w:szCs w:val="20"/>
                <w:color w:val="auto"/>
              </w:rPr>
            </w:pPr>
            <w:r>
              <w:rPr>
                <w:rFonts w:ascii="Arial" w:cs="Arial" w:eastAsia="Arial" w:hAnsi="Arial"/>
                <w:sz w:val="14"/>
                <w:szCs w:val="14"/>
                <w:b w:val="1"/>
                <w:bCs w:val="1"/>
                <w:color w:val="auto"/>
              </w:rPr>
              <w:t>Intrinsic</w:t>
            </w:r>
          </w:p>
        </w:tc>
        <w:tc>
          <w:tcPr>
            <w:tcW w:w="80" w:type="dxa"/>
            <w:vAlign w:val="bottom"/>
          </w:tcPr>
          <w:p>
            <w:pPr>
              <w:spacing w:after="0"/>
              <w:rPr>
                <w:sz w:val="15"/>
                <w:szCs w:val="15"/>
                <w:color w:val="auto"/>
              </w:rPr>
            </w:pPr>
          </w:p>
        </w:tc>
      </w:tr>
      <w:tr>
        <w:trPr>
          <w:trHeight w:val="176"/>
        </w:trPr>
        <w:tc>
          <w:tcPr>
            <w:tcW w:w="3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78"/>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r>
      <w:tr>
        <w:trPr>
          <w:trHeight w:val="176"/>
        </w:trPr>
        <w:tc>
          <w:tcPr>
            <w:tcW w:w="37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40"/>
              <w:spacing w:after="0"/>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5"/>
                <w:szCs w:val="15"/>
                <w:color w:val="auto"/>
              </w:rPr>
            </w:pPr>
          </w:p>
        </w:tc>
      </w:tr>
      <w:tr>
        <w:trPr>
          <w:trHeight w:val="196"/>
        </w:trPr>
        <w:tc>
          <w:tcPr>
            <w:tcW w:w="3760" w:type="dxa"/>
            <w:vAlign w:val="bottom"/>
          </w:tcPr>
          <w:p>
            <w:pPr>
              <w:spacing w:after="0"/>
              <w:rPr>
                <w:sz w:val="17"/>
                <w:szCs w:val="17"/>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7"/>
                <w:szCs w:val="17"/>
                <w:color w:val="auto"/>
              </w:rPr>
            </w:pPr>
          </w:p>
        </w:tc>
      </w:tr>
      <w:tr>
        <w:trPr>
          <w:trHeight w:val="256"/>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1,974,870</w:t>
            </w:r>
          </w:p>
        </w:tc>
        <w:tc>
          <w:tcPr>
            <w:tcW w:w="26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49,275</w:t>
            </w:r>
          </w:p>
        </w:tc>
        <w:tc>
          <w:tcPr>
            <w:tcW w:w="80" w:type="dxa"/>
            <w:vAlign w:val="bottom"/>
            <w:shd w:val="clear" w:color="auto" w:fill="CFF0FC"/>
          </w:tcPr>
          <w:p>
            <w:pPr>
              <w:spacing w:after="0"/>
              <w:rPr>
                <w:sz w:val="22"/>
                <w:szCs w:val="22"/>
                <w:color w:val="auto"/>
              </w:rPr>
            </w:pPr>
          </w:p>
        </w:tc>
      </w:tr>
      <w:tr>
        <w:trPr>
          <w:trHeight w:val="250"/>
        </w:trPr>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658,776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20.96</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(246,301 )</w:t>
            </w:r>
          </w:p>
        </w:tc>
        <w:tc>
          <w:tcPr>
            <w:tcW w:w="24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3760" w:type="dxa"/>
            <w:vAlign w:val="bottom"/>
          </w:tcPr>
          <w:p>
            <w:pPr>
              <w:spacing w:after="0"/>
              <w:rPr>
                <w:sz w:val="20"/>
                <w:szCs w:val="20"/>
                <w:color w:val="auto"/>
              </w:rPr>
            </w:pPr>
            <w:r>
              <w:rPr>
                <w:rFonts w:ascii="Arial" w:cs="Arial" w:eastAsia="Arial" w:hAnsi="Arial"/>
                <w:sz w:val="18"/>
                <w:szCs w:val="18"/>
                <w:color w:val="auto"/>
              </w:rPr>
              <w:t>Forfeited/expired</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(63,524 )</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2,323,821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6,002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Expected to vest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1,504,872</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17.15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1,387</w:t>
            </w:r>
          </w:p>
        </w:tc>
        <w:tc>
          <w:tcPr>
            <w:tcW w:w="80" w:type="dxa"/>
            <w:vAlign w:val="bottom"/>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818,949</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4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-402590</wp:posOffset>
            </wp:positionV>
            <wp:extent cx="1631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-384810</wp:posOffset>
            </wp:positionV>
            <wp:extent cx="1631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1631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1631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nine months ended September 30, 2021 was $1.3 million, which included $1.0 million for options granted to employees and directors and $0.3 million for options granted to advisors. The total fair value of options that vested during the nine months ended September 30, 2020 was $219,000, which included $144,000 for options granted to employees and directors and $75,000 for options granted to advisors.</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September 30, 2021. The aggregate intrinsic value of options exercised was $2.0 million and $9.4 million during the nine months ended September 30, 2021 and 2020, respectively, determined as of the date of option exercise. As of September 30, 2021, there was $10.8 million of total unrecognized compensation cost related to unvested stock options. The Company expects to recognize this cost over a remaining weighted-average period of 1.64 years. The Company utilizes newly issued shares to satisfy option exercises.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color w:val="auto"/>
        </w:rPr>
        <w:t>Stock options outstanding and exercisable under the 2020 Plan consisted of the following at September 30, 2021:</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2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Employees and Directors</w:t>
            </w:r>
          </w:p>
        </w:tc>
        <w:tc>
          <w:tcPr>
            <w:tcW w:w="240" w:type="dxa"/>
            <w:vAlign w:val="bottom"/>
          </w:tcPr>
          <w:p>
            <w:pPr>
              <w:spacing w:after="0"/>
              <w:rPr>
                <w:sz w:val="17"/>
                <w:szCs w:val="17"/>
                <w:color w:val="auto"/>
              </w:rPr>
            </w:pPr>
          </w:p>
        </w:tc>
        <w:tc>
          <w:tcPr>
            <w:tcW w:w="2980" w:type="dxa"/>
            <w:vAlign w:val="bottom"/>
            <w:tcBorders>
              <w:bottom w:val="single" w:sz="8" w:color="auto"/>
            </w:tcBorders>
            <w:gridSpan w:val="3"/>
          </w:tcPr>
          <w:p>
            <w:pPr>
              <w:jc w:val="right"/>
              <w:ind w:right="877"/>
              <w:spacing w:after="0"/>
              <w:rPr>
                <w:sz w:val="20"/>
                <w:szCs w:val="20"/>
                <w:color w:val="auto"/>
              </w:rPr>
            </w:pPr>
            <w:r>
              <w:rPr>
                <w:rFonts w:ascii="Arial" w:cs="Arial" w:eastAsia="Arial" w:hAnsi="Arial"/>
                <w:sz w:val="14"/>
                <w:szCs w:val="14"/>
                <w:b w:val="1"/>
                <w:bCs w:val="1"/>
                <w:color w:val="auto"/>
              </w:rPr>
              <w:t>Non-employees</w:t>
            </w:r>
          </w:p>
        </w:tc>
        <w:tc>
          <w:tcPr>
            <w:tcW w:w="100" w:type="dxa"/>
            <w:vAlign w:val="bottom"/>
          </w:tcPr>
          <w:p>
            <w:pPr>
              <w:spacing w:after="0"/>
              <w:rPr>
                <w:sz w:val="17"/>
                <w:szCs w:val="17"/>
                <w:color w:val="auto"/>
              </w:rPr>
            </w:pPr>
          </w:p>
        </w:tc>
      </w:tr>
      <w:tr>
        <w:trPr>
          <w:trHeight w:val="175"/>
        </w:trPr>
        <w:tc>
          <w:tcPr>
            <w:tcW w:w="12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20" w:type="dxa"/>
            <w:vAlign w:val="bottom"/>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420" w:type="dxa"/>
            <w:vAlign w:val="bottom"/>
          </w:tcPr>
          <w:p>
            <w:pPr>
              <w:jc w:val="right"/>
              <w:ind w:right="37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380" w:type="dxa"/>
            <w:vAlign w:val="bottom"/>
          </w:tcPr>
          <w:p>
            <w:pPr>
              <w:jc w:val="right"/>
              <w:ind w:right="379"/>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r>
      <w:tr>
        <w:trPr>
          <w:trHeight w:val="175"/>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420" w:type="dxa"/>
            <w:vAlign w:val="bottom"/>
          </w:tcPr>
          <w:p>
            <w:pPr>
              <w:jc w:val="right"/>
              <w:ind w:right="197"/>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420" w:type="dxa"/>
            <w:vAlign w:val="bottom"/>
          </w:tcPr>
          <w:p>
            <w:pPr>
              <w:jc w:val="right"/>
              <w:ind w:right="239"/>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5"/>
                <w:szCs w:val="15"/>
                <w:color w:val="auto"/>
              </w:rPr>
            </w:pPr>
          </w:p>
        </w:tc>
        <w:tc>
          <w:tcPr>
            <w:tcW w:w="1380" w:type="dxa"/>
            <w:vAlign w:val="bottom"/>
          </w:tcPr>
          <w:p>
            <w:pPr>
              <w:jc w:val="right"/>
              <w:ind w:right="199"/>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380" w:type="dxa"/>
            <w:vAlign w:val="bottom"/>
          </w:tcPr>
          <w:p>
            <w:pPr>
              <w:jc w:val="right"/>
              <w:ind w:right="217"/>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5"/>
                <w:szCs w:val="15"/>
                <w:color w:val="auto"/>
              </w:rPr>
            </w:pPr>
          </w:p>
        </w:tc>
      </w:tr>
      <w:tr>
        <w:trPr>
          <w:trHeight w:val="20"/>
        </w:trPr>
        <w:tc>
          <w:tcPr>
            <w:tcW w:w="120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0.16 to 1.00</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226,980</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226,980</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50"/>
        </w:trPr>
        <w:tc>
          <w:tcPr>
            <w:tcW w:w="3700" w:type="dxa"/>
            <w:vAlign w:val="bottom"/>
            <w:gridSpan w:val="2"/>
          </w:tcPr>
          <w:p>
            <w:pPr>
              <w:spacing w:after="0"/>
              <w:rPr>
                <w:sz w:val="20"/>
                <w:szCs w:val="20"/>
                <w:color w:val="auto"/>
              </w:rPr>
            </w:pPr>
            <w:r>
              <w:rPr>
                <w:rFonts w:ascii="Arial" w:cs="Arial" w:eastAsia="Arial" w:hAnsi="Arial"/>
                <w:sz w:val="18"/>
                <w:szCs w:val="18"/>
                <w:color w:val="auto"/>
              </w:rPr>
              <w:t>1.04 to 1.49</w:t>
            </w:r>
          </w:p>
        </w:tc>
        <w:tc>
          <w:tcPr>
            <w:tcW w:w="1420" w:type="dxa"/>
            <w:vAlign w:val="bottom"/>
          </w:tcPr>
          <w:p>
            <w:pPr>
              <w:jc w:val="right"/>
              <w:spacing w:after="0"/>
              <w:rPr>
                <w:sz w:val="20"/>
                <w:szCs w:val="20"/>
                <w:color w:val="auto"/>
              </w:rPr>
            </w:pPr>
            <w:r>
              <w:rPr>
                <w:rFonts w:ascii="Arial" w:cs="Arial" w:eastAsia="Arial" w:hAnsi="Arial"/>
                <w:sz w:val="18"/>
                <w:szCs w:val="18"/>
                <w:color w:val="auto"/>
              </w:rPr>
              <w:t>375,033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222,659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113,642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93,150</w:t>
            </w:r>
          </w:p>
        </w:tc>
        <w:tc>
          <w:tcPr>
            <w:tcW w:w="100" w:type="dxa"/>
            <w:vAlign w:val="bottom"/>
          </w:tcPr>
          <w:p>
            <w:pPr>
              <w:spacing w:after="0"/>
              <w:rPr>
                <w:sz w:val="21"/>
                <w:szCs w:val="21"/>
                <w:color w:val="auto"/>
              </w:rPr>
            </w:pPr>
          </w:p>
        </w:tc>
      </w:tr>
      <w:tr>
        <w:trPr>
          <w:trHeight w:val="263"/>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17.00 to 19.94</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783,758</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201,138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22"/>
                <w:szCs w:val="22"/>
                <w:color w:val="auto"/>
              </w:rPr>
            </w:pPr>
          </w:p>
        </w:tc>
      </w:tr>
      <w:tr>
        <w:trPr>
          <w:trHeight w:val="250"/>
        </w:trPr>
        <w:tc>
          <w:tcPr>
            <w:tcW w:w="3700" w:type="dxa"/>
            <w:vAlign w:val="bottom"/>
            <w:gridSpan w:val="2"/>
          </w:tcPr>
          <w:p>
            <w:pPr>
              <w:spacing w:after="0"/>
              <w:rPr>
                <w:sz w:val="20"/>
                <w:szCs w:val="20"/>
                <w:color w:val="auto"/>
              </w:rPr>
            </w:pPr>
            <w:r>
              <w:rPr>
                <w:rFonts w:ascii="Arial" w:cs="Arial" w:eastAsia="Arial" w:hAnsi="Arial"/>
                <w:sz w:val="18"/>
                <w:szCs w:val="18"/>
                <w:color w:val="auto"/>
              </w:rPr>
              <w:t>20.55 to 29.41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628,955</w:t>
            </w:r>
          </w:p>
        </w:tc>
        <w:tc>
          <w:tcPr>
            <w:tcW w:w="24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37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2,014,726</w:t>
            </w:r>
          </w:p>
        </w:tc>
        <w:tc>
          <w:tcPr>
            <w:tcW w:w="2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665,115</w:t>
            </w:r>
          </w:p>
        </w:tc>
        <w:tc>
          <w:tcPr>
            <w:tcW w:w="2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309,095</w:t>
            </w:r>
          </w:p>
        </w:tc>
        <w:tc>
          <w:tcPr>
            <w:tcW w:w="2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1625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162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1543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146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146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34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2018, the Company issued a restricted stock award (“RSA”) to an advisor under the Company’s 2014 Equity Incentive Plan. The restricted stock award vests over three years and requires continued service to the Company during the vesting period. The vesting provisions of individual awards may vary as approved by the Company’s board of directors. If continued service terminates for any reason, the Company has the right to repurchase the unvested shares for no consideration. There were 4,204 shares subject to repurchase as of December 31, 2020, all of which were related to non-employee RSAs.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RSA activity for the nine months ended September 30, 2021 is as follows: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5"/>
                <w:szCs w:val="15"/>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5"/>
                <w:szCs w:val="15"/>
                <w:color w:val="auto"/>
              </w:rPr>
            </w:pPr>
          </w:p>
        </w:tc>
      </w:tr>
      <w:tr>
        <w:trPr>
          <w:trHeight w:val="196"/>
        </w:trPr>
        <w:tc>
          <w:tcPr>
            <w:tcW w:w="4940" w:type="dxa"/>
            <w:vAlign w:val="bottom"/>
          </w:tcPr>
          <w:p>
            <w:pPr>
              <w:spacing w:after="0"/>
              <w:rPr>
                <w:sz w:val="17"/>
                <w:szCs w:val="17"/>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Equivalent</w:t>
            </w:r>
          </w:p>
        </w:tc>
        <w:tc>
          <w:tcPr>
            <w:tcW w:w="200" w:type="dxa"/>
            <w:vAlign w:val="bottom"/>
          </w:tcPr>
          <w:p>
            <w:pPr>
              <w:spacing w:after="0"/>
              <w:rPr>
                <w:sz w:val="17"/>
                <w:szCs w:val="17"/>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r>
      <w:tr>
        <w:trPr>
          <w:trHeight w:val="25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0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(4,204 )</w:t>
            </w: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22"/>
                <w:szCs w:val="22"/>
                <w:color w:val="auto"/>
              </w:rPr>
            </w:pPr>
          </w:p>
        </w:tc>
      </w:tr>
      <w:tr>
        <w:trPr>
          <w:trHeight w:val="250"/>
        </w:trPr>
        <w:tc>
          <w:tcPr>
            <w:tcW w:w="49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Non-vested at September 30, 2021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-193675</wp:posOffset>
            </wp:positionV>
            <wp:extent cx="1371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2021, the Company issued a restricted stock unit (“RSU”) award to an advisor under the 2020 Plan.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RSU activity for the nine months ended September 30, 2021 is as follows: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r>
      <w:tr>
        <w:trPr>
          <w:trHeight w:val="175"/>
        </w:trPr>
        <w:tc>
          <w:tcPr>
            <w:tcW w:w="5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99"/>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5"/>
                <w:szCs w:val="15"/>
                <w:color w:val="auto"/>
              </w:rPr>
            </w:pPr>
          </w:p>
        </w:tc>
        <w:tc>
          <w:tcPr>
            <w:tcW w:w="1100" w:type="dxa"/>
            <w:vAlign w:val="bottom"/>
          </w:tcPr>
          <w:p>
            <w:pPr>
              <w:jc w:val="center"/>
              <w:ind w:right="119"/>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5"/>
                <w:szCs w:val="15"/>
                <w:color w:val="auto"/>
              </w:rPr>
            </w:pPr>
          </w:p>
        </w:tc>
      </w:tr>
      <w:tr>
        <w:trPr>
          <w:trHeight w:val="196"/>
        </w:trPr>
        <w:tc>
          <w:tcPr>
            <w:tcW w:w="5000" w:type="dxa"/>
            <w:vAlign w:val="bottom"/>
          </w:tcPr>
          <w:p>
            <w:pPr>
              <w:spacing w:after="0"/>
              <w:rPr>
                <w:sz w:val="17"/>
                <w:szCs w:val="17"/>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Equivalent</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r>
      <w:tr>
        <w:trPr>
          <w:trHeight w:val="25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3,152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21"/>
                <w:szCs w:val="21"/>
                <w:color w:val="auto"/>
              </w:rPr>
            </w:pPr>
          </w:p>
        </w:tc>
      </w:tr>
      <w:tr>
        <w:trPr>
          <w:trHeight w:val="257"/>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(3,152 )</w:t>
            </w: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FF0FC"/>
          </w:tcPr>
          <w:p>
            <w:pPr>
              <w:spacing w:after="0"/>
              <w:rPr>
                <w:sz w:val="22"/>
                <w:szCs w:val="22"/>
                <w:color w:val="auto"/>
              </w:rPr>
            </w:pPr>
          </w:p>
        </w:tc>
      </w:tr>
      <w:tr>
        <w:trPr>
          <w:trHeight w:val="250"/>
        </w:trPr>
        <w:tc>
          <w:tcPr>
            <w:tcW w:w="50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Non-vested at September 30, 2021</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-193675</wp:posOffset>
            </wp:positionV>
            <wp:extent cx="13716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November 2021, the Company granted RSUs equivalent to 360,500 shares of the Company's common stock to employees under the 2020 Plan with a grant date fair value of $5.5 million. The RSUs will vest upon achievement of certain clinical development milestones, subject to continued service to the Company during the vesting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12121"/>
        </w:rPr>
        <w:t>13. Net Loss Per Share Attributable to Common Stockholders</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12121"/>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4400" w:type="dxa"/>
            <w:vAlign w:val="bottom"/>
          </w:tcPr>
          <w:p>
            <w:pPr>
              <w:spacing w:after="0"/>
              <w:rPr>
                <w:sz w:val="17"/>
                <w:szCs w:val="17"/>
                <w:color w:val="auto"/>
              </w:rPr>
            </w:pPr>
          </w:p>
        </w:tc>
        <w:tc>
          <w:tcPr>
            <w:tcW w:w="33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7"/>
                <w:szCs w:val="17"/>
                <w:color w:val="auto"/>
              </w:rPr>
            </w:pPr>
          </w:p>
        </w:tc>
      </w:tr>
      <w:tr>
        <w:trPr>
          <w:trHeight w:val="196"/>
        </w:trPr>
        <w:tc>
          <w:tcPr>
            <w:tcW w:w="4400" w:type="dxa"/>
            <w:vAlign w:val="bottom"/>
          </w:tcPr>
          <w:p>
            <w:pPr>
              <w:spacing w:after="0"/>
              <w:rPr>
                <w:sz w:val="17"/>
                <w:szCs w:val="17"/>
                <w:color w:val="auto"/>
              </w:rPr>
            </w:pPr>
          </w:p>
        </w:tc>
        <w:tc>
          <w:tcPr>
            <w:tcW w:w="16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Non-vested RSAs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80" w:type="dxa"/>
            <w:vAlign w:val="bottom"/>
            <w:shd w:val="clear" w:color="auto" w:fill="CFF0FC"/>
          </w:tcPr>
          <w:p>
            <w:pPr>
              <w:spacing w:after="0"/>
              <w:rPr>
                <w:sz w:val="22"/>
                <w:szCs w:val="22"/>
                <w:color w:val="auto"/>
              </w:rPr>
            </w:pPr>
          </w:p>
        </w:tc>
      </w:tr>
      <w:tr>
        <w:trPr>
          <w:trHeight w:val="250"/>
        </w:trPr>
        <w:tc>
          <w:tcPr>
            <w:tcW w:w="440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600" w:type="dxa"/>
            <w:vAlign w:val="bottom"/>
          </w:tcPr>
          <w:p>
            <w:pPr>
              <w:jc w:val="right"/>
              <w:spacing w:after="0"/>
              <w:rPr>
                <w:sz w:val="20"/>
                <w:szCs w:val="20"/>
                <w:color w:val="auto"/>
              </w:rPr>
            </w:pPr>
            <w:r>
              <w:rPr>
                <w:rFonts w:ascii="Arial" w:cs="Arial" w:eastAsia="Arial" w:hAnsi="Arial"/>
                <w:sz w:val="18"/>
                <w:szCs w:val="18"/>
                <w:color w:val="auto"/>
              </w:rPr>
              <w:t>2,323,821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1,927,428</w:t>
            </w:r>
          </w:p>
        </w:tc>
        <w:tc>
          <w:tcPr>
            <w:tcW w:w="80" w:type="dxa"/>
            <w:vAlign w:val="bottom"/>
          </w:tcPr>
          <w:p>
            <w:pPr>
              <w:spacing w:after="0"/>
              <w:rPr>
                <w:sz w:val="21"/>
                <w:szCs w:val="21"/>
                <w:color w:val="auto"/>
              </w:rPr>
            </w:pPr>
          </w:p>
        </w:tc>
      </w:tr>
      <w:tr>
        <w:trPr>
          <w:trHeight w:val="257"/>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22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400" w:type="dxa"/>
            <w:vAlign w:val="bottom"/>
          </w:tcPr>
          <w:p>
            <w:pPr>
              <w:ind w:left="260"/>
              <w:spacing w:after="0"/>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rPr>
                <w:sz w:val="20"/>
                <w:szCs w:val="20"/>
                <w:color w:val="auto"/>
              </w:rPr>
            </w:pPr>
            <w:r>
              <w:rPr>
                <w:rFonts w:ascii="Arial" w:cs="Arial" w:eastAsia="Arial" w:hAnsi="Arial"/>
                <w:sz w:val="18"/>
                <w:szCs w:val="18"/>
                <w:color w:val="auto"/>
              </w:rPr>
              <w:t>2,326,405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1,931,632</w:t>
            </w:r>
          </w:p>
        </w:tc>
        <w:tc>
          <w:tcPr>
            <w:tcW w:w="80" w:type="dxa"/>
            <w:vAlign w:val="bottom"/>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-193675</wp:posOffset>
            </wp:positionV>
            <wp:extent cx="13716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4318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14. Subsequent Events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212121"/>
        </w:rPr>
        <w:t>Independent Special Committee Investigation</w:t>
      </w:r>
    </w:p>
    <w:p>
      <w:pPr>
        <w:spacing w:after="0" w:line="29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212121"/>
        </w:rPr>
        <w:t>On October 21, 2021, the Company announced that an independent special committee of the board of directors completed its internal investigation, which was originally announced in June 2021. The special committee, assisted by independent legal counsel, conducted an investigation of allegations raised regarding doctoral research by Dr. Leen Kawas, the Company's former Chief Executive Officer and one of its founders, conducted while at WSU, as well as related matters.</w:t>
      </w:r>
    </w:p>
    <w:p>
      <w:pPr>
        <w:spacing w:after="0" w:line="24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212121"/>
        </w:rPr>
        <w:t>The special committee's primary finding was that Dr. Kawas altered images in her 2011 doctoral dissertation and at least four research papers that she co-authored while a graduate student at WSU, and published from 2011 to 2014.</w:t>
      </w:r>
    </w:p>
    <w:p>
      <w:pPr>
        <w:spacing w:after="0" w:line="22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212121"/>
        </w:rPr>
        <w:t>Among its other findings, the special committee found that the Company's issued U.S. patent claiming ATH-1017, the Company's lead development candidate, does not cite any paper which the committee found to contain an image altered by Dr. Kawas. Though the committee found that the Company has cited challenged research papers relating to dihexa to support the activity of ATH-1017, a prodrug of dihexa, in certain other communications and applications, it also found that the Company has conducted alternative preclinical studies to support ATH-1017's activity and recently submitted those studies for peer review publication.</w:t>
      </w:r>
    </w:p>
    <w:p>
      <w:pPr>
        <w:spacing w:after="0" w:line="24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212121"/>
        </w:rPr>
        <w:t>Among its other findings, the special committee also found that WSU's dihexa patent incorporates images from papers co-authored by Dr. Kawas, certain of which were altered by Dr. Kawas. The Company understands that WSU is undertaking its own investigation into claims of potential misconduct involving research conducted by Dr. Kawas during her doctoral studies at WSU. The Company understands that this review is ongoing, and the Company cannot predict when WSU's investigation will be completed or what conclusions WSU will reach.</w:t>
      </w:r>
    </w:p>
    <w:p>
      <w:pPr>
        <w:spacing w:after="0" w:line="24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212121"/>
        </w:rPr>
        <w:t xml:space="preserve">The </w:t>
      </w:r>
      <w:r>
        <w:rPr>
          <w:rFonts w:ascii="Arial" w:cs="Arial" w:eastAsia="Arial" w:hAnsi="Arial"/>
          <w:sz w:val="18"/>
          <w:szCs w:val="18"/>
          <w:color w:val="000000"/>
        </w:rPr>
        <w:t>Company has filed a patent application claiming the composition of matter of ATH-1017 and methods of treatment using ATH-1017. The ATH-1017 composition of matter patent issued in the U.S. The ATH-1017 patent family is distinct from, and not part of the same patent family as, the dihexa patent licensed from WSU. The Company-owned patent covering ATH-1017 will expire no earlier than June 2037, and the WSU patent covering dihexa would normally expire by April 2032.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212121"/>
        </w:rPr>
        <w:t>Management Changes</w:t>
      </w:r>
    </w:p>
    <w:p>
      <w:pPr>
        <w:spacing w:after="0" w:line="29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212121"/>
        </w:rPr>
        <w:t>On October 18, 2021, Dr. Leen Kawas submitted her resignation as President and Chief Executive Officer of the Company and as a member of the Company's board of directors, effective October 18, 2021. Concurrently with Dr. Kawas's resignation, the Company's board of directors appointed Mark Litton, Ph.D., MBA as President and Chief Executive Officer, and Ms. Rachel Lenington, MBA, as Chief Operating Officer, each effective as of October 18, 2021. Dr. Litton was also appointed to the Company's board of directors.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jc w:val="both"/>
        <w:ind w:firstLine="509"/>
        <w:spacing w:after="0" w:line="268" w:lineRule="auto"/>
        <w:rPr>
          <w:sz w:val="20"/>
          <w:szCs w:val="20"/>
          <w:color w:val="auto"/>
        </w:rPr>
      </w:pPr>
      <w:r>
        <w:rPr>
          <w:rFonts w:ascii="Arial" w:cs="Arial" w:eastAsia="Arial" w:hAnsi="Arial"/>
          <w:sz w:val="18"/>
          <w:szCs w:val="18"/>
          <w:color w:val="212121"/>
        </w:rPr>
        <w:t>In connection with the cessation of Dr. Kawas's employment and pursuant to the terms of her separation agreement dated October 18, 2021 (the "Separation Agreement"), Dr. Kawas is eligible to receive severance benefits, including a lump sum equivalent to one year of her base salary of $510,000. In addition, under the Separation Agreement, Dr. Kawas will retain previously granted options vested as of the effective date of the Separation Agreement for 363,535 shares of the Company's common stock. The Company recognized the financial impacts of Dr. Kawas' Separation Agreement in October 2021, as Dr. Kawas's resignation was submitted and effective after the date of these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8"/>
          <w:szCs w:val="18"/>
          <w:i w:val="1"/>
          <w:iCs w:val="1"/>
          <w:color w:val="auto"/>
        </w:rPr>
        <w:t>You should read the following management’s discussion and analysis of financial condition and results of operations in conjunction with our unaudited condensed consolidated financial statements and notes thereto included in Part I, Item 1 of this Quarterly Report on Form 10-Q and with our audited financial statements and related notes thereto and Management’s Discussion and Analysis of Financial Condition and Results of Operations included in our Annual Report on Form 10-K, filed with the Securities and Exchange Commission, or the SEC, on March 25,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This Quarterly Report on Form 10-Q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and Section 21E of the Securities Exchange Act of 1934, as amended.</w:t>
      </w:r>
    </w:p>
    <w:p>
      <w:pPr>
        <w:spacing w:after="0" w:line="24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financial performance;</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cost and timing of our development activities, nonclinical studies and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and degree of market acceptance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or likelihood of regulatory filings and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focus of our future clinical trials, and the reporting of data from those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plans relating to commercializing our product candidates, if approved;</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and retain key managerial, scientific and clinical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pricing and reimbursement of our product candidates, if approved;</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89" w:lineRule="exact"/>
        <w:rPr>
          <w:sz w:val="20"/>
          <w:szCs w:val="20"/>
          <w:color w:val="auto"/>
        </w:rPr>
      </w:pPr>
    </w:p>
    <w:p>
      <w:pPr>
        <w:ind w:left="960" w:right="2760"/>
        <w:spacing w:after="0" w:line="402" w:lineRule="auto"/>
        <w:rPr>
          <w:sz w:val="20"/>
          <w:szCs w:val="20"/>
          <w:color w:val="auto"/>
        </w:rPr>
      </w:pPr>
      <w:r>
        <w:rPr>
          <w:rFonts w:ascii="Arial" w:cs="Arial" w:eastAsia="Arial" w:hAnsi="Arial"/>
          <w:sz w:val="18"/>
          <w:szCs w:val="18"/>
          <w:color w:val="auto"/>
        </w:rPr>
        <w:t>our ability to expand our product candidates into additional indications and patient populations; the success of competing therapies that are or may become available;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ind w:left="960" w:right="4300"/>
        <w:spacing w:after="0" w:line="414" w:lineRule="auto"/>
        <w:rPr>
          <w:sz w:val="20"/>
          <w:szCs w:val="20"/>
          <w:color w:val="auto"/>
        </w:rPr>
      </w:pPr>
      <w:r>
        <w:rPr>
          <w:rFonts w:ascii="Arial" w:cs="Arial" w:eastAsia="Arial" w:hAnsi="Arial"/>
          <w:sz w:val="17"/>
          <w:szCs w:val="17"/>
          <w:color w:val="auto"/>
        </w:rPr>
        <w:t>the beneficial characteristics, safety and efficacy of our product candidates; regulatory developments in the United States and other jurisdictions;</w:t>
      </w:r>
    </w:p>
    <w:p>
      <w:pPr>
        <w:spacing w:after="0" w:line="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outcome of legal proceedings which have been or may in the future be instituted against us and certain of our directors and officers, including the legal proceedings discussed in “Part II, Item I—Legal Proceedings,” and elsewhere in this report;</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the continuing impact of COVID-19 on our business;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potential benefits of any strategic collaboration agreements we may enter into;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7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In this report, “we,” “our,” “us,” “Athira,” and “the Company” refer to Athira Pharma, Inc. Our Risk Factors are not guarantees that no such conditions exist as of the date of this report and should not be interpreted as an affirmative statement that such risks or conditions have not materialized, in whole or in part.</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w:t>
      </w:r>
    </w:p>
    <w:p>
      <w:pPr>
        <w:spacing w:after="0" w:line="23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lead candidate, ATH-1017, is a subcutaneous administered, BBB-penetrating, small molecule HGF/MET positive modulator. In our Phase 1a/1b clinical trial, ATH-1017 for the treatment of Alzheimer’s disease, or AD, was well tolerated with no serious adverse events. This clinical trial recruited 88 subjects, including 11 subjects with mild-to-moderate AD, who were assigned to treatment and control groups. Nonclinical studies and Phase 1 clinical trials with ATH-1017 demonstrated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6" w:name="page27"/>
    <w:bookmarkEnd w:id="26"/>
    <w:p>
      <w:pPr>
        <w:jc w:val="both"/>
        <w:spacing w:after="0" w:line="267" w:lineRule="auto"/>
        <w:rPr>
          <w:sz w:val="20"/>
          <w:szCs w:val="20"/>
          <w:color w:val="auto"/>
        </w:rPr>
      </w:pPr>
      <w:r>
        <w:rPr>
          <w:rFonts w:ascii="Arial" w:cs="Arial" w:eastAsia="Arial" w:hAnsi="Arial"/>
          <w:sz w:val="18"/>
          <w:szCs w:val="18"/>
          <w:color w:val="auto"/>
        </w:rPr>
        <w:t>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our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in the first half of 2022. In July 2021, we announced that we are enrolling patients into an open-label extension study for our LIFT-AD and ACT-AD clinical trials, which will allow us to collect up to one year of safety and efficacy data on ATH-1017. In October 2021, we announced that we completed patient enrollment in our ACT-AD clinical trial. Beyond AD, we believe that ATH-1017 can potentially address the broader dementia patient population.</w:t>
      </w:r>
    </w:p>
    <w:p>
      <w:pPr>
        <w:spacing w:after="0" w:line="2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635115" cy="28206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35115" cy="282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RoA: route of administration; SC: subcutaneous; PO: oral.</w:t>
      </w:r>
    </w:p>
    <w:p>
      <w:pPr>
        <w:spacing w:after="0" w:line="3"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ATH-1017 for AD is in a Phase 2/3 clinical trial that may provide pivotal data in support of registration based on discussions with FDA.</w:t>
      </w:r>
    </w:p>
    <w:p>
      <w:pPr>
        <w:spacing w:after="0" w:line="3" w:lineRule="exact"/>
        <w:rPr>
          <w:rFonts w:ascii="Arial" w:cs="Arial" w:eastAsia="Arial" w:hAnsi="Arial"/>
          <w:sz w:val="19"/>
          <w:szCs w:val="19"/>
          <w:color w:val="auto"/>
          <w:vertAlign w:val="superscript"/>
        </w:rPr>
      </w:pPr>
    </w:p>
    <w:p>
      <w:pPr>
        <w:ind w:left="440" w:hanging="432"/>
        <w:spacing w:after="0" w:line="189" w:lineRule="auto"/>
        <w:tabs>
          <w:tab w:leader="none" w:pos="44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PPD clinical development of ATH-1017 will be based on results from our Phase 1a/1b trial and include all required regulatory filings.</w:t>
      </w:r>
    </w:p>
    <w:p>
      <w:pPr>
        <w:spacing w:after="0" w:line="2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2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23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7" w:name="page28"/>
    <w:bookmarkEnd w:id="27"/>
    <w:p>
      <w:pPr>
        <w:jc w:val="both"/>
        <w:spacing w:after="0" w:line="268" w:lineRule="auto"/>
        <w:rPr>
          <w:sz w:val="20"/>
          <w:szCs w:val="20"/>
          <w:color w:val="auto"/>
        </w:rPr>
      </w:pPr>
      <w:r>
        <w:rPr>
          <w:rFonts w:ascii="Arial" w:cs="Arial" w:eastAsia="Arial" w:hAnsi="Arial"/>
          <w:sz w:val="18"/>
          <w:szCs w:val="18"/>
          <w:color w:val="auto"/>
        </w:rPr>
        <w:t>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2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To date, we have funded our operations primarily through proceeds from the sale of equity securities, including proceeds from the sale and issuance of common stock in our IPO, the sale and issuance of convertible preferred stock, common stock warrants, and convertible notes, and to a lesser extent from grant income and stock option exercises. From inception to September 30, 2021, we have raised aggregate net cash proceeds of approximately $407.4 million primarily from the issuance of our common stock, convertible preferred stock, common stock warrants, and convertible notes. We have incurred significant operating losses to date. Our net losses were $38.5 million and $12.3 million for the nine months ended September 30, 2021 and 2020, respectively. As of September 30, 2021, we had an accumulated deficit of $79.6 million and cash, cash equivalents and investments of $339.4 million.</w:t>
      </w: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expand our pipeline of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grow our discovery organization and invest in the ATH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ramp up manufacturing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 hire and retain additional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maintain, expand and protect our intellectual property portfolio;</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operate as a public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expand our laboratory and office facilities;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implement operational, financial and management information systems;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regulatory approval for any product candidates that successfully complete clinical trials;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incur legal expenses associated with ongoing litigation, as further described in “Part II, Item I—Legal Proceedings,” and elsewhere in this report.</w:t>
      </w:r>
    </w:p>
    <w:p>
      <w:pPr>
        <w:spacing w:after="0" w:line="22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23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COVID-19 pandemic and otherwise. If we fail to obtain necessary capital when needed on acceptable terms, or at all, it could force us to delay, limit, reduce or terminate our product development programs, commercialization efforts or other operations. Insufficient liquidity may also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8" w:name="page29"/>
    <w:bookmarkEnd w:id="28"/>
    <w:p>
      <w:pPr>
        <w:jc w:val="both"/>
        <w:spacing w:after="0" w:line="269" w:lineRule="auto"/>
        <w:rPr>
          <w:sz w:val="20"/>
          <w:szCs w:val="20"/>
          <w:color w:val="auto"/>
        </w:rPr>
      </w:pPr>
      <w:r>
        <w:rPr>
          <w:rFonts w:ascii="Arial" w:cs="Arial" w:eastAsia="Arial" w:hAnsi="Arial"/>
          <w:sz w:val="18"/>
          <w:szCs w:val="18"/>
          <w:color w:val="auto"/>
        </w:rPr>
        <w:t>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at least through 2022.</w:t>
      </w:r>
    </w:p>
    <w:p>
      <w:pPr>
        <w:spacing w:after="0" w:line="233" w:lineRule="exact"/>
        <w:rPr>
          <w:sz w:val="20"/>
          <w:szCs w:val="20"/>
          <w:color w:val="auto"/>
        </w:rPr>
      </w:pPr>
    </w:p>
    <w:p>
      <w:pPr>
        <w:jc w:val="both"/>
        <w:ind w:firstLine="509"/>
        <w:spacing w:after="0" w:line="228" w:lineRule="exact"/>
        <w:rPr>
          <w:sz w:val="20"/>
          <w:szCs w:val="20"/>
          <w:color w:val="auto"/>
        </w:rPr>
      </w:pPr>
      <w:r>
        <w:rPr>
          <w:rFonts w:ascii="Arial" w:cs="Arial" w:eastAsia="Arial" w:hAnsi="Arial"/>
          <w:sz w:val="18"/>
          <w:szCs w:val="18"/>
          <w:color w:val="auto"/>
        </w:rPr>
        <w:t>The global COVID-19 pandemic continues to evolve, and we will continue to monitor the COVID-19 situation closely. While COVID-19 related restrictions have been eased in many locations around the globe, including in Bothell, Washington, where our principal offices are located, a resurgence in cases of COVID-19 or similar health epidemic could occur at any time, and the ultimate impact of the COVID-19 pandemic or a similar health epidemic is highly uncertain and subject to change.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We will continue to actively monitor the evolving situation and ongoing impacts on our clinical trial enrollment, trial sites, contract research organizations, or CROs, third-party manufacturers, and other third parties with whom we do business, as well as on regulatory authorities and our key scientific and management personnel. As the situation evolves, we may take further actions that alter our operations, including those that may be required by federal, state or local authorities, or that we determine are in the best interests of our employees and other third parties with whom we do business. At this point, the ultimate extent to which the COVID-19 pandemic, or any potential resurgence of a variant thereof, may affect our business, operations and clinical development timelines and plans, including the resulting impact on our expenditures and capital needs, remains uncertain.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24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23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As of the date of this report,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 particular, we expect our research and development expenses will increase substantially as we conduct our Phase 2 and Phase 2/3 clinical trials for ATH-1017, including the open-label extensions for those trials.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9" w:name="page30"/>
    <w:bookmarkEnd w:id="29"/>
    <w:p>
      <w:pPr>
        <w:jc w:val="both"/>
        <w:ind w:firstLine="509"/>
        <w:spacing w:after="0" w:line="271"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and scope of preclinical and IND-enabling studies;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phases of development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progress and results of our research and development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 subject trial costs;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sites included in the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countries in which the trials are conducted;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length of time required to enroll eligible subjects and initiate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subjects that participate in the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drop-out and discontinuation rate of subjects;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additional safety monitoring requested by regulatory agencies;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duration of subject participation in the trials and follow-up;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 and timing of manufacturing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receipt of regulatory approvals from applicable regulatory authorities;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receipt and terms of any marketing approvals from applicable regulatory authorities;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hiring and retention of research and development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degree to which we obtain, maintain, defend and enforce our intellectual property rights;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COVID-19 on timelines and clinical operations, which may lead to increased costs;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26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23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an increase in legal expenses primarily related to the ongoing class action litigation. We also expect to continue to increase the size of our administrative function to support the growth of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8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Grant income consists of income related to the Part the Cloud grant, which was completed in 2020, and NIH grant and is recognized as qualifying expenses under the grant agreements are incurred. We expect grant income associated with the NIH grant will increase in future years, as we expect qualifying expenses under the grant terms to increase substantially in relation to our continued research activities and development of our programs. Under the terms of the agreement, we may receive approximately $7.8 million, with the potential for an additional $7.4 million, up to an aggregate of $15.2 million.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Other income (expense), net consists of interest earned on our cash, cash equivalents, and investments, periodic mark-to-market gains and losses on the derivative, grant, and convertible preferred stock warrant liabilities carried at fair value, and interest expense on our convertible notes. In the future, we expect investment income to be the primary component of other income, net as the mark-to-market liabilities and convertible notes were all settled in 2020 and will no longer be adjusted to fair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September 30,</w:t>
            </w:r>
          </w:p>
        </w:tc>
        <w:tc>
          <w:tcPr>
            <w:tcW w:w="9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Dollar</w:t>
            </w: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1"/>
                <w:szCs w:val="21"/>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5,830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4,877</w:t>
            </w:r>
          </w:p>
        </w:tc>
        <w:tc>
          <w:tcPr>
            <w:tcW w:w="2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5,552</w:t>
            </w:r>
          </w:p>
        </w:tc>
        <w:tc>
          <w:tcPr>
            <w:tcW w:w="2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10,429</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(17,826 )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(7,397 )</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(10,429 )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Grant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2,079</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(1,059 )</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(15,674 )</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(8,456 )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(7,218 )</w:t>
            </w: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 Not meaningful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-991870</wp:posOffset>
            </wp:positionV>
            <wp:extent cx="14541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-991870</wp:posOffset>
            </wp:positionV>
            <wp:extent cx="13716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-991870</wp:posOffset>
            </wp:positionV>
            <wp:extent cx="12890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4541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-323215</wp:posOffset>
            </wp:positionV>
            <wp:extent cx="13716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-323215</wp:posOffset>
            </wp:positionV>
            <wp:extent cx="12890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Dollar</w:t>
            </w:r>
          </w:p>
        </w:tc>
        <w:tc>
          <w:tcPr>
            <w:tcW w:w="11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r>
      <w:tr>
        <w:trPr>
          <w:trHeight w:val="208"/>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62"/>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50"/>
        </w:trPr>
        <w:tc>
          <w:tcPr>
            <w:tcW w:w="4980" w:type="dxa"/>
            <w:vAlign w:val="bottom"/>
          </w:tcPr>
          <w:p>
            <w:pPr>
              <w:ind w:left="260"/>
              <w:spacing w:after="0"/>
              <w:rPr>
                <w:sz w:val="20"/>
                <w:szCs w:val="20"/>
                <w:color w:val="auto"/>
              </w:rPr>
            </w:pPr>
            <w:r>
              <w:rPr>
                <w:rFonts w:ascii="Arial" w:cs="Arial" w:eastAsia="Arial" w:hAnsi="Arial"/>
                <w:sz w:val="18"/>
                <w:szCs w:val="18"/>
                <w:color w:val="auto"/>
              </w:rPr>
              <w:t>ATH-1017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8,359</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3,255</w:t>
            </w: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64 %</w:t>
            </w:r>
          </w:p>
        </w:tc>
      </w:tr>
      <w:tr>
        <w:trPr>
          <w:trHeight w:val="263"/>
        </w:trPr>
        <w:tc>
          <w:tcPr>
            <w:tcW w:w="4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Total direct costs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r>
      <w:tr>
        <w:trPr>
          <w:trHeight w:val="25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Personnel-related costs, including stock-</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6"/>
        </w:trPr>
        <w:tc>
          <w:tcPr>
            <w:tcW w:w="4980" w:type="dxa"/>
            <w:vAlign w:val="bottom"/>
          </w:tcPr>
          <w:p>
            <w:pPr>
              <w:ind w:left="420"/>
              <w:spacing w:after="0"/>
              <w:rPr>
                <w:sz w:val="20"/>
                <w:szCs w:val="20"/>
                <w:color w:val="auto"/>
              </w:rPr>
            </w:pPr>
            <w:r>
              <w:rPr>
                <w:rFonts w:ascii="Arial" w:cs="Arial" w:eastAsia="Arial" w:hAnsi="Arial"/>
                <w:sz w:val="18"/>
                <w:szCs w:val="18"/>
                <w:color w:val="auto"/>
              </w:rPr>
              <w:t>based compensation</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0"/>
                <w:szCs w:val="20"/>
                <w:color w:val="auto"/>
              </w:rPr>
            </w:pPr>
          </w:p>
        </w:tc>
      </w:tr>
      <w:tr>
        <w:trPr>
          <w:trHeight w:val="263"/>
        </w:trPr>
        <w:tc>
          <w:tcPr>
            <w:tcW w:w="4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Facilities and other costs</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9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10,707</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1"/>
                <w:szCs w:val="2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-1007745</wp:posOffset>
            </wp:positionV>
            <wp:extent cx="12890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-1007745</wp:posOffset>
            </wp:positionV>
            <wp:extent cx="1200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-1007745</wp:posOffset>
            </wp:positionV>
            <wp:extent cx="1111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-193675</wp:posOffset>
            </wp:positionV>
            <wp:extent cx="12890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-193675</wp:posOffset>
            </wp:positionV>
            <wp:extent cx="1200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111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Research and development expenses increased by $4.9 million, from $5.8 million for the three months ended September 30, 2020 to $10.7 million for the three months ended September 30, 2021. The increase was driven primarily by an increase in expenses for ATH-1017 of $3.3 million related to continued patient enrollment and clinical site visit activity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31" w:name="page32"/>
    <w:bookmarkEnd w:id="31"/>
    <w:p>
      <w:pPr>
        <w:jc w:val="both"/>
        <w:spacing w:after="0" w:line="256" w:lineRule="auto"/>
        <w:rPr>
          <w:sz w:val="20"/>
          <w:szCs w:val="20"/>
          <w:color w:val="auto"/>
        </w:rPr>
      </w:pPr>
      <w:r>
        <w:rPr>
          <w:rFonts w:ascii="Arial" w:cs="Arial" w:eastAsia="Arial" w:hAnsi="Arial"/>
          <w:sz w:val="18"/>
          <w:szCs w:val="18"/>
          <w:color w:val="auto"/>
        </w:rPr>
        <w:t>for our Phase 2 clinical trials and the corresponding open-label extension for our Phase 2 clinical trials, and to lesser extents, by increases in preclinical research and development expenses for new product candidates and in personnel-related costs due to increases in headcount and in stock-based compensation expense in connection with awards granted subsequent to our IPO.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8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increased by $5.5 million, from $1.6 million for the three months ended September 30, 2020 to $7.1 million for the three months ended September 30, 2021. The increase was primarily due to an increase in legal costs of $2.0 million, which includes costs related to legal proceedings and the board of directors' special committee investigation, an increase in personnel-related costs of $1.7 million due primarily to increases in headcount to support our continued growth and in stock-based compensation expense in connection with awards granted subsequent to our IPO, an increase in insurance costs of $0.7 million, and to a lesser extent, increases in business development, facilities, accounting, technical, and consulting services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7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Grant income of $2.1 million for the three months ended September 30, 2021 was recognized in connection with the NIH grant. No grant income was recognized during the three months ended September 30,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8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Other income (expense), net, changed from expense of $1.1 million for the three months ended September 30, 2020 to income of $0.1 million for the three months ended September 30, 2021. Other income for the three months ended September 30, 2021 consisted of interest income on our available for sale securities. Other expense for the three months ended September 30, 2020 consisted of losses on liability instruments recorded at fair value.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Nine Months Ended September 30,</w:t>
            </w:r>
          </w:p>
        </w:tc>
        <w:tc>
          <w:tcPr>
            <w:tcW w:w="9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0"/>
        </w:trPr>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Dollar</w:t>
            </w:r>
          </w:p>
        </w:tc>
        <w:tc>
          <w:tcPr>
            <w:tcW w:w="940" w:type="dxa"/>
            <w:vAlign w:val="bottom"/>
          </w:tcPr>
          <w:p>
            <w:pPr>
              <w:ind w:left="4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r>
      <w:tr>
        <w:trPr>
          <w:trHeight w:val="208"/>
        </w:trPr>
        <w:tc>
          <w:tcPr>
            <w:tcW w:w="4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8"/>
                <w:szCs w:val="18"/>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8"/>
                <w:szCs w:val="18"/>
                <w:color w:val="auto"/>
              </w:rPr>
            </w:pPr>
          </w:p>
        </w:tc>
      </w:tr>
      <w:tr>
        <w:trPr>
          <w:trHeight w:val="196"/>
        </w:trPr>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50"/>
        </w:trPr>
        <w:tc>
          <w:tcPr>
            <w:tcW w:w="48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30,176</w:t>
            </w:r>
          </w:p>
        </w:tc>
        <w:tc>
          <w:tcPr>
            <w:tcW w:w="120" w:type="dxa"/>
            <w:vAlign w:val="bottom"/>
          </w:tcPr>
          <w:p>
            <w:pPr>
              <w:spacing w:after="0"/>
              <w:rPr>
                <w:sz w:val="21"/>
                <w:szCs w:val="21"/>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8,099</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22,077</w:t>
            </w:r>
          </w:p>
        </w:tc>
        <w:tc>
          <w:tcPr>
            <w:tcW w:w="220" w:type="dxa"/>
            <w:vAlign w:val="bottom"/>
          </w:tcPr>
          <w:p>
            <w:pPr>
              <w:spacing w:after="0"/>
              <w:rPr>
                <w:sz w:val="21"/>
                <w:szCs w:val="21"/>
                <w:color w:val="auto"/>
              </w:rPr>
            </w:pP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rPr>
              <w:t>273 %</w:t>
            </w:r>
          </w:p>
        </w:tc>
      </w:tr>
      <w:tr>
        <w:trPr>
          <w:trHeight w:val="263"/>
        </w:trPr>
        <w:tc>
          <w:tcPr>
            <w:tcW w:w="4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15,068</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12,251</w:t>
            </w:r>
          </w:p>
        </w:tc>
        <w:tc>
          <w:tcPr>
            <w:tcW w:w="22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w w:val="99"/>
              </w:rPr>
              <w:t>435</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88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34,328</w:t>
            </w:r>
          </w:p>
        </w:tc>
        <w:tc>
          <w:tcPr>
            <w:tcW w:w="220" w:type="dxa"/>
            <w:vAlign w:val="bottom"/>
          </w:tcPr>
          <w:p>
            <w:pPr>
              <w:spacing w:after="0"/>
              <w:rPr>
                <w:sz w:val="21"/>
                <w:szCs w:val="21"/>
                <w:color w:val="auto"/>
              </w:rPr>
            </w:pPr>
          </w:p>
        </w:tc>
        <w:tc>
          <w:tcPr>
            <w:tcW w:w="940" w:type="dxa"/>
            <w:vAlign w:val="bottom"/>
          </w:tcPr>
          <w:p>
            <w:pPr>
              <w:ind w:left="620"/>
              <w:spacing w:after="0"/>
              <w:rPr>
                <w:sz w:val="20"/>
                <w:szCs w:val="20"/>
                <w:color w:val="auto"/>
              </w:rPr>
            </w:pPr>
            <w:r>
              <w:rPr>
                <w:rFonts w:ascii="Arial" w:cs="Arial" w:eastAsia="Arial" w:hAnsi="Arial"/>
                <w:sz w:val="18"/>
                <w:szCs w:val="18"/>
                <w:color w:val="auto"/>
                <w:w w:val="99"/>
              </w:rPr>
              <w:t>314</w:t>
            </w:r>
          </w:p>
        </w:tc>
        <w:tc>
          <w:tcPr>
            <w:tcW w:w="260" w:type="dxa"/>
            <w:vAlign w:val="bottom"/>
          </w:tcPr>
          <w:p>
            <w:pPr>
              <w:spacing w:after="0"/>
              <w:rPr>
                <w:sz w:val="21"/>
                <w:szCs w:val="21"/>
                <w:color w:val="auto"/>
              </w:rPr>
            </w:pPr>
          </w:p>
        </w:tc>
      </w:tr>
      <w:tr>
        <w:trPr>
          <w:trHeight w:val="25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(45,244 )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(10,916 )</w:t>
            </w:r>
          </w:p>
        </w:tc>
        <w:tc>
          <w:tcPr>
            <w:tcW w:w="2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(34,328 )</w:t>
            </w:r>
          </w:p>
        </w:tc>
        <w:tc>
          <w:tcPr>
            <w:tcW w:w="94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314</w:t>
            </w:r>
          </w:p>
        </w:tc>
        <w:tc>
          <w:tcPr>
            <w:tcW w:w="260" w:type="dxa"/>
            <w:vAlign w:val="bottom"/>
            <w:shd w:val="clear" w:color="auto" w:fill="CFF0FC"/>
          </w:tcPr>
          <w:p>
            <w:pPr>
              <w:spacing w:after="0"/>
              <w:rPr>
                <w:sz w:val="21"/>
                <w:szCs w:val="2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8"/>
                <w:szCs w:val="18"/>
                <w:color w:val="auto"/>
              </w:rPr>
              <w:t>Grant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6,477</w:t>
            </w:r>
          </w:p>
        </w:tc>
        <w:tc>
          <w:tcPr>
            <w:tcW w:w="220" w:type="dxa"/>
            <w:vAlign w:val="bottom"/>
          </w:tcPr>
          <w:p>
            <w:pPr>
              <w:spacing w:after="0"/>
              <w:rPr>
                <w:sz w:val="21"/>
                <w:szCs w:val="21"/>
                <w:color w:val="auto"/>
              </w:rPr>
            </w:pPr>
          </w:p>
        </w:tc>
        <w:tc>
          <w:tcPr>
            <w:tcW w:w="94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r>
      <w:tr>
        <w:trPr>
          <w:trHeight w:val="26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(1,359 )</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20" w:type="dxa"/>
            <w:vAlign w:val="bottom"/>
            <w:shd w:val="clear" w:color="auto" w:fill="CFF0FC"/>
          </w:tcPr>
          <w:p>
            <w:pPr>
              <w:spacing w:after="0"/>
              <w:rPr>
                <w:sz w:val="22"/>
                <w:szCs w:val="22"/>
                <w:color w:val="auto"/>
              </w:rPr>
            </w:pPr>
          </w:p>
        </w:tc>
        <w:tc>
          <w:tcPr>
            <w:tcW w:w="94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r>
      <w:tr>
        <w:trPr>
          <w:trHeight w:val="20"/>
        </w:trPr>
        <w:tc>
          <w:tcPr>
            <w:tcW w:w="4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50"/>
        </w:trPr>
        <w:tc>
          <w:tcPr>
            <w:tcW w:w="488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(38,514 )</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(12,253 )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(26,261 )</w:t>
            </w:r>
          </w:p>
        </w:tc>
        <w:tc>
          <w:tcPr>
            <w:tcW w:w="940" w:type="dxa"/>
            <w:vAlign w:val="bottom"/>
          </w:tcPr>
          <w:p>
            <w:pPr>
              <w:ind w:left="620"/>
              <w:spacing w:after="0"/>
              <w:rPr>
                <w:sz w:val="20"/>
                <w:szCs w:val="20"/>
                <w:color w:val="auto"/>
              </w:rPr>
            </w:pPr>
            <w:r>
              <w:rPr>
                <w:rFonts w:ascii="Arial" w:cs="Arial" w:eastAsia="Arial" w:hAnsi="Arial"/>
                <w:sz w:val="18"/>
                <w:szCs w:val="18"/>
                <w:color w:val="auto"/>
                <w:w w:val="99"/>
              </w:rPr>
              <w:t>214</w:t>
            </w:r>
          </w:p>
        </w:tc>
        <w:tc>
          <w:tcPr>
            <w:tcW w:w="260" w:type="dxa"/>
            <w:vAlign w:val="bottom"/>
          </w:tcPr>
          <w:p>
            <w:pPr>
              <w:spacing w:after="0"/>
              <w:rPr>
                <w:sz w:val="21"/>
                <w:szCs w:val="2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-862330</wp:posOffset>
            </wp:positionV>
            <wp:extent cx="14605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-862330</wp:posOffset>
            </wp:positionV>
            <wp:extent cx="12890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-862330</wp:posOffset>
            </wp:positionV>
            <wp:extent cx="12890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-193675</wp:posOffset>
            </wp:positionV>
            <wp:extent cx="14605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-193675</wp:posOffset>
            </wp:positionV>
            <wp:extent cx="12890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2890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6"/>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Dollar</w:t>
            </w:r>
          </w:p>
        </w:tc>
        <w:tc>
          <w:tcPr>
            <w:tcW w:w="11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r>
      <w:tr>
        <w:trPr>
          <w:trHeight w:val="208"/>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9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6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r>
      <w:tr>
        <w:trPr>
          <w:trHeight w:val="250"/>
        </w:trPr>
        <w:tc>
          <w:tcPr>
            <w:tcW w:w="4960" w:type="dxa"/>
            <w:vAlign w:val="bottom"/>
          </w:tcPr>
          <w:p>
            <w:pPr>
              <w:ind w:left="260"/>
              <w:spacing w:after="0"/>
              <w:rPr>
                <w:sz w:val="20"/>
                <w:szCs w:val="20"/>
                <w:color w:val="auto"/>
              </w:rPr>
            </w:pPr>
            <w:r>
              <w:rPr>
                <w:rFonts w:ascii="Arial" w:cs="Arial" w:eastAsia="Arial" w:hAnsi="Arial"/>
                <w:sz w:val="18"/>
                <w:szCs w:val="18"/>
                <w:color w:val="auto"/>
              </w:rPr>
              <w:t>ATH-1017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24,697</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6,834</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17,863</w:t>
            </w:r>
          </w:p>
        </w:tc>
        <w:tc>
          <w:tcPr>
            <w:tcW w:w="1380" w:type="dxa"/>
            <w:vAlign w:val="bottom"/>
            <w:gridSpan w:val="3"/>
          </w:tcPr>
          <w:p>
            <w:pPr>
              <w:ind w:left="800"/>
              <w:spacing w:after="0"/>
              <w:rPr>
                <w:sz w:val="20"/>
                <w:szCs w:val="20"/>
                <w:color w:val="auto"/>
              </w:rPr>
            </w:pPr>
            <w:r>
              <w:rPr>
                <w:rFonts w:ascii="Arial" w:cs="Arial" w:eastAsia="Arial" w:hAnsi="Arial"/>
                <w:sz w:val="18"/>
                <w:szCs w:val="18"/>
                <w:color w:val="auto"/>
              </w:rPr>
              <w:t>261 %</w:t>
            </w:r>
          </w:p>
        </w:tc>
      </w:tr>
      <w:tr>
        <w:trPr>
          <w:trHeight w:val="263"/>
        </w:trPr>
        <w:tc>
          <w:tcPr>
            <w:tcW w:w="4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Preclinical programs and other direct costs</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12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w w:val="99"/>
              </w:rPr>
              <w:t>949</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direct costs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w w:val="99"/>
              </w:rPr>
              <w:t>280</w:t>
            </w:r>
          </w:p>
        </w:tc>
        <w:tc>
          <w:tcPr>
            <w:tcW w:w="260" w:type="dxa"/>
            <w:vAlign w:val="bottom"/>
          </w:tcPr>
          <w:p>
            <w:pPr>
              <w:spacing w:after="0"/>
              <w:rPr>
                <w:sz w:val="21"/>
                <w:szCs w:val="21"/>
                <w:color w:val="auto"/>
              </w:rPr>
            </w:pPr>
          </w:p>
        </w:tc>
      </w:tr>
      <w:tr>
        <w:trPr>
          <w:trHeight w:val="25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Personnel-related costs, including stock-</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6"/>
        </w:trPr>
        <w:tc>
          <w:tcPr>
            <w:tcW w:w="4960" w:type="dxa"/>
            <w:vAlign w:val="bottom"/>
          </w:tcPr>
          <w:p>
            <w:pPr>
              <w:ind w:left="420"/>
              <w:spacing w:after="0"/>
              <w:rPr>
                <w:sz w:val="20"/>
                <w:szCs w:val="20"/>
                <w:color w:val="auto"/>
              </w:rPr>
            </w:pPr>
            <w:r>
              <w:rPr>
                <w:rFonts w:ascii="Arial" w:cs="Arial" w:eastAsia="Arial" w:hAnsi="Arial"/>
                <w:sz w:val="18"/>
                <w:szCs w:val="18"/>
                <w:color w:val="auto"/>
              </w:rPr>
              <w:t>based compensation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2,147</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w w:val="99"/>
              </w:rPr>
              <w:t>260</w:t>
            </w:r>
          </w:p>
        </w:tc>
        <w:tc>
          <w:tcPr>
            <w:tcW w:w="260" w:type="dxa"/>
            <w:vAlign w:val="bottom"/>
          </w:tcPr>
          <w:p>
            <w:pPr>
              <w:spacing w:after="0"/>
              <w:rPr>
                <w:sz w:val="20"/>
                <w:szCs w:val="20"/>
                <w:color w:val="auto"/>
              </w:rPr>
            </w:pPr>
          </w:p>
        </w:tc>
      </w:tr>
      <w:tr>
        <w:trPr>
          <w:trHeight w:val="263"/>
        </w:trPr>
        <w:tc>
          <w:tcPr>
            <w:tcW w:w="4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Facilities and other costs</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120" w:type="dxa"/>
            <w:vAlign w:val="bottom"/>
            <w:tcBorders>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w w:val="99"/>
              </w:rPr>
              <w:t>112</w:t>
            </w:r>
          </w:p>
        </w:tc>
        <w:tc>
          <w:tcPr>
            <w:tcW w:w="260" w:type="dxa"/>
            <w:vAlign w:val="bottom"/>
            <w:tcBorders>
              <w:bottom w:val="single" w:sz="8" w:color="CFF0FC"/>
            </w:tcBorders>
            <w:shd w:val="clear" w:color="auto" w:fill="CFF0FC"/>
          </w:tcPr>
          <w:p>
            <w:pPr>
              <w:spacing w:after="0"/>
              <w:rPr>
                <w:sz w:val="22"/>
                <w:szCs w:val="22"/>
                <w:color w:val="auto"/>
              </w:rPr>
            </w:pPr>
          </w:p>
        </w:tc>
      </w:tr>
      <w:tr>
        <w:trPr>
          <w:trHeight w:val="250"/>
        </w:trPr>
        <w:tc>
          <w:tcPr>
            <w:tcW w:w="49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30,176</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8,099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22,077</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w w:val="99"/>
              </w:rPr>
              <w:t>273</w:t>
            </w:r>
          </w:p>
        </w:tc>
        <w:tc>
          <w:tcPr>
            <w:tcW w:w="260" w:type="dxa"/>
            <w:vAlign w:val="bottom"/>
          </w:tcPr>
          <w:p>
            <w:pPr>
              <w:spacing w:after="0"/>
              <w:rPr>
                <w:sz w:val="21"/>
                <w:szCs w:val="2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-1007745</wp:posOffset>
            </wp:positionV>
            <wp:extent cx="12890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-1007745</wp:posOffset>
            </wp:positionV>
            <wp:extent cx="11112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-1007745</wp:posOffset>
            </wp:positionV>
            <wp:extent cx="11112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-193675</wp:posOffset>
            </wp:positionV>
            <wp:extent cx="1289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wp:posOffset>
            </wp:positionV>
            <wp:extent cx="11112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11112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Research and development expenses increased by $22.1 million, from $8.1 million for the nine months ended September 30, 2020 to $30.2 million for the nine months ended September 30, 2021. The increase was driven primarily by an increase in expenses for ATH-1017 of $17.9 million related to continued patient enrollment and clinical site visit activity for our Phase 2 clinical trials and the corresponding open-label extension for our Phase 2 clinical trials, an increase in personnel-related costs of $2.1 million due to an increase in headcount and stock-based compensation expense in connection with awards granted subsequent to our IPO, and an increase in preclinical research and development expenses of $1.8 million for new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increased by $12.3 million, from $2.8 million for the nine months ended September 30, 2020 to $15.1 million for the nine months ended September 30, 2021. The increase was primarily due to an increase in personnel-related costs of $4.6 million, due primarily to increases in headcount to support our continued growth and in stock-based compensation expense in connection with awards granted subsequent to our IPO, an increase in legal costs of $ 2.6 million, which includes costs related to legal proceedings and the board of directors' special committee investigation, an increase in insurance costs of $2.2 million, an increase in facilities costs of $1.0 million, an increase in business development expenses of $1.0 million, and to a lesser extent, increases in accounting, technical and consulting services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8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Grant income increased by $6.5 million, from less than $ 0.1 million for the nine months ended September 30, 2020 to $6.5 million for the nine months ended September 30, 2021. The increase was solely driven by our acceptance of the NIH grant, under which we recognized grant income of $6.5 million. Grant income recognized during the nine months ended September 30, 2020 under the Part the Cloud grant did not recur in the nine months ended September 30, 2021.</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88"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Other income (expense), net, changed from expense of $1.4 million for the nine months ended September 30, 2020 to income of $0.2 million for the nine months ended September 30, 2021. Other income for the nine months ended September 30, 2021 consisted of interest income on our available for sale securities. Other expense for the nine months ended September 30, 2020 consisted of losses on liability instruments recorded at fair value of $1.2 million, interest expense and accretion of discounts on convertible notes of $0.4 million, offset by a gain of $0.2 million on the extinguishment of convertible notes.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8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September 30, 2021, we have raised aggregate net cash proceeds of $407.4 million primarily from the issuance of our common stock, convertible preferred stock, common stock warrants, and convertible notes.</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Recent sales of our common stock were as follows.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6"/>
                <w:szCs w:val="16"/>
                <w:color w:val="auto"/>
              </w:rPr>
            </w:pPr>
          </w:p>
        </w:tc>
      </w:tr>
      <w:tr>
        <w:trPr>
          <w:trHeight w:val="203"/>
        </w:trPr>
        <w:tc>
          <w:tcPr>
            <w:tcW w:w="46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b w:val="1"/>
                <w:bCs w:val="1"/>
                <w:color w:val="auto"/>
              </w:rPr>
              <w:t>Proceeds</w:t>
            </w:r>
          </w:p>
        </w:tc>
        <w:tc>
          <w:tcPr>
            <w:tcW w:w="60" w:type="dxa"/>
            <w:vAlign w:val="bottom"/>
          </w:tcPr>
          <w:p>
            <w:pPr>
              <w:spacing w:after="0"/>
              <w:rPr>
                <w:sz w:val="17"/>
                <w:szCs w:val="17"/>
                <w:color w:val="auto"/>
              </w:rPr>
            </w:pPr>
          </w:p>
        </w:tc>
      </w:tr>
      <w:tr>
        <w:trPr>
          <w:trHeight w:val="208"/>
        </w:trPr>
        <w:tc>
          <w:tcPr>
            <w:tcW w:w="46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8"/>
                <w:szCs w:val="18"/>
                <w:color w:val="auto"/>
              </w:rPr>
            </w:pPr>
          </w:p>
        </w:tc>
      </w:tr>
      <w:tr>
        <w:trPr>
          <w:trHeight w:val="25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September 2020 IPO</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60" w:type="dxa"/>
            <w:vAlign w:val="bottom"/>
            <w:shd w:val="clear" w:color="auto" w:fill="CFF0FC"/>
          </w:tcPr>
          <w:p>
            <w:pPr>
              <w:spacing w:after="0"/>
              <w:rPr>
                <w:sz w:val="22"/>
                <w:szCs w:val="22"/>
                <w:color w:val="auto"/>
              </w:rPr>
            </w:pPr>
          </w:p>
        </w:tc>
      </w:tr>
      <w:tr>
        <w:trPr>
          <w:trHeight w:val="250"/>
        </w:trPr>
        <w:tc>
          <w:tcPr>
            <w:tcW w:w="4660" w:type="dxa"/>
            <w:vAlign w:val="bottom"/>
          </w:tcPr>
          <w:p>
            <w:pPr>
              <w:spacing w:after="0"/>
              <w:rPr>
                <w:sz w:val="20"/>
                <w:szCs w:val="20"/>
                <w:color w:val="auto"/>
              </w:rPr>
            </w:pPr>
            <w:r>
              <w:rPr>
                <w:rFonts w:ascii="Arial" w:cs="Arial" w:eastAsia="Arial" w:hAnsi="Arial"/>
                <w:sz w:val="18"/>
                <w:szCs w:val="18"/>
                <w:color w:val="auto"/>
              </w:rPr>
              <w:t>October 2020 overallotment exercise</w:t>
            </w:r>
          </w:p>
        </w:tc>
        <w:tc>
          <w:tcPr>
            <w:tcW w:w="1400" w:type="dxa"/>
            <w:vAlign w:val="bottom"/>
          </w:tcPr>
          <w:p>
            <w:pPr>
              <w:jc w:val="right"/>
              <w:spacing w:after="0"/>
              <w:rPr>
                <w:sz w:val="20"/>
                <w:szCs w:val="20"/>
                <w:color w:val="auto"/>
              </w:rPr>
            </w:pPr>
            <w:r>
              <w:rPr>
                <w:rFonts w:ascii="Arial" w:cs="Arial" w:eastAsia="Arial" w:hAnsi="Arial"/>
                <w:sz w:val="18"/>
                <w:szCs w:val="18"/>
                <w:color w:val="auto"/>
              </w:rPr>
              <w:t>1,397,712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60" w:type="dxa"/>
            <w:vAlign w:val="bottom"/>
          </w:tcPr>
          <w:p>
            <w:pPr>
              <w:spacing w:after="0"/>
              <w:rPr>
                <w:sz w:val="21"/>
                <w:szCs w:val="21"/>
                <w:color w:val="auto"/>
              </w:rPr>
            </w:pPr>
          </w:p>
        </w:tc>
      </w:tr>
      <w:tr>
        <w:trPr>
          <w:trHeight w:val="26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January 2021 follow-on public offering</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60" w:type="dxa"/>
            <w:vAlign w:val="bottom"/>
            <w:shd w:val="clear" w:color="auto" w:fill="CFF0FC"/>
          </w:tcPr>
          <w:p>
            <w:pPr>
              <w:spacing w:after="0"/>
              <w:rPr>
                <w:sz w:val="22"/>
                <w:szCs w:val="22"/>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February 2021 overallotment exercise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2"/>
                <w:szCs w:val="22"/>
                <w:color w:val="auto"/>
              </w:rPr>
            </w:pPr>
          </w:p>
        </w:tc>
      </w:tr>
      <w:tr>
        <w:trPr>
          <w:trHeight w:val="283"/>
        </w:trPr>
        <w:tc>
          <w:tcPr>
            <w:tcW w:w="4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17,997,712</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1289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1289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43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As of September 30, 2021, we had $339.4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Based upon our current operating plan, we estimate that our $339.4 million of cash, cash equivalents, and investments at September 30, 2021 will be sufficient to fund our operating expenses and capital expenditure requirements through at least the 12 months following the date of this report.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4" w:name="page35"/>
    <w:bookmarkEnd w:id="34"/>
    <w:p>
      <w:pPr>
        <w:jc w:val="both"/>
        <w:ind w:firstLine="509"/>
        <w:spacing w:after="0" w:line="269"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costs, timing and outcome of regulatory review of our product candidates;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costs related to ongoing legal proceedings;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any expenses needed to attract, hire and retain skilled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costs of operating as a public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costs associated with expanding our laboratory and office facilities;;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extent to which we acquire or in-license other companies’ product candidates and technologies.</w:t>
      </w:r>
    </w:p>
    <w:p>
      <w:pPr>
        <w:spacing w:after="0" w:line="26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(24,921 )</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(13,448 )</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(25,452 )</w:t>
            </w:r>
          </w:p>
        </w:tc>
        <w:tc>
          <w:tcPr>
            <w:tcW w:w="44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(94,310 )</w:t>
            </w:r>
          </w:p>
        </w:tc>
        <w:tc>
          <w:tcPr>
            <w:tcW w:w="0" w:type="dxa"/>
            <w:vAlign w:val="bottom"/>
          </w:tcPr>
          <w:p>
            <w:pPr>
              <w:spacing w:after="0"/>
              <w:rPr>
                <w:sz w:val="1"/>
                <w:szCs w:val="1"/>
                <w:color w:val="auto"/>
              </w:rPr>
            </w:pPr>
          </w:p>
        </w:tc>
      </w:tr>
      <w:tr>
        <w:trPr>
          <w:trHeight w:val="250"/>
        </w:trPr>
        <w:tc>
          <w:tcPr>
            <w:tcW w:w="490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97,076</w:t>
            </w:r>
          </w:p>
        </w:tc>
        <w:tc>
          <w:tcPr>
            <w:tcW w:w="2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46,703</w:t>
            </w:r>
          </w:p>
        </w:tc>
        <w:tc>
          <w:tcPr>
            <w:tcW w:w="200" w:type="dxa"/>
            <w:vAlign w:val="bottom"/>
            <w:shd w:val="clear" w:color="auto" w:fill="CFF0FC"/>
          </w:tcPr>
          <w:p>
            <w:pPr>
              <w:spacing w:after="0"/>
              <w:rPr>
                <w:sz w:val="21"/>
                <w:szCs w:val="21"/>
                <w:color w:val="auto"/>
              </w:rPr>
            </w:pP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163,669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equivalents</w:t>
            </w:r>
          </w:p>
        </w:tc>
        <w:tc>
          <w:tcPr>
            <w:tcW w:w="180" w:type="dxa"/>
            <w:vAlign w:val="bottom"/>
            <w:tcBorders>
              <w:bottom w:val="single" w:sz="8" w:color="auto"/>
            </w:tcBorders>
            <w:vMerge w:val="continue"/>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vMerge w:val="continue"/>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1289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1289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30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nine months ended September 30, 2021, net cash used in operating activities was $24.9 million. This consisted primarily of a net loss of $38.5 million, partially offset by non-cash charges of $3.9 million and a decrease in our net operating assets of $9.7 million. The non-cash charges primarily consisted of stock-based compensation expense,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5" w:name="page36"/>
    <w:bookmarkEnd w:id="35"/>
    <w:p>
      <w:pPr>
        <w:jc w:val="both"/>
        <w:spacing w:after="0" w:line="271" w:lineRule="auto"/>
        <w:rPr>
          <w:sz w:val="20"/>
          <w:szCs w:val="20"/>
          <w:color w:val="auto"/>
        </w:rPr>
      </w:pPr>
      <w:r>
        <w:rPr>
          <w:rFonts w:ascii="Arial" w:cs="Arial" w:eastAsia="Arial" w:hAnsi="Arial"/>
          <w:sz w:val="18"/>
          <w:szCs w:val="18"/>
          <w:color w:val="auto"/>
        </w:rPr>
        <w:t>depreciation expense, and accretion of discounts on our convertible notes. The decrease in our net operating assets was due to a decrease in prepaid expenses and other current assets and an increase in accounts payable and accrued expenses, partially offset by an increase in unbilled grant receivable.</w:t>
      </w:r>
    </w:p>
    <w:p>
      <w:pPr>
        <w:spacing w:after="0" w:line="23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During the nine months ended September 30, 2020, net cash used in operating activities was $13.4 million. This consisted primarily of a net loss of $12.3 million, partially offset by non-cash charges of $1.7 million and an increase in our net operating assets of $2.9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an increase in accounts payable and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2021, net cash used in investing was $25.5 million. This consisted of purchases of available-for-sale securities, partially offset by maturities and proceeds from sales of available-for-sale securities.</w:t>
      </w:r>
    </w:p>
    <w:p>
      <w:pPr>
        <w:spacing w:after="0" w:line="22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2020, net cash used in investing activities was $94.3 million. This consisted of purchases of available-for-sale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nine months ended September 30, 2021, net cash provided by financing activities was $97.1 million, primarily driven by proceeds received from our follow-on public offering, and to a lesser extent from exercises of stock options.</w:t>
      </w:r>
    </w:p>
    <w:p>
      <w:pPr>
        <w:spacing w:after="0" w:line="22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During the nine months ended September 30, 2020, net cash provided by financing activities was $271.4 million. This consisted primarily of net proceeds received from our IPO of $187.2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303(d) of Regulation 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8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4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6" w:name="page37"/>
    <w:bookmarkEnd w:id="36"/>
    <w:p>
      <w:pPr>
        <w:jc w:val="both"/>
        <w:ind w:firstLine="509"/>
        <w:spacing w:after="0" w:line="268" w:lineRule="auto"/>
        <w:rPr>
          <w:sz w:val="20"/>
          <w:szCs w:val="20"/>
          <w:color w:val="auto"/>
        </w:rPr>
      </w:pPr>
      <w:r>
        <w:rPr>
          <w:rFonts w:ascii="Arial" w:cs="Arial" w:eastAsia="Arial" w:hAnsi="Arial"/>
          <w:sz w:val="18"/>
          <w:szCs w:val="18"/>
          <w:color w:val="auto"/>
        </w:rPr>
        <w:t>During the nine months ended September 30, 2021,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25, 2021 and Note 2 to our unaudited condensed consolidated financial statements included in “Part I, Item 1—Financial Statements (Unaudited)” of this Quarterly Report on Form 10-Q. We believe that of our critical accounting policies, the following accounting policies involve the most judgment and complexity:</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Research and Development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Stock-based Compensation;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Income Taxes.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See Note 2 to our unaudited interim condensed consolidated financial statements included elsewhere in this Quarterly Report on Form 10-Q for 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8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a smaller reporting company, we are not required to provide the information requested by this item pursuant to Item 305 of Regulation 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8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25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Quarterly Report. Based upon such evaluation, our principal executive officer and principal financial and accounting officer have concluded that our disclosure controls and procedures were effective at the reasonable assurance level as of such date.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8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2021,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0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From time to time, we are subject to various legal proceedings or claims that arise in the ordinary course of business. The following is a brief description of the more significant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w:t>
      </w:r>
    </w:p>
    <w:p>
      <w:pPr>
        <w:spacing w:after="0" w:line="3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On June 25, 2021, plaintiffs Fan Wang and Hang Gao filed a putative securities class action lawsuit in the U.S. District Court for the Western District of Washington against us and our former Chief Executive Officer, Dr. Leen Kawas, captioned </w:t>
      </w:r>
      <w:r>
        <w:rPr>
          <w:rFonts w:ascii="Arial" w:cs="Arial" w:eastAsia="Arial" w:hAnsi="Arial"/>
          <w:sz w:val="18"/>
          <w:szCs w:val="18"/>
          <w:i w:val="1"/>
          <w:iCs w:val="1"/>
          <w:color w:val="auto"/>
        </w:rPr>
        <w:t>Wang v. Athira Pharma,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2:21-cv-00861. Plaintiffs Wang and Gao assert claims under Sections 10(b) and 20(a) of the Securities Exchange Act of 1934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 Rule 10b-5, alleging that the defendants made materially false and misleading statements and omitted material adverse facts regarding our business. Specifically, the </w:t>
      </w:r>
      <w:r>
        <w:rPr>
          <w:rFonts w:ascii="Arial" w:cs="Arial" w:eastAsia="Arial" w:hAnsi="Arial"/>
          <w:sz w:val="18"/>
          <w:szCs w:val="18"/>
          <w:i w:val="1"/>
          <w:iCs w:val="1"/>
          <w:color w:val="auto"/>
        </w:rPr>
        <w:t>Wang</w:t>
      </w:r>
      <w:r>
        <w:rPr>
          <w:rFonts w:ascii="Arial" w:cs="Arial" w:eastAsia="Arial" w:hAnsi="Arial"/>
          <w:sz w:val="18"/>
          <w:szCs w:val="18"/>
          <w:color w:val="auto"/>
        </w:rPr>
        <w:t xml:space="preserve"> plaintiffs allege that we failed to disclose to investors that certain research conducted by Dr. Kawas was allegedly tainted by scientific misconduct during her doctoral work at Washington State University, or WSU, including the manipulation of data, and that as a result, the defendants’ positive statements about our business, operations, and prospects were materially misleading. The </w:t>
      </w:r>
      <w:r>
        <w:rPr>
          <w:rFonts w:ascii="Arial" w:cs="Arial" w:eastAsia="Arial" w:hAnsi="Arial"/>
          <w:sz w:val="18"/>
          <w:szCs w:val="18"/>
          <w:i w:val="1"/>
          <w:iCs w:val="1"/>
          <w:color w:val="auto"/>
        </w:rPr>
        <w:t xml:space="preserve">Wang </w:t>
      </w:r>
      <w:r>
        <w:rPr>
          <w:rFonts w:ascii="Arial" w:cs="Arial" w:eastAsia="Arial" w:hAnsi="Arial"/>
          <w:sz w:val="18"/>
          <w:szCs w:val="18"/>
          <w:color w:val="auto"/>
        </w:rPr>
        <w:t>plaintiffs seek unspecified compensatory and punitive damages, and reasonable costs and expenses, including attorneys’ fees.</w:t>
      </w:r>
    </w:p>
    <w:p>
      <w:pPr>
        <w:spacing w:after="0" w:line="2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That same day, on June 25, 2021, plaintiff Harshdeep Jawandha filed a putative securities class action lawsuit in the U.S. District Court for the Western District of Washington against us, Dr. Kawas, the Company’s Chief Financial Officer, certain members of our board of directors at the time of our IPO, as well as the IPO underwriters, captioned </w:t>
      </w:r>
      <w:r>
        <w:rPr>
          <w:rFonts w:ascii="Arial" w:cs="Arial" w:eastAsia="Arial" w:hAnsi="Arial"/>
          <w:sz w:val="18"/>
          <w:szCs w:val="18"/>
          <w:i w:val="1"/>
          <w:iCs w:val="1"/>
          <w:color w:val="auto"/>
        </w:rPr>
        <w:t>Jawandha v. Athira Pharma, Inc., et al.</w:t>
      </w:r>
      <w:r>
        <w:rPr>
          <w:rFonts w:ascii="Arial" w:cs="Arial" w:eastAsia="Arial" w:hAnsi="Arial"/>
          <w:sz w:val="18"/>
          <w:szCs w:val="18"/>
          <w:color w:val="auto"/>
        </w:rPr>
        <w:t xml:space="preserve">, No. 2:21-cv-00862. The </w:t>
      </w:r>
      <w:r>
        <w:rPr>
          <w:rFonts w:ascii="Arial" w:cs="Arial" w:eastAsia="Arial" w:hAnsi="Arial"/>
          <w:sz w:val="18"/>
          <w:szCs w:val="18"/>
          <w:i w:val="1"/>
          <w:iCs w:val="1"/>
          <w:color w:val="auto"/>
        </w:rPr>
        <w:t xml:space="preserve">Jawandha </w:t>
      </w:r>
      <w:r>
        <w:rPr>
          <w:rFonts w:ascii="Arial" w:cs="Arial" w:eastAsia="Arial" w:hAnsi="Arial"/>
          <w:sz w:val="18"/>
          <w:szCs w:val="18"/>
          <w:color w:val="auto"/>
        </w:rPr>
        <w:t>complaint asserts violations of Sections 11 and 15 of the Securities Act of 1933, alleging that that our IPO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was materially false and misleading because it omitted to state that certain of Dr. Kawas’s published doctoral research papers at WSU contained allegedly improperly altered images, that the research was allegedly foundational to Athira’s efforts to develop treatments for Alzheimer’s, that, as a result, and that the defendants’ positive statements about our business, operations, and prospects were materially misleading. The plaintiff seeks unspecified compensatory damages, and reasonable costs and expenses, including attorneys’ fees.</w:t>
      </w:r>
    </w:p>
    <w:p>
      <w:pPr>
        <w:spacing w:after="0" w:line="23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Also on June 25, 2021, plaintiffs Timothy Slyne and Tai Slyne filed a putative securities class action lawsuit in the U.S. District Court for the Western District of Washington against us, Dr. Kawas, our Chief Financial Officer, and the same members of our board of directors and underwriters as in the </w:t>
      </w:r>
      <w:r>
        <w:rPr>
          <w:rFonts w:ascii="Arial" w:cs="Arial" w:eastAsia="Arial" w:hAnsi="Arial"/>
          <w:sz w:val="18"/>
          <w:szCs w:val="18"/>
          <w:i w:val="1"/>
          <w:iCs w:val="1"/>
          <w:color w:val="auto"/>
        </w:rPr>
        <w:t>Jawandha</w:t>
      </w:r>
      <w:r>
        <w:rPr>
          <w:rFonts w:ascii="Arial" w:cs="Arial" w:eastAsia="Arial" w:hAnsi="Arial"/>
          <w:sz w:val="18"/>
          <w:szCs w:val="18"/>
          <w:color w:val="auto"/>
        </w:rPr>
        <w:t xml:space="preserve"> complaint, captioned </w:t>
      </w:r>
      <w:r>
        <w:rPr>
          <w:rFonts w:ascii="Arial" w:cs="Arial" w:eastAsia="Arial" w:hAnsi="Arial"/>
          <w:sz w:val="18"/>
          <w:szCs w:val="18"/>
          <w:i w:val="1"/>
          <w:iCs w:val="1"/>
          <w:color w:val="auto"/>
        </w:rPr>
        <w:t>Slyne v. Athira Pharma, Inc. et al.</w:t>
      </w:r>
      <w:r>
        <w:rPr>
          <w:rFonts w:ascii="Arial" w:cs="Arial" w:eastAsia="Arial" w:hAnsi="Arial"/>
          <w:sz w:val="18"/>
          <w:szCs w:val="18"/>
          <w:color w:val="auto"/>
        </w:rPr>
        <w:t xml:space="preserve">, No. 2:21-cv-00864.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complaint asserts violations of Sections 11 and 15 of the Securities Act of 1933, alleging that purported issues with Dr. Kawas’s doctoral research at WSU should have been disclosed in our IPO registration statement. The </w:t>
      </w:r>
      <w:r>
        <w:rPr>
          <w:rFonts w:ascii="Arial" w:cs="Arial" w:eastAsia="Arial" w:hAnsi="Arial"/>
          <w:sz w:val="18"/>
          <w:szCs w:val="18"/>
          <w:i w:val="1"/>
          <w:iCs w:val="1"/>
          <w:color w:val="auto"/>
        </w:rPr>
        <w:t>Slyne</w:t>
      </w:r>
      <w:r>
        <w:rPr>
          <w:rFonts w:ascii="Arial" w:cs="Arial" w:eastAsia="Arial" w:hAnsi="Arial"/>
          <w:sz w:val="18"/>
          <w:szCs w:val="18"/>
          <w:color w:val="auto"/>
        </w:rPr>
        <w:t xml:space="preserve"> plaintiffs seek unspecified compensatory damages, reasonable costs and expenses, including attorneys’ fees, and injunctive and other equitable relief.</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On August 9, 2021, the Honorable Judge Thomas S. Zilly, the district judge presiding over </w:t>
      </w:r>
      <w:r>
        <w:rPr>
          <w:rFonts w:ascii="Arial" w:cs="Arial" w:eastAsia="Arial" w:hAnsi="Arial"/>
          <w:sz w:val="18"/>
          <w:szCs w:val="18"/>
          <w:i w:val="1"/>
          <w:iCs w:val="1"/>
          <w:color w:val="auto"/>
        </w:rPr>
        <w:t>Wang v. Athira Pharma, Inc., et al.</w:t>
      </w:r>
      <w:r>
        <w:rPr>
          <w:rFonts w:ascii="Arial" w:cs="Arial" w:eastAsia="Arial" w:hAnsi="Arial"/>
          <w:sz w:val="18"/>
          <w:szCs w:val="18"/>
          <w:color w:val="auto"/>
        </w:rPr>
        <w:t>, No.</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2:21-cv-00861, issued an order consolidating the three cases under that case number and postponing a response from defendants until after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a lead plaintiff and the submission or designation of a consolidated complaint. On October 5, 2021, the district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 an order appointing lead plaintiffs and approved their selection of lead and liaison counsel.</w:t>
      </w:r>
    </w:p>
    <w:p>
      <w:pPr>
        <w:spacing w:after="0" w:line="2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cannot predict the outcome of these suits. Failure by us to obtain a favorable resolution of these suits could have a material adverse effect on our business, results of operations and financial condition.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1A. Risk Factors.</w:t>
      </w:r>
    </w:p>
    <w:p>
      <w:pPr>
        <w:spacing w:after="0" w:line="2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231F20"/>
        </w:rPr>
        <w:t xml:space="preserve">You should carefully consider the </w:t>
      </w:r>
      <w:r>
        <w:rPr>
          <w:rFonts w:ascii="Arial" w:cs="Arial" w:eastAsia="Arial" w:hAnsi="Arial"/>
          <w:sz w:val="18"/>
          <w:szCs w:val="18"/>
          <w:i w:val="1"/>
          <w:iCs w:val="1"/>
          <w:color w:val="231F20"/>
        </w:rPr>
        <w:t>following risk factors, in addition to</w:t>
      </w:r>
      <w:r>
        <w:rPr>
          <w:rFonts w:ascii="Arial" w:cs="Arial" w:eastAsia="Arial" w:hAnsi="Arial"/>
          <w:sz w:val="18"/>
          <w:szCs w:val="18"/>
          <w:color w:val="231F20"/>
        </w:rPr>
        <w:t xml:space="preserve"> the other information </w:t>
      </w:r>
      <w:r>
        <w:rPr>
          <w:rFonts w:ascii="Arial" w:cs="Arial" w:eastAsia="Arial" w:hAnsi="Arial"/>
          <w:sz w:val="18"/>
          <w:szCs w:val="18"/>
          <w:i w:val="1"/>
          <w:iCs w:val="1"/>
          <w:color w:val="231F20"/>
        </w:rPr>
        <w:t>contained in this Quarterly Report on Form</w:t>
      </w:r>
      <w:r>
        <w:rPr>
          <w:rFonts w:ascii="Arial" w:cs="Arial" w:eastAsia="Arial" w:hAnsi="Arial"/>
          <w:sz w:val="18"/>
          <w:szCs w:val="18"/>
          <w:color w:val="231F20"/>
        </w:rPr>
        <w:t xml:space="preserve"> </w:t>
      </w:r>
      <w:r>
        <w:rPr>
          <w:rFonts w:ascii="Arial" w:cs="Arial" w:eastAsia="Arial" w:hAnsi="Arial"/>
          <w:sz w:val="18"/>
          <w:szCs w:val="18"/>
          <w:i w:val="1"/>
          <w:iCs w:val="1"/>
          <w:color w:val="231F20"/>
        </w:rPr>
        <w:t>10-Q, or Quarterly Report</w:t>
      </w:r>
      <w:r>
        <w:rPr>
          <w:rFonts w:ascii="Arial" w:cs="Arial" w:eastAsia="Arial" w:hAnsi="Arial"/>
          <w:sz w:val="18"/>
          <w:szCs w:val="18"/>
          <w:color w:val="231F20"/>
        </w:rPr>
        <w:t>, including the “Management’s Discussion and Analysis of Financial Condition and Results of Operations”</w:t>
      </w:r>
      <w:r>
        <w:rPr>
          <w:rFonts w:ascii="Arial" w:cs="Arial" w:eastAsia="Arial" w:hAnsi="Arial"/>
          <w:sz w:val="18"/>
          <w:szCs w:val="18"/>
          <w:i w:val="1"/>
          <w:iCs w:val="1"/>
          <w:color w:val="231F20"/>
        </w:rPr>
        <w:t xml:space="preserve"> 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Quarterly Report also contains forward-looking statements that involve risks and uncertainties. Our actual results could differ materially from those anticipated in the forward-looking statements as a result of factors that are described below and elsewhere in this Quarterly Report. </w:t>
      </w:r>
      <w:r>
        <w:rPr>
          <w:rFonts w:ascii="Arial" w:cs="Arial" w:eastAsia="Arial" w:hAnsi="Arial"/>
          <w:sz w:val="18"/>
          <w:szCs w:val="18"/>
          <w:i w:val="1"/>
          <w:iCs w:val="1"/>
          <w:color w:val="000000"/>
        </w:rPr>
        <w:t>Our Risk Factors are not guarantees that no such conditions exist as of the date of this Quarterly Report and should not be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interpreted as an affirmative statement that such risks or conditions have not materialized, in whole or in part.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2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1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21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100"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COVID-19 or other causes;</w:t>
      </w:r>
    </w:p>
    <w:p>
      <w:pPr>
        <w:spacing w:after="0" w:line="95"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39" w:name="page40"/>
    <w:bookmarkEnd w:id="39"/>
    <w:p>
      <w:pPr>
        <w:ind w:left="960"/>
        <w:spacing w:after="0"/>
        <w:rPr>
          <w:sz w:val="20"/>
          <w:szCs w:val="20"/>
          <w:color w:val="auto"/>
        </w:rPr>
      </w:pPr>
      <w:r>
        <w:rPr>
          <w:rFonts w:ascii="Arial" w:cs="Arial" w:eastAsia="Arial" w:hAnsi="Arial"/>
          <w:sz w:val="18"/>
          <w:szCs w:val="18"/>
          <w:color w:val="auto"/>
        </w:rPr>
        <w:t>making any required post-marketing approval commitments to applicable regulatory authorities;</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89" w:lineRule="exact"/>
        <w:rPr>
          <w:sz w:val="20"/>
          <w:szCs w:val="20"/>
          <w:color w:val="auto"/>
        </w:rPr>
      </w:pPr>
    </w:p>
    <w:p>
      <w:pPr>
        <w:ind w:left="960" w:right="1600"/>
        <w:spacing w:after="0" w:line="391" w:lineRule="auto"/>
        <w:rPr>
          <w:sz w:val="20"/>
          <w:szCs w:val="20"/>
          <w:color w:val="auto"/>
        </w:rPr>
      </w:pPr>
      <w:r>
        <w:rPr>
          <w:rFonts w:ascii="Arial" w:cs="Arial" w:eastAsia="Arial" w:hAnsi="Arial"/>
          <w:sz w:val="18"/>
          <w:szCs w:val="18"/>
          <w:color w:val="auto"/>
        </w:rPr>
        <w:t>a continued acceptable safety profile following any marketing approval of our product candidates; commercial acceptance of our product candidates by patients, the medical community and third-party payors; identifying, assessing and developing new product candidates;</w:t>
      </w:r>
    </w:p>
    <w:p>
      <w:pPr>
        <w:spacing w:after="0" w:line="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protecting our rights in our intellectual property portfolio;</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defending against third-party interference or infringement claims, if any;</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89" w:lineRule="exact"/>
        <w:rPr>
          <w:sz w:val="20"/>
          <w:szCs w:val="20"/>
          <w:color w:val="auto"/>
        </w:rPr>
      </w:pPr>
    </w:p>
    <w:p>
      <w:pPr>
        <w:ind w:left="960" w:right="3420"/>
        <w:spacing w:after="0" w:line="402" w:lineRule="auto"/>
        <w:rPr>
          <w:sz w:val="20"/>
          <w:szCs w:val="20"/>
          <w:color w:val="auto"/>
        </w:rPr>
      </w:pPr>
      <w:r>
        <w:rPr>
          <w:rFonts w:ascii="Arial" w:cs="Arial" w:eastAsia="Arial" w:hAnsi="Arial"/>
          <w:sz w:val="18"/>
          <w:szCs w:val="18"/>
          <w:color w:val="auto"/>
        </w:rPr>
        <w:t>addressing any competing therapies and technological and market developments; and attracting, hiring and retaining qualified personnel.</w:t>
      </w:r>
    </w:p>
    <w:p>
      <w:pPr>
        <w:spacing w:after="0" w:line="13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23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24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2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marketing approval;</w:t>
      </w:r>
    </w:p>
    <w:p>
      <w:pPr>
        <w:spacing w:after="0" w:line="131"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3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1a/1b clinical trial,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22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Parkinson’s disease dementia, or PDD.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24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1a/b clinical trial, which enrolled 88 subjects, including only 11 patients with mild to moderate AD, of whom seven patients were treated with ATH-1017 and the other four patients were randomized to the control. Data from our Phase 1a/1b clinical trial, while promising, were obtained from a relatively small number of subjects and a single clinical site and we cannot be certain that future trials involving a larger number of subjects and clinical sites will yield similar data. Additionally, in our Phase 1a/1b clinical trial,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1a/1b clinical trial,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this trial,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3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have focused our research and development efforts on addressing central nervous system, or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t>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An independent special committee of our board of directors engaged in a review of papers co-authored by our former chief executive officer in connection with her doctoral research at Washington State University and found that she altered images in her 2011 doctoral dissertation and at least four research papers that she co-authored while a graduate student at Washington State University, and published from 2011 to 2014.</w:t>
      </w:r>
    </w:p>
    <w:p>
      <w:pPr>
        <w:spacing w:after="0" w:line="23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 independent special committee of our board of directors engaged in a review of papers co-authored by our former chief executive officer, Dr. Leen Kawas, in connection with her doctoral research at WSU, including, among other things, an investigation of allegations that Dr. Kawas altered images used in research published by Dr. Kawas in connection with her doctoral studies.</w:t>
      </w:r>
    </w:p>
    <w:p>
      <w:pPr>
        <w:spacing w:after="0" w:line="24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The independent special committee’s primary finding was that our former chief executive officer altered images in her 2011 doctoral dissertation and at least four research papers that she co-authored while a graduate student at WSU, and published from 2011 to 2014. While the conduct that was the subject of the allegations is not related to any of our current product candidates or ongoing clinical research, this finding could have a material adverse effect on our reputation, our in-licensed patents and pending patent applications, licenses and grants, and could lead to further investigation from government agencies, including the FDA, any of which could have a material adverse impact on our business and prospects. As discussed under “</w:t>
      </w:r>
      <w:r>
        <w:rPr>
          <w:rFonts w:ascii="Arial" w:cs="Arial" w:eastAsia="Arial" w:hAnsi="Arial"/>
          <w:sz w:val="18"/>
          <w:szCs w:val="18"/>
          <w:i w:val="1"/>
          <w:iCs w:val="1"/>
          <w:color w:val="auto"/>
        </w:rPr>
        <w:t>—The loss of any of our key personnel could significantly harm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and competitive position,</w:t>
      </w:r>
      <w:r>
        <w:rPr>
          <w:rFonts w:ascii="Arial" w:cs="Arial" w:eastAsia="Arial" w:hAnsi="Arial"/>
          <w:sz w:val="18"/>
          <w:szCs w:val="18"/>
          <w:color w:val="auto"/>
        </w:rPr>
        <w:t>” on October 18, 2021, Dr. Kawas submitted her resignation as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as a member of our board of directors, effective October 18, 2021. Concurrently with Dr. Kawas’s resignation, our board of directors appointed Mark Litton, Ph.D., MBA as president and chief executive officer and as a member of our board of directors.</w:t>
      </w:r>
    </w:p>
    <w:p>
      <w:pPr>
        <w:spacing w:after="0" w:line="21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As disclosed elsewhere in this report, including in this “Risk Factors” section under the heading “</w:t>
      </w:r>
      <w:r>
        <w:rPr>
          <w:rFonts w:ascii="Arial" w:cs="Arial" w:eastAsia="Arial" w:hAnsi="Arial"/>
          <w:sz w:val="18"/>
          <w:szCs w:val="18"/>
          <w:i w:val="1"/>
          <w:iCs w:val="1"/>
          <w:color w:val="auto"/>
        </w:rPr>
        <w:t>—We and certain of our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have been named as defendants in lawsuits that could result in substantial costs and divert management’s attention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in “Part II, Item 1—Legal Proceedings,” lawsuits have been filed against us and certain of our directors and officers, alleging violations of federal securities laws related to alleged false and misleading statements in connection with the alleged misconduct of Dr. Kawas and others associated with us. As a result of these allegations and the ongoing litigation against us and certain of our directors and officers and related matters, we have been the subject of negative publicity. This negative publicity may harm our credibility, reputation and relationships with current and future investors, government regulators, patent offices, courts, current and prospective employees, key opinion leaders, prospective collaborators, advocacy groups, current and future patients enrolled in our clinical trials, physicians and prospective patients and vendors. For example, this negative publicity may adversely affect our ability to recruit and hire talented employees, maintain existing business relationships with CROs, clinical trial sites and other parties, enter into new business relationships, enroll patients in our clinical trials, and maintain a viable business in the future. Also, it is possible that the negative publicity and its effect on our work environment could cause our employees to terminate their employment or, if they remain employed by us, result in reduced morale that could have a material adverse effect on our business. In addition, negative publicity has and may continue to adversely affect our stock price and, therefore, employees and prospective employees may be less inclined to seek or continue employment with us. As a result, our business, financial condition, results of operations and cash flows could be materially adversely affected.</w:t>
      </w:r>
    </w:p>
    <w:p>
      <w:pPr>
        <w:spacing w:after="0" w:line="22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Washington State University has undertaken a review of claims of potential research misconduct involving our former chief executive officer’s doctoral research at Washington State University.</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In addition to the investigation of the independent special committee of our board of directors noted above, WSU has also announced that it has undertaken a review of claims of potential research misconduct involving research conducted by Dr. Kawas during her doctoral studies at WSU. We understand this review is ongoing, and at this time we cannot predict what, if any, effect the investigation will ultimately have on our business and reputation. We are also unable to predict with any certainty when WSU’s investigation will be completed. It is possible that the ongoing investigation by WSU will come to different conclusions, or uncover additional or different information, than the investigation of the independent special committee of our board of directors, the conclusions of which are discussed under “—</w:t>
      </w:r>
      <w:r>
        <w:rPr>
          <w:rFonts w:ascii="Arial" w:cs="Arial" w:eastAsia="Arial" w:hAnsi="Arial"/>
          <w:sz w:val="18"/>
          <w:szCs w:val="18"/>
          <w:i w:val="1"/>
          <w:iCs w:val="1"/>
          <w:color w:val="auto"/>
        </w:rPr>
        <w:t>An</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special committee of our board of directors engaged in a review of papers co-authored by our former chief executive officer in connection with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2" w:name="page43"/>
    <w:bookmarkEnd w:id="42"/>
    <w:p>
      <w:pPr>
        <w:jc w:val="both"/>
        <w:spacing w:after="0" w:line="274" w:lineRule="auto"/>
        <w:rPr>
          <w:sz w:val="20"/>
          <w:szCs w:val="20"/>
          <w:color w:val="auto"/>
        </w:rPr>
      </w:pPr>
      <w:r>
        <w:rPr>
          <w:rFonts w:ascii="Arial" w:cs="Arial" w:eastAsia="Arial" w:hAnsi="Arial"/>
          <w:sz w:val="18"/>
          <w:szCs w:val="18"/>
          <w:i w:val="1"/>
          <w:iCs w:val="1"/>
          <w:color w:val="auto"/>
        </w:rPr>
        <w:t>her doctoral research at Washington State University and found that she altered images in her 2011 doctoral dissertation and at least four research papers that she co-authored while a graduate student at Washington State University, and published from 2011 to 2014</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conclusions from WSU’s investigation could have a material adverse impact on our business, reputation, and prospects, as well as our in-licensed patents and pending patent applications, current grants and pending grant applications, and our relationship with WSU, from whom we in-license patents underlying certain of our product candidates.</w:t>
      </w:r>
    </w:p>
    <w:p>
      <w:pPr>
        <w:spacing w:after="0" w:line="205"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3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PDD. Our additional product candidates, including ATH-1019 and ATH-1020, are in nonclinical development. It is impossible to predict when or if any of our product candidates will prove to be effective and safe in humans or will receive regulatory approval.</w:t>
      </w:r>
    </w:p>
    <w:p>
      <w:pPr>
        <w:spacing w:after="0" w:line="244" w:lineRule="exact"/>
        <w:rPr>
          <w:sz w:val="20"/>
          <w:szCs w:val="20"/>
          <w:color w:val="auto"/>
        </w:rPr>
      </w:pPr>
    </w:p>
    <w:p>
      <w:pPr>
        <w:jc w:val="both"/>
        <w:ind w:firstLine="509"/>
        <w:spacing w:after="0" w:line="229" w:lineRule="exact"/>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in the first half of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w:t>
      </w:r>
      <w:r>
        <w:rPr>
          <w:rFonts w:ascii="MS PGothic" w:cs="MS PGothic" w:eastAsia="MS PGothic" w:hAnsi="MS PGothic"/>
          <w:sz w:val="18"/>
          <w:szCs w:val="18"/>
          <w:color w:val="auto"/>
        </w:rPr>
        <w:t>‑</w:t>
      </w:r>
      <w:r>
        <w:rPr>
          <w:rFonts w:ascii="Arial" w:cs="Arial" w:eastAsia="Arial" w:hAnsi="Arial"/>
          <w:sz w:val="18"/>
          <w:szCs w:val="18"/>
          <w:color w:val="auto"/>
        </w:rPr>
        <w:t>AD and LIFT-AD trials,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2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25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July 6, 2021, we announced the initiation of open-label extensions for the LIFT-AD and ACT-AD trials. Following completion of the 26-week treatment period during the LIFT-AD or ACT-AD trials, patients may elect to continue 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8"/>
          <w:szCs w:val="18"/>
          <w:color w:val="auto"/>
        </w:rPr>
        <w:t>open-label extension and receive treatment with ATH-1017 for up to an additional 26 weeks. Investigators and patients will remain blinded to treatment group assignment in the original trials. Such open-label extension studies are, and some of the clinical trials we conduct in the future may be, open-label in study design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2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FDA or comparable foreign regulatory authorities disagreeing with our ATH clinical development strategy or statistical plan;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governmental regulations or administrative actions;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in our ability to commence a clinical trial;</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IRB approval at each clinical trial site;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recruiting an adequate number of suitable patients to participate in a clinical trial;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having subjects complete a clinical trial or return for post-treatment follow-up;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clinical trial sites deviating from clinical trial protocol or dropping out of a clinical trial;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to demonstrate a benefit from using a product candidate;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addressing subject safety concerns that arise during the course of a clinical trial;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adding a sufficient number of clinical trial sites;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27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4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8"/>
          <w:szCs w:val="18"/>
          <w:color w:val="auto"/>
        </w:rPr>
        <w:t>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23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incur unplanned costs;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delayed in or prevented from obtaining marketing approval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approval for indications or patient populations that are not as broad as intended or desired;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subject to changes in the way the product is administered;</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subject to the addition of labeling statements, such as warnings or contraindications;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be sued;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experience damage to our reputation.</w:t>
      </w:r>
    </w:p>
    <w:p>
      <w:pPr>
        <w:spacing w:after="0" w:line="24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3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46" w:lineRule="exact"/>
        <w:rPr>
          <w:sz w:val="20"/>
          <w:szCs w:val="20"/>
          <w:color w:val="auto"/>
        </w:rPr>
      </w:pPr>
    </w:p>
    <w:p>
      <w:pPr>
        <w:jc w:val="both"/>
        <w:ind w:firstLine="515"/>
        <w:spacing w:after="0" w:line="253"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246"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in the first half of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5" w:name="page46"/>
    <w:bookmarkEnd w:id="45"/>
    <w:p>
      <w:pPr>
        <w:jc w:val="both"/>
        <w:ind w:firstLine="515"/>
        <w:spacing w:after="0" w:line="252"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24"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0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24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If we are delayed or unsuccessful in enrolling the desired number of subjects in our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For example, enrollment in our ongoing clinical trials has been slowed due to the effects of the COVID-19 pandemic, including governmental restrictions imposed in Australia, where certain of our clinical trial sites are located. In our ACT-AD clinical trial, this slowed recruitment resulted in a change in the anticipated timing of top-line results from our Phase 2 ACT-AD clinical trial, which are currently expected by the first half of 2022. We have since completed enrollment in the ACT-AD clinical trial, but we cannot ensure that similar enrollment issues will not occur again in the future. Even if we are successful in enrolling the targeted number of subjects in our trials, the FDA and other regulators may request additional clinical trials with larger numbers of subjects as a condition to any regulatory approval.</w:t>
      </w:r>
    </w:p>
    <w:p>
      <w:pPr>
        <w:spacing w:after="0" w:line="26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Enrollment of patients in our clinical trials may be further delayed or limited as our clinical trial sites limit their onsite staff or temporarily close as a result of the COVID-19 pandemic, including in response to the emergence of any new variants thereof.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23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2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23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6" w:name="page47"/>
    <w:bookmarkEnd w:id="46"/>
    <w:p>
      <w:pPr>
        <w:jc w:val="both"/>
        <w:spacing w:after="0" w:line="268" w:lineRule="auto"/>
        <w:rPr>
          <w:sz w:val="20"/>
          <w:szCs w:val="20"/>
          <w:color w:val="auto"/>
        </w:rPr>
      </w:pPr>
      <w:r>
        <w:rPr>
          <w:rFonts w:ascii="Arial" w:cs="Arial" w:eastAsia="Arial" w:hAnsi="Arial"/>
          <w:sz w:val="18"/>
          <w:szCs w:val="18"/>
          <w:color w:val="auto"/>
        </w:rPr>
        <w:t>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233" w:lineRule="exact"/>
        <w:rPr>
          <w:sz w:val="20"/>
          <w:szCs w:val="20"/>
          <w:color w:val="auto"/>
        </w:rPr>
      </w:pPr>
    </w:p>
    <w:p>
      <w:pPr>
        <w:jc w:val="both"/>
        <w:ind w:firstLine="509"/>
        <w:spacing w:after="0" w:line="228" w:lineRule="exact"/>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“Business —Competition”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on March 25, 2021.</w:t>
      </w:r>
    </w:p>
    <w:p>
      <w:pPr>
        <w:spacing w:after="0" w:line="24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25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7" w:name="page48"/>
    <w:bookmarkEnd w:id="47"/>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2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generating sufficient data to support the initiation or continuation of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obtaining regulatory permission to initiate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contracting with the necessary parties to conduct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successful enrollment of patients in, and the completion of, clinical trials on a timely basis;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adverse events in the clinical trials.</w:t>
      </w:r>
    </w:p>
    <w:p>
      <w:pPr>
        <w:spacing w:after="0" w:line="27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1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4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significantly harm our business, results of operations and competitive position.</w:t>
      </w:r>
    </w:p>
    <w:p>
      <w:pPr>
        <w:spacing w:after="0" w:line="3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intense. The loss of one or more of these key employees, or our inability to hire additional key personnel when needed, could have a material adverse effect on our business and prospects.</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June 2021 our board of directors placed Dr. Leen Kawas, our then chief executive officer, on temporary leave pending a review of papers co-authored by Dr. Kawas in connection with her doctoral research at WSU, among other things. An independent special committee of our board of directors, assisted by independent legal counsel, conducted an investigation of allegations raised regarding doctoral research by Dr. Kawas conducted while at WSU, as well as related matters. The special committee’s primary finding was that Dr. Kawas altered images in her 2011 doctoral dissertation and at least four research papers that she co-authored while a graduate student at WSU, and published from 2011 to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48" w:name="page49"/>
    <w:bookmarkEnd w:id="48"/>
    <w:p>
      <w:pPr>
        <w:jc w:val="both"/>
        <w:ind w:firstLine="509"/>
        <w:spacing w:after="0" w:line="269" w:lineRule="auto"/>
        <w:rPr>
          <w:sz w:val="20"/>
          <w:szCs w:val="20"/>
          <w:color w:val="auto"/>
        </w:rPr>
      </w:pPr>
      <w:r>
        <w:rPr>
          <w:rFonts w:ascii="Arial" w:cs="Arial" w:eastAsia="Arial" w:hAnsi="Arial"/>
          <w:sz w:val="18"/>
          <w:szCs w:val="18"/>
          <w:color w:val="auto"/>
        </w:rPr>
        <w:t>On October 18, 2021, Dr. Kawas submitted her resignation as president and chief executive officer and as a member of our board of directors, effective October 18, 2021. Concurrently with Dr. Kawas’s resignation, our board of directors appointed Mark Litton, Ph.D., MBA as president and chief executive officer and as a member of our board of directors. This succession and transition process may have a direct or indirect adverse effect on our business, results of operations, hiring and retention efforts, and competitive position.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27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The continuing effects of the novel coronavirus disease, or COVID-19, pandemic could adversely impact our business, including our nonclinical studies and clinical trials.</w:t>
      </w:r>
    </w:p>
    <w:p>
      <w:pPr>
        <w:spacing w:after="0" w:line="215" w:lineRule="exact"/>
        <w:rPr>
          <w:sz w:val="20"/>
          <w:szCs w:val="20"/>
          <w:color w:val="auto"/>
        </w:rPr>
      </w:pPr>
    </w:p>
    <w:p>
      <w:pPr>
        <w:jc w:val="both"/>
        <w:ind w:firstLine="509"/>
        <w:spacing w:after="0" w:line="229" w:lineRule="exact"/>
        <w:rPr>
          <w:sz w:val="20"/>
          <w:szCs w:val="20"/>
          <w:color w:val="auto"/>
        </w:rPr>
      </w:pPr>
      <w:r>
        <w:rPr>
          <w:rFonts w:ascii="Arial" w:cs="Arial" w:eastAsia="Arial" w:hAnsi="Arial"/>
          <w:sz w:val="18"/>
          <w:szCs w:val="18"/>
          <w:color w:val="auto"/>
        </w:rPr>
        <w:t>The COVID-19 pandemic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temporarily closed our executive offices and limited the number of staff in our research and development laboratory spaces. While at this time our offices and laboratory spaces have been reopened at full capacity, a resurgence in cases of COVID-19 or a similar health epidemic could recur at any time, which may cause us to again close down our facilities or take other measures in response. In particular, new and highly contagious variants of COVID</w:t>
      </w:r>
      <w:r>
        <w:rPr>
          <w:rFonts w:ascii="MS PGothic" w:cs="MS PGothic" w:eastAsia="MS PGothic" w:hAnsi="MS PGothic"/>
          <w:sz w:val="18"/>
          <w:szCs w:val="18"/>
          <w:color w:val="auto"/>
        </w:rPr>
        <w:t>‑</w:t>
      </w:r>
      <w:r>
        <w:rPr>
          <w:rFonts w:ascii="Arial" w:cs="Arial" w:eastAsia="Arial" w:hAnsi="Arial"/>
          <w:sz w:val="18"/>
          <w:szCs w:val="18"/>
          <w:color w:val="auto"/>
        </w:rPr>
        <w:t>19 continue to emerge and spread quickly throughout certain areas of the United States and elsewhere, and at this point we are unable to determine when and to what extent any such resurgence will affect our business. In addition, a number of our clinical trial sites have been subject to restrictions related to COVID-19 that have adversely affected their operations. While COVID-19 related restrictions have been eased in many of our clinical trial sites, new restrictions could be imposed at any time, whether in response to an outbreak of a new variant of COVID-19 or any similar outbreak. While the extent of the continuing impact of the COVID-19 pandemic on our business and financial results is uncertain, a resurgence in cases of COVID-19 or similar epidemic could have a material negative impact on our business, financial condition and operating results.</w:t>
      </w:r>
    </w:p>
    <w:p>
      <w:pPr>
        <w:spacing w:after="0" w:line="25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9" w:lineRule="exact"/>
        <w:rPr>
          <w:sz w:val="20"/>
          <w:szCs w:val="20"/>
          <w:color w:val="auto"/>
        </w:rPr>
      </w:pPr>
    </w:p>
    <w:p>
      <w:pPr>
        <w:jc w:val="both"/>
        <w:ind w:left="960"/>
        <w:spacing w:after="0" w:line="269" w:lineRule="auto"/>
        <w:rPr>
          <w:sz w:val="20"/>
          <w:szCs w:val="20"/>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98"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31"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49" w:name="page50"/>
    <w:bookmarkEnd w:id="49"/>
    <w:p>
      <w:pPr>
        <w:ind w:left="960"/>
        <w:spacing w:after="0"/>
        <w:rPr>
          <w:sz w:val="20"/>
          <w:szCs w:val="20"/>
          <w:color w:val="auto"/>
        </w:rPr>
      </w:pPr>
      <w:r>
        <w:rPr>
          <w:rFonts w:ascii="Arial" w:cs="Arial" w:eastAsia="Arial" w:hAnsi="Arial"/>
          <w:sz w:val="18"/>
          <w:szCs w:val="18"/>
          <w:color w:val="auto"/>
        </w:rPr>
        <w:t>interruption or delays to our sourced discovery and clinical activities; and</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23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23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24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24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27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$38.5 million and $12.3 million for the nine months ended September 30, 2021 and 2020</w:t>
      </w:r>
      <w:r>
        <w:rPr>
          <w:rFonts w:ascii="Arial" w:cs="Arial" w:eastAsia="Arial" w:hAnsi="Arial"/>
          <w:sz w:val="18"/>
          <w:szCs w:val="18"/>
          <w:color w:val="212529"/>
        </w:rPr>
        <w:t>, respectively, and an accumulated deficit of $79.6 million as of September 30, 2021.</w:t>
      </w:r>
    </w:p>
    <w:p>
      <w:pPr>
        <w:spacing w:after="0" w:line="23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212529"/>
        </w:rPr>
        <w:t xml:space="preserve">We have devoted most of our financial resources to research and development, including our clinical and nonclinical development </w:t>
      </w:r>
      <w:r>
        <w:rPr>
          <w:rFonts w:ascii="Arial" w:cs="Arial" w:eastAsia="Arial" w:hAnsi="Arial"/>
          <w:sz w:val="18"/>
          <w:szCs w:val="18"/>
          <w:color w:val="00000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31" w:lineRule="exact"/>
        <w:rPr>
          <w:sz w:val="20"/>
          <w:szCs w:val="20"/>
          <w:color w:val="auto"/>
        </w:rPr>
      </w:pPr>
    </w:p>
    <w:p>
      <w:pPr>
        <w:ind w:left="960" w:right="3020"/>
        <w:spacing w:after="0" w:line="414" w:lineRule="auto"/>
        <w:rPr>
          <w:sz w:val="20"/>
          <w:szCs w:val="20"/>
          <w:color w:val="auto"/>
        </w:rPr>
      </w:pPr>
      <w:r>
        <w:rPr>
          <w:rFonts w:ascii="Arial" w:cs="Arial" w:eastAsia="Arial" w:hAnsi="Arial"/>
          <w:sz w:val="17"/>
          <w:szCs w:val="17"/>
          <w:color w:val="auto"/>
        </w:rPr>
        <w:t>continue our research and nonclinical and clinical development of our product candidates; expand the scope of our clinical studies for our current and prospective product candidates;</w:t>
      </w:r>
    </w:p>
    <w:p>
      <w:pPr>
        <w:spacing w:after="0" w:line="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attract, hire and retain additional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operate as a public company;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continue to expand our facilities and lab space;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seek to identify and validate additional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acquire or in-license other product candidates and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make milestone or other payments under our in-license or other agreements;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 protect and expand our intellectual property portfolio;</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experience any delays or encounter issues with any of the above.</w:t>
      </w:r>
    </w:p>
    <w:p>
      <w:pPr>
        <w:spacing w:after="0" w:line="26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 xml:space="preserve">Our expenses could increase beyond expectations for a variety of reasons, including if we are required by the FDA, the European Medicines Agency, or EMA, or other regulatory agencies, domestic or foreign, to perform clinical and other </w:t>
      </w:r>
      <w:r>
        <w:rPr>
          <w:rFonts w:ascii="Arial" w:cs="Arial" w:eastAsia="Arial" w:hAnsi="Arial"/>
          <w:sz w:val="18"/>
          <w:szCs w:val="18"/>
          <w:color w:val="212529"/>
        </w:rPr>
        <w:t>studies</w:t>
      </w:r>
      <w:r>
        <w:rPr>
          <w:rFonts w:ascii="Arial" w:cs="Arial" w:eastAsia="Arial" w:hAnsi="Arial"/>
          <w:sz w:val="18"/>
          <w:szCs w:val="18"/>
          <w:color w:val="auto"/>
        </w:rPr>
        <w:t xml:space="preserve"> in addition to those that we currently anticipate. Our prior losses, combined with expected future losses, have had and will continue to have an adverse effect on our stockholders’ equity.</w:t>
      </w:r>
    </w:p>
    <w:p>
      <w:pPr>
        <w:spacing w:after="0" w:line="22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w:t>
      </w:r>
      <w:r>
        <w:rPr>
          <w:rFonts w:ascii="Arial" w:cs="Arial" w:eastAsia="Arial" w:hAnsi="Arial"/>
          <w:sz w:val="18"/>
          <w:szCs w:val="18"/>
          <w:color w:val="212529"/>
        </w:rPr>
        <w:t>obtain</w:t>
      </w:r>
      <w:r>
        <w:rPr>
          <w:rFonts w:ascii="Arial" w:cs="Arial" w:eastAsia="Arial" w:hAnsi="Arial"/>
          <w:sz w:val="18"/>
          <w:szCs w:val="18"/>
          <w:color w:val="auto"/>
        </w:rPr>
        <w:t xml:space="preserve"> </w:t>
      </w:r>
      <w:r>
        <w:rPr>
          <w:rFonts w:ascii="Arial" w:cs="Arial" w:eastAsia="Arial" w:hAnsi="Arial"/>
          <w:sz w:val="18"/>
          <w:szCs w:val="18"/>
          <w:color w:val="212529"/>
        </w:rPr>
        <w:t>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212529"/>
        </w:rPr>
        <w:t>Accordingly, we will need to obtain substantial additional funding in connection with our continuing operations. As of September 30, 2021, we had cash, cash equivalents, and investments of $339.4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1" w:name="page52"/>
    <w:bookmarkEnd w:id="51"/>
    <w:p>
      <w:pPr>
        <w:ind w:firstLine="509"/>
        <w:spacing w:after="0" w:line="277" w:lineRule="auto"/>
        <w:rPr>
          <w:sz w:val="20"/>
          <w:szCs w:val="20"/>
          <w:color w:val="auto"/>
        </w:rPr>
      </w:pPr>
      <w:r>
        <w:rPr>
          <w:rFonts w:ascii="Arial" w:cs="Arial" w:eastAsia="Arial" w:hAnsi="Arial"/>
          <w:sz w:val="18"/>
          <w:szCs w:val="18"/>
          <w:color w:val="212529"/>
        </w:rPr>
        <w:t xml:space="preserve">The </w:t>
      </w:r>
      <w:r>
        <w:rPr>
          <w:rFonts w:ascii="Arial" w:cs="Arial" w:eastAsia="Arial" w:hAnsi="Arial"/>
          <w:sz w:val="18"/>
          <w:szCs w:val="18"/>
          <w:color w:val="000000"/>
        </w:rPr>
        <w:t>amount and timing of our future funding requirements depends on many factors, some of which are outside of our control,</w:t>
      </w:r>
      <w:r>
        <w:rPr>
          <w:rFonts w:ascii="Arial" w:cs="Arial" w:eastAsia="Arial" w:hAnsi="Arial"/>
          <w:sz w:val="18"/>
          <w:szCs w:val="18"/>
          <w:color w:val="212529"/>
        </w:rPr>
        <w:t xml:space="preserve"> </w:t>
      </w:r>
      <w:r>
        <w:rPr>
          <w:rFonts w:ascii="Arial" w:cs="Arial" w:eastAsia="Arial" w:hAnsi="Arial"/>
          <w:sz w:val="18"/>
          <w:szCs w:val="18"/>
          <w:color w:val="000000"/>
        </w:rPr>
        <w:t>including but not limited to:</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89"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outcome, costs and timing of seeking and obtaining FDA, EMA and any other regulatory approvals;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number and characteristics of product candidates that we pursue;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manufacture sufficient quantities of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to expand our research and development activities;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costs associated with securing and establishing commercialization and manufacturing capabilities;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costs of acquiring, licensing or investing in businesses, product candidates and technologies;</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the cost, timing and outcomes of any litigation involving our company, including securities class actions and government investigations which we may or may in the future become involved in;</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and ability to retain management and hire scientific, clinical and other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 of competing drugs and product candidates and other market developments;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31"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22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cs="Arial" w:eastAsia="Arial" w:hAnsi="Arial"/>
          <w:sz w:val="18"/>
          <w:szCs w:val="18"/>
          <w:color w:val="212529"/>
        </w:rPr>
        <w:t>unable</w:t>
      </w:r>
      <w:r>
        <w:rPr>
          <w:rFonts w:ascii="Arial" w:cs="Arial" w:eastAsia="Arial" w:hAnsi="Arial"/>
          <w:sz w:val="18"/>
          <w:szCs w:val="18"/>
          <w:color w:val="auto"/>
        </w:rPr>
        <w:t xml:space="preserv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12529"/>
        </w:rPr>
        <w:t xml:space="preserve">Our ability to use net operating </w:t>
      </w:r>
      <w:r>
        <w:rPr>
          <w:rFonts w:ascii="Arial" w:cs="Arial" w:eastAsia="Arial" w:hAnsi="Arial"/>
          <w:sz w:val="18"/>
          <w:szCs w:val="18"/>
          <w:b w:val="1"/>
          <w:bCs w:val="1"/>
          <w:i w:val="1"/>
          <w:iCs w:val="1"/>
          <w:color w:val="000000"/>
        </w:rPr>
        <w:t>losses</w:t>
      </w:r>
      <w:r>
        <w:rPr>
          <w:rFonts w:ascii="Arial" w:cs="Arial" w:eastAsia="Arial" w:hAnsi="Arial"/>
          <w:sz w:val="18"/>
          <w:szCs w:val="18"/>
          <w:b w:val="1"/>
          <w:bCs w:val="1"/>
          <w:i w:val="1"/>
          <w:iCs w:val="1"/>
          <w:color w:val="212529"/>
        </w:rPr>
        <w:t xml:space="preserve"> to offset future taxable income may be subject to certain limitations.</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212529"/>
        </w:rPr>
        <w:t xml:space="preserve">As of December 31, 2020, we had federal net operating loss carryforwards, or NOLs, to offset future taxable income of approximately $9.4 million and federal tax credit carryforwards of approximately $1.3 million. The federal NOLs generated during and after fiscal 2018 totaling $29.1 million are carried forward indefinitely, while all others, if not utilized, will expire in various </w:t>
      </w:r>
      <w:r>
        <w:rPr>
          <w:rFonts w:ascii="Arial" w:cs="Arial" w:eastAsia="Arial" w:hAnsi="Arial"/>
          <w:sz w:val="18"/>
          <w:szCs w:val="18"/>
          <w:color w:val="000000"/>
        </w:rPr>
        <w:t>years</w:t>
      </w:r>
      <w:r>
        <w:rPr>
          <w:rFonts w:ascii="Arial" w:cs="Arial" w:eastAsia="Arial" w:hAnsi="Arial"/>
          <w:sz w:val="18"/>
          <w:szCs w:val="18"/>
          <w:color w:val="212529"/>
        </w:rPr>
        <w:t xml:space="preserve">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26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3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24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17" w:lineRule="exact"/>
        <w:rPr>
          <w:sz w:val="20"/>
          <w:szCs w:val="20"/>
          <w:color w:val="auto"/>
        </w:rPr>
      </w:pPr>
    </w:p>
    <w:p>
      <w:pPr>
        <w:jc w:val="both"/>
        <w:ind w:left="960" w:right="20"/>
        <w:spacing w:after="0" w:line="261" w:lineRule="auto"/>
        <w:rPr>
          <w:sz w:val="20"/>
          <w:szCs w:val="20"/>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90" w:lineRule="exact"/>
        <w:rPr>
          <w:sz w:val="20"/>
          <w:szCs w:val="20"/>
          <w:color w:val="auto"/>
        </w:rPr>
      </w:pPr>
    </w:p>
    <w:p>
      <w:pPr>
        <w:jc w:val="both"/>
        <w:ind w:left="960"/>
        <w:spacing w:after="0" w:line="256" w:lineRule="auto"/>
        <w:rPr>
          <w:sz w:val="20"/>
          <w:szCs w:val="20"/>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94" w:lineRule="exact"/>
        <w:rPr>
          <w:sz w:val="20"/>
          <w:szCs w:val="20"/>
          <w:color w:val="auto"/>
        </w:rPr>
      </w:pPr>
    </w:p>
    <w:p>
      <w:pPr>
        <w:jc w:val="both"/>
        <w:ind w:left="960"/>
        <w:spacing w:after="0" w:line="261" w:lineRule="auto"/>
        <w:rPr>
          <w:sz w:val="20"/>
          <w:szCs w:val="20"/>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90" w:lineRule="exact"/>
        <w:rPr>
          <w:sz w:val="20"/>
          <w:szCs w:val="20"/>
          <w:color w:val="auto"/>
        </w:rPr>
      </w:pPr>
    </w:p>
    <w:p>
      <w:pPr>
        <w:jc w:val="both"/>
        <w:ind w:left="960" w:right="20"/>
        <w:spacing w:after="0" w:line="261" w:lineRule="auto"/>
        <w:rPr>
          <w:sz w:val="20"/>
          <w:szCs w:val="20"/>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90" w:lineRule="exact"/>
        <w:rPr>
          <w:sz w:val="20"/>
          <w:szCs w:val="20"/>
          <w:color w:val="auto"/>
        </w:rPr>
      </w:pPr>
    </w:p>
    <w:p>
      <w:pPr>
        <w:jc w:val="both"/>
        <w:ind w:left="960" w:right="20"/>
        <w:spacing w:after="0" w:line="261" w:lineRule="auto"/>
        <w:rPr>
          <w:sz w:val="20"/>
          <w:szCs w:val="20"/>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90" w:lineRule="exact"/>
        <w:rPr>
          <w:sz w:val="20"/>
          <w:szCs w:val="20"/>
          <w:color w:val="auto"/>
        </w:rPr>
      </w:pPr>
    </w:p>
    <w:p>
      <w:pPr>
        <w:jc w:val="both"/>
        <w:ind w:left="960"/>
        <w:spacing w:after="0" w:line="261" w:lineRule="auto"/>
        <w:rPr>
          <w:sz w:val="20"/>
          <w:szCs w:val="20"/>
          <w:color w:val="auto"/>
        </w:rPr>
      </w:pPr>
      <w:r>
        <w:rPr>
          <w:rFonts w:ascii="Arial" w:cs="Arial" w:eastAsia="Arial" w:hAnsi="Arial"/>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90" w:lineRule="exact"/>
        <w:rPr>
          <w:sz w:val="20"/>
          <w:szCs w:val="20"/>
          <w:color w:val="auto"/>
        </w:rPr>
      </w:pPr>
    </w:p>
    <w:p>
      <w:pPr>
        <w:jc w:val="both"/>
        <w:ind w:left="960"/>
        <w:spacing w:after="0" w:line="254" w:lineRule="auto"/>
        <w:rPr>
          <w:sz w:val="20"/>
          <w:szCs w:val="20"/>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 or resulting in delays in our regulatory approval, including, for example, in connection with the recent controversy and ongoing government investigation of the FDA’s approval process for Biogen’s AD drug Aduhelm.</w:t>
      </w:r>
    </w:p>
    <w:p>
      <w:pPr>
        <w:spacing w:after="0" w:line="24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53" w:name="page54"/>
    <w:bookmarkEnd w:id="53"/>
    <w:p>
      <w:pPr>
        <w:jc w:val="both"/>
        <w:spacing w:after="0" w:line="254" w:lineRule="auto"/>
        <w:rPr>
          <w:sz w:val="20"/>
          <w:szCs w:val="20"/>
          <w:color w:val="auto"/>
        </w:rPr>
      </w:pPr>
      <w:r>
        <w:rPr>
          <w:rFonts w:ascii="Arial" w:cs="Arial" w:eastAsia="Arial" w:hAnsi="Arial"/>
          <w:sz w:val="18"/>
          <w:szCs w:val="18"/>
          <w:color w:val="auto"/>
        </w:rPr>
        <w:t>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23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2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39"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247" w:lineRule="exact"/>
        <w:rPr>
          <w:sz w:val="20"/>
          <w:szCs w:val="20"/>
          <w:color w:val="auto"/>
        </w:rPr>
      </w:pPr>
    </w:p>
    <w:p>
      <w:pPr>
        <w:jc w:val="both"/>
        <w:ind w:firstLine="515"/>
        <w:spacing w:after="0" w:line="252"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247" w:lineRule="exact"/>
        <w:rPr>
          <w:sz w:val="20"/>
          <w:szCs w:val="20"/>
          <w:color w:val="auto"/>
        </w:rPr>
      </w:pPr>
    </w:p>
    <w:p>
      <w:pPr>
        <w:jc w:val="both"/>
        <w:ind w:firstLine="515"/>
        <w:spacing w:after="0" w:line="235"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254" w:lineRule="exact"/>
        <w:rPr>
          <w:sz w:val="20"/>
          <w:szCs w:val="20"/>
          <w:color w:val="auto"/>
        </w:rPr>
      </w:pPr>
    </w:p>
    <w:p>
      <w:pPr>
        <w:jc w:val="both"/>
        <w:ind w:firstLine="515"/>
        <w:spacing w:after="0" w:line="238"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4" w:name="page55"/>
    <w:bookmarkEnd w:id="54"/>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5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2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1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0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imposition of a REMS, which may include distribution or use restrictions;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requirements to conduct additional post-market clinical trials to assess the safety of the product;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fines, warning letters or holds on clinical trials;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9" w:lineRule="exact"/>
        <w:rPr>
          <w:sz w:val="20"/>
          <w:szCs w:val="20"/>
          <w:color w:val="auto"/>
        </w:rPr>
      </w:pPr>
    </w:p>
    <w:p>
      <w:pPr>
        <w:ind w:left="960" w:right="2360"/>
        <w:spacing w:after="0" w:line="402" w:lineRule="auto"/>
        <w:rPr>
          <w:sz w:val="20"/>
          <w:szCs w:val="20"/>
          <w:color w:val="auto"/>
        </w:rPr>
      </w:pPr>
      <w:r>
        <w:rPr>
          <w:rFonts w:ascii="Arial" w:cs="Arial" w:eastAsia="Arial" w:hAnsi="Arial"/>
          <w:sz w:val="18"/>
          <w:szCs w:val="18"/>
          <w:color w:val="auto"/>
        </w:rPr>
        <w:t>product seizure or detention, or refusal to permit the import or export of our product candidates; and injunctions or the imposition of civil or criminal penalties.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55" w:name="page56"/>
    <w:bookmarkEnd w:id="55"/>
    <w:p>
      <w:pPr>
        <w:jc w:val="both"/>
        <w:ind w:firstLine="509"/>
        <w:spacing w:after="0" w:line="26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w:t>
      </w:r>
    </w:p>
    <w:p>
      <w:pPr>
        <w:spacing w:after="0" w:line="23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2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233"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public health emergency, the FDA postponed most inspections of foreign manufacturing facilities and routine surveillance inspections of domestic manufacturing facilities in 2020. In May 2021, the FDA issued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If a prolonged government shutdown occurs, or if global health or other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21" w:lineRule="exact"/>
        <w:rPr>
          <w:sz w:val="20"/>
          <w:szCs w:val="20"/>
          <w:color w:val="auto"/>
        </w:rPr>
      </w:pPr>
    </w:p>
    <w:p>
      <w:pPr>
        <w:jc w:val="both"/>
        <w:ind w:firstLine="515"/>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41" w:lineRule="exact"/>
        <w:rPr>
          <w:sz w:val="20"/>
          <w:szCs w:val="20"/>
          <w:color w:val="auto"/>
        </w:rPr>
      </w:pPr>
    </w:p>
    <w:p>
      <w:pPr>
        <w:jc w:val="both"/>
        <w:ind w:firstLine="515"/>
        <w:spacing w:after="0"/>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6" w:name="page57"/>
    <w:bookmarkEnd w:id="56"/>
    <w:p>
      <w:pPr>
        <w:jc w:val="both"/>
        <w:spacing w:after="0" w:line="236" w:lineRule="auto"/>
        <w:rPr>
          <w:sz w:val="20"/>
          <w:szCs w:val="20"/>
          <w:color w:val="auto"/>
        </w:rPr>
      </w:pPr>
      <w:r>
        <w:rPr>
          <w:rFonts w:ascii="Arial" w:cs="Arial" w:eastAsia="Arial" w:hAnsi="Arial"/>
          <w:sz w:val="18"/>
          <w:szCs w:val="18"/>
          <w:color w:val="auto"/>
        </w:rPr>
        <w:t>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26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3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In view of the recent controversy regarding the FDA’s approval of Biogen’s Aduhelm through the accelerated approval pathway, the FDA has requested the Office of the Inspector General to investigate the FDA’s review of Aduhelm leading up to its approval. It is unclear how this investigation will generally impact the FDA’s review process, policies, and data requirements for the accelerated approval program in the future or specifically impact new drug applications in the treatment of Alzheimer’s disease and our clinical development programs.</w:t>
      </w:r>
    </w:p>
    <w:p>
      <w:pPr>
        <w:spacing w:after="0" w:line="22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to our manufacturing arrangements;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additions or modifications to product labeling;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recall or discontinuation of our products; or</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224" w:lineRule="exact"/>
        <w:rPr>
          <w:sz w:val="20"/>
          <w:szCs w:val="20"/>
          <w:color w:val="auto"/>
        </w:rPr>
      </w:pPr>
    </w:p>
    <w:p>
      <w:pPr>
        <w:jc w:val="both"/>
        <w:ind w:firstLine="515"/>
        <w:spacing w:after="0" w:line="23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7" w:name="page58"/>
    <w:bookmarkEnd w:id="57"/>
    <w:p>
      <w:pPr>
        <w:jc w:val="both"/>
        <w:spacing w:after="0" w:line="235" w:lineRule="auto"/>
        <w:rPr>
          <w:sz w:val="20"/>
          <w:szCs w:val="20"/>
          <w:color w:val="auto"/>
        </w:rPr>
      </w:pPr>
      <w:r>
        <w:rPr>
          <w:rFonts w:ascii="Arial" w:cs="Arial" w:eastAsia="Arial" w:hAnsi="Arial"/>
          <w:sz w:val="18"/>
          <w:szCs w:val="18"/>
          <w:color w:val="auto"/>
        </w:rPr>
        <w:t>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22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 Complying with any new legislation and regulatory requirements could be time-intensive and expensive, resulting in a material adverse effect on our business.</w:t>
      </w:r>
    </w:p>
    <w:p>
      <w:pPr>
        <w:spacing w:after="0" w:line="200" w:lineRule="exact"/>
        <w:rPr>
          <w:sz w:val="20"/>
          <w:szCs w:val="20"/>
          <w:color w:val="auto"/>
        </w:rPr>
      </w:pPr>
    </w:p>
    <w:p>
      <w:pPr>
        <w:spacing w:after="0" w:line="28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the end of 2021, unless additional Congressional action is taken.</w:t>
      </w:r>
    </w:p>
    <w:p>
      <w:pPr>
        <w:spacing w:after="0" w:line="23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The impact of these lawsuits as well as legislative, executive, and administrative actions of the Biden administration on us and the pharmaceutical industry as a whole is unclear.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58" w:name="page59"/>
    <w:bookmarkEnd w:id="58"/>
    <w:p>
      <w:pPr>
        <w:jc w:val="both"/>
        <w:ind w:firstLine="509"/>
        <w:spacing w:after="0" w:line="267" w:lineRule="auto"/>
        <w:rPr>
          <w:sz w:val="20"/>
          <w:szCs w:val="20"/>
          <w:color w:val="auto"/>
        </w:rPr>
      </w:pPr>
      <w:r>
        <w:rPr>
          <w:rFonts w:ascii="Arial" w:cs="Arial" w:eastAsia="Arial" w:hAnsi="Arial"/>
          <w:sz w:val="18"/>
          <w:szCs w:val="18"/>
          <w:color w:val="auto"/>
        </w:rPr>
        <w:t>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23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4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demand for our product candidates, if we obtain regulatory approval;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set a price that we believe is fair for our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obtain coverage and reimbursement approval for a product;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generate revenue and achieve or maintain profitability;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level of taxes that we are required to pay;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availability of capital.</w:t>
      </w:r>
    </w:p>
    <w:p>
      <w:pPr>
        <w:spacing w:after="0" w:line="26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3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color w:val="auto"/>
        </w:rPr>
        <w:t>significantly delay or prevent marketing approval, as well as subject us to more stringent product labeling and post-marketing testing and other requirements.</w:t>
      </w:r>
    </w:p>
    <w:p>
      <w:pPr>
        <w:spacing w:after="0" w:line="20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4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31" w:lineRule="exact"/>
        <w:rPr>
          <w:sz w:val="20"/>
          <w:szCs w:val="20"/>
          <w:color w:val="auto"/>
        </w:rPr>
      </w:pPr>
    </w:p>
    <w:p>
      <w:pPr>
        <w:jc w:val="both"/>
        <w:ind w:left="960"/>
        <w:spacing w:after="0" w:line="267" w:lineRule="auto"/>
        <w:rPr>
          <w:sz w:val="20"/>
          <w:szCs w:val="20"/>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100" w:lineRule="exact"/>
        <w:rPr>
          <w:sz w:val="20"/>
          <w:szCs w:val="20"/>
          <w:color w:val="auto"/>
        </w:rPr>
      </w:pPr>
    </w:p>
    <w:p>
      <w:pPr>
        <w:jc w:val="both"/>
        <w:ind w:left="960"/>
        <w:spacing w:after="0" w:line="267" w:lineRule="auto"/>
        <w:rPr>
          <w:sz w:val="20"/>
          <w:szCs w:val="20"/>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100" w:lineRule="exact"/>
        <w:rPr>
          <w:sz w:val="20"/>
          <w:szCs w:val="20"/>
          <w:color w:val="auto"/>
        </w:rPr>
      </w:pPr>
    </w:p>
    <w:p>
      <w:pPr>
        <w:jc w:val="both"/>
        <w:ind w:left="960"/>
        <w:spacing w:after="0" w:line="267" w:lineRule="auto"/>
        <w:rPr>
          <w:sz w:val="20"/>
          <w:szCs w:val="20"/>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02" w:lineRule="exact"/>
        <w:rPr>
          <w:sz w:val="20"/>
          <w:szCs w:val="20"/>
          <w:color w:val="auto"/>
        </w:rPr>
      </w:pPr>
    </w:p>
    <w:p>
      <w:pPr>
        <w:jc w:val="both"/>
        <w:ind w:left="960"/>
        <w:spacing w:after="0" w:line="269" w:lineRule="auto"/>
        <w:rPr>
          <w:sz w:val="20"/>
          <w:szCs w:val="20"/>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60" w:name="page61"/>
    <w:bookmarkEnd w:id="60"/>
    <w:p>
      <w:pPr>
        <w:jc w:val="both"/>
        <w:ind w:left="960"/>
        <w:spacing w:after="0" w:line="268" w:lineRule="auto"/>
        <w:rPr>
          <w:sz w:val="20"/>
          <w:szCs w:val="20"/>
          <w:color w:val="auto"/>
        </w:rPr>
      </w:pPr>
      <w:r>
        <w:rPr>
          <w:rFonts w:ascii="Arial" w:cs="Arial" w:eastAsia="Arial" w:hAnsi="Arial"/>
          <w:sz w:val="18"/>
          <w:szCs w:val="18"/>
          <w:color w:val="auto"/>
        </w:rPr>
        <w:t>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0" w:lineRule="exact"/>
        <w:rPr>
          <w:sz w:val="20"/>
          <w:szCs w:val="20"/>
          <w:color w:val="auto"/>
        </w:rPr>
      </w:pPr>
    </w:p>
    <w:p>
      <w:pPr>
        <w:jc w:val="both"/>
        <w:ind w:left="960"/>
        <w:spacing w:after="0" w:line="267" w:lineRule="auto"/>
        <w:rPr>
          <w:sz w:val="20"/>
          <w:szCs w:val="20"/>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and teaching hospitals, as well as ownership and investment interests held by physicians and their immediate family members. Effective January 1, 2022, for data reported to CMS in 2022, these reporting obligations with respect to covered recipients will extend to include payments and transfers of value made during the previous year to certain non-physician providers such as physician assistants and nurse practitioners.</w:t>
      </w:r>
    </w:p>
    <w:p>
      <w:pPr>
        <w:spacing w:after="0" w:line="102"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9" w:lineRule="exact"/>
        <w:rPr>
          <w:sz w:val="20"/>
          <w:szCs w:val="20"/>
          <w:color w:val="auto"/>
        </w:rPr>
      </w:pPr>
    </w:p>
    <w:p>
      <w:pPr>
        <w:jc w:val="both"/>
        <w:ind w:left="960"/>
        <w:spacing w:after="0" w:line="267" w:lineRule="auto"/>
        <w:rPr>
          <w:sz w:val="20"/>
          <w:szCs w:val="20"/>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24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3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In addition to the risks relating to the outcome of the independent special committee’s investigation noted above, 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jc w:val="both"/>
        <w:spacing w:after="0" w:line="252" w:lineRule="auto"/>
        <w:rPr>
          <w:sz w:val="20"/>
          <w:szCs w:val="20"/>
          <w:color w:val="auto"/>
        </w:rPr>
      </w:pPr>
      <w:r>
        <w:rPr>
          <w:rFonts w:ascii="Arial" w:cs="Arial" w:eastAsia="Arial" w:hAnsi="Arial"/>
          <w:sz w:val="18"/>
          <w:szCs w:val="18"/>
          <w:color w:val="auto"/>
        </w:rPr>
        <w:t>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1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5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7"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266"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23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2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62" w:name="page63"/>
    <w:bookmarkEnd w:id="62"/>
    <w:p>
      <w:pPr>
        <w:jc w:val="both"/>
        <w:spacing w:after="0" w:line="267" w:lineRule="auto"/>
        <w:rPr>
          <w:sz w:val="20"/>
          <w:szCs w:val="20"/>
          <w:color w:val="auto"/>
        </w:rPr>
      </w:pPr>
      <w:r>
        <w:rPr>
          <w:rFonts w:ascii="Arial" w:cs="Arial" w:eastAsia="Arial" w:hAnsi="Arial"/>
          <w:sz w:val="18"/>
          <w:szCs w:val="18"/>
          <w:color w:val="auto"/>
        </w:rPr>
        <w:t>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3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4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22"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22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63" w:name="page64"/>
    <w:bookmarkEnd w:id="63"/>
    <w:p>
      <w:pPr>
        <w:ind w:left="960"/>
        <w:spacing w:after="0" w:line="277" w:lineRule="auto"/>
        <w:rPr>
          <w:sz w:val="20"/>
          <w:szCs w:val="20"/>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breach by the third-party contractors of our agreements with them;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third-party contractors to comply with applicable regulatory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failure of the third party to manufacture our product candidates according to our specifications;</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misappropriation of our proprietary information, including our trade secrets and know-how.</w:t>
      </w:r>
    </w:p>
    <w:p>
      <w:pPr>
        <w:spacing w:after="0" w:line="26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1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33"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29" w:lineRule="exact"/>
        <w:rPr>
          <w:sz w:val="20"/>
          <w:szCs w:val="20"/>
          <w:color w:val="auto"/>
        </w:rPr>
      </w:pPr>
    </w:p>
    <w:p>
      <w:pPr>
        <w:jc w:val="both"/>
        <w:ind w:right="20" w:firstLine="509"/>
        <w:spacing w:after="0" w:line="287"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0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4" w:name="page65"/>
    <w:bookmarkEnd w:id="64"/>
    <w:p>
      <w:pPr>
        <w:jc w:val="both"/>
        <w:spacing w:after="0" w:line="252" w:lineRule="auto"/>
        <w:rPr>
          <w:sz w:val="20"/>
          <w:szCs w:val="20"/>
          <w:color w:val="auto"/>
        </w:rPr>
      </w:pPr>
      <w:r>
        <w:rPr>
          <w:rFonts w:ascii="Arial" w:cs="Arial" w:eastAsia="Arial" w:hAnsi="Arial"/>
          <w:sz w:val="18"/>
          <w:szCs w:val="18"/>
          <w:color w:val="auto"/>
        </w:rPr>
        <w:t>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2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3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24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In addition, the effects to our business and reputation discussed in “—</w:t>
      </w:r>
      <w:r>
        <w:rPr>
          <w:rFonts w:ascii="Arial" w:cs="Arial" w:eastAsia="Arial" w:hAnsi="Arial"/>
          <w:sz w:val="18"/>
          <w:szCs w:val="18"/>
          <w:i w:val="1"/>
          <w:iCs w:val="1"/>
          <w:color w:val="auto"/>
        </w:rPr>
        <w:t>An independent special committee of our board of directors engaged in a review of</w:t>
      </w:r>
      <w:r>
        <w:rPr>
          <w:rFonts w:ascii="Arial" w:cs="Arial" w:eastAsia="Arial" w:hAnsi="Arial"/>
          <w:sz w:val="18"/>
          <w:szCs w:val="18"/>
          <w:color w:val="auto"/>
        </w:rPr>
        <w:t xml:space="preserve"> </w:t>
      </w:r>
      <w:r>
        <w:rPr>
          <w:rFonts w:ascii="Arial" w:cs="Arial" w:eastAsia="Arial" w:hAnsi="Arial"/>
          <w:sz w:val="18"/>
          <w:szCs w:val="18"/>
          <w:i w:val="1"/>
          <w:iCs w:val="1"/>
          <w:color w:val="auto"/>
        </w:rPr>
        <w:t>papers co-authored by our former chief executive officer in connection with her doctoral research at Washington State University and found that she altered images in her 2011 doctoral dissertation and at least four research papers that she co-authored while a graduate student at Washington State University, and published from 2011 to 2014</w:t>
      </w:r>
      <w:r>
        <w:rPr>
          <w:rFonts w:ascii="Arial" w:cs="Arial" w:eastAsia="Arial" w:hAnsi="Arial"/>
          <w:sz w:val="18"/>
          <w:szCs w:val="18"/>
          <w:color w:val="auto"/>
        </w:rPr>
        <w:t>,” may discourage potential counterparties from entering into relationships with</w:t>
      </w:r>
      <w:r>
        <w:rPr>
          <w:rFonts w:ascii="Arial" w:cs="Arial" w:eastAsia="Arial" w:hAnsi="Arial"/>
          <w:sz w:val="18"/>
          <w:szCs w:val="18"/>
          <w:i w:val="1"/>
          <w:iCs w:val="1"/>
          <w:color w:val="auto"/>
        </w:rPr>
        <w:t xml:space="preserve"> </w:t>
      </w:r>
      <w:r>
        <w:rPr>
          <w:rFonts w:ascii="Arial" w:cs="Arial" w:eastAsia="Arial" w:hAnsi="Arial"/>
          <w:sz w:val="18"/>
          <w:szCs w:val="18"/>
          <w:color w:val="auto"/>
        </w:rPr>
        <w:t>us.</w:t>
      </w:r>
    </w:p>
    <w:p>
      <w:pPr>
        <w:spacing w:after="0" w:line="23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4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31" w:lineRule="exact"/>
        <w:rPr>
          <w:sz w:val="20"/>
          <w:szCs w:val="20"/>
          <w:color w:val="auto"/>
        </w:rPr>
      </w:pPr>
    </w:p>
    <w:p>
      <w:pPr>
        <w:jc w:val="both"/>
        <w:ind w:left="960"/>
        <w:spacing w:after="0" w:line="269" w:lineRule="auto"/>
        <w:rPr>
          <w:sz w:val="20"/>
          <w:szCs w:val="20"/>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98"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65" w:name="page66"/>
    <w:bookmarkEnd w:id="65"/>
    <w:p>
      <w:pPr>
        <w:jc w:val="both"/>
        <w:ind w:left="960"/>
        <w:spacing w:after="0" w:line="271" w:lineRule="auto"/>
        <w:rPr>
          <w:sz w:val="20"/>
          <w:szCs w:val="20"/>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5"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95"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89"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2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10"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increased operating expenses and cash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assumption of additional indebtedness or contingent liabilities;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issuance of our equity securities;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23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6" w:name="page67"/>
    <w:bookmarkEnd w:id="66"/>
    <w:p>
      <w:pPr>
        <w:ind w:left="52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266" w:lineRule="exact"/>
        <w:rPr>
          <w:sz w:val="20"/>
          <w:szCs w:val="20"/>
          <w:color w:val="auto"/>
        </w:rPr>
      </w:pPr>
    </w:p>
    <w:p>
      <w:pPr>
        <w:jc w:val="both"/>
        <w:ind w:right="20" w:firstLine="509"/>
        <w:spacing w:after="0" w:line="303"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or reimbursement of any of our approved product candidates will depend on a number of factors, including:</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efficacy and safety profile as demonstrated in clinical trials compared to alternative treatments;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of market introduction of the product candidate as well as competitive products;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clinical indications for which the product candidate is approved;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extent of physician acceptance of FDA-approved Alzheimer’s therapies;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89" w:lineRule="exact"/>
        <w:rPr>
          <w:sz w:val="20"/>
          <w:szCs w:val="20"/>
          <w:color w:val="auto"/>
        </w:rPr>
      </w:pPr>
    </w:p>
    <w:p>
      <w:pPr>
        <w:ind w:left="960" w:right="3140"/>
        <w:spacing w:after="0" w:line="383" w:lineRule="auto"/>
        <w:rPr>
          <w:sz w:val="20"/>
          <w:szCs w:val="20"/>
          <w:color w:val="auto"/>
        </w:rPr>
      </w:pPr>
      <w:r>
        <w:rPr>
          <w:rFonts w:ascii="Arial" w:cs="Arial" w:eastAsia="Arial" w:hAnsi="Arial"/>
          <w:sz w:val="18"/>
          <w:szCs w:val="18"/>
          <w:color w:val="auto"/>
        </w:rPr>
        <w:t>the potential and perceived advantages of product candidates over alternative treatments; the cost of treatment in relation to alternative treatments;</w:t>
      </w:r>
    </w:p>
    <w:p>
      <w:pPr>
        <w:spacing w:after="0" w:line="1" w:lineRule="exact"/>
        <w:rPr>
          <w:sz w:val="20"/>
          <w:szCs w:val="20"/>
          <w:color w:val="auto"/>
        </w:rPr>
      </w:pPr>
    </w:p>
    <w:p>
      <w:pPr>
        <w:ind w:left="960" w:right="400"/>
        <w:spacing w:after="0" w:line="360" w:lineRule="auto"/>
        <w:rPr>
          <w:sz w:val="20"/>
          <w:szCs w:val="20"/>
          <w:color w:val="auto"/>
        </w:rPr>
      </w:pPr>
      <w:r>
        <w:rPr>
          <w:rFonts w:ascii="Arial" w:cs="Arial" w:eastAsia="Arial" w:hAnsi="Arial"/>
          <w:sz w:val="18"/>
          <w:szCs w:val="18"/>
          <w:color w:val="auto"/>
        </w:rPr>
        <w:t>pricing and the availability of coverage and adequate reimbursement by third-party payors, including government authorities; the availability of the approved product candidate for use as a combination therapy; relative convenience and ease of administration;</w:t>
      </w:r>
    </w:p>
    <w:p>
      <w:pPr>
        <w:ind w:left="960" w:right="1240"/>
        <w:spacing w:after="0" w:line="360" w:lineRule="auto"/>
        <w:rPr>
          <w:sz w:val="20"/>
          <w:szCs w:val="20"/>
          <w:color w:val="auto"/>
        </w:rPr>
      </w:pPr>
      <w:r>
        <w:rPr>
          <w:rFonts w:ascii="Arial" w:cs="Arial" w:eastAsia="Arial" w:hAnsi="Arial"/>
          <w:sz w:val="18"/>
          <w:szCs w:val="18"/>
          <w:color w:val="auto"/>
        </w:rPr>
        <w:t>the willingness of the target patient population to try new therapies and of physicians to prescribe these therapies; the effectiveness of sales and marketing efforts;</w:t>
      </w:r>
    </w:p>
    <w:p>
      <w:pPr>
        <w:ind w:left="960"/>
        <w:spacing w:after="0" w:line="246" w:lineRule="auto"/>
        <w:rPr>
          <w:sz w:val="20"/>
          <w:szCs w:val="20"/>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approval of other new therapies for the same indications.</w:t>
      </w:r>
    </w:p>
    <w:p>
      <w:pPr>
        <w:spacing w:after="0" w:line="252"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If any of our product candidates are approved but do not achieve an adequate level of acceptance by physicians, hospitals, healthcare payors and patients, we may not generate or derive sufficient revenue from such product candidates and our financial </w:t>
      </w:r>
      <w:r>
        <w:rPr>
          <w:rFonts w:ascii="Arial" w:cs="Arial" w:eastAsia="Arial" w:hAnsi="Arial"/>
          <w:sz w:val="18"/>
          <w:szCs w:val="18"/>
          <w:color w:val="212529"/>
        </w:rPr>
        <w:t>results</w:t>
      </w:r>
      <w:r>
        <w:rPr>
          <w:rFonts w:ascii="Arial" w:cs="Arial" w:eastAsia="Arial" w:hAnsi="Arial"/>
          <w:sz w:val="18"/>
          <w:szCs w:val="18"/>
          <w:color w:val="auto"/>
        </w:rPr>
        <w:t xml:space="preserve"> could be negatively impacted.</w:t>
      </w:r>
    </w:p>
    <w:p>
      <w:pPr>
        <w:spacing w:after="0" w:line="20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We have never commercialized a product candidate. We may license certain rights with respect to our product candidates to collaborators, and, if so, we will rely on the assistance and guidance of those collaborators. For product candidates for </w:t>
      </w:r>
      <w:r>
        <w:rPr>
          <w:rFonts w:ascii="Arial" w:cs="Arial" w:eastAsia="Arial" w:hAnsi="Arial"/>
          <w:sz w:val="18"/>
          <w:szCs w:val="18"/>
          <w:color w:val="212529"/>
        </w:rPr>
        <w:t>which we retain</w:t>
      </w:r>
      <w:r>
        <w:rPr>
          <w:rFonts w:ascii="Arial" w:cs="Arial" w:eastAsia="Arial" w:hAnsi="Arial"/>
          <w:sz w:val="18"/>
          <w:szCs w:val="18"/>
          <w:color w:val="auto"/>
        </w:rPr>
        <w:t xml:space="preserve"> </w:t>
      </w:r>
      <w:r>
        <w:rPr>
          <w:rFonts w:ascii="Arial" w:cs="Arial" w:eastAsia="Arial" w:hAnsi="Arial"/>
          <w:sz w:val="18"/>
          <w:szCs w:val="18"/>
          <w:color w:val="212529"/>
        </w:rPr>
        <w:t>commercialization rights and marketing approval, we will have to develop our own sales, marketing and supply organization or outsource these activities to a third party.</w:t>
      </w:r>
    </w:p>
    <w:p>
      <w:pPr>
        <w:spacing w:after="0" w:line="24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212529"/>
        </w:rPr>
        <w:t xml:space="preserve">Factors that may affect our ability to commercialize our product candidates, if approved, on our own include recruiting and retaining </w:t>
      </w:r>
      <w:r>
        <w:rPr>
          <w:rFonts w:ascii="Arial" w:cs="Arial" w:eastAsia="Arial" w:hAnsi="Arial"/>
          <w:sz w:val="18"/>
          <w:szCs w:val="18"/>
          <w:color w:val="000000"/>
        </w:rPr>
        <w:t>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67" w:name="page68"/>
    <w:bookmarkEnd w:id="67"/>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w:t>
      </w:r>
      <w:r>
        <w:rPr>
          <w:rFonts w:ascii="Arial" w:cs="Arial" w:eastAsia="Arial" w:hAnsi="Arial"/>
          <w:sz w:val="18"/>
          <w:szCs w:val="18"/>
          <w:color w:val="212529"/>
        </w:rPr>
        <w:t>surveys</w:t>
      </w:r>
      <w:r>
        <w:rPr>
          <w:rFonts w:ascii="Arial" w:cs="Arial" w:eastAsia="Arial" w:hAnsi="Arial"/>
          <w:sz w:val="18"/>
          <w:szCs w:val="18"/>
          <w:color w:val="auto"/>
        </w:rPr>
        <w:t xml:space="preserve">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2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We face an inherent risk of product liability as a result of the planned clinical testing of our product candidates and will face an even greater risk if we commercialize any products. For example, we may be sued if our product candidates cause or </w:t>
      </w:r>
      <w:r>
        <w:rPr>
          <w:rFonts w:ascii="Arial" w:cs="Arial" w:eastAsia="Arial" w:hAnsi="Arial"/>
          <w:sz w:val="18"/>
          <w:szCs w:val="18"/>
          <w:color w:val="212529"/>
        </w:rPr>
        <w:t>are</w:t>
      </w:r>
      <w:r>
        <w:rPr>
          <w:rFonts w:ascii="Arial" w:cs="Arial" w:eastAsia="Arial" w:hAnsi="Arial"/>
          <w:sz w:val="18"/>
          <w:szCs w:val="18"/>
          <w:color w:val="auto"/>
        </w:rPr>
        <w:t xml:space="preserv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0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decreased demand for our product candidates or products that we may develop;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injury to our reputation;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withdrawal of clinical trial participants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initiation of investigations by regulators;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costs to defend the related litigation;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diversion of management’s time and our resources;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substantial monetary awards to clinical trial participants or patients;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recalls, withdrawals or labeling, marketing or promotional restrictions;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loss of revenue;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exhaustion of any available insurance and our capital resources;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inability to commercialize any product candidate;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decline in our share price.</w:t>
      </w:r>
    </w:p>
    <w:p>
      <w:pPr>
        <w:spacing w:after="0" w:line="26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Failure to obtain or retain sufficient product liability insurance at an acceptable cost to protect against potential product liability claims could prevent or inhibit the commercialization of products we develop, alone or with corporate </w:t>
      </w:r>
      <w:r>
        <w:rPr>
          <w:rFonts w:ascii="Arial" w:cs="Arial" w:eastAsia="Arial" w:hAnsi="Arial"/>
          <w:sz w:val="18"/>
          <w:szCs w:val="18"/>
          <w:color w:val="212529"/>
        </w:rPr>
        <w:t>collaborators</w:t>
      </w:r>
      <w:r>
        <w:rPr>
          <w:rFonts w:ascii="Arial" w:cs="Arial" w:eastAsia="Arial" w:hAnsi="Arial"/>
          <w:sz w:val="18"/>
          <w:szCs w:val="18"/>
          <w:color w:val="auto"/>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68" w:name="page69"/>
    <w:bookmarkEnd w:id="68"/>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22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 xml:space="preserve">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w:t>
      </w:r>
      <w:r>
        <w:rPr>
          <w:rFonts w:ascii="Arial" w:cs="Arial" w:eastAsia="Arial" w:hAnsi="Arial"/>
          <w:sz w:val="18"/>
          <w:szCs w:val="18"/>
          <w:color w:val="212529"/>
        </w:rPr>
        <w:t>product</w:t>
      </w:r>
      <w:r>
        <w:rPr>
          <w:rFonts w:ascii="Arial" w:cs="Arial" w:eastAsia="Arial" w:hAnsi="Arial"/>
          <w:sz w:val="18"/>
          <w:szCs w:val="18"/>
          <w:color w:val="auto"/>
        </w:rPr>
        <w:t xml:space="preserve">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50"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w:t>
      </w:r>
      <w:r>
        <w:rPr>
          <w:rFonts w:ascii="Arial" w:cs="Arial" w:eastAsia="Arial" w:hAnsi="Arial"/>
          <w:sz w:val="18"/>
          <w:szCs w:val="18"/>
          <w:color w:val="212529"/>
        </w:rPr>
        <w:t>products</w:t>
      </w:r>
      <w:r>
        <w:rPr>
          <w:rFonts w:ascii="Arial" w:cs="Arial" w:eastAsia="Arial" w:hAnsi="Arial"/>
          <w:sz w:val="18"/>
          <w:szCs w:val="18"/>
          <w:color w:val="auto"/>
        </w:rPr>
        <w:t xml:space="preserve">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covered benefit under its health plan;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safe, effective and medically necessary;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appropriate for the specific patient;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cost-effective;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neither experimental nor investigational.</w:t>
      </w:r>
    </w:p>
    <w:p>
      <w:pPr>
        <w:spacing w:after="0" w:line="27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cs="Arial" w:eastAsia="Arial" w:hAnsi="Arial"/>
          <w:sz w:val="18"/>
          <w:szCs w:val="18"/>
          <w:color w:val="212529"/>
        </w:rPr>
        <w:t>prices</w:t>
      </w:r>
      <w:r>
        <w:rPr>
          <w:rFonts w:ascii="Arial" w:cs="Arial" w:eastAsia="Arial" w:hAnsi="Arial"/>
          <w:sz w:val="18"/>
          <w:szCs w:val="18"/>
          <w:color w:val="auto"/>
        </w:rPr>
        <w:t xml:space="preserve">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69" w:name="page70"/>
    <w:bookmarkEnd w:id="69"/>
    <w:p>
      <w:pPr>
        <w:jc w:val="both"/>
        <w:spacing w:after="0" w:line="267" w:lineRule="auto"/>
        <w:rPr>
          <w:sz w:val="20"/>
          <w:szCs w:val="20"/>
          <w:color w:val="auto"/>
        </w:rPr>
      </w:pPr>
      <w:r>
        <w:rPr>
          <w:rFonts w:ascii="Arial" w:cs="Arial" w:eastAsia="Arial" w:hAnsi="Arial"/>
          <w:sz w:val="18"/>
          <w:szCs w:val="18"/>
          <w:color w:val="auto"/>
        </w:rPr>
        <w:t xml:space="preserve">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w:t>
      </w:r>
      <w:r>
        <w:rPr>
          <w:rFonts w:ascii="Arial" w:cs="Arial" w:eastAsia="Arial" w:hAnsi="Arial"/>
          <w:sz w:val="18"/>
          <w:szCs w:val="18"/>
          <w:color w:val="212529"/>
        </w:rPr>
        <w:t>results, our ability to raise capital needed to</w:t>
      </w:r>
      <w:r>
        <w:rPr>
          <w:rFonts w:ascii="Arial" w:cs="Arial" w:eastAsia="Arial" w:hAnsi="Arial"/>
          <w:sz w:val="18"/>
          <w:szCs w:val="18"/>
          <w:color w:val="auto"/>
        </w:rPr>
        <w:t xml:space="preserve"> </w:t>
      </w:r>
      <w:r>
        <w:rPr>
          <w:rFonts w:ascii="Arial" w:cs="Arial" w:eastAsia="Arial" w:hAnsi="Arial"/>
          <w:sz w:val="18"/>
          <w:szCs w:val="18"/>
          <w:color w:val="212529"/>
        </w:rPr>
        <w:t>commercialize product candidates, and our overall financial condition.</w:t>
      </w:r>
    </w:p>
    <w:p>
      <w:pPr>
        <w:spacing w:after="0" w:line="23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212529"/>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24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212529"/>
        </w:rPr>
        <w:t xml:space="preserve">Increasingly, third-party payors are requiring that drug companies provide them with predetermined discounts from list prices and are challenging the prices charged for medical products. We cannot be sure that reimbursement will be available for any </w:t>
      </w:r>
      <w:r>
        <w:rPr>
          <w:rFonts w:ascii="Arial" w:cs="Arial" w:eastAsia="Arial" w:hAnsi="Arial"/>
          <w:sz w:val="18"/>
          <w:szCs w:val="18"/>
          <w:color w:val="000000"/>
        </w:rPr>
        <w:t>product candidate that</w:t>
      </w:r>
      <w:r>
        <w:rPr>
          <w:rFonts w:ascii="Arial" w:cs="Arial" w:eastAsia="Arial" w:hAnsi="Arial"/>
          <w:sz w:val="18"/>
          <w:szCs w:val="18"/>
          <w:color w:val="212529"/>
        </w:rPr>
        <w:t xml:space="preserve"> </w:t>
      </w:r>
      <w:r>
        <w:rPr>
          <w:rFonts w:ascii="Arial" w:cs="Arial" w:eastAsia="Arial" w:hAnsi="Arial"/>
          <w:sz w:val="18"/>
          <w:szCs w:val="18"/>
          <w:color w:val="000000"/>
        </w:rPr>
        <w:t>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2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0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 xml:space="preserve">We plan to eventually seek regulatory approval of our product candidates outside of the United States and, accordingly, we </w:t>
      </w:r>
      <w:r>
        <w:rPr>
          <w:rFonts w:ascii="Arial" w:cs="Arial" w:eastAsia="Arial" w:hAnsi="Arial"/>
          <w:sz w:val="18"/>
          <w:szCs w:val="18"/>
          <w:color w:val="212529"/>
        </w:rPr>
        <w:t>expect</w:t>
      </w:r>
      <w:r>
        <w:rPr>
          <w:rFonts w:ascii="Arial" w:cs="Arial" w:eastAsia="Arial" w:hAnsi="Arial"/>
          <w:sz w:val="18"/>
          <w:szCs w:val="18"/>
          <w:color w:val="auto"/>
        </w:rPr>
        <w:t xml:space="preserve"> that we will be subject to additional risks related to operating in foreign countries if we obtain the necessary approvals, including:</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89" w:lineRule="exact"/>
        <w:rPr>
          <w:sz w:val="20"/>
          <w:szCs w:val="20"/>
          <w:color w:val="auto"/>
        </w:rPr>
      </w:pPr>
    </w:p>
    <w:p>
      <w:pPr>
        <w:ind w:left="960" w:right="20"/>
        <w:spacing w:after="0" w:line="400" w:lineRule="auto"/>
        <w:rPr>
          <w:sz w:val="20"/>
          <w:szCs w:val="20"/>
          <w:color w:val="auto"/>
        </w:rPr>
      </w:pPr>
      <w:r>
        <w:rPr>
          <w:rFonts w:ascii="Arial" w:cs="Arial" w:eastAsia="Arial" w:hAnsi="Arial"/>
          <w:sz w:val="18"/>
          <w:szCs w:val="18"/>
          <w:color w:val="auto"/>
        </w:rPr>
        <w:t>impact of the COVID-19 pandemic on our ability to produce our product candidates and conduct clinical trials in foreign countries; unexpected changes in tariffs, trade barriers, price and exchange controls and other regulatory requirements; economic weakness, including inflation, or political instability in particular foreign economies and markets; compliance with legal requirements applicable to privacy, data protection, information security and other matters; compliance with tax, employment, immigration and labor laws for employees living or traveling abroad; foreign taxes, including withholding of payroll taxes;</w:t>
      </w:r>
    </w:p>
    <w:p>
      <w:pPr>
        <w:spacing w:after="0" w:line="30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0" w:name="page71"/>
    <w:bookmarkEnd w:id="70"/>
    <w:p>
      <w:pPr>
        <w:ind w:left="960"/>
        <w:spacing w:after="0"/>
        <w:rPr>
          <w:sz w:val="20"/>
          <w:szCs w:val="20"/>
          <w:color w:val="auto"/>
        </w:rPr>
      </w:pPr>
      <w:r>
        <w:rPr>
          <w:rFonts w:ascii="Arial" w:cs="Arial" w:eastAsia="Arial" w:hAnsi="Arial"/>
          <w:sz w:val="18"/>
          <w:szCs w:val="18"/>
          <w:color w:val="auto"/>
        </w:rPr>
        <w:t>difficulties staffing and managing foreign operations;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workforce uncertainty in countries where labor unrest is more common than in the United States;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potential liability under the Foreign Corrupt Practices Act of 1977 or comparable foreign regulations;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89" w:lineRule="exact"/>
        <w:rPr>
          <w:sz w:val="20"/>
          <w:szCs w:val="20"/>
          <w:color w:val="auto"/>
        </w:rPr>
      </w:pPr>
    </w:p>
    <w:p>
      <w:pPr>
        <w:ind w:left="960" w:right="860"/>
        <w:spacing w:after="0" w:line="402" w:lineRule="auto"/>
        <w:rPr>
          <w:sz w:val="20"/>
          <w:szCs w:val="20"/>
          <w:color w:val="auto"/>
        </w:rPr>
      </w:pPr>
      <w:r>
        <w:rPr>
          <w:rFonts w:ascii="Arial" w:cs="Arial" w:eastAsia="Arial" w:hAnsi="Arial"/>
          <w:sz w:val="18"/>
          <w:szCs w:val="18"/>
          <w:color w:val="auto"/>
        </w:rPr>
        <w:t>production shortages resulting from any events affecting raw material supply or manufacturing capabilities abroad; and business interruptions resulting from geo-political actions, including war and terrorism.</w:t>
      </w:r>
    </w:p>
    <w:p>
      <w:pPr>
        <w:spacing w:after="0" w:line="13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 xml:space="preserve">These and other risks associated with international operations may materially adversely affect our ability to attain or maintain </w:t>
      </w:r>
      <w:r>
        <w:rPr>
          <w:rFonts w:ascii="Arial" w:cs="Arial" w:eastAsia="Arial" w:hAnsi="Arial"/>
          <w:sz w:val="18"/>
          <w:szCs w:val="18"/>
          <w:color w:val="212529"/>
        </w:rPr>
        <w:t>profitable</w:t>
      </w:r>
      <w:r>
        <w:rPr>
          <w:rFonts w:ascii="Arial" w:cs="Arial" w:eastAsia="Arial" w:hAnsi="Arial"/>
          <w:sz w:val="18"/>
          <w:szCs w:val="18"/>
          <w:color w:val="auto"/>
        </w:rPr>
        <w:t xml:space="preserve"> operations.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2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23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As of September 30, 2021, our patent portfolio includes one issued U.S. patent, one pending U.S. patent application, seven pending patent applications in jurisdictions outside of the U.S., and three pending international applications filed under the Patent Cooperation Treaty (the “PCT”). Our owned patent and patent applications have claims directed to our product candidate ATH-1017 as composition of matter and methods of treatment with ATH-1017, as well as other small molecule therapeutics. The U.S. patent will expire in June 2037, absent any patent term extensions for regulatory delay. Dr. Kawas is an inventor on these company-owned patents. Our patent portfolio also includes eight issued U.S. patents and approximately 13 patents issued and one patent application pending in jurisdictions outside of the U.S. that are exclusively licensed to us by WSU. The in-licensed patent portfolio includes issued U.S. patents that do not directly cover ATH-1017 as a composition of matter or pharmaceutical formulation, but instead cover the active metabolite of ATH-1017, which is hexanoic-tyrosine-isoleucine-(6)-amino-hexanoic amide (dihexa) and uses of dihexa. Dr. Kawas is an inventor on five of the in-licensed issued U.S. patents.</w:t>
      </w:r>
    </w:p>
    <w:p>
      <w:pPr>
        <w:spacing w:after="0" w:line="25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cannot be certain that the claims in our U.S. pending patent applications, corresponding international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1" w:name="page72"/>
    <w:bookmarkEnd w:id="71"/>
    <w:p>
      <w:pPr>
        <w:jc w:val="both"/>
        <w:ind w:firstLine="509"/>
        <w:spacing w:after="0" w:line="256"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94" w:lineRule="exact"/>
        <w:rPr>
          <w:sz w:val="20"/>
          <w:szCs w:val="20"/>
          <w:color w:val="auto"/>
        </w:rPr>
      </w:pPr>
    </w:p>
    <w:p>
      <w:pPr>
        <w:jc w:val="both"/>
        <w:ind w:left="960" w:right="20"/>
        <w:spacing w:after="0" w:line="25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patent applications may not result in any patents being issued;</w:t>
      </w:r>
    </w:p>
    <w:p>
      <w:pPr>
        <w:spacing w:after="0" w:line="117" w:lineRule="exact"/>
        <w:rPr>
          <w:sz w:val="20"/>
          <w:szCs w:val="20"/>
          <w:color w:val="auto"/>
        </w:rPr>
      </w:pPr>
    </w:p>
    <w:p>
      <w:pPr>
        <w:jc w:val="both"/>
        <w:ind w:left="960"/>
        <w:spacing w:after="0" w:line="261" w:lineRule="auto"/>
        <w:rPr>
          <w:sz w:val="20"/>
          <w:szCs w:val="20"/>
          <w:color w:val="auto"/>
        </w:rPr>
      </w:pPr>
      <w:r>
        <w:rPr>
          <w:rFonts w:ascii="Arial" w:cs="Arial" w:eastAsia="Arial" w:hAnsi="Arial"/>
          <w:sz w:val="18"/>
          <w:szCs w:val="18"/>
          <w:color w:val="auto"/>
        </w:rPr>
        <w:t>patents and patent applications may be challenged, invalidated, modified, revoked, circumvented, found to be unenforceable or otherwise may not provide any competitive advantage;</w:t>
      </w:r>
    </w:p>
    <w:p>
      <w:pPr>
        <w:spacing w:after="0" w:line="90" w:lineRule="exact"/>
        <w:rPr>
          <w:sz w:val="20"/>
          <w:szCs w:val="20"/>
          <w:color w:val="auto"/>
        </w:rPr>
      </w:pPr>
    </w:p>
    <w:p>
      <w:pPr>
        <w:jc w:val="both"/>
        <w:ind w:left="960"/>
        <w:spacing w:after="0" w:line="256" w:lineRule="auto"/>
        <w:rPr>
          <w:sz w:val="20"/>
          <w:szCs w:val="20"/>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4" w:lineRule="exact"/>
        <w:rPr>
          <w:sz w:val="20"/>
          <w:szCs w:val="20"/>
          <w:color w:val="auto"/>
        </w:rPr>
      </w:pPr>
    </w:p>
    <w:p>
      <w:pPr>
        <w:jc w:val="both"/>
        <w:ind w:left="960"/>
        <w:spacing w:after="0" w:line="256" w:lineRule="auto"/>
        <w:rPr>
          <w:sz w:val="20"/>
          <w:szCs w:val="20"/>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94" w:lineRule="exact"/>
        <w:rPr>
          <w:sz w:val="20"/>
          <w:szCs w:val="20"/>
          <w:color w:val="auto"/>
        </w:rPr>
      </w:pPr>
    </w:p>
    <w:p>
      <w:pPr>
        <w:jc w:val="both"/>
        <w:ind w:left="960"/>
        <w:spacing w:after="0" w:line="261" w:lineRule="auto"/>
        <w:rPr>
          <w:sz w:val="20"/>
          <w:szCs w:val="20"/>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spacing w:after="0" w:line="24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24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20"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current or future licensors may not result in patents being issued which protect our product candidates or which effectively prevent others from commercializing competitive product candidates.</w:t>
      </w:r>
    </w:p>
    <w:p>
      <w:pPr>
        <w:spacing w:after="0" w:line="24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product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72" w:name="page73"/>
    <w:bookmarkEnd w:id="72"/>
    <w:p>
      <w:pPr>
        <w:jc w:val="both"/>
        <w:ind w:firstLine="509"/>
        <w:spacing w:after="0" w:line="268"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w:t>
      </w:r>
    </w:p>
    <w:p>
      <w:pPr>
        <w:spacing w:after="0" w:line="23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Moreover, our patents or the patents of any current or future licensors may become subject to post-grant challenge proceedings, such as oppositions in a foreign patent office, that challenge our claim of priority of invention or other features of patentability with respect to our patents and patent applications and those of any current or future licensors.</w:t>
      </w:r>
    </w:p>
    <w:p>
      <w:pPr>
        <w:spacing w:after="0" w:line="22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For example, in view of the lawsuits disclosed elsewhere in this report including in this “Risk Factors” section under the heading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and certain of our directors and executive officers have been named as defendants in lawsuits that could result in substantial costs and divert management’s attention</w:t>
      </w:r>
      <w:r>
        <w:rPr>
          <w:rFonts w:ascii="Arial" w:cs="Arial" w:eastAsia="Arial" w:hAnsi="Arial"/>
          <w:sz w:val="18"/>
          <w:szCs w:val="18"/>
          <w:color w:val="auto"/>
        </w:rPr>
        <w:t>,” and in “Part II, Item 1—Legal Proceedings,” third parties may challenge the validity or enforceability of our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products such as other modifications to dihexa not covered by our issued patents. Such proceedings also may result in substantial cost and require significant time from our scientists and management, even if the eventual outcome is favorable to us. In addition, if the breadth or strength of protection provided by our in-licensed patents and patent applications is threatened, regardless of the outcome, it could dissuade companies from collaborating with us to license, develop, or commercialize current or future product candidates. Further, these proceedings could have a material adverse effect on our business, results of operations and financial condition.</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Even though we own patents and patent applications covering ATH-1017, our patents and any future patents we obtain may not effectively prevent others from developing or commercializing products the same or similar to our product candidates. While the ATH-1017 patent family is distinct from, and not part of the same patent family as, the dihexa patent licensed from WSU, and therefore is not implicated in the allegations that Dr. Kawas altered images in connection with her doctoral studies, third parties may use these allegations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product candidates, even if the eventual outcome is favorable to us.</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and/or WSU may in the future file one or more requests for supplemental examination of certain patents for the USPTO to reconsider the enforceability and validity of the patents (including any patents relating to dihexa) in view of the allegations that Dr. Kawas altered images in connection with her doctoral studies. The outcome of any supplemental examination procedure is unpredictable. If a substantial new question of patentability is found, the USPTO Director will order ex parte reexamination of the patent. An adverse determination in such a proceeding could reduce the scope of, or invalidate or render unenforceable, the affected patent rights. While supplemental examination proceedings that result in our favor would bolster the presumption of validity and enforceability of the examined patents, third parties may still challenge the patents and patent applications in litigation or other legal proceedings.</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9"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we or any current or future licensors or collaborators might not have been the first to make the inventions covered by the issued patents or patent application that we own or license;</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we or any current or future licensors or collaborators might not have been the first to file patent applications covering certain of our inventions;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3" w:name="page74"/>
    <w:bookmarkEnd w:id="73"/>
    <w:p>
      <w:pPr>
        <w:ind w:left="960"/>
        <w:spacing w:after="0" w:line="277" w:lineRule="auto"/>
        <w:rPr>
          <w:sz w:val="20"/>
          <w:szCs w:val="20"/>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 is possible that the pending patent applications we own or license will not lead to issued patents;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89" w:lineRule="exact"/>
        <w:rPr>
          <w:sz w:val="20"/>
          <w:szCs w:val="20"/>
          <w:color w:val="auto"/>
        </w:rPr>
      </w:pPr>
    </w:p>
    <w:p>
      <w:pPr>
        <w:ind w:left="960" w:right="4280"/>
        <w:spacing w:after="0" w:line="391" w:lineRule="auto"/>
        <w:rPr>
          <w:sz w:val="20"/>
          <w:szCs w:val="20"/>
          <w:color w:val="auto"/>
        </w:rPr>
      </w:pPr>
      <w:r>
        <w:rPr>
          <w:rFonts w:ascii="Arial" w:cs="Arial" w:eastAsia="Arial" w:hAnsi="Arial"/>
          <w:sz w:val="18"/>
          <w:szCs w:val="18"/>
          <w:color w:val="auto"/>
        </w:rPr>
        <w:t>we may not develop additional proprietary technologies that are patentable; the patents of others may have an adverse effect on our business; and</w:t>
      </w:r>
    </w:p>
    <w:p>
      <w:pPr>
        <w:spacing w:after="0" w:line="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4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23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9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 in costly litigation that may cause negative publicity;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divert the time and attention of our technical personnel and management;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cause development delays;</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require us to develop non-infringing technology, which may not be possible on a cost-effective basis;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4" w:name="page75"/>
    <w:bookmarkEnd w:id="74"/>
    <w:p>
      <w:pPr>
        <w:ind w:left="960"/>
        <w:spacing w:after="0"/>
        <w:rPr>
          <w:sz w:val="20"/>
          <w:szCs w:val="20"/>
          <w:color w:val="auto"/>
        </w:rPr>
      </w:pPr>
      <w:r>
        <w:rPr>
          <w:rFonts w:ascii="Arial" w:cs="Arial" w:eastAsia="Arial" w:hAnsi="Arial"/>
          <w:sz w:val="18"/>
          <w:szCs w:val="18"/>
          <w:color w:val="auto"/>
        </w:rPr>
        <w:t>subject us to significant liability to third parties; or</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3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from being marketed.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23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2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12"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current or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8"/>
          <w:szCs w:val="18"/>
          <w:color w:val="auto"/>
        </w:rPr>
        <w:t>description, non-enablement, or obviousness-type double patenting. Grounds for an unenforceability assertion could include an allegation that someone connected with prosecution of the patent misrepresented or fraudulently withheld relevant information from the USPTO or made a misleading statement during prosecution.</w:t>
      </w:r>
    </w:p>
    <w:p>
      <w:pPr>
        <w:spacing w:after="0" w:line="23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25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patents or any current or future licensors’ patent invalid. There is no assurance that all potentially relevant prior art relating to our patents and patent applications or the patent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w:t>
      </w:r>
    </w:p>
    <w:p>
      <w:pPr>
        <w:spacing w:after="0" w:line="24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23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5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4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0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Intellectual property litigation or legal proceedings may lead to unfavorable publicity that harms our reputation and causes the market price of our common shares to decline.</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18"/>
          <w:szCs w:val="18"/>
          <w:color w:val="auto"/>
        </w:rPr>
        <w:t>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9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current or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2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current or future licensors and the enforcement or defense of our issued patents or those of any current or future licensors.</w:t>
      </w:r>
    </w:p>
    <w:p>
      <w:pPr>
        <w:spacing w:after="0" w:line="220"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product candidates or (2) invent any of the inventions claimed in the patents or patent applications.</w:t>
      </w:r>
    </w:p>
    <w:p>
      <w:pPr>
        <w:spacing w:after="0" w:line="25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4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spacing w:after="0" w:line="21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8"/>
          <w:szCs w:val="18"/>
          <w:color w:val="auto"/>
        </w:rPr>
        <w:t>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4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3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29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2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own or in-license nine U.S. issued patents and own one U.S. pending patent application, as well as approximately 13 in-licensed patents issued and one in-licensed patent application pending in jurisdictions outside of the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78" w:name="page79"/>
    <w:bookmarkEnd w:id="78"/>
    <w:p>
      <w:pPr>
        <w:jc w:val="both"/>
        <w:spacing w:after="0" w:line="267" w:lineRule="auto"/>
        <w:rPr>
          <w:sz w:val="20"/>
          <w:szCs w:val="20"/>
          <w:color w:val="auto"/>
        </w:rPr>
      </w:pPr>
      <w:r>
        <w:rPr>
          <w:rFonts w:ascii="Arial" w:cs="Arial" w:eastAsia="Arial" w:hAnsi="Arial"/>
          <w:sz w:val="18"/>
          <w:szCs w:val="18"/>
          <w:color w:val="auto"/>
        </w:rPr>
        <w:t>seven owned patent applications pending in jurisdictions outside of the United States, and three owned pending international applications filed under the PCT.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current or future licensors, or other intellectual property rights may not be effective or sufficient to prevent them from competing.</w:t>
      </w:r>
    </w:p>
    <w:p>
      <w:pPr>
        <w:spacing w:after="0" w:line="23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5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13" w:lineRule="exact"/>
        <w:rPr>
          <w:sz w:val="20"/>
          <w:szCs w:val="20"/>
          <w:color w:val="auto"/>
        </w:rPr>
      </w:pPr>
    </w:p>
    <w:p>
      <w:pPr>
        <w:jc w:val="both"/>
        <w:ind w:firstLine="515"/>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231" w:lineRule="exact"/>
        <w:rPr>
          <w:sz w:val="20"/>
          <w:szCs w:val="20"/>
          <w:color w:val="auto"/>
        </w:rPr>
      </w:pPr>
    </w:p>
    <w:p>
      <w:pPr>
        <w:jc w:val="both"/>
        <w:ind w:firstLine="515"/>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25" w:lineRule="exact"/>
        <w:rPr>
          <w:sz w:val="20"/>
          <w:szCs w:val="20"/>
          <w:color w:val="auto"/>
        </w:rPr>
      </w:pPr>
    </w:p>
    <w:p>
      <w:pPr>
        <w:jc w:val="both"/>
        <w:ind w:firstLine="515"/>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3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and/or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79" w:name="page80"/>
    <w:bookmarkEnd w:id="79"/>
    <w:p>
      <w:pPr>
        <w:jc w:val="both"/>
        <w:spacing w:after="0" w:line="271" w:lineRule="auto"/>
        <w:rPr>
          <w:sz w:val="20"/>
          <w:szCs w:val="20"/>
          <w:color w:val="auto"/>
        </w:rPr>
      </w:pPr>
      <w:r>
        <w:rPr>
          <w:rFonts w:ascii="Arial" w:cs="Arial" w:eastAsia="Arial" w:hAnsi="Arial"/>
          <w:sz w:val="18"/>
          <w:szCs w:val="18"/>
          <w:color w:val="auto"/>
        </w:rPr>
        <w:t>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5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1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4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1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1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0" w:name="page81"/>
    <w:bookmarkEnd w:id="80"/>
    <w:p>
      <w:pPr>
        <w:jc w:val="both"/>
        <w:spacing w:after="0" w:line="271" w:lineRule="auto"/>
        <w:rPr>
          <w:sz w:val="20"/>
          <w:szCs w:val="20"/>
          <w:color w:val="auto"/>
        </w:rPr>
      </w:pPr>
      <w:r>
        <w:rPr>
          <w:rFonts w:ascii="Arial" w:cs="Arial" w:eastAsia="Arial" w:hAnsi="Arial"/>
          <w:sz w:val="18"/>
          <w:szCs w:val="18"/>
          <w:color w:val="auto"/>
        </w:rPr>
        <w:t>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may be subject, in part, to the terms and conditions of licenses granted to us by others.</w:t>
      </w:r>
    </w:p>
    <w:p>
      <w:pPr>
        <w:spacing w:after="0" w:line="21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and development or allow commercialization of product candidates. These and other licenses may not provide exclusive rights to use such intellectual property and other rights in all relevant fields of use and in all territories in which we may wish to develop or commercialize our product candidates in the future.</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our product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product candidates that are subject of such licensed rights could be adversely affected.</w:t>
      </w:r>
    </w:p>
    <w:p>
      <w:pPr>
        <w:spacing w:after="0" w:line="23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products similar or identical to our product candidates. This could have a material adverse effect on our competitive position, business, financial conditions, results of operations, and prospects.</w:t>
      </w:r>
    </w:p>
    <w:p>
      <w:pPr>
        <w:spacing w:after="0" w:line="24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22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spacing w:after="0" w:line="21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Disputes may arise between us and our current or future licensors regarding intellectual property and other rights subject to a license agreement, including:</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scope of rights granted under the license agreement and other interpretation-related issues;</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whether and the extent to which our product candidates infringe on intellectual property of the licensor that is not subject to the licensing agreement;</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right to sublicense to third parties;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right to transfer or assign the license;</w:t>
      </w:r>
    </w:p>
    <w:p>
      <w:pPr>
        <w:spacing w:after="0" w:line="13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priority of invention of patented technology.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1" w:name="page82"/>
    <w:bookmarkEnd w:id="81"/>
    <w:p>
      <w:pPr>
        <w:jc w:val="both"/>
        <w:ind w:firstLine="509"/>
        <w:spacing w:after="0" w:line="267" w:lineRule="auto"/>
        <w:rPr>
          <w:sz w:val="20"/>
          <w:szCs w:val="20"/>
          <w:color w:val="auto"/>
        </w:rPr>
      </w:pPr>
      <w:r>
        <w:rPr>
          <w:rFonts w:ascii="Arial" w:cs="Arial" w:eastAsia="Arial" w:hAnsi="Arial"/>
          <w:sz w:val="18"/>
          <w:szCs w:val="18"/>
          <w:color w:val="auto"/>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3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3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 applications and patents relating to our product candidates, there may be times when the filing and prosecution activities for patent applications and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products similar or identical to our product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13" w:lineRule="exact"/>
        <w:rPr>
          <w:sz w:val="20"/>
          <w:szCs w:val="20"/>
          <w:color w:val="auto"/>
        </w:rPr>
      </w:pPr>
    </w:p>
    <w:p>
      <w:pPr>
        <w:jc w:val="both"/>
        <w:ind w:right="20" w:firstLine="509"/>
        <w:spacing w:after="0" w:line="284"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3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Risks Relating to Cybersecurity</w:t>
      </w:r>
    </w:p>
    <w:p>
      <w:pPr>
        <w:spacing w:after="0" w:line="279"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23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245"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22"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3" w:name="page84"/>
    <w:bookmarkEnd w:id="83"/>
    <w:p>
      <w:pPr>
        <w:jc w:val="both"/>
        <w:spacing w:after="0" w:line="266" w:lineRule="auto"/>
        <w:rPr>
          <w:sz w:val="20"/>
          <w:szCs w:val="20"/>
          <w:color w:val="auto"/>
        </w:rPr>
      </w:pPr>
      <w:r>
        <w:rPr>
          <w:rFonts w:ascii="Arial" w:cs="Arial" w:eastAsia="Arial" w:hAnsi="Arial"/>
          <w:sz w:val="18"/>
          <w:szCs w:val="18"/>
          <w:color w:val="auto"/>
        </w:rPr>
        <w:t>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24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Specifically, the UK exited the EU on January 1, 2020, subject to a transition period ending December 31, 2020. The UK has implemented legislation similar to the GDPR, referred to as the UK GDPR, which provides for fines of up to the greater of up to the greater of £17.5 million or 4% of global turnover. The relationship between the United Kingdom and the European Union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37"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25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5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and certain of our directors and executive officers have been named as defendants in lawsuits that could result in substantial costs and divert management’s attention.</w:t>
      </w:r>
    </w:p>
    <w:p>
      <w:pPr>
        <w:spacing w:after="0" w:line="215"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8"/>
          <w:szCs w:val="18"/>
          <w:color w:val="auto"/>
        </w:rPr>
        <w:t>As described elsewhere in this report in “Part II, Item I—Legal Proceedings,” we and certain of our executive officers and directors have been named as defendants in class action lawsuits that generally allege that we and certain of our officers and directors violated Sections 10(b) and/or 20(a) of the Exchange Act and Rule 10b-5 promulgated thereunder by making allegedly false and/or misleading statements and omitted material adverse facts regarding the Company’s business. These complaints seek unspecified compensatory and punitive damages, and reasonable costs and expenses, including attorneys’ fees. At this time, we are unable to predict the outcome of these matters.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has caused and will continue to cause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and advance our product candidates, any of which could have a material adverse effect on our business. In addition, additional lawsuits may be filed, the conclusion of which in a manner adverse to us and for which we incur substantial costs or damages not covered by our directors’ and officers’ liability insurance would have a material adverse effect on our financial condition and business.</w:t>
      </w:r>
    </w:p>
    <w:p>
      <w:pPr>
        <w:spacing w:after="0" w:line="22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20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3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ongoing impact of the COVID-19 pandemic on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success of existing or new competitive products or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commencement or termination of collaborations for our product candidates;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failure or discontinuation of any of our product candidates;</w:t>
      </w:r>
    </w:p>
    <w:p>
      <w:pPr>
        <w:spacing w:after="0" w:line="131" w:lineRule="exact"/>
        <w:rPr>
          <w:sz w:val="20"/>
          <w:szCs w:val="20"/>
          <w:color w:val="auto"/>
        </w:rPr>
      </w:pPr>
    </w:p>
    <w:p>
      <w:pPr>
        <w:ind w:left="960" w:right="20"/>
        <w:spacing w:after="0" w:line="277" w:lineRule="auto"/>
        <w:rPr>
          <w:sz w:val="20"/>
          <w:szCs w:val="20"/>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or legal developments in the United States and other countries;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developments or disputes concerning patent applications, issued patents or other proprietary rights;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recruitment or departure of key personnel;</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negative press coverage;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status of ongoing litigation and potential commencement of additional litigation;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5" w:name="page86"/>
    <w:bookmarkEnd w:id="85"/>
    <w:p>
      <w:pPr>
        <w:ind w:left="960"/>
        <w:spacing w:after="0" w:line="277" w:lineRule="auto"/>
        <w:rPr>
          <w:sz w:val="20"/>
          <w:szCs w:val="20"/>
          <w:color w:val="auto"/>
        </w:rPr>
      </w:pPr>
      <w:r>
        <w:rPr>
          <w:rFonts w:ascii="Arial" w:cs="Arial" w:eastAsia="Arial" w:hAnsi="Arial"/>
          <w:sz w:val="18"/>
          <w:szCs w:val="18"/>
          <w:color w:val="auto"/>
        </w:rPr>
        <w:t>the results of the investigation by the independent special committee of the board of directors and the separate ongoing investigation by WSU;</w:t>
      </w:r>
    </w:p>
    <w:p>
      <w:pPr>
        <w:spacing w:after="0" w:line="89" w:lineRule="exact"/>
        <w:rPr>
          <w:sz w:val="20"/>
          <w:szCs w:val="20"/>
          <w:color w:val="auto"/>
        </w:rPr>
      </w:pPr>
    </w:p>
    <w:p>
      <w:pPr>
        <w:ind w:left="960" w:right="2000"/>
        <w:spacing w:after="0" w:line="391" w:lineRule="auto"/>
        <w:rPr>
          <w:sz w:val="20"/>
          <w:szCs w:val="20"/>
          <w:color w:val="auto"/>
        </w:rPr>
      </w:pPr>
      <w:r>
        <w:rPr>
          <w:rFonts w:ascii="Arial" w:cs="Arial" w:eastAsia="Arial" w:hAnsi="Arial"/>
          <w:sz w:val="18"/>
          <w:szCs w:val="18"/>
          <w:color w:val="auto"/>
        </w:rPr>
        <w:t>the level of expenses related to any of our research programs, product candidates that we may develop; the results of our efforts to develop additional product candidates or products;</w:t>
      </w:r>
    </w:p>
    <w:p>
      <w:pPr>
        <w:spacing w:after="0" w:line="1"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announcement or expectation of additional financing efforts;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sales of our common stock by us, our insiders, or other stockholders;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estimates or recommendations by securities analysts, if any, that cover our stock;</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structure of healthcare payment systems;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economic, industry, and market conditions;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other factors described in this “Part II, Item 1A—Risk Factors” section.</w:t>
      </w:r>
    </w:p>
    <w:p>
      <w:pPr>
        <w:spacing w:after="0" w:line="27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10"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which could cause the market price of our common stock to decline significantly, even if our business is doing well.</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For example, on March 17, 2021, and April 20, 2021, certain lock-up agreements entered into in connection with our initial public offering and follow-on public offering expired, and as a result, a significant portion of shares of our common stock became available for resale, which may have affected, and may continue to affect,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25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Moreover, as of September 30, 2021, the holders of approximately 5.1 million shares of our common stock are eligible to exercise certain rights, subject to various conditions and limitations, to 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21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Our directors, executive officers and 5% stockholders own a significant percentage of our common stock, which could limit your ability to affect the outcome of key transactions, including a change of control.</w:t>
      </w:r>
    </w:p>
    <w:p>
      <w:pPr>
        <w:spacing w:after="0" w:line="2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directors, executive officers, holders of more than 5% of our outstanding common stock and their respective affiliates beneficially own shares representing approximately 28.1% of our outstanding common stock as of September 30, 2021. As a result, these stockholders, if they act together, will be able to influence our management and affairs and all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6" w:name="page87"/>
    <w:bookmarkEnd w:id="86"/>
    <w:p>
      <w:pPr>
        <w:jc w:val="both"/>
        <w:spacing w:after="0" w:line="271" w:lineRule="auto"/>
        <w:rPr>
          <w:sz w:val="20"/>
          <w:szCs w:val="20"/>
          <w:color w:val="auto"/>
        </w:rPr>
      </w:pPr>
      <w:r>
        <w:rPr>
          <w:rFonts w:ascii="Arial" w:cs="Arial" w:eastAsia="Arial" w:hAnsi="Arial"/>
          <w:sz w:val="18"/>
          <w:szCs w:val="18"/>
          <w:color w:val="auto"/>
        </w:rPr>
        <w:t>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08"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2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0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 been required to test our internal controls within a specified period and, as a result, we may experience difficulty in meeting these reporting requirements in a timely manner.</w:t>
      </w:r>
    </w:p>
    <w:p>
      <w:pPr>
        <w:spacing w:after="0" w:line="2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4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87" w:name="page88"/>
    <w:bookmarkEnd w:id="87"/>
    <w:p>
      <w:pPr>
        <w:jc w:val="both"/>
        <w:ind w:right="20" w:firstLine="509"/>
        <w:spacing w:after="0" w:line="303"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in September 2020 and follow-on public offering in January 2021 and may not use them effectively.</w:t>
      </w:r>
    </w:p>
    <w:p>
      <w:pPr>
        <w:spacing w:after="0" w:line="20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We have broad discretion in the application of the net proceeds received from our initial public offering in September 2020 and follow-on public offering in January 2021. We may spend a portion or all of the net proceeds from our public offerings in ways that our stockholders may not desire or that may not yield a favorable return. Any failure by us to apply these funds effectively could harm our business, financial condition, results of operations and prospects. Pending their use, we may invest the net proceeds from our public offerings in a manner that does not produce income or that loses value.</w:t>
      </w:r>
    </w:p>
    <w:p>
      <w:pPr>
        <w:spacing w:after="0" w:line="22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98"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divide the board of directors into three classes;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provide that a director may only be removed from the board of directors by the stockholders for cause;</w:t>
      </w:r>
    </w:p>
    <w:p>
      <w:pPr>
        <w:spacing w:after="0" w:line="131"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95"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89" w:lineRule="exact"/>
        <w:rPr>
          <w:sz w:val="20"/>
          <w:szCs w:val="20"/>
          <w:color w:val="auto"/>
        </w:rPr>
      </w:pPr>
    </w:p>
    <w:p>
      <w:pPr>
        <w:jc w:val="both"/>
        <w:ind w:left="960"/>
        <w:spacing w:after="0" w:line="277" w:lineRule="auto"/>
        <w:rPr>
          <w:sz w:val="20"/>
          <w:szCs w:val="20"/>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8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23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23"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limit our stockholders’ ability to obtain a favorable judicial forum for disputes with us or our directors, officers or employees.</w:t>
      </w:r>
    </w:p>
    <w:p>
      <w:pPr>
        <w:spacing w:after="0" w:line="28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2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24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27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15"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212529"/>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cs="Arial" w:eastAsia="Arial" w:hAnsi="Arial"/>
          <w:sz w:val="18"/>
          <w:szCs w:val="18"/>
          <w:color w:val="000000"/>
        </w:rPr>
        <w:t>divergent</w:t>
      </w:r>
      <w:r>
        <w:rPr>
          <w:rFonts w:ascii="Arial" w:cs="Arial" w:eastAsia="Arial" w:hAnsi="Arial"/>
          <w:sz w:val="18"/>
          <w:szCs w:val="18"/>
          <w:color w:val="212529"/>
        </w:rPr>
        <w:t xml:space="preserve">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22" w:lineRule="exact"/>
        <w:rPr>
          <w:sz w:val="20"/>
          <w:szCs w:val="20"/>
          <w:color w:val="auto"/>
        </w:rPr>
      </w:pPr>
    </w:p>
    <w:p>
      <w:pPr>
        <w:jc w:val="both"/>
        <w:ind w:right="20" w:firstLine="509"/>
        <w:spacing w:after="0" w:line="303" w:lineRule="auto"/>
        <w:rPr>
          <w:sz w:val="20"/>
          <w:szCs w:val="20"/>
          <w:color w:val="auto"/>
        </w:rPr>
      </w:pPr>
      <w:r>
        <w:rPr>
          <w:rFonts w:ascii="Arial" w:cs="Arial" w:eastAsia="Arial" w:hAnsi="Arial"/>
          <w:sz w:val="18"/>
          <w:szCs w:val="18"/>
          <w:b w:val="1"/>
          <w:bCs w:val="1"/>
          <w:i w:val="1"/>
          <w:iCs w:val="1"/>
          <w:color w:val="auto"/>
        </w:rPr>
        <w:t xml:space="preserve">If </w:t>
      </w:r>
      <w:r>
        <w:rPr>
          <w:rFonts w:ascii="Arial" w:cs="Arial" w:eastAsia="Arial" w:hAnsi="Arial"/>
          <w:sz w:val="18"/>
          <w:szCs w:val="18"/>
          <w:b w:val="1"/>
          <w:bCs w:val="1"/>
          <w:i w:val="1"/>
          <w:iCs w:val="1"/>
          <w:color w:val="212529"/>
        </w:rPr>
        <w:t>securities</w:t>
      </w:r>
      <w:r>
        <w:rPr>
          <w:rFonts w:ascii="Arial" w:cs="Arial" w:eastAsia="Arial" w:hAnsi="Arial"/>
          <w:sz w:val="18"/>
          <w:szCs w:val="18"/>
          <w:b w:val="1"/>
          <w:bCs w:val="1"/>
          <w:i w:val="1"/>
          <w:iCs w:val="1"/>
          <w:color w:val="auto"/>
        </w:rPr>
        <w:t xml:space="preserve"> analysts do not publish research or reports about our business or if they publish negative evaluations of our stock, the price of our stock could decline.</w:t>
      </w:r>
    </w:p>
    <w:p>
      <w:pPr>
        <w:spacing w:after="0" w:line="21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89" w:name="page90"/>
    <w:bookmarkEnd w:id="89"/>
    <w:p>
      <w:pPr>
        <w:jc w:val="both"/>
        <w:ind w:right="20" w:firstLine="509"/>
        <w:spacing w:after="0" w:line="303"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0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36"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230"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24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30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On September 22, 2020, we closed our IPO, in which we sold and issued 12,000,000 shares of our common stock at a price to the public of $17.00 per share. On October 16, 2020, we sold and issued an additional 1,397,712 shares of common stock at $17.00 per share, less underwriting discounts and commissions, to the underwriters of our IPO following the partial exercise of their option to purchase additional shares of common stock.</w:t>
      </w:r>
    </w:p>
    <w:p>
      <w:pPr>
        <w:spacing w:after="0" w:line="24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333-248428), which was declared effective by the SEC on September 17, 2020.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90" w:name="page91"/>
    <w:bookmarkEnd w:id="90"/>
    <w:p>
      <w:pPr>
        <w:ind w:firstLine="509"/>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September 18, 2020</w:t>
      </w:r>
      <w:r>
        <w:rPr>
          <w:rFonts w:ascii="Arial" w:cs="Arial" w:eastAsia="Arial" w:hAnsi="Arial"/>
          <w:sz w:val="18"/>
          <w:szCs w:val="18"/>
          <w:color w:val="231F20"/>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57" w:lineRule="exact"/>
        <w:rPr>
          <w:sz w:val="20"/>
          <w:szCs w:val="20"/>
          <w:color w:val="auto"/>
        </w:rPr>
      </w:pPr>
    </w:p>
    <w:p>
      <w:pPr>
        <w:jc w:val="center"/>
        <w:ind w:right="9040"/>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6.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100" w:type="dxa"/>
            <w:vAlign w:val="bottom"/>
            <w:tcBorders>
              <w:bottom w:val="single" w:sz="8" w:color="auto"/>
            </w:tcBorders>
          </w:tcPr>
          <w:p>
            <w:pPr>
              <w:spacing w:after="0"/>
              <w:rPr>
                <w:sz w:val="16"/>
                <w:szCs w:val="16"/>
                <w:color w:val="auto"/>
              </w:rPr>
            </w:pPr>
          </w:p>
        </w:tc>
      </w:tr>
      <w:tr>
        <w:trPr>
          <w:trHeight w:val="169"/>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rPr>
              <w:t>Description</w:t>
            </w:r>
          </w:p>
        </w:tc>
        <w:tc>
          <w:tcPr>
            <w:tcW w:w="94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Form</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250"/>
        </w:trPr>
        <w:tc>
          <w:tcPr>
            <w:tcW w:w="980" w:type="dxa"/>
            <w:vAlign w:val="bottom"/>
          </w:tcPr>
          <w:p>
            <w:pPr>
              <w:ind w:left="1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80" w:type="dxa"/>
            <w:vAlign w:val="bottom"/>
            <w:gridSpan w:val="15"/>
          </w:tcPr>
          <w:p>
            <w:pPr>
              <w:spacing w:after="0"/>
              <w:rPr>
                <w:rFonts w:ascii="Arial" w:cs="Arial" w:eastAsia="Arial" w:hAnsi="Arial"/>
                <w:sz w:val="18"/>
                <w:szCs w:val="18"/>
                <w:color w:val="0000FF"/>
              </w:rPr>
            </w:pPr>
            <w:hyperlink r:id="rId291">
              <w:r>
                <w:rPr>
                  <w:rFonts w:ascii="Arial" w:cs="Arial" w:eastAsia="Arial" w:hAnsi="Arial"/>
                  <w:sz w:val="18"/>
                  <w:szCs w:val="18"/>
                  <w:color w:val="0000FF"/>
                </w:rPr>
                <w:t>Amended and Restated Certificate of Incorporation of the Company</w:t>
              </w:r>
            </w:hyperlink>
          </w:p>
        </w:tc>
        <w:tc>
          <w:tcPr>
            <w:tcW w:w="940" w:type="dxa"/>
            <w:vAlign w:val="bottom"/>
          </w:tcPr>
          <w:p>
            <w:pPr>
              <w:jc w:val="center"/>
              <w:ind w:left="15"/>
              <w:spacing w:after="0"/>
              <w:rPr>
                <w:sz w:val="20"/>
                <w:szCs w:val="20"/>
                <w:color w:val="auto"/>
              </w:rPr>
            </w:pPr>
            <w:r>
              <w:rPr>
                <w:rFonts w:ascii="Arial" w:cs="Arial" w:eastAsia="Arial" w:hAnsi="Arial"/>
                <w:sz w:val="18"/>
                <w:szCs w:val="18"/>
                <w:color w:val="auto"/>
                <w:w w:val="9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00" w:type="dxa"/>
            <w:vAlign w:val="bottom"/>
          </w:tcPr>
          <w:p>
            <w:pPr>
              <w:jc w:val="center"/>
              <w:spacing w:after="0"/>
              <w:rPr>
                <w:sz w:val="20"/>
                <w:szCs w:val="20"/>
                <w:color w:val="auto"/>
              </w:rPr>
            </w:pPr>
            <w:r>
              <w:rPr>
                <w:rFonts w:ascii="Arial" w:cs="Arial" w:eastAsia="Arial" w:hAnsi="Arial"/>
                <w:sz w:val="18"/>
                <w:szCs w:val="18"/>
                <w:color w:val="auto"/>
              </w:rPr>
              <w:t>3.1</w:t>
            </w:r>
          </w:p>
        </w:tc>
        <w:tc>
          <w:tcPr>
            <w:tcW w:w="1100" w:type="dxa"/>
            <w:vAlign w:val="bottom"/>
          </w:tcPr>
          <w:p>
            <w:pPr>
              <w:jc w:val="center"/>
              <w:spacing w:after="0"/>
              <w:rPr>
                <w:sz w:val="20"/>
                <w:szCs w:val="20"/>
                <w:color w:val="auto"/>
              </w:rPr>
            </w:pPr>
            <w:r>
              <w:rPr>
                <w:rFonts w:ascii="Arial" w:cs="Arial" w:eastAsia="Arial" w:hAnsi="Arial"/>
                <w:sz w:val="18"/>
                <w:szCs w:val="18"/>
                <w:color w:val="auto"/>
              </w:rPr>
              <w:t>November</w:t>
            </w:r>
          </w:p>
        </w:tc>
      </w:tr>
      <w:tr>
        <w:trPr>
          <w:trHeight w:val="237"/>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12, 2020</w:t>
            </w:r>
          </w:p>
        </w:tc>
      </w:tr>
      <w:tr>
        <w:trPr>
          <w:trHeight w:val="297"/>
        </w:trPr>
        <w:tc>
          <w:tcPr>
            <w:tcW w:w="980" w:type="dxa"/>
            <w:vAlign w:val="bottom"/>
          </w:tcPr>
          <w:p>
            <w:pPr>
              <w:ind w:left="1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FF"/>
              </w:rPr>
            </w:pPr>
            <w:hyperlink r:id="rId292">
              <w:r>
                <w:rPr>
                  <w:rFonts w:ascii="Arial" w:cs="Arial" w:eastAsia="Arial" w:hAnsi="Arial"/>
                  <w:sz w:val="18"/>
                  <w:szCs w:val="18"/>
                  <w:color w:val="0000FF"/>
                </w:rPr>
                <w:t>Amended and Restated Bylaws of the Company</w:t>
              </w:r>
            </w:hyperlink>
          </w:p>
        </w:tc>
        <w:tc>
          <w:tcPr>
            <w:tcW w:w="940" w:type="dxa"/>
            <w:vAlign w:val="bottom"/>
          </w:tcPr>
          <w:p>
            <w:pPr>
              <w:jc w:val="center"/>
              <w:ind w:left="15"/>
              <w:spacing w:after="0"/>
              <w:rPr>
                <w:sz w:val="20"/>
                <w:szCs w:val="20"/>
                <w:color w:val="auto"/>
              </w:rPr>
            </w:pPr>
            <w:r>
              <w:rPr>
                <w:rFonts w:ascii="Arial" w:cs="Arial" w:eastAsia="Arial" w:hAnsi="Arial"/>
                <w:sz w:val="18"/>
                <w:szCs w:val="18"/>
                <w:color w:val="auto"/>
                <w:w w:val="9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00" w:type="dxa"/>
            <w:vAlign w:val="bottom"/>
          </w:tcPr>
          <w:p>
            <w:pPr>
              <w:jc w:val="center"/>
              <w:spacing w:after="0"/>
              <w:rPr>
                <w:sz w:val="20"/>
                <w:szCs w:val="20"/>
                <w:color w:val="auto"/>
              </w:rPr>
            </w:pPr>
            <w:r>
              <w:rPr>
                <w:rFonts w:ascii="Arial" w:cs="Arial" w:eastAsia="Arial" w:hAnsi="Arial"/>
                <w:sz w:val="18"/>
                <w:szCs w:val="18"/>
                <w:color w:val="auto"/>
              </w:rPr>
              <w:t>3.2</w:t>
            </w:r>
          </w:p>
        </w:tc>
        <w:tc>
          <w:tcPr>
            <w:tcW w:w="1100" w:type="dxa"/>
            <w:vAlign w:val="bottom"/>
          </w:tcPr>
          <w:p>
            <w:pPr>
              <w:jc w:val="center"/>
              <w:spacing w:after="0"/>
              <w:rPr>
                <w:sz w:val="20"/>
                <w:szCs w:val="20"/>
                <w:color w:val="auto"/>
              </w:rPr>
            </w:pPr>
            <w:r>
              <w:rPr>
                <w:rFonts w:ascii="Arial" w:cs="Arial" w:eastAsia="Arial" w:hAnsi="Arial"/>
                <w:sz w:val="18"/>
                <w:szCs w:val="18"/>
                <w:color w:val="auto"/>
              </w:rPr>
              <w:t>November</w:t>
            </w:r>
          </w:p>
        </w:tc>
      </w:tr>
      <w:tr>
        <w:trPr>
          <w:trHeight w:val="237"/>
        </w:trPr>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500" w:type="dxa"/>
            <w:vAlign w:val="bottom"/>
            <w:tcBorders>
              <w:top w:val="single" w:sz="8" w:color="0000FF"/>
            </w:tcBorders>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12, 2020</w:t>
            </w:r>
          </w:p>
        </w:tc>
      </w:tr>
      <w:tr>
        <w:trPr>
          <w:trHeight w:val="297"/>
        </w:trPr>
        <w:tc>
          <w:tcPr>
            <w:tcW w:w="980" w:type="dxa"/>
            <w:vAlign w:val="bottom"/>
          </w:tcPr>
          <w:p>
            <w:pPr>
              <w:ind w:left="1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14"/>
          </w:tcPr>
          <w:p>
            <w:pPr>
              <w:spacing w:after="0"/>
              <w:rPr>
                <w:rFonts w:ascii="Arial" w:cs="Arial" w:eastAsia="Arial" w:hAnsi="Arial"/>
                <w:sz w:val="18"/>
                <w:szCs w:val="18"/>
                <w:color w:val="0000FF"/>
                <w:w w:val="99"/>
              </w:rPr>
            </w:pPr>
            <w:hyperlink r:id="rId293">
              <w:r>
                <w:rPr>
                  <w:rFonts w:ascii="Arial" w:cs="Arial" w:eastAsia="Arial" w:hAnsi="Arial"/>
                  <w:sz w:val="18"/>
                  <w:szCs w:val="18"/>
                  <w:color w:val="0000FF"/>
                  <w:w w:val="99"/>
                </w:rPr>
                <w:t>Separation Agreement dated October 18, 2021 between the Company and</w:t>
              </w:r>
            </w:hyperlink>
          </w:p>
        </w:tc>
        <w:tc>
          <w:tcPr>
            <w:tcW w:w="20" w:type="dxa"/>
            <w:vAlign w:val="bottom"/>
          </w:tcPr>
          <w:p>
            <w:pPr>
              <w:spacing w:after="0"/>
              <w:rPr>
                <w:sz w:val="24"/>
                <w:szCs w:val="24"/>
                <w:color w:val="auto"/>
              </w:rPr>
            </w:pPr>
          </w:p>
        </w:tc>
        <w:tc>
          <w:tcPr>
            <w:tcW w:w="940" w:type="dxa"/>
            <w:vAlign w:val="bottom"/>
          </w:tcPr>
          <w:p>
            <w:pPr>
              <w:jc w:val="center"/>
              <w:ind w:left="15"/>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October 21,</w:t>
            </w:r>
          </w:p>
        </w:tc>
      </w:tr>
      <w:tr>
        <w:trPr>
          <w:trHeight w:val="210"/>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15"/>
          </w:tcPr>
          <w:p>
            <w:pPr>
              <w:spacing w:after="0"/>
              <w:rPr>
                <w:rFonts w:ascii="Arial" w:cs="Arial" w:eastAsia="Arial" w:hAnsi="Arial"/>
                <w:sz w:val="18"/>
                <w:szCs w:val="18"/>
                <w:color w:val="0000FF"/>
              </w:rPr>
            </w:pPr>
            <w:hyperlink r:id="rId293">
              <w:r>
                <w:rPr>
                  <w:rFonts w:ascii="Arial" w:cs="Arial" w:eastAsia="Arial" w:hAnsi="Arial"/>
                  <w:sz w:val="18"/>
                  <w:szCs w:val="18"/>
                  <w:color w:val="0000FF"/>
                </w:rPr>
                <w:t>Leen Kawas</w:t>
              </w:r>
            </w:hyperlink>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Certification of Principal Executive Officer Pursuant to Rules 13a-14(a) and</w:t>
              </w:r>
            </w:hyperlink>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tcBorders>
              <w:bottom w:val="single" w:sz="8" w:color="0000FF"/>
            </w:tcBorders>
            <w:gridSpan w:val="8"/>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15d-14(a) under the Securities Exchange Act of 1934, as Adopted</w:t>
              </w:r>
            </w:hyperlink>
          </w:p>
        </w:tc>
        <w:tc>
          <w:tcPr>
            <w:tcW w:w="70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15"/>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Pursuant to Section 302 of the Sarbanes-Oxley Act of 2002.</w:t>
              </w:r>
            </w:hyperlink>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Certification of Principal Accounting and Financial Officer Pursuant to</w:t>
              </w:r>
            </w:hyperlink>
          </w:p>
        </w:tc>
        <w:tc>
          <w:tcPr>
            <w:tcW w:w="46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6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Rules 13a-14(a) and 15d-14(a) under the Securities Exchange Act of 1934,</w:t>
              </w:r>
            </w:hyperlink>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15"/>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as Adopted Pursuant to Section 302 of the Sarbanes-Oxley Act of 2002.</w:t>
              </w:r>
            </w:hyperlink>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Borders>
              <w:bottom w:val="single" w:sz="8" w:color="0000FF"/>
            </w:tcBorders>
            <w:gridSpan w:val="13"/>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of Principal Executive Officer Pursuant to 18 U.S.C. Section</w:t>
              </w:r>
            </w:hyperlink>
          </w:p>
        </w:tc>
        <w:tc>
          <w:tcPr>
            <w:tcW w:w="2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Borders>
              <w:bottom w:val="single" w:sz="8" w:color="0000FF"/>
            </w:tcBorders>
            <w:gridSpan w:val="12"/>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1350, as Adopted Pursuant to Section 906 of the Sarbanes-Oxley Act of</w:t>
              </w:r>
            </w:hyperlink>
          </w:p>
        </w:tc>
        <w:tc>
          <w:tcPr>
            <w:tcW w:w="22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520" w:type="dxa"/>
            <w:vAlign w:val="bottom"/>
            <w:gridSpan w:val="3"/>
          </w:tcPr>
          <w:p>
            <w:pPr>
              <w:ind w:left="60"/>
              <w:spacing w:after="0"/>
              <w:rPr>
                <w:rFonts w:ascii="Arial" w:cs="Arial" w:eastAsia="Arial" w:hAnsi="Arial"/>
                <w:sz w:val="18"/>
                <w:szCs w:val="18"/>
                <w:color w:val="0000FF"/>
                <w:w w:val="93"/>
              </w:rPr>
            </w:pPr>
            <w:hyperlink w:anchor="page96">
              <w:r>
                <w:rPr>
                  <w:rFonts w:ascii="Arial" w:cs="Arial" w:eastAsia="Arial" w:hAnsi="Arial"/>
                  <w:sz w:val="18"/>
                  <w:szCs w:val="18"/>
                  <w:color w:val="0000FF"/>
                  <w:w w:val="93"/>
                </w:rPr>
                <w:t>2002.</w:t>
              </w:r>
            </w:hyperlink>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980" w:type="dxa"/>
            <w:vAlign w:val="bottom"/>
          </w:tcPr>
          <w:p>
            <w:pPr>
              <w:ind w:left="12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Borders>
              <w:bottom w:val="single" w:sz="8" w:color="0000FF"/>
            </w:tcBorders>
            <w:gridSpan w:val="13"/>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Certification of Principal Accounting and Financial Officer Pursuant to 18</w:t>
              </w:r>
            </w:hyperlink>
          </w:p>
        </w:tc>
        <w:tc>
          <w:tcPr>
            <w:tcW w:w="20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9"/>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tcBorders>
              <w:bottom w:val="single" w:sz="8" w:color="0000FF"/>
            </w:tcBorders>
            <w:gridSpan w:val="7"/>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U.S.C. Section 1350, as Adopted Pursuant to Section 906 of the</w:t>
              </w:r>
            </w:hyperlink>
          </w:p>
        </w:tc>
        <w:tc>
          <w:tcPr>
            <w:tcW w:w="840" w:type="dxa"/>
            <w:vAlign w:val="bottom"/>
            <w:gridSpan w:val="8"/>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tcBorders>
              <w:bottom w:val="single" w:sz="8" w:color="0000FF"/>
            </w:tcBorders>
            <w:gridSpan w:val="3"/>
          </w:tcPr>
          <w:p>
            <w:pPr>
              <w:spacing w:after="0"/>
              <w:rPr>
                <w:rFonts w:ascii="Arial" w:cs="Arial" w:eastAsia="Arial" w:hAnsi="Arial"/>
                <w:sz w:val="18"/>
                <w:szCs w:val="18"/>
                <w:color w:val="0000FF"/>
                <w:w w:val="98"/>
              </w:rPr>
            </w:pPr>
            <w:hyperlink w:anchor="page97">
              <w:r>
                <w:rPr>
                  <w:rFonts w:ascii="Arial" w:cs="Arial" w:eastAsia="Arial" w:hAnsi="Arial"/>
                  <w:sz w:val="18"/>
                  <w:szCs w:val="18"/>
                  <w:color w:val="0000FF"/>
                  <w:w w:val="98"/>
                </w:rPr>
                <w:t>Sarbanes-Oxley Act of 2002.</w:t>
              </w:r>
            </w:hyperlink>
          </w:p>
        </w:tc>
        <w:tc>
          <w:tcPr>
            <w:tcW w:w="20" w:type="dxa"/>
            <w:vAlign w:val="bottom"/>
            <w:tcBorders>
              <w:bottom w:val="single" w:sz="8" w:color="0000EE"/>
            </w:tcBorders>
          </w:tcPr>
          <w:p>
            <w:pPr>
              <w:spacing w:after="0"/>
              <w:rPr>
                <w:sz w:val="18"/>
                <w:szCs w:val="18"/>
                <w:color w:val="auto"/>
              </w:rPr>
            </w:pPr>
          </w:p>
        </w:tc>
        <w:tc>
          <w:tcPr>
            <w:tcW w:w="368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48" w:lineRule="exact"/>
        <w:rPr>
          <w:sz w:val="20"/>
          <w:szCs w:val="20"/>
          <w:color w:val="auto"/>
        </w:rPr>
      </w:pPr>
    </w:p>
    <w:p>
      <w:pPr>
        <w:ind w:left="1040" w:right="4340" w:hanging="1028"/>
        <w:spacing w:after="0" w:line="285"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September 30, 2021, formatted in Inline XBRL: (i) Condensed Consolidated Balance Sheets, (ii) Condensed Consolidated Statements of Operations and Comprehensive Loss, (iii) Condensed Consolidated Statements of Convertible Preferred Stock and Stockholders’ Equity, (iv), Condensed Consolidated Statements of Cash Flows, and (v) Notes to Unaudited Condensed Consolidated Financial Statements, tagged as blocks of text and including detailed tags.</w:t>
      </w:r>
    </w:p>
    <w:p>
      <w:pPr>
        <w:spacing w:after="0" w:line="87" w:lineRule="exact"/>
        <w:rPr>
          <w:sz w:val="20"/>
          <w:szCs w:val="20"/>
          <w:color w:val="auto"/>
        </w:rPr>
      </w:pPr>
    </w:p>
    <w:p>
      <w:pPr>
        <w:ind w:left="1040" w:right="4280" w:hanging="1028"/>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183" w:lineRule="exact"/>
        <w:rPr>
          <w:rFonts w:ascii="Arial" w:cs="Arial" w:eastAsia="Arial" w:hAnsi="Arial"/>
          <w:sz w:val="18"/>
          <w:szCs w:val="18"/>
          <w:color w:val="auto"/>
        </w:rPr>
      </w:pPr>
    </w:p>
    <w:p>
      <w:pPr>
        <w:jc w:val="both"/>
        <w:spacing w:after="0" w:line="269" w:lineRule="auto"/>
        <w:rPr>
          <w:rFonts w:ascii="Arial" w:cs="Arial" w:eastAsia="Arial" w:hAnsi="Arial"/>
          <w:sz w:val="18"/>
          <w:szCs w:val="18"/>
          <w:color w:val="auto"/>
        </w:rPr>
      </w:pPr>
      <w:r>
        <w:rPr>
          <w:rFonts w:ascii="Arial" w:cs="Arial" w:eastAsia="Arial" w:hAnsi="Arial"/>
          <w:sz w:val="18"/>
          <w:szCs w:val="18"/>
          <w:color w:val="auto"/>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-773430</wp:posOffset>
            </wp:positionV>
            <wp:extent cx="95123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7440" w:type="dxa"/>
            <w:vAlign w:val="bottom"/>
            <w:gridSpan w:val="2"/>
          </w:tcPr>
          <w:p>
            <w:pPr>
              <w:ind w:left="1900"/>
              <w:spacing w:after="0"/>
              <w:rPr>
                <w:sz w:val="20"/>
                <w:szCs w:val="20"/>
                <w:color w:val="auto"/>
              </w:rPr>
            </w:pPr>
            <w:r>
              <w:rPr>
                <w:rFonts w:ascii="Arial" w:cs="Arial" w:eastAsia="Arial" w:hAnsi="Arial"/>
                <w:sz w:val="18"/>
                <w:szCs w:val="18"/>
                <w:b w:val="1"/>
                <w:bCs w:val="1"/>
                <w:color w:val="auto"/>
              </w:rPr>
              <w:t>Athira Pharma, Inc.</w:t>
            </w:r>
          </w:p>
        </w:tc>
      </w:tr>
      <w:tr>
        <w:trPr>
          <w:trHeight w:val="486"/>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10, 2021</w:t>
            </w:r>
          </w:p>
        </w:tc>
        <w:tc>
          <w:tcPr>
            <w:tcW w:w="7440" w:type="dxa"/>
            <w:vAlign w:val="bottom"/>
            <w:gridSpan w:val="2"/>
          </w:tcPr>
          <w:p>
            <w:pPr>
              <w:ind w:left="1900"/>
              <w:spacing w:after="0"/>
              <w:rPr>
                <w:sz w:val="20"/>
                <w:szCs w:val="20"/>
                <w:color w:val="auto"/>
              </w:rPr>
            </w:pPr>
            <w:r>
              <w:rPr>
                <w:rFonts w:ascii="Arial" w:cs="Arial" w:eastAsia="Arial" w:hAnsi="Arial"/>
                <w:sz w:val="18"/>
                <w:szCs w:val="18"/>
                <w:color w:val="auto"/>
              </w:rPr>
              <w:t>By: /s/ Mark Litton</w:t>
            </w:r>
          </w:p>
        </w:tc>
      </w:tr>
      <w:tr>
        <w:trPr>
          <w:trHeight w:val="223"/>
        </w:trPr>
        <w:tc>
          <w:tcPr>
            <w:tcW w:w="3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Mark Litton</w:t>
            </w:r>
          </w:p>
        </w:tc>
      </w:tr>
      <w:tr>
        <w:trPr>
          <w:trHeight w:val="243"/>
        </w:trPr>
        <w:tc>
          <w:tcPr>
            <w:tcW w:w="38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tc>
      </w:tr>
      <w:tr>
        <w:trPr>
          <w:trHeight w:val="256"/>
        </w:trPr>
        <w:tc>
          <w:tcPr>
            <w:tcW w:w="38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499"/>
        </w:trPr>
        <w:tc>
          <w:tcPr>
            <w:tcW w:w="3800" w:type="dxa"/>
            <w:vAlign w:val="bottom"/>
          </w:tcPr>
          <w:p>
            <w:pPr>
              <w:ind w:left="20"/>
              <w:spacing w:after="0"/>
              <w:rPr>
                <w:sz w:val="20"/>
                <w:szCs w:val="20"/>
                <w:color w:val="auto"/>
              </w:rPr>
            </w:pPr>
            <w:r>
              <w:rPr>
                <w:rFonts w:ascii="Arial" w:cs="Arial" w:eastAsia="Arial" w:hAnsi="Arial"/>
                <w:sz w:val="18"/>
                <w:szCs w:val="18"/>
                <w:color w:val="auto"/>
              </w:rPr>
              <w:t>Date: November 10, 2021</w:t>
            </w:r>
          </w:p>
        </w:tc>
        <w:tc>
          <w:tcPr>
            <w:tcW w:w="7440" w:type="dxa"/>
            <w:vAlign w:val="bottom"/>
            <w:gridSpan w:val="2"/>
          </w:tcPr>
          <w:p>
            <w:pPr>
              <w:ind w:left="1900"/>
              <w:spacing w:after="0"/>
              <w:rPr>
                <w:sz w:val="20"/>
                <w:szCs w:val="20"/>
                <w:color w:val="auto"/>
              </w:rPr>
            </w:pPr>
            <w:r>
              <w:rPr>
                <w:rFonts w:ascii="Arial" w:cs="Arial" w:eastAsia="Arial" w:hAnsi="Arial"/>
                <w:sz w:val="18"/>
                <w:szCs w:val="18"/>
                <w:color w:val="auto"/>
              </w:rPr>
              <w:t>By: /s/ Glenna Mileson</w:t>
            </w:r>
          </w:p>
        </w:tc>
      </w:tr>
      <w:tr>
        <w:trPr>
          <w:trHeight w:val="223"/>
        </w:trPr>
        <w:tc>
          <w:tcPr>
            <w:tcW w:w="38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Glenna Mileson</w:t>
            </w:r>
          </w:p>
        </w:tc>
      </w:tr>
      <w:tr>
        <w:trPr>
          <w:trHeight w:val="238"/>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 Accounting</w:t>
            </w:r>
          </w:p>
        </w:tc>
      </w:tr>
      <w:tr>
        <w:trPr>
          <w:trHeight w:val="235"/>
        </w:trPr>
        <w:tc>
          <w:tcPr>
            <w:tcW w:w="3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tc>
      </w:tr>
      <w:tr>
        <w:trPr>
          <w:trHeight w:val="688"/>
        </w:trPr>
        <w:tc>
          <w:tcPr>
            <w:tcW w:w="3800" w:type="dxa"/>
            <w:vAlign w:val="bottom"/>
          </w:tcPr>
          <w:p>
            <w:pPr>
              <w:spacing w:after="0"/>
              <w:rPr>
                <w:sz w:val="24"/>
                <w:szCs w:val="24"/>
                <w:color w:val="auto"/>
              </w:rPr>
            </w:pPr>
          </w:p>
        </w:tc>
        <w:tc>
          <w:tcPr>
            <w:tcW w:w="2220" w:type="dxa"/>
            <w:vAlign w:val="bottom"/>
          </w:tcPr>
          <w:p>
            <w:pPr>
              <w:jc w:val="right"/>
              <w:ind w:right="210"/>
              <w:spacing w:after="0"/>
              <w:rPr>
                <w:sz w:val="20"/>
                <w:szCs w:val="20"/>
                <w:color w:val="auto"/>
              </w:rPr>
            </w:pPr>
            <w:r>
              <w:rPr>
                <w:rFonts w:ascii="Arial" w:cs="Arial" w:eastAsia="Arial" w:hAnsi="Arial"/>
                <w:sz w:val="18"/>
                <w:szCs w:val="18"/>
                <w:color w:val="auto"/>
              </w:rPr>
              <w:t>93</w:t>
            </w:r>
          </w:p>
        </w:tc>
        <w:tc>
          <w:tcPr>
            <w:tcW w:w="5220" w:type="dxa"/>
            <w:vAlign w:val="bottom"/>
          </w:tcPr>
          <w:p>
            <w:pPr>
              <w:spacing w:after="0"/>
              <w:rPr>
                <w:sz w:val="24"/>
                <w:szCs w:val="24"/>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Mark Litton, certify that:</w:t>
      </w:r>
    </w:p>
    <w:p>
      <w:pPr>
        <w:spacing w:after="0" w:line="23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38" w:lineRule="exact"/>
        <w:rPr>
          <w:rFonts w:ascii="Arial" w:cs="Arial" w:eastAsia="Arial" w:hAnsi="Arial"/>
          <w:sz w:val="18"/>
          <w:szCs w:val="18"/>
          <w:color w:val="auto"/>
        </w:rPr>
      </w:pPr>
    </w:p>
    <w:p>
      <w:pPr>
        <w:jc w:val="both"/>
        <w:ind w:left="660" w:right="120" w:hanging="652"/>
        <w:spacing w:after="0" w:line="27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80" w:hanging="652"/>
        <w:spacing w:after="0" w:line="324"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660" w:right="120" w:hanging="652"/>
        <w:spacing w:after="0" w:line="29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400" w:right="20" w:hanging="643"/>
        <w:spacing w:after="0" w:line="279"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1400" w:right="120" w:hanging="643"/>
        <w:spacing w:after="0" w:line="359" w:lineRule="auto"/>
        <w:tabs>
          <w:tab w:leader="none" w:pos="14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00" w:right="100" w:hanging="643"/>
        <w:spacing w:after="0" w:line="279"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59"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400" w:right="360" w:hanging="643"/>
        <w:spacing w:after="0" w:line="359" w:lineRule="auto"/>
        <w:tabs>
          <w:tab w:leader="none" w:pos="14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00" w:right="40" w:hanging="643"/>
        <w:spacing w:after="0" w:line="293" w:lineRule="auto"/>
        <w:tabs>
          <w:tab w:leader="none" w:pos="1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5114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Litton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Glenna Mileson, certify that:</w:t>
      </w:r>
    </w:p>
    <w:p>
      <w:pPr>
        <w:spacing w:after="0" w:line="23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Athira Pharma, Inc.;</w:t>
      </w:r>
    </w:p>
    <w:p>
      <w:pPr>
        <w:spacing w:after="0" w:line="238" w:lineRule="exact"/>
        <w:rPr>
          <w:rFonts w:ascii="Arial" w:cs="Arial" w:eastAsia="Arial" w:hAnsi="Arial"/>
          <w:sz w:val="18"/>
          <w:szCs w:val="18"/>
          <w:color w:val="auto"/>
        </w:rPr>
      </w:pPr>
    </w:p>
    <w:p>
      <w:pPr>
        <w:jc w:val="both"/>
        <w:ind w:left="660" w:right="120" w:hanging="652"/>
        <w:spacing w:after="0" w:line="27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660" w:right="80" w:hanging="652"/>
        <w:spacing w:after="0" w:line="32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660" w:right="120" w:hanging="652"/>
        <w:spacing w:after="0" w:line="29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8"/>
          <w:szCs w:val="18"/>
          <w:color w:val="auto"/>
        </w:rPr>
      </w:pPr>
    </w:p>
    <w:p>
      <w:pPr>
        <w:ind w:left="1400" w:right="20" w:hanging="643"/>
        <w:spacing w:after="0" w:line="279"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1400" w:right="120" w:hanging="643"/>
        <w:spacing w:after="0" w:line="359" w:lineRule="auto"/>
        <w:tabs>
          <w:tab w:leader="none" w:pos="14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400" w:right="100" w:hanging="643"/>
        <w:spacing w:after="0" w:line="279"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660" w:right="80" w:hanging="652"/>
        <w:spacing w:after="0" w:line="35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400" w:right="360" w:hanging="643"/>
        <w:spacing w:after="0" w:line="359" w:lineRule="auto"/>
        <w:tabs>
          <w:tab w:leader="none" w:pos="14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400" w:right="40" w:hanging="643"/>
        <w:spacing w:after="0" w:line="293" w:lineRule="auto"/>
        <w:tabs>
          <w:tab w:leader="none" w:pos="14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946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20" w:firstLine="360"/>
        <w:spacing w:after="0" w:line="275" w:lineRule="auto"/>
        <w:rPr>
          <w:sz w:val="20"/>
          <w:szCs w:val="20"/>
          <w:color w:val="auto"/>
        </w:rPr>
      </w:pPr>
      <w:r>
        <w:rPr>
          <w:rFonts w:ascii="Arial" w:cs="Arial" w:eastAsia="Arial" w:hAnsi="Arial"/>
          <w:sz w:val="18"/>
          <w:szCs w:val="18"/>
          <w:color w:val="auto"/>
        </w:rPr>
        <w:t xml:space="preserve">In connection with the Quarterly Report of Athira Pharma, Inc. (the “Company”) on Form 10-Q for the quarter ended September 30, 2021, as filed with the Securities and Exchange Commission on the date hereof (the “Report”), I, Mark Litton, President and Chief Executive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of the Company, certify, pursuant to 18 U.S.C. Section 1350, as adopted pursuant to Section 906 of the Sarbanes-Oxley Act of 2002, that</w:t>
      </w:r>
      <w:r>
        <w:rPr>
          <w:rFonts w:ascii="Arial" w:cs="Arial" w:eastAsia="Arial" w:hAnsi="Arial"/>
          <w:sz w:val="18"/>
          <w:szCs w:val="18"/>
          <w:i w:val="1"/>
          <w:iCs w:val="1"/>
          <w:color w:val="auto"/>
        </w:rPr>
        <w:t xml:space="preserve"> </w:t>
      </w:r>
      <w:r>
        <w:rPr>
          <w:rFonts w:ascii="Arial" w:cs="Arial" w:eastAsia="Arial" w:hAnsi="Arial"/>
          <w:sz w:val="18"/>
          <w:szCs w:val="18"/>
          <w:color w:val="auto"/>
        </w:rPr>
        <w:t>to my knowledge:</w:t>
      </w:r>
    </w:p>
    <w:p>
      <w:pPr>
        <w:spacing w:after="0" w:line="185" w:lineRule="exact"/>
        <w:rPr>
          <w:sz w:val="20"/>
          <w:szCs w:val="20"/>
          <w:color w:val="auto"/>
        </w:rPr>
      </w:pPr>
    </w:p>
    <w:p>
      <w:pPr>
        <w:ind w:left="1040" w:hanging="658"/>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1040" w:right="540" w:hanging="658"/>
        <w:spacing w:after="0" w:line="29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5114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 Litton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39" w:lineRule="exact"/>
        <w:rPr>
          <w:sz w:val="20"/>
          <w:szCs w:val="20"/>
          <w:color w:val="auto"/>
        </w:rPr>
      </w:pPr>
    </w:p>
    <w:p>
      <w:pPr>
        <w:ind w:right="120" w:firstLine="360"/>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80" w:firstLine="360"/>
        <w:spacing w:after="0" w:line="329"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220" w:firstLine="360"/>
        <w:spacing w:after="0" w:line="275" w:lineRule="auto"/>
        <w:rPr>
          <w:sz w:val="20"/>
          <w:szCs w:val="20"/>
          <w:color w:val="auto"/>
        </w:rPr>
      </w:pPr>
      <w:r>
        <w:rPr>
          <w:rFonts w:ascii="Arial" w:cs="Arial" w:eastAsia="Arial" w:hAnsi="Arial"/>
          <w:sz w:val="18"/>
          <w:szCs w:val="18"/>
          <w:color w:val="auto"/>
        </w:rPr>
        <w:t xml:space="preserve">In connection with the Quarterly Report of Athira Pharma, Inc. (the “Company”) on Form 10-Q for the quarter ended September 30, 2021, as filed with the Securities and Exchange Commission on the date hereof (the “Report”), I, Glenna Mileson, Chief Financial Officer </w:t>
      </w:r>
      <w:r>
        <w:rPr>
          <w:rFonts w:ascii="Arial" w:cs="Arial" w:eastAsia="Arial" w:hAnsi="Arial"/>
          <w:sz w:val="18"/>
          <w:szCs w:val="18"/>
          <w:i w:val="1"/>
          <w:iCs w:val="1"/>
          <w:color w:val="auto"/>
        </w:rPr>
        <w:t>(Principal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Officer) </w:t>
      </w:r>
      <w:r>
        <w:rPr>
          <w:rFonts w:ascii="Arial" w:cs="Arial" w:eastAsia="Arial" w:hAnsi="Arial"/>
          <w:sz w:val="18"/>
          <w:szCs w:val="18"/>
          <w:color w:val="auto"/>
        </w:rPr>
        <w:t>of the Company, certify, pursuant to 18 U.S.C. Section 1350, as adopted pursuant to Section 906 of the Sarbanes-Oxley 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that to my knowledge:</w:t>
      </w:r>
    </w:p>
    <w:p>
      <w:pPr>
        <w:spacing w:after="0" w:line="77" w:lineRule="exact"/>
        <w:rPr>
          <w:sz w:val="20"/>
          <w:szCs w:val="20"/>
          <w:color w:val="auto"/>
        </w:rPr>
      </w:pPr>
    </w:p>
    <w:p>
      <w:pPr>
        <w:ind w:left="1040" w:hanging="658"/>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40" w:right="540" w:hanging="658"/>
        <w:spacing w:after="0" w:line="293"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8460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Glenna Mileson</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Chief Financial Officer</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39" w:lineRule="exact"/>
        <w:rPr>
          <w:sz w:val="20"/>
          <w:szCs w:val="20"/>
          <w:color w:val="auto"/>
        </w:rPr>
      </w:pPr>
    </w:p>
    <w:p>
      <w:pPr>
        <w:ind w:right="120" w:firstLine="360"/>
        <w:spacing w:after="0" w:line="293"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80" w:firstLine="360"/>
        <w:spacing w:after="0" w:line="329"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8"/>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01"/>
    </w:lvl>
  </w:abstractNum>
  <w:abstractNum w:abstractNumId="6">
    <w:nsid w:val="5BD062C2"/>
    <w:multiLevelType w:val="hybridMultilevel"/>
    <w:lvl w:ilvl="0">
      <w:lvlJc w:val="left"/>
      <w:lvlText w:val="*"/>
      <w:numFmt w:val="bullet"/>
      <w:start w:val="1"/>
    </w:lvl>
    <w:lvl w:ilvl="1">
      <w:lvlJc w:val="left"/>
      <w:lvlText w:val="%2"/>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291" Type="http://schemas.openxmlformats.org/officeDocument/2006/relationships/hyperlink" Target="https://www.sec.gov/Archives/edgar/data/1620463/000156459020053574/atha-ex31_153.htm" TargetMode="External"/><Relationship Id="rId292" Type="http://schemas.openxmlformats.org/officeDocument/2006/relationships/hyperlink" Target="https://www.sec.gov/Archives/edgar/data/1620463/000156459020053574/atha-ex32_154.htm" TargetMode="External"/><Relationship Id="rId293" Type="http://schemas.openxmlformats.org/officeDocument/2006/relationships/hyperlink" Target="https://www.sec.gov/Archives/edgar/data/1620463/000119312521304002/d1792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2021-11-10T15:32:44Z</dcterms:created>
  <dcterms:modified xsi:type="dcterms:W3CDTF">2021-11-10T15:32:44Z</dcterms:modified>
</cp:coreProperties>
</file>