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28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28574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MILESON GLENNA</w:t>
              </w:r>
            </w:hyperlink>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Athira Pharma,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ATHA</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tcBorders>
              <w:top w:val="single" w:sz="8" w:color="0000EE"/>
            </w:tcBorders>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gridSpan w:val="3"/>
            <w:vMerge w:val="restart"/>
          </w:tcPr>
          <w:p>
            <w:pPr>
              <w:spacing w:after="0"/>
              <w:rPr>
                <w:sz w:val="20"/>
                <w:szCs w:val="20"/>
                <w:color w:val="auto"/>
              </w:rPr>
            </w:pPr>
            <w:r>
              <w:rPr>
                <w:rFonts w:ascii="Arial" w:cs="Arial" w:eastAsia="Arial" w:hAnsi="Arial"/>
                <w:sz w:val="17"/>
                <w:szCs w:val="17"/>
                <w:color w:val="0000FF"/>
              </w:rPr>
              <w:t>C/O ATHIRA PHARMA, INC.</w:t>
            </w:r>
          </w:p>
        </w:tc>
        <w:tc>
          <w:tcPr>
            <w:tcW w:w="1360" w:type="dxa"/>
            <w:vAlign w:val="bottom"/>
          </w:tcPr>
          <w:p>
            <w:pPr>
              <w:spacing w:after="0"/>
              <w:rPr>
                <w:sz w:val="18"/>
                <w:szCs w:val="18"/>
                <w:color w:val="auto"/>
              </w:rPr>
            </w:pPr>
          </w:p>
        </w:tc>
        <w:tc>
          <w:tcPr>
            <w:tcW w:w="1800" w:type="dxa"/>
            <w:vAlign w:val="bottom"/>
            <w:gridSpan w:val="3"/>
          </w:tcPr>
          <w:p>
            <w:pPr>
              <w:ind w:left="160"/>
              <w:spacing w:after="0"/>
              <w:rPr>
                <w:sz w:val="20"/>
                <w:szCs w:val="20"/>
                <w:color w:val="auto"/>
              </w:rPr>
            </w:pPr>
            <w:r>
              <w:rPr>
                <w:rFonts w:ascii="Arial" w:cs="Arial" w:eastAsia="Arial" w:hAnsi="Arial"/>
                <w:sz w:val="17"/>
                <w:szCs w:val="17"/>
                <w:color w:val="0000FF"/>
              </w:rPr>
              <w:t>05/18/2021</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3"/>
            <w:vMerge w:val="continue"/>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97"/>
        <w:spacing w:after="0"/>
        <w:rPr>
          <w:sz w:val="20"/>
          <w:szCs w:val="20"/>
          <w:color w:val="auto"/>
        </w:rPr>
      </w:pPr>
      <w:r>
        <w:rPr>
          <w:rFonts w:ascii="Arial" w:cs="Arial" w:eastAsia="Arial" w:hAnsi="Arial"/>
          <w:sz w:val="17"/>
          <w:szCs w:val="17"/>
          <w:color w:val="0000FF"/>
        </w:rPr>
        <w:t>Chief Financial Officer</w:t>
      </w:r>
    </w:p>
    <w:p>
      <w:pPr>
        <w:spacing w:after="0" w:line="390" w:lineRule="exact"/>
        <w:rPr>
          <w:sz w:val="20"/>
          <w:szCs w:val="20"/>
          <w:color w:val="auto"/>
        </w:rPr>
      </w:pPr>
    </w:p>
    <w:p>
      <w:pPr>
        <w:sectPr>
          <w:pgSz w:w="11900" w:h="16838" w:orient="portrait"/>
          <w:cols w:equalWidth="0" w:num="2">
            <w:col w:w="7680" w:space="63"/>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8"/>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gridSpan w:val="9"/>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BOTHELL</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WA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98011</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Code</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2"/>
              </w:rPr>
              <w:t>Common Stock</w:t>
            </w:r>
            <w:r>
              <w:rPr>
                <w:rFonts w:ascii="Arial" w:cs="Arial" w:eastAsia="Arial" w:hAnsi="Arial"/>
                <w:sz w:val="21"/>
                <w:szCs w:val="21"/>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0000FF"/>
              </w:rPr>
              <w:t>05/18/2021</w:t>
            </w:r>
            <w:r>
              <w:rPr>
                <w:rFonts w:ascii="Arial" w:cs="Arial" w:eastAsia="Arial" w:hAnsi="Arial"/>
                <w:sz w:val="21"/>
                <w:szCs w:val="21"/>
                <w:color w:val="008000"/>
                <w:vertAlign w:val="superscript"/>
              </w:rPr>
              <w:t>(2)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A</w:t>
            </w:r>
          </w:p>
        </w:tc>
        <w:tc>
          <w:tcPr>
            <w:tcW w:w="3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V</w:t>
            </w:r>
          </w:p>
        </w:tc>
        <w:tc>
          <w:tcPr>
            <w:tcW w:w="6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8"/>
              </w:rPr>
              <w:t>1,554</w:t>
            </w:r>
          </w:p>
        </w:tc>
        <w:tc>
          <w:tcPr>
            <w:tcW w:w="68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14.45</w:t>
            </w:r>
            <w:r>
              <w:rPr>
                <w:rFonts w:ascii="Arial" w:cs="Arial" w:eastAsia="Arial" w:hAnsi="Arial"/>
                <w:sz w:val="21"/>
                <w:szCs w:val="21"/>
                <w:color w:val="008000"/>
                <w:w w:val="95"/>
                <w:vertAlign w:val="superscript"/>
              </w:rPr>
              <w:t>(3)</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83,519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20" w:type="dxa"/>
            <w:vAlign w:val="bottom"/>
            <w:gridSpan w:val="3"/>
          </w:tcPr>
          <w:p>
            <w:pPr>
              <w:jc w:val="right"/>
              <w:ind w:right="135"/>
              <w:spacing w:after="0"/>
              <w:rPr>
                <w:sz w:val="20"/>
                <w:szCs w:val="20"/>
                <w:color w:val="auto"/>
              </w:rPr>
            </w:pPr>
            <w:r>
              <w:rPr>
                <w:rFonts w:ascii="Arial" w:cs="Arial" w:eastAsia="Arial" w:hAnsi="Arial"/>
                <w:sz w:val="17"/>
                <w:szCs w:val="17"/>
                <w:color w:val="0000FF"/>
              </w:rPr>
              <w:t>06/10/2021</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680" w:type="dxa"/>
            <w:vAlign w:val="bottom"/>
          </w:tcPr>
          <w:p>
            <w:pPr>
              <w:ind w:left="240"/>
              <w:spacing w:after="0"/>
              <w:rPr>
                <w:sz w:val="20"/>
                <w:szCs w:val="20"/>
                <w:color w:val="auto"/>
              </w:rPr>
            </w:pPr>
            <w:r>
              <w:rPr>
                <w:rFonts w:ascii="Arial" w:cs="Arial" w:eastAsia="Arial" w:hAnsi="Arial"/>
                <w:sz w:val="17"/>
                <w:szCs w:val="17"/>
                <w:color w:val="0000FF"/>
                <w:w w:val="98"/>
              </w:rPr>
              <w:t>6,305</w:t>
            </w:r>
          </w:p>
        </w:tc>
        <w:tc>
          <w:tcPr>
            <w:tcW w:w="680" w:type="dxa"/>
            <w:vAlign w:val="bottom"/>
          </w:tcPr>
          <w:p>
            <w:pPr>
              <w:jc w:val="right"/>
              <w:ind w:right="157"/>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1.35</w:t>
            </w:r>
          </w:p>
        </w:tc>
        <w:tc>
          <w:tcPr>
            <w:tcW w:w="1160" w:type="dxa"/>
            <w:vAlign w:val="bottom"/>
            <w:gridSpan w:val="2"/>
          </w:tcPr>
          <w:p>
            <w:pPr>
              <w:ind w:left="340"/>
              <w:spacing w:after="0"/>
              <w:rPr>
                <w:sz w:val="20"/>
                <w:szCs w:val="20"/>
                <w:color w:val="auto"/>
              </w:rPr>
            </w:pPr>
            <w:r>
              <w:rPr>
                <w:rFonts w:ascii="Arial" w:cs="Arial" w:eastAsia="Arial" w:hAnsi="Arial"/>
                <w:sz w:val="17"/>
                <w:szCs w:val="17"/>
                <w:color w:val="0000FF"/>
              </w:rPr>
              <w:t>89,824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2"/>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1.35</w:t>
            </w:r>
          </w:p>
        </w:tc>
        <w:tc>
          <w:tcPr>
            <w:tcW w:w="16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Arial" w:cs="Arial" w:eastAsia="Arial" w:hAnsi="Arial"/>
                <w:sz w:val="13"/>
                <w:szCs w:val="13"/>
                <w:color w:val="0000FF"/>
              </w:rPr>
              <w:t>06/10/2021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6,305</w:t>
            </w:r>
          </w:p>
        </w:tc>
        <w:tc>
          <w:tcPr>
            <w:tcW w:w="5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16"/>
                <w:szCs w:val="16"/>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12/17/2028</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6,305</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6,305</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7"/>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2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voluntarily reporting the acquisition of shares of the issuer's common stock pursuant to the Athira Pharma, Inc. 2020 Employee Stock Purchase Plan ("ESPP"), for the ESPP Purchase Period (as defined in the ESPP) of October 2, 2020 through May 18, 2021. This transaction is also exempt under Rule 16b-3(c).</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Purchase Period ended May 18, 2021 and is the Purchase Period comprising the Offering Period (as defined in the ESPP) that began October 2, 2020.</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accordance with the ESPP, these shares were purchased based on 85% of the closing price of the initial public offering price from the issuer's initial public offering.</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fully vested on January 1, 2021.</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Glenna Mileson</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06/10/2021</w:t>
            </w:r>
          </w:p>
        </w:tc>
      </w:tr>
      <w:tr>
        <w:trPr>
          <w:trHeight w:val="20"/>
        </w:trPr>
        <w:tc>
          <w:tcPr>
            <w:tcW w:w="1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2241"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2021-06-10T17:49:19Z</dcterms:created>
  <dcterms:modified xsi:type="dcterms:W3CDTF">2021-06-10T17:49:19Z</dcterms:modified>
</cp:coreProperties>
</file>