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17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779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93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 Martin Javier</w:t>
              </w:r>
            </w:hyperlink>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40" w:type="dxa"/>
            <w:vAlign w:val="bottom"/>
          </w:tcPr>
          <w:p>
            <w:pPr>
              <w:spacing w:after="0"/>
              <w:rPr>
                <w:sz w:val="19"/>
                <w:szCs w:val="19"/>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12/31/2025</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80" w:type="dxa"/>
            <w:vAlign w:val="bottom"/>
            <w:gridSpan w:val="3"/>
            <w:vMerge w:val="continue"/>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574"/>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93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98011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4,667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11,833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01/02/2026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1,644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6.88</w:t>
            </w:r>
            <w:r>
              <w:rPr>
                <w:rFonts w:ascii="Times New Roman" w:cs="Times New Roman" w:eastAsia="Times New Roman" w:hAnsi="Times New Roman"/>
                <w:sz w:val="21"/>
                <w:szCs w:val="21"/>
                <w:color w:val="008000"/>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10,189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4,667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6"/>
                <w:szCs w:val="6"/>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4,667</w:t>
            </w: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(4)</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2"/>
            <w:vMerge w:val="continue"/>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in this Form 4 has been adjusted to reflect the impact of the Issuer's 10-for-1 reverse stock split completed on September 17, 2025 (the "Reverse Stock Split").</w:t>
      </w:r>
    </w:p>
    <w:p>
      <w:pPr>
        <w:spacing w:after="0" w:line="45" w:lineRule="exact"/>
        <w:rPr>
          <w:rFonts w:ascii="Times New Roman" w:cs="Times New Roman" w:eastAsia="Times New Roman" w:hAnsi="Times New Roman"/>
          <w:sz w:val="13"/>
          <w:szCs w:val="13"/>
          <w:color w:val="008000"/>
        </w:rPr>
      </w:pPr>
    </w:p>
    <w:p>
      <w:pPr>
        <w:ind w:left="40" w:right="1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 No additional shares of common stock were sold by the reporting person and the shares of common stock received upon settlement of the RSUs are subject to a lock-up agreement with Cantor Fitzgerald &amp;amp; Co. entered into in connection with the Issuer's private placement in December 2025.</w:t>
      </w:r>
    </w:p>
    <w:p>
      <w:pPr>
        <w:spacing w:after="0" w:line="28"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$6.60 to $7.56,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14,000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54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Javier San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62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462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2026-01-05T19:53:47Z</dcterms:created>
  <dcterms:modified xsi:type="dcterms:W3CDTF">2026-01-05T19:53:47Z</dcterms:modified>
</cp:coreProperties>
</file>