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26"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1226"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1226"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On May 15, 2024, Athira Pharma, Inc. (the “Company”) issued a press release reporting its financial results for the quarter ended March 31, 2024. A copy of the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7.01 Regulation FD Disclosure.</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(formerly known as Twitter)(@athirapharma),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Athira Pharma, Inc. press release dated May 15,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4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52"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20955</wp:posOffset>
            </wp:positionV>
            <wp:extent cx="149161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Athira Pharma Reports First Quarter 2024 Financial Results and Pipeline and Business Updates</w:t>
      </w:r>
    </w:p>
    <w:p>
      <w:pPr>
        <w:spacing w:after="0" w:line="319"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i w:val="1"/>
          <w:iCs w:val="1"/>
          <w:color w:val="auto"/>
        </w:rPr>
        <w:t>Topline data from Phase 2/3 LIFT-AD clinical trial of fosgonimeton as a potental treatment for mild-to-moderate Alzheimer’s disease expected in second half of 2024</w:t>
      </w:r>
    </w:p>
    <w:p>
      <w:pPr>
        <w:spacing w:after="0" w:line="253"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i w:val="1"/>
          <w:iCs w:val="1"/>
          <w:color w:val="auto"/>
        </w:rPr>
        <w:t>Submited Investgatonal New Drug applicaton to U.S. Food and Drug Administraton for ATH-1105 for the treatment of amyotrophic lateral sclerosis; On track to dose subjects in a frst-in-human study in second quarter of 2024</w:t>
      </w:r>
    </w:p>
    <w:p>
      <w:pPr>
        <w:spacing w:after="0" w:line="243" w:lineRule="exact"/>
        <w:rPr>
          <w:sz w:val="20"/>
          <w:szCs w:val="20"/>
          <w:color w:val="auto"/>
        </w:rPr>
      </w:pPr>
    </w:p>
    <w:p>
      <w:pPr>
        <w:ind w:left="2400"/>
        <w:spacing w:after="0"/>
        <w:rPr>
          <w:sz w:val="20"/>
          <w:szCs w:val="20"/>
          <w:color w:val="auto"/>
        </w:rPr>
      </w:pPr>
      <w:r>
        <w:rPr>
          <w:rFonts w:ascii="Calibri" w:cs="Calibri" w:eastAsia="Calibri" w:hAnsi="Calibri"/>
          <w:sz w:val="20"/>
          <w:szCs w:val="20"/>
          <w:i w:val="1"/>
          <w:iCs w:val="1"/>
          <w:color w:val="auto"/>
        </w:rPr>
        <w:t>Strong balance sheet to support innovatve pipeline through key clinical infecton points</w:t>
      </w:r>
    </w:p>
    <w:p>
      <w:pPr>
        <w:spacing w:after="0" w:line="252" w:lineRule="exact"/>
        <w:rPr>
          <w:sz w:val="20"/>
          <w:szCs w:val="20"/>
          <w:color w:val="auto"/>
        </w:rPr>
      </w:pPr>
    </w:p>
    <w:p>
      <w:pPr>
        <w:jc w:val="both"/>
        <w:ind w:right="440"/>
        <w:spacing w:after="0" w:line="236" w:lineRule="auto"/>
        <w:rPr>
          <w:sz w:val="20"/>
          <w:szCs w:val="20"/>
          <w:color w:val="auto"/>
        </w:rPr>
      </w:pPr>
      <w:r>
        <w:rPr>
          <w:rFonts w:ascii="Calibri" w:cs="Calibri" w:eastAsia="Calibri" w:hAnsi="Calibri"/>
          <w:sz w:val="20"/>
          <w:szCs w:val="20"/>
          <w:b w:val="1"/>
          <w:bCs w:val="1"/>
          <w:color w:val="auto"/>
        </w:rPr>
        <w:t xml:space="preserve">BOTHELL, Wash., May 15, 2024 – Athira Pharma, Inc. </w:t>
      </w:r>
      <w:r>
        <w:rPr>
          <w:rFonts w:ascii="Calibri" w:cs="Calibri" w:eastAsia="Calibri" w:hAnsi="Calibri"/>
          <w:sz w:val="20"/>
          <w:szCs w:val="20"/>
          <w:color w:val="auto"/>
        </w:rPr>
        <w:t>(NASDAQ: ATHA), a late clinical-stage biopharmaceutcal company focused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developing small molecules to restore neuronal health and slow neurodegeneraton, today reported fnancial results for the quarter ended March 31, 2024, and provided recent pipeline and business updates.</w:t>
      </w:r>
    </w:p>
    <w:p>
      <w:pPr>
        <w:spacing w:after="0" w:line="279"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“We are on the cusp of a potentally transformatve milestone as we are fast approaching the expected topline data readout from our Phase 2/3 LIFT-AD clinical trial of fosgonimeton in Alzheimer’s disease (AD) in the second half of this year,” said Mark Liton, Ph.D., President and Chief Executve Ofcer of Athira. “The totality of clinical and nonclinical data to date support our confdence in the LIFT-AD trial and underscore the potental of our diferentated approach in targetng the neurotrophic HGF system to induce neuroprotectve efects across a number of neurodegeneratve diseases.”</w:t>
      </w:r>
    </w:p>
    <w:p>
      <w:pPr>
        <w:spacing w:after="0" w:line="253"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“We were delighted to welcome Javier San Martn, M.D. as our new Chief Medical Ofcer. His insight and expertse will be invaluable as we move toward the LIFT-AD data readout and the potental opportunity to deliver fosgonimeton as a new treatment opton for AD patents in need of beter therapies. In parallel, we contnue to progress ATH-1105 in amyotrophic lateral sclerosis (ALS) and expect to initate a frst-in-human study of this oral small molecule drug candidate in the coming months,” added Dr. Liton.</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Clinical Development &amp; Pipeline Programs</w:t>
      </w:r>
    </w:p>
    <w:p>
      <w:pPr>
        <w:spacing w:after="0" w:line="252"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Athira’s drug development pipeline includes potental frst-in-class (fosgonimeton) and next-generaton (ATH-1105 and ATH-1020) small molecule drug candidates designed to promote the neurotrophic hepatocyte growth factor (HGF) system, which actvates neuroprotectve, neurotrophic and ant-infammatory pathways in the central nervous system. Athira’s drug candidates have distnct propertes, which the Company believes may be applicable to a broad range of neurodegeneratve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spacing w:after="0" w:line="215"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b w:val="1"/>
          <w:bCs w:val="1"/>
          <w:color w:val="auto"/>
        </w:rPr>
        <w:t xml:space="preserve">Fosgonimeton (ATH-1017) </w:t>
      </w:r>
      <w:r>
        <w:rPr>
          <w:rFonts w:ascii="Calibri" w:cs="Calibri" w:eastAsia="Calibri" w:hAnsi="Calibri"/>
          <w:sz w:val="20"/>
          <w:szCs w:val="20"/>
          <w:color w:val="auto"/>
        </w:rPr>
        <w:t>– A potentally frst-in-class, once daily, subcutaneously administered drug candidate initally targeted for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potental treatment of Alzheimer’s disease.</w:t>
      </w:r>
    </w:p>
    <w:p>
      <w:pPr>
        <w:spacing w:after="0" w:line="243"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 xml:space="preserve">LIFT-AD Phase 2/3 clinical trial of fosgonimeton in mild-to-moderate Alzheimer’s disease </w:t>
      </w:r>
      <w:r>
        <w:rPr>
          <w:rFonts w:ascii="Calibri" w:cs="Calibri" w:eastAsia="Calibri" w:hAnsi="Calibri"/>
          <w:sz w:val="20"/>
          <w:szCs w:val="20"/>
          <w:i w:val="1"/>
          <w:iCs w:val="1"/>
          <w:color w:val="auto"/>
        </w:rPr>
        <w:t>(NCT04488419)</w:t>
      </w:r>
    </w:p>
    <w:p>
      <w:pPr>
        <w:spacing w:after="0" w:line="24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expects to report topline data from LIFT-AD in the second half of 2024.</w:t>
      </w:r>
    </w:p>
    <w:p>
      <w:pPr>
        <w:spacing w:after="0" w:line="5" w:lineRule="exact"/>
        <w:rPr>
          <w:rFonts w:ascii="Times New Roman" w:cs="Times New Roman" w:eastAsia="Times New Roman" w:hAnsi="Times New Roman"/>
          <w:sz w:val="18"/>
          <w:szCs w:val="18"/>
          <w:color w:val="auto"/>
        </w:rPr>
      </w:pPr>
    </w:p>
    <w:p>
      <w:pPr>
        <w:ind w:left="760" w:hanging="378"/>
        <w:spacing w:after="0" w:line="232" w:lineRule="auto"/>
        <w:tabs>
          <w:tab w:leader="none" w:pos="76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January 2024, Athira announced the completon of enrollment of the LIFT-AD study.</w:t>
      </w:r>
    </w:p>
    <w:p>
      <w:pPr>
        <w:spacing w:after="0" w:line="9" w:lineRule="exact"/>
        <w:rPr>
          <w:rFonts w:ascii="Times New Roman" w:cs="Times New Roman" w:eastAsia="Times New Roman" w:hAnsi="Times New Roman"/>
          <w:sz w:val="18"/>
          <w:szCs w:val="18"/>
          <w:color w:val="auto"/>
        </w:rPr>
      </w:pPr>
    </w:p>
    <w:p>
      <w:pPr>
        <w:ind w:left="760" w:hanging="378"/>
        <w:spacing w:after="0" w:line="237" w:lineRule="auto"/>
        <w:tabs>
          <w:tab w:leader="none" w:pos="76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20"/>
          <w:szCs w:val="20"/>
          <w:color w:val="auto"/>
        </w:rPr>
        <w:t xml:space="preserve">The LIFT-AD study is investgatng the efects of fosgonimeton 40 mg compared with placebo in mild-to-moderate AD patents who are not receiving background therapy. The primary endpoint is the Global Statstcal Test (GST), </w:t>
      </w:r>
      <w:r>
        <w:rPr>
          <w:rFonts w:ascii="Calibri" w:cs="Calibri" w:eastAsia="Calibri" w:hAnsi="Calibri"/>
          <w:sz w:val="20"/>
          <w:szCs w:val="20"/>
          <w:color w:val="222222"/>
        </w:rPr>
        <w:t>combining the results from</w:t>
      </w:r>
      <w:r>
        <w:rPr>
          <w:rFonts w:ascii="Calibri" w:cs="Calibri" w:eastAsia="Calibri" w:hAnsi="Calibri"/>
          <w:sz w:val="20"/>
          <w:szCs w:val="20"/>
          <w:color w:val="auto"/>
        </w:rPr>
        <w:t xml:space="preserve"> the co-key secondary endpoints of cogniton (ADAS-Cog11) and functon (ADCS-ADL23), which Athira believes is a </w:t>
      </w:r>
      <w:r>
        <w:rPr>
          <w:rFonts w:ascii="Calibri" w:cs="Calibri" w:eastAsia="Calibri" w:hAnsi="Calibri"/>
          <w:sz w:val="20"/>
          <w:szCs w:val="20"/>
          <w:color w:val="222222"/>
        </w:rPr>
        <w:t xml:space="preserve">comprehensive measure of overall disease burden. </w:t>
      </w:r>
      <w:r>
        <w:rPr>
          <w:rFonts w:ascii="Calibri" w:cs="Calibri" w:eastAsia="Calibri" w:hAnsi="Calibri"/>
          <w:sz w:val="20"/>
          <w:szCs w:val="20"/>
          <w:color w:val="000000"/>
        </w:rPr>
        <w:t>Other secondary and exploratory endpoints include changes in plasma</w:t>
      </w:r>
      <w:r>
        <w:rPr>
          <w:rFonts w:ascii="Calibri" w:cs="Calibri" w:eastAsia="Calibri" w:hAnsi="Calibri"/>
          <w:sz w:val="20"/>
          <w:szCs w:val="20"/>
          <w:color w:val="222222"/>
        </w:rPr>
        <w:t xml:space="preserve"> </w:t>
      </w:r>
      <w:r>
        <w:rPr>
          <w:rFonts w:ascii="Calibri" w:cs="Calibri" w:eastAsia="Calibri" w:hAnsi="Calibri"/>
          <w:sz w:val="20"/>
          <w:szCs w:val="20"/>
          <w:color w:val="000000"/>
        </w:rPr>
        <w:t>biomarkers of neurodegeneraton, protein pathology, and neuroinfammaton.</w:t>
      </w:r>
    </w:p>
    <w:p>
      <w:pPr>
        <w:spacing w:after="0" w:line="243"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 xml:space="preserve">Open Label Extension (OLEX) fosgonimeton trial </w:t>
      </w:r>
      <w:r>
        <w:rPr>
          <w:rFonts w:ascii="Calibri" w:cs="Calibri" w:eastAsia="Calibri" w:hAnsi="Calibri"/>
          <w:sz w:val="20"/>
          <w:szCs w:val="20"/>
          <w:i w:val="1"/>
          <w:iCs w:val="1"/>
          <w:color w:val="auto"/>
        </w:rPr>
        <w:t>(NCT04886063)</w:t>
      </w:r>
    </w:p>
    <w:p>
      <w:pPr>
        <w:spacing w:after="0" w:line="252" w:lineRule="exact"/>
        <w:rPr>
          <w:sz w:val="20"/>
          <w:szCs w:val="20"/>
          <w:color w:val="auto"/>
        </w:rPr>
      </w:pPr>
    </w:p>
    <w:p>
      <w:pPr>
        <w:ind w:left="760" w:right="12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Eligible partcipants who complete the Company’s LIFT-AD or ACT-AD clinical trials and elect to partcipate in the ongoing OLEX are able to receive up to 48 months of open-label treatment.</w:t>
      </w:r>
    </w:p>
    <w:p>
      <w:pPr>
        <w:spacing w:after="0" w:line="1"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Greater than 85% of partcipants who completed either study have elected to enroll in OLEX to date.</w:t>
      </w:r>
    </w:p>
    <w:p>
      <w:pPr>
        <w:spacing w:after="0" w:line="9" w:lineRule="exact"/>
        <w:rPr>
          <w:rFonts w:ascii="Times New Roman" w:cs="Times New Roman" w:eastAsia="Times New Roman" w:hAnsi="Times New Roman"/>
          <w:sz w:val="18"/>
          <w:szCs w:val="18"/>
          <w:color w:val="auto"/>
        </w:rPr>
      </w:pPr>
    </w:p>
    <w:p>
      <w:pPr>
        <w:ind w:left="760" w:right="82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Currently, more than 65 patents are contnuing fosgonimeton treatment beyond 18 months, which is unexpected in a progressive mild-to-moderate Alzheimer’s disease populaton.</w:t>
      </w:r>
    </w:p>
    <w:p>
      <w:pPr>
        <w:spacing w:after="0" w:line="9" w:lineRule="exact"/>
        <w:rPr>
          <w:rFonts w:ascii="Times New Roman" w:cs="Times New Roman" w:eastAsia="Times New Roman" w:hAnsi="Times New Roman"/>
          <w:sz w:val="18"/>
          <w:szCs w:val="18"/>
          <w:color w:val="auto"/>
        </w:rPr>
      </w:pPr>
    </w:p>
    <w:p>
      <w:pPr>
        <w:ind w:left="760" w:right="38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believes the OLEX will complement its long-term safety database and provide insights into fosgonimeton’s long-term efects for potentally over four years of investgatonal treatment.</w:t>
      </w:r>
    </w:p>
    <w:p>
      <w:pPr>
        <w:spacing w:after="0" w:line="243"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i w:val="1"/>
          <w:iCs w:val="1"/>
          <w:color w:val="auto"/>
        </w:rPr>
        <w:t xml:space="preserve">SHAPE Phase 2 clinical trial of fosgonimeton in Parkinson’s disease dementa and dementa with Lewy bodies </w:t>
      </w:r>
      <w:r>
        <w:rPr>
          <w:rFonts w:ascii="Calibri" w:cs="Calibri" w:eastAsia="Calibri" w:hAnsi="Calibri"/>
          <w:sz w:val="20"/>
          <w:szCs w:val="20"/>
          <w:i w:val="1"/>
          <w:iCs w:val="1"/>
          <w:color w:val="auto"/>
        </w:rPr>
        <w:t>(NCT04831281)</w:t>
      </w:r>
    </w:p>
    <w:p>
      <w:pPr>
        <w:spacing w:after="0" w:line="252" w:lineRule="exact"/>
        <w:rPr>
          <w:sz w:val="20"/>
          <w:szCs w:val="20"/>
          <w:color w:val="auto"/>
        </w:rPr>
      </w:pPr>
    </w:p>
    <w:p>
      <w:pPr>
        <w:ind w:left="760" w:right="24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December 2023, Athira announced encouraging fndings from the exploratory SHAPE Phase 2 clinical trial of fosgonimeton for the potental treatment of Parkinson's disease dementa and dementa with Lewy bodies.</w:t>
      </w:r>
    </w:p>
    <w:p>
      <w:pPr>
        <w:spacing w:after="0" w:line="9" w:lineRule="exact"/>
        <w:rPr>
          <w:rFonts w:ascii="Times New Roman" w:cs="Times New Roman" w:eastAsia="Times New Roman" w:hAnsi="Times New Roman"/>
          <w:sz w:val="18"/>
          <w:szCs w:val="18"/>
          <w:color w:val="auto"/>
        </w:rPr>
      </w:pPr>
    </w:p>
    <w:p>
      <w:pPr>
        <w:ind w:left="760" w:right="40" w:hanging="378"/>
        <w:spacing w:after="0" w:line="236"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Treatment with fosgonimeton 40 mg (n=5) compared to placebo (n=7) showed directonal improvements in certain cognitve, functonal and biomarker measurements, including ADAS-Cog13, MMSE, and COWAT over the 6-month double-blind treatment period.</w:t>
      </w:r>
    </w:p>
    <w:p>
      <w:pPr>
        <w:spacing w:after="0" w:line="8" w:lineRule="exact"/>
        <w:rPr>
          <w:rFonts w:ascii="Times New Roman" w:cs="Times New Roman" w:eastAsia="Times New Roman" w:hAnsi="Times New Roman"/>
          <w:sz w:val="18"/>
          <w:szCs w:val="18"/>
          <w:color w:val="auto"/>
        </w:rPr>
      </w:pPr>
    </w:p>
    <w:p>
      <w:pPr>
        <w:ind w:left="760" w:right="12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primary endpoint of the trial, a composite score of the change in Event-Related-Potental (ERP) P300 latency and cognitve assessment (ADAS-Cog13), was not met by protocoled analysis compared with placebo.</w:t>
      </w:r>
    </w:p>
    <w:p>
      <w:pPr>
        <w:spacing w:after="0" w:line="9" w:lineRule="exact"/>
        <w:rPr>
          <w:rFonts w:ascii="Times New Roman" w:cs="Times New Roman" w:eastAsia="Times New Roman" w:hAnsi="Times New Roman"/>
          <w:sz w:val="18"/>
          <w:szCs w:val="18"/>
          <w:color w:val="auto"/>
        </w:rPr>
      </w:pPr>
    </w:p>
    <w:p>
      <w:pPr>
        <w:ind w:left="760" w:right="280" w:hanging="378"/>
        <w:spacing w:after="0" w:line="234"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Fosgonimeton was generally well tolerated, with a favorable safety profle. There were no treatment-related serious adverse events observed in the study. The most common adverse event in the treatment groups was injecton site reactons.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1054735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 xml:space="preserve">ATH-1105 </w:t>
      </w:r>
      <w:r>
        <w:rPr>
          <w:rFonts w:ascii="Calibri" w:cs="Calibri" w:eastAsia="Calibri" w:hAnsi="Calibri"/>
          <w:sz w:val="20"/>
          <w:szCs w:val="20"/>
          <w:color w:val="auto"/>
        </w:rPr>
        <w:t>– A next-generaton, orally administered, small molecule drug candidate in development for the potental treatment of ALS.</w:t>
      </w:r>
    </w:p>
    <w:p>
      <w:pPr>
        <w:spacing w:after="0" w:line="252" w:lineRule="exact"/>
        <w:rPr>
          <w:sz w:val="20"/>
          <w:szCs w:val="20"/>
          <w:color w:val="auto"/>
        </w:rPr>
      </w:pPr>
    </w:p>
    <w:p>
      <w:pPr>
        <w:ind w:left="760" w:right="160" w:hanging="378"/>
        <w:spacing w:after="0" w:line="234"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submited an Investgatonal New Drug (IND) applicaton to the U.S. Food and Drug Administraton for the evaluaton of ATH-1105 as a potental treatment for ALS.</w:t>
      </w:r>
    </w:p>
    <w:p>
      <w:pPr>
        <w:spacing w:after="0" w:line="1"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expects to initate a frst-in-human study of ATH-1105 in the second quarter of 2024.</w:t>
      </w:r>
    </w:p>
    <w:p>
      <w:pPr>
        <w:spacing w:after="0" w:line="9" w:lineRule="exact"/>
        <w:rPr>
          <w:rFonts w:ascii="Times New Roman" w:cs="Times New Roman" w:eastAsia="Times New Roman" w:hAnsi="Times New Roman"/>
          <w:sz w:val="18"/>
          <w:szCs w:val="18"/>
          <w:color w:val="auto"/>
        </w:rPr>
      </w:pPr>
    </w:p>
    <w:p>
      <w:pPr>
        <w:ind w:left="760" w:right="560" w:hanging="378"/>
        <w:spacing w:after="0" w:line="236"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ATH-1105’s potental is supported by a growing body of preclinical evidence demonstratng statstcally signifcant improvements on nerve and motor functon, biomarkers of infammaton and neurodegeneraton, and survival in various models of ALS.</w:t>
      </w:r>
    </w:p>
    <w:p>
      <w:pPr>
        <w:spacing w:after="0" w:line="8" w:lineRule="exact"/>
        <w:rPr>
          <w:rFonts w:ascii="Times New Roman" w:cs="Times New Roman" w:eastAsia="Times New Roman" w:hAnsi="Times New Roman"/>
          <w:sz w:val="18"/>
          <w:szCs w:val="18"/>
          <w:color w:val="auto"/>
        </w:rPr>
      </w:pPr>
    </w:p>
    <w:p>
      <w:pPr>
        <w:jc w:val="both"/>
        <w:ind w:left="760" w:right="540" w:hanging="378"/>
        <w:spacing w:after="0" w:line="236" w:lineRule="auto"/>
        <w:tabs>
          <w:tab w:leader="none" w:pos="76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These data have been presented at a variety of key scientfc and medical meetngs including the American Associaton of Neurology (AAN), the Alzheimer’s Associaton Internatonal Congress (AAIC), the Northeast Amyotrophic Lateral Sclerosis Consortum® (NEALS), and the Motor Neurone Disease Associaton (MNDA).</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Corporate</w:t>
      </w:r>
    </w:p>
    <w:p>
      <w:pPr>
        <w:spacing w:after="0" w:line="9" w:lineRule="exact"/>
        <w:rPr>
          <w:sz w:val="20"/>
          <w:szCs w:val="20"/>
          <w:color w:val="auto"/>
        </w:rPr>
      </w:pPr>
    </w:p>
    <w:p>
      <w:pPr>
        <w:ind w:left="760" w:right="80" w:hanging="378"/>
        <w:spacing w:after="0" w:line="236" w:lineRule="auto"/>
        <w:tabs>
          <w:tab w:leader="none" w:pos="76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April 2024, the Company announced the appointment of Javier San Martn, M.D., as Chief Medical Ofcer. Dr. San Martn is an experienced clinical development executve with a strong track record of advancing therapeutcs from early development to approval and through commercializaton. He joins Athira with more than 25 years of drug development experience, most recently as Chief Medical Ofcer of Arrowhead Pharmaceutcals.</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Presentatons and Publicatons</w:t>
      </w:r>
    </w:p>
    <w:p>
      <w:pPr>
        <w:spacing w:after="0" w:line="12"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April 2024, Athira presented a poster at the American Academy of Neurology (AAN) 2024 Annual Meetng, which highlighted</w:t>
      </w:r>
    </w:p>
    <w:p>
      <w:pPr>
        <w:spacing w:after="0" w:line="35" w:lineRule="exact"/>
        <w:rPr>
          <w:rFonts w:ascii="Times New Roman" w:cs="Times New Roman" w:eastAsia="Times New Roman" w:hAnsi="Times New Roman"/>
          <w:sz w:val="20"/>
          <w:szCs w:val="20"/>
          <w:color w:val="auto"/>
        </w:rPr>
      </w:pPr>
    </w:p>
    <w:p>
      <w:pPr>
        <w:ind w:left="760"/>
        <w:spacing w:after="0" w:line="234"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preclinical data supportng the contnued development of its small molecule candidates targetng the neurotrophic HGF system. The presentaton was ttled: “Targetng Neurotrophic HGF Signaling for the Treatment of Neurodegeneratve Disorders.”</w:t>
      </w:r>
    </w:p>
    <w:p>
      <w:pPr>
        <w:spacing w:after="0" w:line="1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April 2024, Athira published preclinical data supportng the therapeutc potental of fosgonimeton in Alzheimer’s disease in</w:t>
      </w:r>
    </w:p>
    <w:p>
      <w:pPr>
        <w:spacing w:after="0" w:line="35" w:lineRule="exact"/>
        <w:rPr>
          <w:rFonts w:ascii="Times New Roman" w:cs="Times New Roman" w:eastAsia="Times New Roman" w:hAnsi="Times New Roman"/>
          <w:sz w:val="20"/>
          <w:szCs w:val="20"/>
          <w:color w:val="auto"/>
        </w:rPr>
      </w:pPr>
    </w:p>
    <w:p>
      <w:pPr>
        <w:ind w:left="760" w:right="260"/>
        <w:spacing w:after="0" w:line="234"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the peer-reviewed journal, </w:t>
      </w:r>
      <w:r>
        <w:rPr>
          <w:rFonts w:ascii="Calibri" w:cs="Calibri" w:eastAsia="Calibri" w:hAnsi="Calibri"/>
          <w:sz w:val="20"/>
          <w:szCs w:val="20"/>
          <w:i w:val="1"/>
          <w:iCs w:val="1"/>
          <w:color w:val="auto"/>
        </w:rPr>
        <w:t>Neurotherapeutcs</w:t>
      </w:r>
      <w:r>
        <w:rPr>
          <w:rFonts w:ascii="Calibri" w:cs="Calibri" w:eastAsia="Calibri" w:hAnsi="Calibri"/>
          <w:sz w:val="20"/>
          <w:szCs w:val="20"/>
          <w:color w:val="auto"/>
        </w:rPr>
        <w:t>. The original research artcle is ttled: “Fosgonimeton atenuates amyloid-beta toxicity in preclinical models of Alzheimer’s disease.”</w:t>
      </w:r>
    </w:p>
    <w:p>
      <w:pPr>
        <w:spacing w:after="0" w:line="11" w:lineRule="exact"/>
        <w:rPr>
          <w:rFonts w:ascii="Times New Roman" w:cs="Times New Roman" w:eastAsia="Times New Roman" w:hAnsi="Times New Roman"/>
          <w:sz w:val="20"/>
          <w:szCs w:val="20"/>
          <w:color w:val="auto"/>
        </w:rPr>
      </w:pPr>
    </w:p>
    <w:p>
      <w:pPr>
        <w:ind w:left="150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Calibri" w:cs="Calibri" w:eastAsia="Calibri" w:hAnsi="Calibri"/>
          <w:sz w:val="20"/>
          <w:szCs w:val="20"/>
          <w:color w:val="auto"/>
        </w:rPr>
        <w:t>The fndings described several mechanisms by which fosgonimeton may disrupt the neurodegeneratve cascade of</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Alzheimer’s disease downstream of Aβ toxicity, including reducton of mitochondrial oxidatve stress and excitotoxicity, improvement of autophagic pathway functon, and atenuaton of tau hyperphosphorylaton.</w:t>
      </w:r>
    </w:p>
    <w:p>
      <w:pPr>
        <w:spacing w:after="0" w:line="25" w:lineRule="exact"/>
        <w:rPr>
          <w:rFonts w:ascii="Times New Roman" w:cs="Times New Roman" w:eastAsia="Times New Roman" w:hAnsi="Times New Roman"/>
          <w:sz w:val="20"/>
          <w:szCs w:val="20"/>
          <w:color w:val="auto"/>
        </w:rPr>
      </w:pPr>
    </w:p>
    <w:p>
      <w:pPr>
        <w:ind w:left="760" w:right="20" w:hanging="378"/>
        <w:spacing w:after="0" w:line="234" w:lineRule="auto"/>
        <w:tabs>
          <w:tab w:leader="none" w:pos="76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March 2024, Athira presented new clinical and preclinical data further highlightng the therapeutc potental of fosgonimeton at the AD/PD™ 2024 Internatonal Conference on Alzheimer’s and Parkinson’s Diseases and Related Neurological Disorders.</w:t>
      </w:r>
    </w:p>
    <w:p>
      <w:pPr>
        <w:spacing w:after="0" w:line="11" w:lineRule="exact"/>
        <w:rPr>
          <w:rFonts w:ascii="Times New Roman" w:cs="Times New Roman" w:eastAsia="Times New Roman" w:hAnsi="Times New Roman"/>
          <w:sz w:val="20"/>
          <w:szCs w:val="20"/>
          <w:color w:val="auto"/>
        </w:rPr>
      </w:pPr>
    </w:p>
    <w:p>
      <w:pPr>
        <w:ind w:left="150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Calibri" w:cs="Calibri" w:eastAsia="Calibri" w:hAnsi="Calibri"/>
          <w:sz w:val="20"/>
          <w:szCs w:val="20"/>
          <w:color w:val="auto"/>
        </w:rPr>
        <w:t>Results from the exploratory SHAPE Phase 2 clinical trial in Parkinson’s disease dementa and dementa with Lewy</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bodies indicated a favorable safety and tolerability profle for fosgonimeton in trial partcipants. In additon, changes in ADAS-Cog13 observed in the fosgonimeton 40 mg dose arm were suggestve of a pro-cognitve efect, which was assessed for fosgonimeton for the frst tme in these disease states.</w:t>
      </w:r>
    </w:p>
    <w:p>
      <w:pPr>
        <w:spacing w:after="0" w:line="13" w:lineRule="exact"/>
        <w:rPr>
          <w:rFonts w:ascii="Times New Roman" w:cs="Times New Roman" w:eastAsia="Times New Roman" w:hAnsi="Times New Roman"/>
          <w:sz w:val="20"/>
          <w:szCs w:val="20"/>
          <w:color w:val="auto"/>
        </w:rPr>
      </w:pPr>
    </w:p>
    <w:p>
      <w:pPr>
        <w:ind w:left="1500" w:right="74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Calibri" w:cs="Calibri" w:eastAsia="Calibri" w:hAnsi="Calibri"/>
          <w:sz w:val="20"/>
          <w:szCs w:val="20"/>
          <w:color w:val="auto"/>
        </w:rPr>
        <w:t>In Alzheimer’s preclinical disease models, results showed the neuroprotectve efects of fosgonimeton against</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glutamate toxicity in vitro are driven, in part, by actvaton of pro-survival signaling pathways that may help to counteract neurodegeneratve hallmarks of disease such as tau pathology and mitochondrial dysfuncton.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6" w:name="page7"/>
    <w:bookmarkEnd w:id="6"/>
    <w:p>
      <w:pPr>
        <w:ind w:left="1500" w:right="540" w:hanging="369"/>
        <w:spacing w:after="0" w:line="234" w:lineRule="auto"/>
        <w:tabs>
          <w:tab w:leader="none" w:pos="1500" w:val="left"/>
        </w:tabs>
        <w:numPr>
          <w:ilvl w:val="1"/>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Parkinson’s preclinical disease models, results highlighted the ability of fosgonimeton to mitgate pathological alteratons associated with α-synuclein toxicity in vitro and in vivo.</w:t>
      </w:r>
    </w:p>
    <w:p>
      <w:pPr>
        <w:spacing w:after="0" w:line="23" w:lineRule="exact"/>
        <w:rPr>
          <w:rFonts w:ascii="Times New Roman" w:cs="Times New Roman" w:eastAsia="Times New Roman" w:hAnsi="Times New Roman"/>
          <w:sz w:val="20"/>
          <w:szCs w:val="20"/>
          <w:color w:val="auto"/>
        </w:rPr>
      </w:pPr>
    </w:p>
    <w:p>
      <w:pPr>
        <w:jc w:val="both"/>
        <w:ind w:left="1500" w:right="220" w:hanging="369"/>
        <w:spacing w:after="0" w:line="236" w:lineRule="auto"/>
        <w:tabs>
          <w:tab w:leader="none" w:pos="1500" w:val="left"/>
        </w:tabs>
        <w:numPr>
          <w:ilvl w:val="1"/>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an aged mouse preclinical model of Parkinson’s disease that included α-synuclein pathology and GBA1 inhibiton, fosgonimeton improved motor functon, promoted dopaminergic neuron survival, reduced α-synuclein aggregaton, and protected against microglial actvaton.</w:t>
      </w:r>
    </w:p>
    <w:p>
      <w:pPr>
        <w:spacing w:after="0" w:line="22" w:lineRule="exact"/>
        <w:rPr>
          <w:rFonts w:ascii="Times New Roman" w:cs="Times New Roman" w:eastAsia="Times New Roman" w:hAnsi="Times New Roman"/>
          <w:sz w:val="20"/>
          <w:szCs w:val="20"/>
          <w:color w:val="auto"/>
        </w:rPr>
      </w:pPr>
    </w:p>
    <w:p>
      <w:pPr>
        <w:ind w:left="760" w:hanging="378"/>
        <w:spacing w:after="0" w:line="236" w:lineRule="auto"/>
        <w:tabs>
          <w:tab w:leader="none" w:pos="76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 xml:space="preserve">In February 2024, Athira published research highlightng the neuroprotectve and ant-infammatory efects of ATH-1105 in preclinical models of ALS in the peer-reviewed journal, </w:t>
      </w:r>
      <w:r>
        <w:rPr>
          <w:rFonts w:ascii="Calibri" w:cs="Calibri" w:eastAsia="Calibri" w:hAnsi="Calibri"/>
          <w:sz w:val="20"/>
          <w:szCs w:val="20"/>
          <w:i w:val="1"/>
          <w:iCs w:val="1"/>
          <w:color w:val="auto"/>
        </w:rPr>
        <w:t>Fronters in Neuroscience.</w:t>
      </w:r>
      <w:r>
        <w:rPr>
          <w:rFonts w:ascii="Calibri" w:cs="Calibri" w:eastAsia="Calibri" w:hAnsi="Calibri"/>
          <w:sz w:val="20"/>
          <w:szCs w:val="20"/>
          <w:color w:val="auto"/>
        </w:rPr>
        <w:t xml:space="preserve"> The original research artcle is ttled: “ATH-1105, a small-molecule positve modulator of the neurotrophic HGF system, is neuroprotectve, preserves neuromotor functon, and extends survival in preclinical models of ALS.”</w:t>
      </w:r>
    </w:p>
    <w:p>
      <w:pPr>
        <w:spacing w:after="0" w:line="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20"/>
          <w:szCs w:val="20"/>
          <w:color w:val="auto"/>
        </w:rPr>
      </w:pPr>
      <w:r>
        <w:rPr>
          <w:rFonts w:ascii="Calibri" w:cs="Calibri" w:eastAsia="Calibri" w:hAnsi="Calibri"/>
          <w:sz w:val="20"/>
          <w:szCs w:val="20"/>
          <w:color w:val="auto"/>
        </w:rPr>
        <w:t>All presentatons and publicatons can be accessed on the Athira website at Medical Afairs – Athira Pharma.</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Results</w:t>
      </w:r>
    </w:p>
    <w:p>
      <w:pPr>
        <w:spacing w:after="0" w:line="9" w:lineRule="exact"/>
        <w:rPr>
          <w:sz w:val="20"/>
          <w:szCs w:val="20"/>
          <w:color w:val="auto"/>
        </w:rPr>
      </w:pPr>
    </w:p>
    <w:p>
      <w:pPr>
        <w:jc w:val="both"/>
        <w:ind w:left="760" w:right="200" w:hanging="378"/>
        <w:spacing w:after="0" w:line="236"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Cash Positon</w:t>
      </w:r>
      <w:r>
        <w:rPr>
          <w:rFonts w:ascii="Calibri" w:cs="Calibri" w:eastAsia="Calibri" w:hAnsi="Calibri"/>
          <w:sz w:val="20"/>
          <w:szCs w:val="20"/>
          <w:color w:val="auto"/>
        </w:rPr>
        <w:t>. Cash, cash equivalents and investments were $122.1 million as of March 31, 2024, compared to $147.4 million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of December 31, 2023. Net cash used in operatons was $25.8 million for the quarter ended March 31, 2024, compared to $26.2 million for the quarter ended March 31, 2023.</w:t>
      </w:r>
    </w:p>
    <w:p>
      <w:pPr>
        <w:spacing w:after="0" w:line="251" w:lineRule="exact"/>
        <w:rPr>
          <w:rFonts w:ascii="Times New Roman" w:cs="Times New Roman" w:eastAsia="Times New Roman" w:hAnsi="Times New Roman"/>
          <w:sz w:val="18"/>
          <w:szCs w:val="18"/>
          <w:color w:val="auto"/>
        </w:rPr>
      </w:pPr>
    </w:p>
    <w:p>
      <w:pPr>
        <w:ind w:left="760" w:right="80" w:hanging="378"/>
        <w:spacing w:after="0" w:line="237"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Research and Development (R&amp;D) Expenses</w:t>
      </w:r>
      <w:r>
        <w:rPr>
          <w:rFonts w:ascii="Calibri" w:cs="Calibri" w:eastAsia="Calibri" w:hAnsi="Calibri"/>
          <w:sz w:val="20"/>
          <w:szCs w:val="20"/>
          <w:color w:val="auto"/>
        </w:rPr>
        <w:t>. R&amp;D expenses were $21.2 million for the quarter ended March 31,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to $21.3 million for the quarter ended March 31, 2023</w:t>
      </w:r>
      <w:r>
        <w:rPr>
          <w:rFonts w:ascii="Calibri" w:cs="Calibri" w:eastAsia="Calibri" w:hAnsi="Calibri"/>
          <w:sz w:val="20"/>
          <w:szCs w:val="20"/>
          <w:color w:val="FF0000"/>
        </w:rPr>
        <w:t>.</w:t>
      </w:r>
      <w:r>
        <w:rPr>
          <w:rFonts w:ascii="Calibri" w:cs="Calibri" w:eastAsia="Calibri" w:hAnsi="Calibri"/>
          <w:sz w:val="20"/>
          <w:szCs w:val="20"/>
          <w:color w:val="auto"/>
        </w:rPr>
        <w:t xml:space="preserve"> The decrease was driven primarily by decreases in ATH-1020 program costs and personnel costs, partally ofset by an increase in other indirect costs. Fosgonimeton program costs for the quarter ended March 31, 2024, were fat compared to the quarter ended March 31, 2023, as decreases in manufacturing and contract research organizaton costs were ofset by increases in program consultng expenses and clinical site visit costs.</w:t>
      </w:r>
    </w:p>
    <w:p>
      <w:pPr>
        <w:spacing w:after="0" w:line="252" w:lineRule="exact"/>
        <w:rPr>
          <w:rFonts w:ascii="Times New Roman" w:cs="Times New Roman" w:eastAsia="Times New Roman" w:hAnsi="Times New Roman"/>
          <w:sz w:val="18"/>
          <w:szCs w:val="18"/>
          <w:color w:val="auto"/>
        </w:rPr>
      </w:pPr>
    </w:p>
    <w:p>
      <w:pPr>
        <w:ind w:left="760" w:right="120" w:hanging="378"/>
        <w:spacing w:after="0" w:line="236"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General and Administratve (G&amp;A) Expenses</w:t>
      </w:r>
      <w:r>
        <w:rPr>
          <w:rFonts w:ascii="Calibri" w:cs="Calibri" w:eastAsia="Calibri" w:hAnsi="Calibri"/>
          <w:sz w:val="20"/>
          <w:szCs w:val="20"/>
          <w:color w:val="auto"/>
        </w:rPr>
        <w:t>. G&amp;A expenses were $6.5 million for the quarter ended March 31, 2024,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compared to $8.5 million for the quarter ended March 31, 2023</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The decrease was driven by decreases in legal costs, business development expenses, professional services expenses, personnel costs, and other general corporate expenses.</w:t>
      </w:r>
    </w:p>
    <w:p>
      <w:pPr>
        <w:spacing w:after="0" w:line="251" w:lineRule="exact"/>
        <w:rPr>
          <w:rFonts w:ascii="Times New Roman" w:cs="Times New Roman" w:eastAsia="Times New Roman" w:hAnsi="Times New Roman"/>
          <w:sz w:val="18"/>
          <w:szCs w:val="18"/>
          <w:color w:val="auto"/>
        </w:rPr>
      </w:pPr>
    </w:p>
    <w:p>
      <w:pPr>
        <w:ind w:left="760" w:right="20" w:hanging="378"/>
        <w:spacing w:after="0" w:line="234" w:lineRule="auto"/>
        <w:tabs>
          <w:tab w:leader="none" w:pos="76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20"/>
          <w:szCs w:val="20"/>
          <w:b w:val="1"/>
          <w:bCs w:val="1"/>
          <w:color w:val="auto"/>
        </w:rPr>
        <w:t>Net Loss</w:t>
      </w:r>
      <w:r>
        <w:rPr>
          <w:rFonts w:ascii="Calibri" w:cs="Calibri" w:eastAsia="Calibri" w:hAnsi="Calibri"/>
          <w:sz w:val="20"/>
          <w:szCs w:val="20"/>
          <w:color w:val="auto"/>
        </w:rPr>
        <w:t>. Net loss was $26.3 million, or $0.69 per share, for the quarter ended March 31, 2024, compared to a net loss of $27.8</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million, or $0.73 per share, for the quarter ended March 31, 2023.</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Athira Pharma, Inc.</w:t>
      </w:r>
    </w:p>
    <w:p>
      <w:pPr>
        <w:spacing w:after="0" w:line="9" w:lineRule="exact"/>
        <w:rPr>
          <w:sz w:val="20"/>
          <w:szCs w:val="20"/>
          <w:color w:val="auto"/>
        </w:rPr>
      </w:pPr>
    </w:p>
    <w:p>
      <w:pPr>
        <w:ind w:right="480"/>
        <w:spacing w:after="0" w:line="236" w:lineRule="auto"/>
        <w:rPr>
          <w:sz w:val="20"/>
          <w:szCs w:val="20"/>
          <w:color w:val="auto"/>
        </w:rPr>
      </w:pPr>
      <w:r>
        <w:rPr>
          <w:rFonts w:ascii="Calibri" w:cs="Calibri" w:eastAsia="Calibri" w:hAnsi="Calibri"/>
          <w:sz w:val="20"/>
          <w:szCs w:val="20"/>
          <w:color w:val="auto"/>
        </w:rPr>
        <w:t>Athira Pharma, Inc., headquartered in the Seatle, Washington area, is a late clinical-stage biopharmaceutcal company focused on developing small molecules to restore neuronal health and slow neurodegeneraton. Athira aims to alter the course of neurological diseases by advancing its pipeline of drug candidates that modulate the neurotrophic HGF system. For more informaton, visit www.athira.com. You can also follow Athira on Facebook, LinkedIn, X (formerly known as Twiter)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5" w:right="35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Athira’s drug candidates as potental treatments for Alzheimer’s disease, Parkinson’s disease, Parkinson’s disease dementa, dementa with Lewy bodies, amyotrophic lateral sclerosis, and other neurodegeneratve diseases; future development plans; the antcipated reportng of data; the potental learnings from preclinical studies and other nonclinical data, the ACT-AD and SHAPE trials, and LIFT-AD unblinded interim efcacy and futlity analysis and their ability to inform and improve future clinical development plans; expectatons regarding the potental efcacy and commercial potental of Athira’s drug candidates; and Athira’s ability to advance its drug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“suggest,” “potental,” and similar expressions.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from preclinical and clinical trials may not support the safety, efcacy and tolerability of Athira’s drug candidates; development of drug candidates may cease or be delayed; regulatory authorites could object to protocols, amendments and other submissions; future potental regulatory milestones for drug candidates, including those related to current and planned clinical studies, may be insufcient to support regulatory submissions or approval; Athira may not be able to recruit sufcient patents for its clinical trials; the outcome of legal proceedings that have been or may in the future be insttuted against Athira, its directors and ofcers; possible negatve interactons of Athira's drug candidates with other treatments; Athira’s assumptons regarding its fnancial conditon and the sufciency of its cash, cash equivalents and investments to fund its planned operatons may be incorrect; adverse conditons in the general domestc and global economic markets; the impact of competton; the impact of expanded drug candidate development and clinical actvites on operatng expenses; the impact of new or changing laws and regulatons; as well as the other risks detailed in Athira’s flings with the Securites and Exchange Commission from tme to tme.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&amp; Media Contact:</w:t>
      </w:r>
    </w:p>
    <w:p>
      <w:pPr>
        <w:spacing w:after="0" w:line="238" w:lineRule="auto"/>
        <w:rPr>
          <w:sz w:val="20"/>
          <w:szCs w:val="20"/>
          <w:color w:val="auto"/>
        </w:rPr>
      </w:pPr>
      <w:r>
        <w:rPr>
          <w:rFonts w:ascii="Calibri" w:cs="Calibri" w:eastAsia="Calibri" w:hAnsi="Calibri"/>
          <w:sz w:val="20"/>
          <w:szCs w:val="20"/>
          <w:color w:val="auto"/>
        </w:rPr>
        <w:t>Julie Rathbun</w:t>
      </w:r>
    </w:p>
    <w:p>
      <w:pPr>
        <w:spacing w:after="0"/>
        <w:rPr>
          <w:sz w:val="20"/>
          <w:szCs w:val="20"/>
          <w:color w:val="auto"/>
        </w:rPr>
      </w:pPr>
      <w:r>
        <w:rPr>
          <w:rFonts w:ascii="Calibri" w:cs="Calibri" w:eastAsia="Calibri" w:hAnsi="Calibri"/>
          <w:sz w:val="20"/>
          <w:szCs w:val="20"/>
          <w:color w:val="auto"/>
        </w:rPr>
        <w:t>Athira Pharma</w:t>
      </w:r>
    </w:p>
    <w:p>
      <w:pPr>
        <w:spacing w:after="0" w:line="238" w:lineRule="auto"/>
        <w:rPr>
          <w:sz w:val="20"/>
          <w:szCs w:val="20"/>
          <w:color w:val="auto"/>
        </w:rPr>
      </w:pPr>
      <w:r>
        <w:rPr>
          <w:rFonts w:ascii="Calibri" w:cs="Calibri" w:eastAsia="Calibri" w:hAnsi="Calibri"/>
          <w:sz w:val="20"/>
          <w:szCs w:val="20"/>
          <w:color w:val="auto"/>
        </w:rPr>
        <w:t>Julie.rathbun@athira.com</w:t>
      </w:r>
    </w:p>
    <w:p>
      <w:pPr>
        <w:spacing w:after="0"/>
        <w:rPr>
          <w:sz w:val="20"/>
          <w:szCs w:val="20"/>
          <w:color w:val="auto"/>
        </w:rPr>
      </w:pPr>
      <w:r>
        <w:rPr>
          <w:rFonts w:ascii="Calibri" w:cs="Calibri" w:eastAsia="Calibri" w:hAnsi="Calibri"/>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1345565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D1F3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F3FF"/>
          </w:tcPr>
          <w:p>
            <w:pPr>
              <w:spacing w:after="0"/>
              <w:rPr>
                <w:sz w:val="18"/>
                <w:szCs w:val="18"/>
                <w:color w:val="auto"/>
              </w:rPr>
            </w:pPr>
          </w:p>
        </w:tc>
        <w:tc>
          <w:tcPr>
            <w:tcW w:w="1280" w:type="dxa"/>
            <w:vAlign w:val="bottom"/>
            <w:shd w:val="clear" w:color="auto" w:fill="D1F3FF"/>
          </w:tcPr>
          <w:p>
            <w:pPr>
              <w:spacing w:after="0"/>
              <w:rPr>
                <w:sz w:val="18"/>
                <w:szCs w:val="18"/>
                <w:color w:val="auto"/>
              </w:rPr>
            </w:pPr>
          </w:p>
        </w:tc>
        <w:tc>
          <w:tcPr>
            <w:tcW w:w="240" w:type="dxa"/>
            <w:vAlign w:val="bottom"/>
            <w:shd w:val="clear" w:color="auto" w:fill="D1F3FF"/>
          </w:tcPr>
          <w:p>
            <w:pPr>
              <w:spacing w:after="0"/>
              <w:rPr>
                <w:sz w:val="18"/>
                <w:szCs w:val="18"/>
                <w:color w:val="auto"/>
              </w:rPr>
            </w:pPr>
          </w:p>
        </w:tc>
        <w:tc>
          <w:tcPr>
            <w:tcW w:w="140" w:type="dxa"/>
            <w:vAlign w:val="bottom"/>
            <w:shd w:val="clear" w:color="auto" w:fill="D1F3FF"/>
          </w:tcPr>
          <w:p>
            <w:pPr>
              <w:spacing w:after="0"/>
              <w:rPr>
                <w:sz w:val="18"/>
                <w:szCs w:val="18"/>
                <w:color w:val="auto"/>
              </w:rPr>
            </w:pPr>
          </w:p>
        </w:tc>
        <w:tc>
          <w:tcPr>
            <w:tcW w:w="1280" w:type="dxa"/>
            <w:vAlign w:val="bottom"/>
            <w:shd w:val="clear" w:color="auto" w:fill="D1F3FF"/>
          </w:tcPr>
          <w:p>
            <w:pPr>
              <w:spacing w:after="0"/>
              <w:rPr>
                <w:sz w:val="18"/>
                <w:szCs w:val="18"/>
                <w:color w:val="auto"/>
              </w:rPr>
            </w:pPr>
          </w:p>
        </w:tc>
        <w:tc>
          <w:tcPr>
            <w:tcW w:w="100" w:type="dxa"/>
            <w:vAlign w:val="bottom"/>
            <w:shd w:val="clear" w:color="auto" w:fill="D1F3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77,821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90,584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shd w:val="clear" w:color="auto" w:fill="D1F3FF"/>
          </w:tcPr>
          <w:p>
            <w:pPr>
              <w:ind w:left="10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F3FF"/>
          </w:tcPr>
          <w:p>
            <w:pPr>
              <w:spacing w:after="0"/>
              <w:rPr>
                <w:sz w:val="18"/>
                <w:szCs w:val="18"/>
                <w:color w:val="auto"/>
              </w:rPr>
            </w:pPr>
          </w:p>
        </w:tc>
        <w:tc>
          <w:tcPr>
            <w:tcW w:w="1280" w:type="dxa"/>
            <w:vAlign w:val="bottom"/>
            <w:shd w:val="clear" w:color="auto" w:fill="D1F3FF"/>
          </w:tcPr>
          <w:p>
            <w:pPr>
              <w:jc w:val="right"/>
              <w:spacing w:after="0"/>
              <w:rPr>
                <w:sz w:val="20"/>
                <w:szCs w:val="20"/>
                <w:color w:val="auto"/>
              </w:rPr>
            </w:pPr>
            <w:r>
              <w:rPr>
                <w:rFonts w:ascii="Arial" w:cs="Arial" w:eastAsia="Arial" w:hAnsi="Arial"/>
                <w:sz w:val="18"/>
                <w:szCs w:val="18"/>
                <w:color w:val="auto"/>
              </w:rPr>
              <w:t>44,267</w:t>
            </w:r>
          </w:p>
        </w:tc>
        <w:tc>
          <w:tcPr>
            <w:tcW w:w="240" w:type="dxa"/>
            <w:vAlign w:val="bottom"/>
            <w:shd w:val="clear" w:color="auto" w:fill="D1F3FF"/>
          </w:tcPr>
          <w:p>
            <w:pPr>
              <w:spacing w:after="0"/>
              <w:rPr>
                <w:sz w:val="18"/>
                <w:szCs w:val="18"/>
                <w:color w:val="auto"/>
              </w:rPr>
            </w:pPr>
          </w:p>
        </w:tc>
        <w:tc>
          <w:tcPr>
            <w:tcW w:w="140" w:type="dxa"/>
            <w:vAlign w:val="bottom"/>
            <w:shd w:val="clear" w:color="auto" w:fill="D1F3FF"/>
          </w:tcPr>
          <w:p>
            <w:pPr>
              <w:spacing w:after="0"/>
              <w:rPr>
                <w:sz w:val="18"/>
                <w:szCs w:val="18"/>
                <w:color w:val="auto"/>
              </w:rPr>
            </w:pPr>
          </w:p>
        </w:tc>
        <w:tc>
          <w:tcPr>
            <w:tcW w:w="1280" w:type="dxa"/>
            <w:vAlign w:val="bottom"/>
            <w:shd w:val="clear" w:color="auto" w:fill="D1F3FF"/>
          </w:tcPr>
          <w:p>
            <w:pPr>
              <w:jc w:val="right"/>
              <w:spacing w:after="0"/>
              <w:rPr>
                <w:sz w:val="20"/>
                <w:szCs w:val="20"/>
                <w:color w:val="auto"/>
              </w:rPr>
            </w:pPr>
            <w:r>
              <w:rPr>
                <w:rFonts w:ascii="Arial" w:cs="Arial" w:eastAsia="Arial" w:hAnsi="Arial"/>
                <w:sz w:val="18"/>
                <w:szCs w:val="18"/>
                <w:color w:val="auto"/>
              </w:rPr>
              <w:t>56,835</w:t>
            </w:r>
          </w:p>
        </w:tc>
        <w:tc>
          <w:tcPr>
            <w:tcW w:w="100" w:type="dxa"/>
            <w:vAlign w:val="bottom"/>
            <w:shd w:val="clear" w:color="auto" w:fill="D1F3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D1F3FF"/>
            </w:tcBorders>
            <w:shd w:val="clear" w:color="auto" w:fill="D1F3FF"/>
          </w:tcPr>
          <w:p>
            <w:pPr>
              <w:ind w:left="10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4,822</w:t>
            </w:r>
          </w:p>
        </w:tc>
        <w:tc>
          <w:tcPr>
            <w:tcW w:w="240" w:type="dxa"/>
            <w:vAlign w:val="bottom"/>
            <w:tcBorders>
              <w:bottom w:val="single" w:sz="8" w:color="D1F3FF"/>
            </w:tcBorders>
            <w:shd w:val="clear" w:color="auto" w:fill="D1F3FF"/>
          </w:tcPr>
          <w:p>
            <w:pPr>
              <w:spacing w:after="0"/>
              <w:rPr>
                <w:sz w:val="18"/>
                <w:szCs w:val="18"/>
                <w:color w:val="auto"/>
              </w:rPr>
            </w:pPr>
          </w:p>
        </w:tc>
        <w:tc>
          <w:tcPr>
            <w:tcW w:w="140" w:type="dxa"/>
            <w:vAlign w:val="bottom"/>
            <w:tcBorders>
              <w:bottom w:val="single" w:sz="8" w:color="auto"/>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D1F3FF"/>
            </w:tcBorders>
            <w:shd w:val="clear" w:color="auto" w:fill="D1F3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133,458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160,245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900" w:type="dxa"/>
            <w:vAlign w:val="bottom"/>
            <w:shd w:val="clear" w:color="auto" w:fill="D1F3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240" w:type="dxa"/>
            <w:vAlign w:val="bottom"/>
            <w:shd w:val="clear" w:color="auto" w:fill="D1F3FF"/>
          </w:tcPr>
          <w:p>
            <w:pPr>
              <w:spacing w:after="0"/>
              <w:rPr>
                <w:sz w:val="17"/>
                <w:szCs w:val="17"/>
                <w:color w:val="auto"/>
              </w:rPr>
            </w:pPr>
          </w:p>
        </w:tc>
        <w:tc>
          <w:tcPr>
            <w:tcW w:w="140" w:type="dxa"/>
            <w:vAlign w:val="bottom"/>
            <w:shd w:val="clear" w:color="auto" w:fill="D1F3FF"/>
          </w:tcPr>
          <w:p>
            <w:pPr>
              <w:spacing w:after="0"/>
              <w:rPr>
                <w:sz w:val="17"/>
                <w:szCs w:val="17"/>
                <w:color w:val="auto"/>
              </w:rPr>
            </w:pPr>
          </w:p>
        </w:tc>
        <w:tc>
          <w:tcPr>
            <w:tcW w:w="1280" w:type="dxa"/>
            <w:vAlign w:val="bottom"/>
            <w:shd w:val="clear" w:color="auto" w:fill="D1F3FF"/>
          </w:tcPr>
          <w:p>
            <w:pPr>
              <w:spacing w:after="0"/>
              <w:rPr>
                <w:sz w:val="17"/>
                <w:szCs w:val="17"/>
                <w:color w:val="auto"/>
              </w:rPr>
            </w:pPr>
          </w:p>
        </w:tc>
        <w:tc>
          <w:tcPr>
            <w:tcW w:w="100" w:type="dxa"/>
            <w:vAlign w:val="bottom"/>
            <w:shd w:val="clear" w:color="auto" w:fill="D1F3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25,598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D1F3FF"/>
            </w:tcBorders>
            <w:shd w:val="clear" w:color="auto" w:fill="D1F3FF"/>
          </w:tcPr>
          <w:p>
            <w:pPr>
              <w:ind w:left="100"/>
              <w:spacing w:after="0"/>
              <w:rPr>
                <w:sz w:val="20"/>
                <w:szCs w:val="20"/>
                <w:color w:val="auto"/>
              </w:rPr>
            </w:pPr>
            <w:r>
              <w:rPr>
                <w:rFonts w:ascii="Arial" w:cs="Arial" w:eastAsia="Arial" w:hAnsi="Arial"/>
                <w:sz w:val="18"/>
                <w:szCs w:val="18"/>
                <w:color w:val="auto"/>
              </w:rPr>
              <w:t>Long-term liabilities</w:t>
            </w:r>
          </w:p>
        </w:tc>
        <w:tc>
          <w:tcPr>
            <w:tcW w:w="160" w:type="dxa"/>
            <w:vAlign w:val="bottom"/>
            <w:tcBorders>
              <w:bottom w:val="single" w:sz="8" w:color="D1F3FF"/>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Borders>
              <w:bottom w:val="single" w:sz="8" w:color="D1F3FF"/>
            </w:tcBorders>
            <w:shd w:val="clear" w:color="auto" w:fill="D1F3FF"/>
          </w:tcPr>
          <w:p>
            <w:pPr>
              <w:spacing w:after="0"/>
              <w:rPr>
                <w:sz w:val="18"/>
                <w:szCs w:val="18"/>
                <w:color w:val="auto"/>
              </w:rPr>
            </w:pPr>
          </w:p>
        </w:tc>
        <w:tc>
          <w:tcPr>
            <w:tcW w:w="140" w:type="dxa"/>
            <w:vAlign w:val="bottom"/>
            <w:tcBorders>
              <w:bottom w:val="single" w:sz="8" w:color="D1F3FF"/>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D1F3FF"/>
            </w:tcBorders>
            <w:shd w:val="clear" w:color="auto" w:fill="D1F3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00" w:type="dxa"/>
            <w:vAlign w:val="bottom"/>
            <w:tcBorders>
              <w:bottom w:val="single" w:sz="8" w:color="D1F3FF"/>
            </w:tcBorders>
            <w:shd w:val="clear" w:color="auto" w:fill="D1F3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106,742</w:t>
            </w:r>
          </w:p>
        </w:tc>
        <w:tc>
          <w:tcPr>
            <w:tcW w:w="240" w:type="dxa"/>
            <w:vAlign w:val="bottom"/>
            <w:tcBorders>
              <w:bottom w:val="single" w:sz="8" w:color="D1F3FF"/>
            </w:tcBorders>
            <w:shd w:val="clear" w:color="auto" w:fill="D1F3FF"/>
          </w:tcPr>
          <w:p>
            <w:pPr>
              <w:spacing w:after="0"/>
              <w:rPr>
                <w:sz w:val="18"/>
                <w:szCs w:val="18"/>
                <w:color w:val="auto"/>
              </w:rPr>
            </w:pPr>
          </w:p>
        </w:tc>
        <w:tc>
          <w:tcPr>
            <w:tcW w:w="140" w:type="dxa"/>
            <w:vAlign w:val="bottom"/>
            <w:tcBorders>
              <w:bottom w:val="single" w:sz="8" w:color="auto"/>
            </w:tcBorders>
            <w:shd w:val="clear" w:color="auto" w:fill="D1F3FF"/>
          </w:tcPr>
          <w:p>
            <w:pPr>
              <w:spacing w:after="0"/>
              <w:rPr>
                <w:sz w:val="18"/>
                <w:szCs w:val="18"/>
                <w:color w:val="auto"/>
              </w:rPr>
            </w:pPr>
          </w:p>
        </w:tc>
        <w:tc>
          <w:tcPr>
            <w:tcW w:w="1280" w:type="dxa"/>
            <w:vAlign w:val="bottom"/>
            <w:tcBorders>
              <w:bottom w:val="single" w:sz="8" w:color="auto"/>
            </w:tcBorders>
            <w:shd w:val="clear" w:color="auto" w:fill="D1F3FF"/>
          </w:tcPr>
          <w:p>
            <w:pPr>
              <w:jc w:val="right"/>
              <w:spacing w:after="0"/>
              <w:rPr>
                <w:sz w:val="20"/>
                <w:szCs w:val="20"/>
                <w:color w:val="auto"/>
              </w:rPr>
            </w:pPr>
            <w:r>
              <w:rPr>
                <w:rFonts w:ascii="Arial" w:cs="Arial" w:eastAsia="Arial" w:hAnsi="Arial"/>
                <w:sz w:val="18"/>
                <w:szCs w:val="18"/>
                <w:color w:val="auto"/>
              </w:rPr>
              <w:t>130,188</w:t>
            </w:r>
          </w:p>
        </w:tc>
        <w:tc>
          <w:tcPr>
            <w:tcW w:w="100" w:type="dxa"/>
            <w:vAlign w:val="bottom"/>
            <w:tcBorders>
              <w:bottom w:val="single" w:sz="8" w:color="D1F3FF"/>
            </w:tcBorders>
            <w:shd w:val="clear" w:color="auto" w:fill="D1F3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133,458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160,245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3"/>
        </w:trPr>
        <w:tc>
          <w:tcPr>
            <w:tcW w:w="5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-2219960</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-2219960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-1636395</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-1636395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-1353820</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-1353820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0080"/>
          </w:cols>
          <w:pgMar w:left="900" w:top="1417" w:right="91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42493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24930" cy="42862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Total operating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41223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40" w:lineRule="exact"/>
        <w:rPr>
          <w:sz w:val="20"/>
          <w:szCs w:val="20"/>
          <w:color w:val="auto"/>
        </w:rPr>
      </w:pPr>
    </w:p>
    <w:p>
      <w:pPr>
        <w:ind w:right="1600"/>
        <w:spacing w:after="0" w:line="281" w:lineRule="auto"/>
        <w:rPr>
          <w:sz w:val="20"/>
          <w:szCs w:val="20"/>
          <w:color w:val="auto"/>
        </w:rPr>
      </w:pPr>
      <w:r>
        <w:rPr>
          <w:rFonts w:ascii="Arial" w:cs="Arial" w:eastAsia="Arial" w:hAnsi="Arial"/>
          <w:sz w:val="18"/>
          <w:szCs w:val="18"/>
          <w:color w:val="auto"/>
        </w:rPr>
        <w:t>Unrealized gain on available-for-sale securities Comprehensive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-295275</wp:posOffset>
            </wp:positionV>
            <wp:extent cx="641223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160" w:right="1720" w:hanging="149"/>
        <w:spacing w:after="0" w:line="253"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641223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265430"/>
                    </a:xfrm>
                    <a:prstGeom prst="rect">
                      <a:avLst/>
                    </a:prstGeom>
                    <a:noFill/>
                  </pic:spPr>
                </pic:pic>
              </a:graphicData>
            </a:graphic>
          </wp:anchor>
        </w:drawing>
      </w:r>
    </w:p>
    <w:p>
      <w:pPr>
        <w:ind w:left="160" w:right="1620" w:hanging="149"/>
        <w:spacing w:after="0" w:line="242" w:lineRule="auto"/>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1150620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21,236</w:t>
            </w:r>
          </w:p>
        </w:tc>
        <w:tc>
          <w:tcPr>
            <w:tcW w:w="24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29,770</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color w:val="auto"/>
              </w:rPr>
              <w:t>(27,687</w:t>
            </w:r>
          </w:p>
        </w:tc>
        <w:tc>
          <w:tcPr>
            <w:tcW w:w="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color w:val="auto"/>
              </w:rPr>
              <w:t>(29,770</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(26,337</w:t>
            </w: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w:t>
            </w:r>
          </w:p>
        </w:tc>
        <w:tc>
          <w:tcPr>
            <w:tcW w:w="2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927</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(26,125</w:t>
            </w: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(0.69 )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(0.73 )</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38,321,573</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37,923,402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180" w:space="720"/>
            <w:col w:w="3180"/>
          </w:cols>
          <w:pgMar w:left="900" w:top="1417" w:right="919" w:bottom="1440" w:gutter="0" w:footer="0" w:header="0"/>
          <w:type w:val="continuous"/>
        </w:sectPr>
      </w:pPr>
    </w:p>
    <w:bookmarkStart w:id="10" w:name="page11"/>
    <w:bookmarkEnd w:id="10"/>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o"/>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2024-05-15T15:41:18Z</dcterms:created>
  <dcterms:modified xsi:type="dcterms:W3CDTF">2024-05-15T15:41:18Z</dcterms:modified>
</cp:coreProperties>
</file>