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79"/>
        <w:spacing w:after="0" w:line="19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173355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404"/>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78"/>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177800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6" w:lineRule="exact"/>
        <w:rPr>
          <w:sz w:val="24"/>
          <w:szCs w:val="24"/>
          <w:color w:val="auto"/>
        </w:rPr>
      </w:pPr>
    </w:p>
    <w:p>
      <w:pPr>
        <w:ind w:right="520"/>
        <w:spacing w:after="0" w:line="2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873" w:right="499" w:bottom="1440" w:gutter="0" w:footer="0" w:header="0"/>
        </w:sectPr>
      </w:pPr>
    </w:p>
    <w:p>
      <w:pPr>
        <w:spacing w:after="0" w:line="9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1" w:lineRule="exact"/>
        <w:rPr>
          <w:sz w:val="24"/>
          <w:szCs w:val="24"/>
          <w:color w:val="auto"/>
        </w:rPr>
      </w:pPr>
    </w:p>
    <w:p>
      <w:pPr>
        <w:sectPr>
          <w:pgSz w:w="11900" w:h="16838" w:orient="portrait"/>
          <w:cols w:equalWidth="0" w:num="3">
            <w:col w:w="4340" w:space="720"/>
            <w:col w:w="2160" w:space="720"/>
            <w:col w:w="3140"/>
          </w:cols>
          <w:pgMar w:left="320" w:top="873" w:right="499" w:bottom="1440" w:gutter="0" w:footer="0" w:header="0"/>
          <w:type w:val="continuous"/>
        </w:sectPr>
      </w:pPr>
    </w:p>
    <w:p>
      <w:pPr>
        <w:spacing w:after="0" w:line="8"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72" w:lineRule="exact"/>
        <w:rPr>
          <w:sz w:val="24"/>
          <w:szCs w:val="24"/>
          <w:color w:val="auto"/>
        </w:rPr>
      </w:pPr>
    </w:p>
    <w:p>
      <w:pPr>
        <w:sectPr>
          <w:pgSz w:w="11900" w:h="16838" w:orient="portrait"/>
          <w:cols w:equalWidth="0" w:num="3">
            <w:col w:w="4700" w:space="720"/>
            <w:col w:w="1980" w:space="720"/>
            <w:col w:w="2960"/>
          </w:cols>
          <w:pgMar w:left="320" w:top="873" w:right="499" w:bottom="1440" w:gutter="0" w:footer="0" w:header="0"/>
          <w:type w:val="continuous"/>
        </w:sectPr>
      </w:pPr>
    </w:p>
    <w:p>
      <w:pPr>
        <w:ind w:right="360"/>
        <w:spacing w:after="0" w:line="2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ind w:left="60"/>
        <w:spacing w:after="0" w:line="241"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24"/>
          <w:szCs w:val="24"/>
          <w:color w:val="auto"/>
          <w:highlight w:val="black"/>
          <w:vertAlign w:val="superscript"/>
        </w:rPr>
        <w:t>☒</w:t>
      </w:r>
    </w:p>
    <w:p>
      <w:pPr>
        <w:spacing w:after="0" w:line="133" w:lineRule="exact"/>
        <w:rPr>
          <w:sz w:val="24"/>
          <w:szCs w:val="24"/>
          <w:color w:val="auto"/>
        </w:rPr>
      </w:pPr>
    </w:p>
    <w:p>
      <w:pPr>
        <w:spacing w:after="0" w:line="19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73"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340" w:firstLine="749"/>
        <w:spacing w:after="0" w:line="313" w:lineRule="auto"/>
        <w:rPr>
          <w:sz w:val="20"/>
          <w:szCs w:val="20"/>
          <w:color w:val="auto"/>
        </w:rPr>
      </w:pPr>
      <w:r>
        <w:rPr>
          <w:rFonts w:ascii="Times New Roman" w:cs="Times New Roman" w:eastAsia="Times New Roman" w:hAnsi="Times New Roman"/>
          <w:sz w:val="18"/>
          <w:szCs w:val="18"/>
          <w:color w:val="auto"/>
        </w:rPr>
        <w:t>On August 15, 2022, Athira Pharma, Inc. (the “Company”) issued a press release reporting its financial results for the quarter ended June 30, 2022. A copy of the press release is furnished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7.01 Regulation FD Disclosure.</w:t>
      </w:r>
    </w:p>
    <w:p>
      <w:pPr>
        <w:spacing w:after="0" w:line="121" w:lineRule="exact"/>
        <w:rPr>
          <w:sz w:val="20"/>
          <w:szCs w:val="20"/>
          <w:color w:val="auto"/>
        </w:rPr>
      </w:pPr>
    </w:p>
    <w:p>
      <w:pPr>
        <w:ind w:right="40" w:firstLine="749"/>
        <w:spacing w:after="0" w:line="294"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5"/>
        </w:trPr>
        <w:tc>
          <w:tcPr>
            <w:tcW w:w="10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Athira Pharma, Inc. press release dated August 15, 2022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EE"/>
            </w:tcBorders>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7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65"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200" w:firstLine="749"/>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Athira Pharma, Inc.</w:t>
            </w:r>
          </w:p>
        </w:tc>
      </w:tr>
      <w:tr>
        <w:trPr>
          <w:trHeight w:val="432"/>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August 15, 2022</w:t>
            </w:r>
          </w:p>
        </w:tc>
        <w:tc>
          <w:tcPr>
            <w:tcW w:w="2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Litton</w:t>
            </w:r>
          </w:p>
        </w:tc>
      </w:tr>
      <w:tr>
        <w:trPr>
          <w:trHeight w:val="191"/>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58"/>
        </w:trPr>
        <w:tc>
          <w:tcPr>
            <w:tcW w:w="37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20955</wp:posOffset>
            </wp:positionV>
            <wp:extent cx="149161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Athira Pharma Reports Second Quarter 2022 Financial Results and Recent Clinical and Corporate Updates</w:t>
      </w:r>
    </w:p>
    <w:p>
      <w:pPr>
        <w:spacing w:after="0" w:line="398"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i w:val="1"/>
          <w:iCs w:val="1"/>
          <w:color w:val="auto"/>
        </w:rPr>
        <w:t>Presented clinical and preclinical data at Alzheimer’s Associaton Internatonal Conference 2022</w:t>
      </w:r>
    </w:p>
    <w:p>
      <w:pPr>
        <w:spacing w:after="0" w:line="190"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i w:val="1"/>
          <w:iCs w:val="1"/>
          <w:color w:val="auto"/>
        </w:rPr>
        <w:t>Strong balance sheet to support clinical development pipeline</w:t>
      </w:r>
    </w:p>
    <w:p>
      <w:pPr>
        <w:spacing w:after="0" w:line="394" w:lineRule="exact"/>
        <w:rPr>
          <w:sz w:val="20"/>
          <w:szCs w:val="20"/>
          <w:color w:val="auto"/>
        </w:rPr>
      </w:pPr>
    </w:p>
    <w:p>
      <w:pPr>
        <w:ind w:right="260"/>
        <w:spacing w:after="0" w:line="222" w:lineRule="auto"/>
        <w:rPr>
          <w:sz w:val="20"/>
          <w:szCs w:val="20"/>
          <w:color w:val="auto"/>
        </w:rPr>
      </w:pPr>
      <w:r>
        <w:rPr>
          <w:rFonts w:ascii="Calibri" w:cs="Calibri" w:eastAsia="Calibri" w:hAnsi="Calibri"/>
          <w:sz w:val="20"/>
          <w:szCs w:val="20"/>
          <w:b w:val="1"/>
          <w:bCs w:val="1"/>
          <w:color w:val="auto"/>
        </w:rPr>
        <w:t xml:space="preserve">BOTHELL, WA, August 15, 2022 </w:t>
      </w:r>
      <w:r>
        <w:rPr>
          <w:rFonts w:ascii="Calibri" w:cs="Calibri" w:eastAsia="Calibri" w:hAnsi="Calibri"/>
          <w:sz w:val="20"/>
          <w:szCs w:val="20"/>
          <w:color w:val="auto"/>
        </w:rPr>
        <w:t>— Athira Pharma, Inc. (NASDAQ: ATHA), a late clinical-stage biopharmaceutcal company focused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developing small molecules to restore neuronal health and slow neurodegeneraton, today announced the company’s fnancial results for the second quarter ended June 30, 2022 and reviewed recent clinical and corporate updates.</w:t>
      </w:r>
    </w:p>
    <w:p>
      <w:pPr>
        <w:spacing w:after="0" w:line="254"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“We are encouraged by the biologic actvity and safety topline results from the ACT-AD trial in Alzheimer’s disease. While the primary endpoint did not reach statstcal signifcance, the trial results are the frst ever to show potental cognitve improvement through positve modulaton of the HGF/MET receptor by fosgonimeton. This is an important achievement supportng our convicton that we have a unique opportunity to reshape the course of neurodegeneratve diseases,” stated Mark Liton, Ph.D., President and Chief Executve Ofcer of Athira.</w:t>
      </w:r>
    </w:p>
    <w:p>
      <w:pPr>
        <w:spacing w:after="0" w:line="373"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“The growing body of clinical and preclinical data with fosgonimeton and our other novel HGF/MET positve modulators support the potental for this pathway to improve neuronal health in a number of neurodegeneratve diseases. Importantly, we are pleased to have a strong balance sheet that can support our programs through a number of key infecton points,” concluded Dr. Liton.</w:t>
      </w:r>
    </w:p>
    <w:p>
      <w:pPr>
        <w:spacing w:after="0" w:line="23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Clinical Update:</w:t>
      </w:r>
    </w:p>
    <w:p>
      <w:pPr>
        <w:spacing w:after="0" w:line="221" w:lineRule="exact"/>
        <w:rPr>
          <w:sz w:val="20"/>
          <w:szCs w:val="20"/>
          <w:color w:val="auto"/>
        </w:rPr>
      </w:pPr>
    </w:p>
    <w:p>
      <w:pPr>
        <w:ind w:right="280"/>
        <w:spacing w:after="0" w:line="221" w:lineRule="auto"/>
        <w:rPr>
          <w:sz w:val="20"/>
          <w:szCs w:val="20"/>
          <w:color w:val="auto"/>
        </w:rPr>
      </w:pPr>
      <w:r>
        <w:rPr>
          <w:rFonts w:ascii="Calibri" w:cs="Calibri" w:eastAsia="Calibri" w:hAnsi="Calibri"/>
          <w:sz w:val="20"/>
          <w:szCs w:val="20"/>
          <w:b w:val="1"/>
          <w:bCs w:val="1"/>
          <w:color w:val="auto"/>
        </w:rPr>
        <w:t xml:space="preserve">Fosgonimeton (ATH-1017) </w:t>
      </w:r>
      <w:r>
        <w:rPr>
          <w:rFonts w:ascii="Calibri" w:cs="Calibri" w:eastAsia="Calibri" w:hAnsi="Calibri"/>
          <w:sz w:val="20"/>
          <w:szCs w:val="20"/>
          <w:color w:val="auto"/>
        </w:rPr>
        <w:t>is a small molecule specifcally designed to enhance the actvity of Hepatocyte Growth Factor (HGF) and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receptor, MET.</w:t>
      </w:r>
    </w:p>
    <w:p>
      <w:pPr>
        <w:spacing w:after="0" w:line="229"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ACT-AD Phase 2 Study in mild-to-moderate Alzheimer’s disease (NCT04491006)</w:t>
      </w:r>
    </w:p>
    <w:p>
      <w:pPr>
        <w:spacing w:after="0" w:line="9" w:lineRule="exact"/>
        <w:rPr>
          <w:sz w:val="20"/>
          <w:szCs w:val="20"/>
          <w:color w:val="auto"/>
        </w:rPr>
      </w:pPr>
    </w:p>
    <w:p>
      <w:pPr>
        <w:ind w:left="760" w:right="640" w:hanging="378"/>
        <w:spacing w:after="0" w:line="228" w:lineRule="auto"/>
        <w:tabs>
          <w:tab w:leader="none" w:pos="76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20"/>
          <w:szCs w:val="20"/>
          <w:color w:val="auto"/>
        </w:rPr>
        <w:t>Announced topline results in June 2022 from the proof-of-concept ACT-AD Phase 2 study of fosgonimeton (ATH-1017) in patents with mild-to-moderate Alzheimer’s disease (AD).</w:t>
      </w:r>
    </w:p>
    <w:p>
      <w:pPr>
        <w:spacing w:after="0" w:line="22" w:lineRule="exact"/>
        <w:rPr>
          <w:rFonts w:ascii="Times New Roman" w:cs="Times New Roman" w:eastAsia="Times New Roman" w:hAnsi="Times New Roman"/>
          <w:sz w:val="18"/>
          <w:szCs w:val="18"/>
          <w:color w:val="auto"/>
        </w:rPr>
      </w:pPr>
    </w:p>
    <w:p>
      <w:pPr>
        <w:ind w:left="1500" w:right="140" w:hanging="369"/>
        <w:spacing w:after="0" w:line="223" w:lineRule="auto"/>
        <w:tabs>
          <w:tab w:leader="none" w:pos="1500" w:val="left"/>
        </w:tabs>
        <w:numPr>
          <w:ilvl w:val="1"/>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study did not meet the primary endpoint of a statstcally signifcant change in event related potental (ERP) P300 latency for the protocoled modifed intent to treat (mITT) populaton by a mixed model repeated measures (MMRM) analysis (-6.02 milliseconds) when compared with placebo at 26 weeks in a pooled analysis of the 40 mg and 70 mg dose groups.</w:t>
      </w:r>
    </w:p>
    <w:p>
      <w:pPr>
        <w:spacing w:after="0" w:line="24" w:lineRule="exact"/>
        <w:rPr>
          <w:rFonts w:ascii="Times New Roman" w:cs="Times New Roman" w:eastAsia="Times New Roman" w:hAnsi="Times New Roman"/>
          <w:sz w:val="20"/>
          <w:szCs w:val="20"/>
          <w:color w:val="auto"/>
        </w:rPr>
      </w:pPr>
    </w:p>
    <w:p>
      <w:pPr>
        <w:ind w:left="1500" w:right="80" w:hanging="369"/>
        <w:spacing w:after="0" w:line="227" w:lineRule="auto"/>
        <w:tabs>
          <w:tab w:leader="none" w:pos="1500" w:val="left"/>
        </w:tabs>
        <w:numPr>
          <w:ilvl w:val="1"/>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post hoc analysis, based on the mITT populaton on fosgonimeton monotherapy, showed potentally benefcial, but not statstcally signifcant, changes in ERP P300 latency compared to placebo at 26 weeks (-28 milliseconds) as well as cognitve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 w:name="page5"/>
    <w:bookmarkEnd w:id="4"/>
    <w:p>
      <w:pPr>
        <w:ind w:left="1500"/>
        <w:spacing w:after="0"/>
        <w:rPr>
          <w:sz w:val="20"/>
          <w:szCs w:val="20"/>
          <w:color w:val="auto"/>
        </w:rPr>
      </w:pPr>
      <w:r>
        <w:rPr>
          <w:rFonts w:ascii="Calibri" w:cs="Calibri" w:eastAsia="Calibri" w:hAnsi="Calibri"/>
          <w:sz w:val="20"/>
          <w:szCs w:val="20"/>
          <w:color w:val="auto"/>
        </w:rPr>
        <w:t>improvement as measured by ADAS-Cog11 (-3.3 points) compared with placebo at 26 weeks.</w:t>
      </w:r>
    </w:p>
    <w:p>
      <w:pPr>
        <w:spacing w:after="0" w:line="9" w:lineRule="exact"/>
        <w:rPr>
          <w:sz w:val="20"/>
          <w:szCs w:val="20"/>
          <w:color w:val="auto"/>
        </w:rPr>
      </w:pPr>
    </w:p>
    <w:p>
      <w:pPr>
        <w:jc w:val="both"/>
        <w:ind w:left="760" w:right="360" w:hanging="378"/>
        <w:spacing w:after="0" w:line="227" w:lineRule="auto"/>
        <w:tabs>
          <w:tab w:leader="none" w:pos="7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20"/>
          <w:szCs w:val="20"/>
          <w:color w:val="auto"/>
        </w:rPr>
        <w:t>Additonal data from the ACT-AD Phase 2 study were presented in August 2022 at the Alzheimer's Associaton Internatonal Conference 2022 (AAIC 2022) by Hans Moebius, M.D., Ph.D., Athira’s Chief Medical Ofcer. Highlights of the additonal data showed:</w:t>
      </w:r>
    </w:p>
    <w:p>
      <w:pPr>
        <w:spacing w:after="0" w:line="22" w:lineRule="exact"/>
        <w:rPr>
          <w:rFonts w:ascii="Times New Roman" w:cs="Times New Roman" w:eastAsia="Times New Roman" w:hAnsi="Times New Roman"/>
          <w:sz w:val="18"/>
          <w:szCs w:val="18"/>
          <w:color w:val="auto"/>
        </w:rPr>
      </w:pPr>
    </w:p>
    <w:p>
      <w:pPr>
        <w:ind w:left="1500" w:right="60" w:hanging="369"/>
        <w:spacing w:after="0" w:line="222" w:lineRule="auto"/>
        <w:tabs>
          <w:tab w:leader="none" w:pos="1500" w:val="left"/>
        </w:tabs>
        <w:numPr>
          <w:ilvl w:val="1"/>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numerical, but not statstcally signifcant, improvement in the functonal measure of ADCS-ADL23, a secondary endpoint which evaluates improvements in patents’ actvites of daily living as assessed by their caregivers, compared to placebo at 26 weeks in the protocoled mITT populaton by MMRM analysis (+2.12 points, n.s.).</w:t>
      </w:r>
    </w:p>
    <w:p>
      <w:pPr>
        <w:spacing w:after="0" w:line="24" w:lineRule="exact"/>
        <w:rPr>
          <w:rFonts w:ascii="Times New Roman" w:cs="Times New Roman" w:eastAsia="Times New Roman" w:hAnsi="Times New Roman"/>
          <w:sz w:val="20"/>
          <w:szCs w:val="20"/>
          <w:color w:val="auto"/>
        </w:rPr>
      </w:pPr>
    </w:p>
    <w:p>
      <w:pPr>
        <w:ind w:left="1500" w:hanging="369"/>
        <w:spacing w:after="0" w:line="226" w:lineRule="auto"/>
        <w:tabs>
          <w:tab w:leader="none" w:pos="1500" w:val="left"/>
        </w:tabs>
        <w:numPr>
          <w:ilvl w:val="1"/>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statstcally signifcant improvement in plasma levels of neuroflament light chain (NfL), a validated fuid biomarker of neurodegeneraton, in a prespecifed subgroup of subjects treated with fosgonimeton monotherapy compared with placebo at 26 weeks (diference of 6.89 pg/ml (p=0.018)), and showed a numerical, but not statstcally signifcant, improvement in all fosgonimeton treated patents compared with placebo at 26 weeks (diference of 1.67 pg/ml), regardless of background therapy.</w:t>
      </w:r>
    </w:p>
    <w:p>
      <w:pPr>
        <w:spacing w:after="0" w:line="2" w:lineRule="exact"/>
        <w:rPr>
          <w:rFonts w:ascii="Times New Roman" w:cs="Times New Roman" w:eastAsia="Times New Roman" w:hAnsi="Times New Roman"/>
          <w:sz w:val="20"/>
          <w:szCs w:val="20"/>
          <w:color w:val="auto"/>
        </w:rPr>
      </w:pPr>
    </w:p>
    <w:p>
      <w:pPr>
        <w:ind w:left="760" w:right="20" w:hanging="378"/>
        <w:spacing w:after="0" w:line="225" w:lineRule="auto"/>
        <w:tabs>
          <w:tab w:leader="none" w:pos="7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ACT-AD trial was supported by a grant from the Natonal Insttute on Aging of the Natonal Insttutes of Health under Award Number R01AG06268. The informaton presented in this press release is solely the responsibility of Athira and does not necessarily represent the ofcial views of the Natonal Insttutes of Health.</w:t>
      </w:r>
    </w:p>
    <w:p>
      <w:pPr>
        <w:spacing w:after="0" w:line="230"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LIFT-AD Phase 3 Study in mild-to-moderate Alzheimer’s Disease (NCT04488419)</w:t>
      </w:r>
    </w:p>
    <w:p>
      <w:pPr>
        <w:ind w:left="760" w:hanging="378"/>
        <w:spacing w:after="0" w:line="238"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Recruitment in the LIFT-AD trial is ongoing, with over 300 patents enrolled to-date.</w:t>
      </w:r>
    </w:p>
    <w:p>
      <w:pPr>
        <w:spacing w:after="0" w:line="9" w:lineRule="exact"/>
        <w:rPr>
          <w:rFonts w:ascii="Times New Roman" w:cs="Times New Roman" w:eastAsia="Times New Roman" w:hAnsi="Times New Roman"/>
          <w:sz w:val="18"/>
          <w:szCs w:val="18"/>
          <w:color w:val="auto"/>
        </w:rPr>
      </w:pPr>
    </w:p>
    <w:p>
      <w:pPr>
        <w:ind w:left="760" w:right="260" w:hanging="378"/>
        <w:spacing w:after="0" w:line="228"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With feedback from its Scientfc Advisory Board and the Data Safety Monitoring Board, Athira contnues to evaluate the best next steps for the LIFT-AD trial.</w:t>
      </w:r>
    </w:p>
    <w:p>
      <w:pPr>
        <w:spacing w:after="0" w:line="18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Open Label Extension Study (NCT04886063)</w:t>
      </w:r>
    </w:p>
    <w:p>
      <w:pPr>
        <w:spacing w:after="0" w:line="22" w:lineRule="exact"/>
        <w:rPr>
          <w:sz w:val="20"/>
          <w:szCs w:val="20"/>
          <w:color w:val="auto"/>
        </w:rPr>
      </w:pPr>
    </w:p>
    <w:p>
      <w:pPr>
        <w:ind w:left="760" w:right="380" w:hanging="378"/>
        <w:spacing w:after="0" w:line="221" w:lineRule="auto"/>
        <w:tabs>
          <w:tab w:leader="none" w:pos="7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May 2022, Athira extended its Open Label Extension (OLEX) study for the ACT-AD and LIFT-AD studies to up to 18 months following the completon of the 26-week treatment period in the ACT-AD or LIFT-AD study.</w:t>
      </w:r>
    </w:p>
    <w:p>
      <w:pPr>
        <w:spacing w:after="0" w:line="9" w:lineRule="exact"/>
        <w:rPr>
          <w:rFonts w:ascii="Times New Roman" w:cs="Times New Roman" w:eastAsia="Times New Roman" w:hAnsi="Times New Roman"/>
          <w:sz w:val="20"/>
          <w:szCs w:val="20"/>
          <w:color w:val="auto"/>
        </w:rPr>
      </w:pPr>
    </w:p>
    <w:p>
      <w:pPr>
        <w:ind w:left="760" w:right="500" w:hanging="378"/>
        <w:spacing w:after="0" w:line="228"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20"/>
          <w:szCs w:val="20"/>
          <w:color w:val="auto"/>
        </w:rPr>
        <w:t>As of August 2022, more than 90 percent of patents who have completed the LIFT-AD and ACT-AD studies have elected to partcipate in the OLEX study.</w:t>
      </w:r>
    </w:p>
    <w:p>
      <w:pPr>
        <w:spacing w:after="0" w:line="22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SHAPE Phase 2 Study in Parkinson’s disease dementa and Dementa with Lewy bodies (NCT04831281)</w:t>
      </w:r>
    </w:p>
    <w:p>
      <w:pPr>
        <w:spacing w:after="0" w:line="9" w:lineRule="exact"/>
        <w:rPr>
          <w:sz w:val="20"/>
          <w:szCs w:val="20"/>
          <w:color w:val="auto"/>
        </w:rPr>
      </w:pPr>
    </w:p>
    <w:p>
      <w:pPr>
        <w:ind w:left="760" w:right="500" w:hanging="378"/>
        <w:spacing w:after="0" w:line="222" w:lineRule="auto"/>
        <w:tabs>
          <w:tab w:leader="none" w:pos="76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dosed the frst patent in the SHAPE trial in January 2022. SHAPE is a randomized, double-blind, placebo-controlled, parallel-group Phase 2 proof-of-concept study of fosgonimeton in approximately 75 partcipants with Parkinson’s disease dementa or Dementa with Lewy bodies.</w:t>
      </w:r>
    </w:p>
    <w:p>
      <w:pPr>
        <w:spacing w:after="0" w:line="2"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20"/>
          <w:szCs w:val="20"/>
          <w:color w:val="auto"/>
        </w:rPr>
        <w:t>Recruitment is ongoing.</w:t>
      </w:r>
    </w:p>
    <w:p>
      <w:pPr>
        <w:spacing w:after="0" w:line="200" w:lineRule="exact"/>
        <w:rPr>
          <w:sz w:val="20"/>
          <w:szCs w:val="20"/>
          <w:color w:val="auto"/>
        </w:rPr>
      </w:pPr>
    </w:p>
    <w:p>
      <w:pPr>
        <w:spacing w:after="0" w:line="241" w:lineRule="exact"/>
        <w:rPr>
          <w:sz w:val="20"/>
          <w:szCs w:val="20"/>
          <w:color w:val="auto"/>
        </w:rPr>
      </w:pPr>
    </w:p>
    <w:p>
      <w:pPr>
        <w:ind w:right="280"/>
        <w:spacing w:after="0" w:line="228" w:lineRule="auto"/>
        <w:rPr>
          <w:sz w:val="20"/>
          <w:szCs w:val="20"/>
          <w:color w:val="auto"/>
        </w:rPr>
      </w:pPr>
      <w:r>
        <w:rPr>
          <w:rFonts w:ascii="Calibri" w:cs="Calibri" w:eastAsia="Calibri" w:hAnsi="Calibri"/>
          <w:sz w:val="20"/>
          <w:szCs w:val="20"/>
          <w:b w:val="1"/>
          <w:bCs w:val="1"/>
          <w:color w:val="auto"/>
        </w:rPr>
        <w:t xml:space="preserve">ATH-1020 </w:t>
      </w:r>
      <w:r>
        <w:rPr>
          <w:rFonts w:ascii="Calibri" w:cs="Calibri" w:eastAsia="Calibri" w:hAnsi="Calibri"/>
          <w:sz w:val="20"/>
          <w:szCs w:val="20"/>
          <w:color w:val="auto"/>
        </w:rPr>
        <w:t>is an orally available, brain-penetrant small molecule designed to enhance the HGF/MET system that is being advanced as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potental treatment candidate for neuropsychiatric indicatons.</w:t>
      </w:r>
    </w:p>
    <w:p>
      <w:pPr>
        <w:spacing w:after="0" w:line="22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Phase 1 Study in Healthy Volunteers (NCT05169671)</w:t>
      </w:r>
    </w:p>
    <w:p>
      <w:pPr>
        <w:spacing w:after="0" w:line="9" w:lineRule="exact"/>
        <w:rPr>
          <w:sz w:val="20"/>
          <w:szCs w:val="20"/>
          <w:color w:val="auto"/>
        </w:rPr>
      </w:pPr>
    </w:p>
    <w:p>
      <w:pPr>
        <w:ind w:left="760" w:right="340" w:hanging="378"/>
        <w:spacing w:after="0" w:line="228" w:lineRule="auto"/>
        <w:tabs>
          <w:tab w:leader="none" w:pos="76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the frst quarter of 2022, Athira initated a Phase 1 study to evaluate the safety, tolerability, and pharmacokinetcs of ATH-1020 in approximately 68 healthy young and elderly volunteers.</w:t>
      </w:r>
    </w:p>
    <w:p>
      <w:pPr>
        <w:ind w:left="760" w:hanging="378"/>
        <w:spacing w:after="0" w:line="238" w:lineRule="auto"/>
        <w:tabs>
          <w:tab w:leader="none" w:pos="76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20"/>
          <w:szCs w:val="20"/>
          <w:color w:val="auto"/>
        </w:rPr>
        <w:t>Dose escalaton is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b w:val="1"/>
          <w:bCs w:val="1"/>
          <w:color w:val="auto"/>
        </w:rPr>
        <w:t>Research and Development Update:</w:t>
      </w:r>
    </w:p>
    <w:p>
      <w:pPr>
        <w:spacing w:after="0" w:line="26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Preclinical Data Presented at </w:t>
      </w:r>
      <w:r>
        <w:rPr>
          <w:rFonts w:ascii="Calibri" w:cs="Calibri" w:eastAsia="Calibri" w:hAnsi="Calibri"/>
          <w:sz w:val="20"/>
          <w:szCs w:val="20"/>
          <w:b w:val="1"/>
          <w:bCs w:val="1"/>
          <w:color w:val="auto"/>
        </w:rPr>
        <w:t>Alzheimer's Associaton Internatonal Conference 2022</w:t>
      </w:r>
    </w:p>
    <w:p>
      <w:pPr>
        <w:spacing w:after="0" w:line="22" w:lineRule="exact"/>
        <w:rPr>
          <w:sz w:val="20"/>
          <w:szCs w:val="20"/>
          <w:color w:val="auto"/>
        </w:rPr>
      </w:pPr>
    </w:p>
    <w:p>
      <w:pPr>
        <w:ind w:left="760" w:right="160" w:hanging="378"/>
        <w:spacing w:after="0"/>
        <w:tabs>
          <w:tab w:leader="none" w:pos="76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Data from a poster ttled, “Fosgonimeton, a novel, small molecule positve modulator of the HGF/MET system is neuroprotectve in primary neuron culture,” demonstrated that fosgo-AM, the actve metabolite of Athira’s lead pipeline candidate, fosgonimeton (ATH-1017), promotes neurotrophic efects and ofers protecton against neurological insults implicated in mitochondrial dysfuncton, excitotoxicity, infammaton and oxidatve stress central to neurodegeneraton. These neuroprotectve efects highlight the therapeutc potental for fosgonimeton to restore neuronal health and slow neurodegeneraton.</w:t>
      </w:r>
    </w:p>
    <w:p>
      <w:pPr>
        <w:spacing w:after="0" w:line="183" w:lineRule="exact"/>
        <w:rPr>
          <w:rFonts w:ascii="Times New Roman" w:cs="Times New Roman" w:eastAsia="Times New Roman" w:hAnsi="Times New Roman"/>
          <w:sz w:val="20"/>
          <w:szCs w:val="20"/>
          <w:color w:val="auto"/>
        </w:rPr>
      </w:pPr>
    </w:p>
    <w:p>
      <w:pPr>
        <w:ind w:left="760" w:hanging="378"/>
        <w:spacing w:after="0" w:line="224" w:lineRule="auto"/>
        <w:tabs>
          <w:tab w:leader="none" w:pos="76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Data from a poster ttled, “Development of stable, orally bioavailable small molecule positve modulators of HGF/MET signaling for the treatment of cognitve impairment,” focused on the identfcaton and preclinical validaton of a panel of novel, small molecule HGF/MET positve modulators. These orally bioavailable molecules signifcantly reversed scopolamine-induced spatal memory defcits in rats. They also demonstrated favorable pharmacokinetcs, including efcient distributon to the brain following administraton. Based on these promising preclinical data, Athira intends to contnue developing these compounds for the potental treatment of Alzheimer’s disease and other neurodegeneratve disorders.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Preclinical Data Presented at Peripheral Nerve Society (PNS) 2022 Annual Meetng</w:t>
      </w:r>
    </w:p>
    <w:p>
      <w:pPr>
        <w:spacing w:after="0" w:line="22" w:lineRule="exact"/>
        <w:rPr>
          <w:sz w:val="20"/>
          <w:szCs w:val="20"/>
          <w:color w:val="auto"/>
        </w:rPr>
      </w:pPr>
    </w:p>
    <w:p>
      <w:pPr>
        <w:ind w:left="760" w:right="140" w:hanging="378"/>
        <w:spacing w:after="0" w:line="222"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presented new data at the PNS 2022 Annual Meetng in a poster presentaton ttled, “Small Molecule HGF/MET Positve Modulator Efectvely Reduces Pain-Related Behaviors in a Rat Diabetc Neuropathy Model.” The data are supportve of the HGF/MET mechanism and the company’s future plans to investgate its potental in a peripheral nerve applicaton.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Corporate Update:</w:t>
      </w:r>
    </w:p>
    <w:p>
      <w:pPr>
        <w:spacing w:after="0" w:line="43" w:lineRule="exact"/>
        <w:rPr>
          <w:sz w:val="20"/>
          <w:szCs w:val="20"/>
          <w:color w:val="auto"/>
        </w:rPr>
      </w:pPr>
    </w:p>
    <w:p>
      <w:pPr>
        <w:ind w:left="760" w:right="20" w:hanging="378"/>
        <w:spacing w:after="0" w:line="223" w:lineRule="auto"/>
        <w:tabs>
          <w:tab w:leader="none" w:pos="760" w:val="left"/>
        </w:tabs>
        <w:numPr>
          <w:ilvl w:val="0"/>
          <w:numId w:val="1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June 2022, Athira announced the formaton of a Scientfc Advisory Board (SAB) comprised of renowned leaders in neurology research, including John Olichney, M.D., Anton Porsteinsson, M.D., Marwan Sabbagh, M.D., Lon Schneider, M.D., Pierre Tariot, M.D., and Paul Winner, M.D. The SAB is chaired by Dr. Moebius, Athira’s Chief Medical Ofcer, and provides expert scientfc and clinical perspectves to guide the ongoing development of Athira’s pipeline of novel, small molecule compounds.</w:t>
      </w:r>
    </w:p>
    <w:p>
      <w:pPr>
        <w:spacing w:after="0" w:line="24" w:lineRule="exact"/>
        <w:rPr>
          <w:rFonts w:ascii="Times New Roman" w:cs="Times New Roman" w:eastAsia="Times New Roman" w:hAnsi="Times New Roman"/>
          <w:sz w:val="20"/>
          <w:szCs w:val="20"/>
          <w:color w:val="auto"/>
        </w:rPr>
      </w:pPr>
    </w:p>
    <w:p>
      <w:pPr>
        <w:ind w:left="760" w:right="340" w:hanging="378"/>
        <w:spacing w:after="0" w:line="228" w:lineRule="auto"/>
        <w:tabs>
          <w:tab w:leader="none" w:pos="760" w:val="left"/>
        </w:tabs>
        <w:numPr>
          <w:ilvl w:val="0"/>
          <w:numId w:val="1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May 2022, Athira announced stockholder approval of the electon of its independent director nominees to the company’s board of directors: Joseph Edelman, John M. Fluke, Jr. and Grant Pickering.</w:t>
      </w:r>
    </w:p>
    <w:p>
      <w:pPr>
        <w:spacing w:after="0" w:line="23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16" w:lineRule="exact"/>
        <w:rPr>
          <w:sz w:val="20"/>
          <w:szCs w:val="20"/>
          <w:color w:val="auto"/>
        </w:rPr>
      </w:pPr>
    </w:p>
    <w:p>
      <w:pPr>
        <w:ind w:left="760" w:right="180" w:hanging="378"/>
        <w:spacing w:after="0" w:line="227" w:lineRule="auto"/>
        <w:tabs>
          <w:tab w:leader="none" w:pos="76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Cash Positon</w:t>
      </w:r>
      <w:r>
        <w:rPr>
          <w:rFonts w:ascii="Calibri" w:cs="Calibri" w:eastAsia="Calibri" w:hAnsi="Calibri"/>
          <w:sz w:val="20"/>
          <w:szCs w:val="20"/>
          <w:color w:val="auto"/>
        </w:rPr>
        <w:t>. Cash, cash equivalents and investments were $282.2 million as of June 30, 2022, compared with $319.7 million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of December 31, 2021. Cash used in operatons was $35.2 million for the six months ended June 30, 2022, compared with $14.6 million for the six months ended June 30, 2021.</w:t>
      </w:r>
    </w:p>
    <w:p>
      <w:pPr>
        <w:spacing w:after="0" w:line="238" w:lineRule="exact"/>
        <w:rPr>
          <w:rFonts w:ascii="Times New Roman" w:cs="Times New Roman" w:eastAsia="Times New Roman" w:hAnsi="Times New Roman"/>
          <w:sz w:val="18"/>
          <w:szCs w:val="18"/>
          <w:color w:val="auto"/>
        </w:rPr>
      </w:pPr>
    </w:p>
    <w:p>
      <w:pPr>
        <w:ind w:left="760" w:right="20" w:hanging="378"/>
        <w:spacing w:after="0" w:line="227" w:lineRule="auto"/>
        <w:tabs>
          <w:tab w:leader="none" w:pos="76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Research and Development (R&amp;D) Expenses</w:t>
      </w:r>
      <w:r>
        <w:rPr>
          <w:rFonts w:ascii="Calibri" w:cs="Calibri" w:eastAsia="Calibri" w:hAnsi="Calibri"/>
          <w:sz w:val="20"/>
          <w:szCs w:val="20"/>
          <w:color w:val="auto"/>
        </w:rPr>
        <w:t>. R&amp;D expenses were $14.8 million for the quarter ended June 30, 2022, compared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$12.0 million for the same period in 2021. The increase was driven primarily by costs related to increased clinical trial actvites, expanded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 w:name="page7"/>
    <w:bookmarkEnd w:id="6"/>
    <w:p>
      <w:pPr>
        <w:ind w:left="760"/>
        <w:spacing w:after="0"/>
        <w:rPr>
          <w:sz w:val="20"/>
          <w:szCs w:val="20"/>
          <w:color w:val="auto"/>
        </w:rPr>
      </w:pPr>
      <w:r>
        <w:rPr>
          <w:rFonts w:ascii="Calibri" w:cs="Calibri" w:eastAsia="Calibri" w:hAnsi="Calibri"/>
          <w:sz w:val="20"/>
          <w:szCs w:val="20"/>
          <w:color w:val="auto"/>
        </w:rPr>
        <w:t>and increased preclinical research and development expenses.</w:t>
      </w:r>
    </w:p>
    <w:p>
      <w:pPr>
        <w:spacing w:after="0" w:line="238" w:lineRule="exact"/>
        <w:rPr>
          <w:sz w:val="20"/>
          <w:szCs w:val="20"/>
          <w:color w:val="auto"/>
        </w:rPr>
      </w:pPr>
    </w:p>
    <w:p>
      <w:pPr>
        <w:ind w:left="760" w:right="100" w:hanging="378"/>
        <w:spacing w:after="0" w:line="226" w:lineRule="auto"/>
        <w:tabs>
          <w:tab w:leader="none" w:pos="76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 xml:space="preserve">General and Administratve (G&amp;A) Expenses. </w:t>
      </w:r>
      <w:r>
        <w:rPr>
          <w:rFonts w:ascii="Calibri" w:cs="Calibri" w:eastAsia="Calibri" w:hAnsi="Calibri"/>
          <w:sz w:val="20"/>
          <w:szCs w:val="20"/>
          <w:color w:val="auto"/>
        </w:rPr>
        <w:t>G&amp;A expenses were $8.8 million for the quarter ended June 30, 2022, compared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$4.6 million for same period in 2021. The change was primarily due to increased personnel expense as the company’s headcount expanded to support its contnued growth. In additon, increases to G&amp;A expenses in 2022 were the result of costs associated with legal proceedings and the proxy contest in connecton with the company’s 2022 annual stockholders meetng.</w:t>
      </w:r>
    </w:p>
    <w:p>
      <w:pPr>
        <w:spacing w:after="0" w:line="214" w:lineRule="exact"/>
        <w:rPr>
          <w:rFonts w:ascii="Times New Roman" w:cs="Times New Roman" w:eastAsia="Times New Roman" w:hAnsi="Times New Roman"/>
          <w:sz w:val="18"/>
          <w:szCs w:val="18"/>
          <w:color w:val="auto"/>
        </w:rPr>
      </w:pPr>
    </w:p>
    <w:p>
      <w:pPr>
        <w:ind w:left="760" w:right="320" w:hanging="378"/>
        <w:spacing w:after="0" w:line="228" w:lineRule="auto"/>
        <w:tabs>
          <w:tab w:leader="none" w:pos="76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Net Loss</w:t>
      </w:r>
      <w:r>
        <w:rPr>
          <w:rFonts w:ascii="Calibri" w:cs="Calibri" w:eastAsia="Calibri" w:hAnsi="Calibri"/>
          <w:sz w:val="20"/>
          <w:szCs w:val="20"/>
          <w:color w:val="auto"/>
        </w:rPr>
        <w:t>. The company reported a net loss of $24.3 million, or $0.65 per share, for the second quarter ended June 30, 2022,</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compared with a net loss of $14.0 million, or $0.38 per share, for the second quarter ended June 30, 2021.</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Athira Pharma, Inc.</w:t>
      </w:r>
    </w:p>
    <w:p>
      <w:pPr>
        <w:spacing w:after="0" w:line="22" w:lineRule="exact"/>
        <w:rPr>
          <w:sz w:val="20"/>
          <w:szCs w:val="20"/>
          <w:color w:val="auto"/>
        </w:rPr>
      </w:pPr>
    </w:p>
    <w:p>
      <w:pPr>
        <w:ind w:right="220"/>
        <w:spacing w:after="0" w:line="256" w:lineRule="auto"/>
        <w:rPr>
          <w:sz w:val="20"/>
          <w:szCs w:val="20"/>
          <w:color w:val="auto"/>
        </w:rPr>
      </w:pPr>
      <w:r>
        <w:rPr>
          <w:rFonts w:ascii="Calibri" w:cs="Calibri" w:eastAsia="Calibri" w:hAnsi="Calibri"/>
          <w:sz w:val="20"/>
          <w:szCs w:val="20"/>
          <w:color w:val="auto"/>
        </w:rPr>
        <w:t>Athira Pharma, Inc., headquartered in the Seatle area, is a late clinical-stage biopharmaceutcal company focused on developing small molecules to restore neuronal health and slow neurodegeneraton. Athira aims to provide rapid cognitve improvement and alter the course of neurological diseases with its novel mechanism of acton. Athira is currently advancing its lead therapeutc candidate, fosgonimeton, a novel small molecule for Alzheimer’s and Parkinson’s disease dementa and Dementa with Lewy bodies. For more informaton, visit www.athira.com. You can also follow Athira on Facebook, LinkedIn and @athirapharma on Twiter and Instagram.</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22" w:lineRule="exact"/>
        <w:rPr>
          <w:sz w:val="20"/>
          <w:szCs w:val="20"/>
          <w:color w:val="auto"/>
        </w:rPr>
      </w:pPr>
    </w:p>
    <w:p>
      <w:pPr>
        <w:spacing w:after="0" w:line="257" w:lineRule="auto"/>
        <w:rPr>
          <w:sz w:val="20"/>
          <w:szCs w:val="20"/>
          <w:color w:val="auto"/>
        </w:rPr>
      </w:pPr>
      <w:r>
        <w:rPr>
          <w:rFonts w:ascii="Calibri" w:cs="Calibri" w:eastAsia="Calibri" w:hAnsi="Calibri"/>
          <w:sz w:val="20"/>
          <w:szCs w:val="20"/>
          <w:color w:val="auto"/>
        </w:rPr>
        <w:t>This release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fosgonimeton as a potental treatment for Alzheimer’s disease, Parkinson’s disease dementa, Dementa with Lewy bodies, and other dementas; ATH-1020 as a potental treatment for neuropsychiatric indicatons; Athira’s platorm technology and potental therapies; future development plans; clinical and regulatory objectves and the tming thereof, including the tming of the LIFT-AD clinical trial, the Phase 2 clinical trial of fosgonimeton for treatment of Parkinson’s disease dementa and the Phase 1 clinical trial to evaluate the safety, tolerability, and pharmacokinetcs of ATH-1020; interactons with regulators and the tming thereof, including antcipated tming of IND or equivalent submissions; expectatons regarding the potental efcacy and commercial potental of Athira’s product candidates; the antcipated reportng of data; the potental learnings from the ACT-AD clinical trial and their ability to inform and improve future clinical development plans; antcipated sufciency of cash resources; and Athira’s ability to advance its product candidates into later stages of development. Forward-looking statements generally include statements that are predictve in nature and depend upon or refer to future events or conditons, and include words such as “may,” “will,” “should,” “on track,” “would,” “expect,” “plan,” “believe,” “intend,” “pursue,” “contnue,” and other similar expressions, among others. Any forward-looking statements are based on management’s current expectatons of future events and are subject to a number of risks and uncertaintes that could cause actual results to difer materially and adversely from those set forth in or implied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7" w:name="page8"/>
    <w:bookmarkEnd w:id="7"/>
    <w:p>
      <w:pPr>
        <w:spacing w:after="0" w:line="256" w:lineRule="auto"/>
        <w:rPr>
          <w:sz w:val="20"/>
          <w:szCs w:val="20"/>
          <w:color w:val="auto"/>
        </w:rPr>
      </w:pPr>
      <w:r>
        <w:rPr>
          <w:rFonts w:ascii="Calibri" w:cs="Calibri" w:eastAsia="Calibri" w:hAnsi="Calibri"/>
          <w:sz w:val="20"/>
          <w:szCs w:val="20"/>
          <w:color w:val="auto"/>
        </w:rPr>
        <w:t>forward-looking statements. These risks and uncertaintes include, but are not limited to, the data for our product candidates from our preclinical and clinical trials will not support the safety, efcacy and tolerability of our product candidates; cessaton or delay of any of the ongoing clinical trials and/or Athira’s development of fosgonimeton and other product candidates may occur; Athira may not be able to recruit sufcient patents for its clinical trials; future potental regulatory milestones of fosgonimeton and other product candidates, including those related to current and planned clinical studies may be insufcient to support regulatory submissions or approval; the impact of the COVID-19 pandemic on Athira’s business, research and clinical development plans and tmelines and the regulatory process for Athira’s product candidates; the outcome of legal proceedings which have been or may in the future be insttuted against us and certain of our directors and ofcers; clinical trials may not demonstrate safety and efcacy of any of Athira’s product candidates; possible negatve interactons of Athira’s product candidates with other treatments; Athira’s assumptons regarding the sufciency of its cash, cash equivalents and investments to fund its planned operatons may be incorrect; Athira’s research and development eforts and its ability to advance product candidates into later stages of development may fail; any one or more of Athira’s product candidates may not be successfully developed, approved or commercialized; adverse conditons in the general domestc and global economic markets; the impact of competton; regulatory agencies may be delayed in reviewing, commentng on or approving any of Athira’s clinical development plans as a result of the COVID-19 pandemic, which could further delay development tmelines; the impact of expanded product development and clinical actvites on operatng expenses; the impact of new or changing laws and regulatons; as well as the other risks detailed in Athira’s flings with the Securites and Exchange Commission.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&amp; Media Contact</w:t>
      </w:r>
      <w:r>
        <w:rPr>
          <w:rFonts w:ascii="Calibri" w:cs="Calibri" w:eastAsia="Calibri" w:hAnsi="Calibri"/>
          <w:sz w:val="20"/>
          <w:szCs w:val="20"/>
          <w:color w:val="auto"/>
        </w:rPr>
        <w:t>:</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Julie Rathbun</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Athira Pharma</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Julie.rathbun@athira.com</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1" w:right="399" w:bottom="1440" w:gutter="0" w:footer="0" w:header="0"/>
        </w:sectPr>
      </w:pPr>
    </w:p>
    <w:bookmarkStart w:id="8" w:name="page9"/>
    <w:bookmarkEnd w:id="8"/>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4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54"/>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7100" w:type="dxa"/>
            <w:vAlign w:val="bottom"/>
            <w:gridSpan w:val="2"/>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7100" w:type="dxa"/>
            <w:vAlign w:val="bottom"/>
            <w:gridSpan w:val="2"/>
          </w:tcPr>
          <w:p>
            <w:pPr>
              <w:ind w:left="100"/>
              <w:spacing w:after="0" w:line="157" w:lineRule="exact"/>
              <w:rPr>
                <w:sz w:val="20"/>
                <w:szCs w:val="20"/>
                <w:color w:val="auto"/>
              </w:rPr>
            </w:pPr>
            <w:r>
              <w:rPr>
                <w:rFonts w:ascii="Arial" w:cs="Arial" w:eastAsia="Arial" w:hAnsi="Arial"/>
                <w:sz w:val="18"/>
                <w:szCs w:val="18"/>
                <w:color w:val="auto"/>
              </w:rPr>
              <w:t>Cash and cash equivalents</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95,057</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7100" w:type="dxa"/>
            <w:vAlign w:val="bottom"/>
            <w:gridSpan w:val="2"/>
          </w:tcPr>
          <w:p>
            <w:pPr>
              <w:ind w:left="6880"/>
              <w:spacing w:after="0"/>
              <w:rPr>
                <w:sz w:val="20"/>
                <w:szCs w:val="20"/>
                <w:color w:val="auto"/>
              </w:rPr>
            </w:pPr>
            <w:r>
              <w:rPr>
                <w:rFonts w:ascii="Arial" w:cs="Arial" w:eastAsia="Arial" w:hAnsi="Arial"/>
                <w:sz w:val="18"/>
                <w:szCs w:val="18"/>
                <w:color w:val="auto"/>
              </w:rPr>
              <w:t>$</w:t>
            </w:r>
          </w:p>
        </w:tc>
        <w:tc>
          <w:tcPr>
            <w:tcW w:w="122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1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157,347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143,222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Other short-term assets</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1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29,844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Other long-term assets</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6,307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6860" w:type="dxa"/>
            <w:vAlign w:val="bottom"/>
            <w:shd w:val="clear" w:color="auto" w:fill="CFF0FC"/>
          </w:tcPr>
          <w:p>
            <w:pPr>
              <w:spacing w:after="0" w:line="150" w:lineRule="exact"/>
              <w:rPr>
                <w:sz w:val="20"/>
                <w:szCs w:val="20"/>
                <w:color w:val="auto"/>
              </w:rPr>
            </w:pPr>
            <w:r>
              <w:rPr>
                <w:rFonts w:ascii="Arial" w:cs="Arial" w:eastAsia="Arial" w:hAnsi="Arial"/>
                <w:sz w:val="17"/>
                <w:szCs w:val="17"/>
                <w:color w:val="auto"/>
              </w:rPr>
              <w:t>Total assets</w:t>
            </w:r>
          </w:p>
        </w:tc>
        <w:tc>
          <w:tcPr>
            <w:tcW w:w="24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292,011</w:t>
            </w:r>
          </w:p>
        </w:tc>
        <w:tc>
          <w:tcPr>
            <w:tcW w:w="240" w:type="dxa"/>
            <w:vAlign w:val="bottom"/>
            <w:vMerge w:val="restart"/>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68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vMerge w:val="continue"/>
            <w:shd w:val="clear" w:color="auto" w:fill="CFF0FC"/>
          </w:tcPr>
          <w:p>
            <w:pPr>
              <w:spacing w:after="0"/>
              <w:rPr>
                <w:sz w:val="23"/>
                <w:szCs w:val="23"/>
                <w:color w:val="auto"/>
              </w:rPr>
            </w:pPr>
          </w:p>
        </w:tc>
        <w:tc>
          <w:tcPr>
            <w:tcW w:w="240" w:type="dxa"/>
            <w:vAlign w:val="bottom"/>
            <w:tcBorders>
              <w:bottom w:val="single" w:sz="8" w:color="CFF0FC"/>
            </w:tcBorders>
            <w:vMerge w:val="continue"/>
            <w:shd w:val="clear" w:color="auto" w:fill="CFF0FC"/>
          </w:tcPr>
          <w:p>
            <w:pPr>
              <w:spacing w:after="0"/>
              <w:rPr>
                <w:sz w:val="23"/>
                <w:szCs w:val="23"/>
                <w:color w:val="auto"/>
              </w:rPr>
            </w:pPr>
          </w:p>
        </w:tc>
        <w:tc>
          <w:tcPr>
            <w:tcW w:w="180" w:type="dxa"/>
            <w:vAlign w:val="bottom"/>
            <w:tcBorders>
              <w:bottom w:val="single" w:sz="8" w:color="auto"/>
            </w:tcBorders>
            <w:vMerge w:val="continue"/>
            <w:shd w:val="clear" w:color="auto" w:fill="CFF0FC"/>
          </w:tcPr>
          <w:p>
            <w:pPr>
              <w:spacing w:after="0"/>
              <w:rPr>
                <w:sz w:val="23"/>
                <w:szCs w:val="23"/>
                <w:color w:val="auto"/>
              </w:rPr>
            </w:pPr>
          </w:p>
        </w:tc>
        <w:tc>
          <w:tcPr>
            <w:tcW w:w="1260" w:type="dxa"/>
            <w:vAlign w:val="bottom"/>
            <w:tcBorders>
              <w:bottom w:val="single" w:sz="8" w:color="auto"/>
            </w:tcBorders>
            <w:vMerge w:val="continue"/>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7100" w:type="dxa"/>
            <w:vAlign w:val="bottom"/>
            <w:gridSpan w:val="2"/>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7100" w:type="dxa"/>
            <w:vAlign w:val="bottom"/>
            <w:gridSpan w:val="2"/>
            <w:shd w:val="clear" w:color="auto" w:fill="CFF0FC"/>
          </w:tcPr>
          <w:p>
            <w:pPr>
              <w:ind w:left="100"/>
              <w:spacing w:after="0" w:line="157" w:lineRule="exact"/>
              <w:rPr>
                <w:sz w:val="20"/>
                <w:szCs w:val="20"/>
                <w:color w:val="auto"/>
              </w:rPr>
            </w:pPr>
            <w:r>
              <w:rPr>
                <w:rFonts w:ascii="Arial" w:cs="Arial" w:eastAsia="Arial" w:hAnsi="Arial"/>
                <w:sz w:val="18"/>
                <w:szCs w:val="18"/>
                <w:color w:val="auto"/>
              </w:rPr>
              <w:t>Current liabilities</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9,692</w:t>
            </w:r>
          </w:p>
        </w:tc>
        <w:tc>
          <w:tcPr>
            <w:tcW w:w="4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7100" w:type="dxa"/>
            <w:vAlign w:val="bottom"/>
            <w:gridSpan w:val="2"/>
            <w:shd w:val="clear" w:color="auto" w:fill="CFF0FC"/>
          </w:tcPr>
          <w:p>
            <w:pPr>
              <w:ind w:left="6880"/>
              <w:spacing w:after="0"/>
              <w:rPr>
                <w:sz w:val="20"/>
                <w:szCs w:val="20"/>
                <w:color w:val="auto"/>
              </w:rPr>
            </w:pPr>
            <w:r>
              <w:rPr>
                <w:rFonts w:ascii="Arial" w:cs="Arial" w:eastAsia="Arial" w:hAnsi="Arial"/>
                <w:sz w:val="18"/>
                <w:szCs w:val="18"/>
                <w:color w:val="auto"/>
              </w:rPr>
              <w:t>$</w:t>
            </w:r>
          </w:p>
        </w:tc>
        <w:tc>
          <w:tcPr>
            <w:tcW w:w="1220" w:type="dxa"/>
            <w:vAlign w:val="bottom"/>
            <w:vMerge w:val="continue"/>
            <w:shd w:val="clear" w:color="auto" w:fill="CFF0FC"/>
          </w:tcPr>
          <w:p>
            <w:pPr>
              <w:spacing w:after="0"/>
              <w:rPr>
                <w:sz w:val="20"/>
                <w:szCs w:val="20"/>
                <w:color w:val="auto"/>
              </w:rPr>
            </w:pPr>
          </w:p>
        </w:tc>
        <w:tc>
          <w:tcPr>
            <w:tcW w:w="420" w:type="dxa"/>
            <w:vAlign w:val="bottom"/>
            <w:gridSpan w:val="2"/>
            <w:vMerge w:val="continue"/>
            <w:shd w:val="clear" w:color="auto" w:fill="CFF0FC"/>
          </w:tcPr>
          <w:p>
            <w:pPr>
              <w:spacing w:after="0"/>
              <w:rPr>
                <w:sz w:val="20"/>
                <w:szCs w:val="20"/>
                <w:color w:val="auto"/>
              </w:rPr>
            </w:pPr>
          </w:p>
        </w:tc>
        <w:tc>
          <w:tcPr>
            <w:tcW w:w="12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Long-term liabilities</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11,446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280,565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321,084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6860" w:type="dxa"/>
            <w:vAlign w:val="bottom"/>
            <w:shd w:val="clear" w:color="auto" w:fill="CFF0FC"/>
          </w:tcPr>
          <w:p>
            <w:pPr>
              <w:spacing w:after="0" w:line="150" w:lineRule="exact"/>
              <w:rPr>
                <w:sz w:val="20"/>
                <w:szCs w:val="20"/>
                <w:color w:val="auto"/>
              </w:rPr>
            </w:pPr>
            <w:r>
              <w:rPr>
                <w:rFonts w:ascii="Arial" w:cs="Arial" w:eastAsia="Arial" w:hAnsi="Arial"/>
                <w:sz w:val="17"/>
                <w:szCs w:val="17"/>
                <w:color w:val="auto"/>
              </w:rPr>
              <w:t>Total liabilities and stockholders' equity</w:t>
            </w:r>
          </w:p>
        </w:tc>
        <w:tc>
          <w:tcPr>
            <w:tcW w:w="24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292,011</w:t>
            </w:r>
          </w:p>
        </w:tc>
        <w:tc>
          <w:tcPr>
            <w:tcW w:w="4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7100" w:type="dxa"/>
            <w:vAlign w:val="bottom"/>
            <w:gridSpan w:val="2"/>
            <w:shd w:val="clear" w:color="auto" w:fill="CFF0FC"/>
          </w:tcPr>
          <w:p>
            <w:pPr>
              <w:ind w:left="6880"/>
              <w:spacing w:after="0"/>
              <w:rPr>
                <w:sz w:val="20"/>
                <w:szCs w:val="20"/>
                <w:color w:val="auto"/>
              </w:rPr>
            </w:pPr>
            <w:r>
              <w:rPr>
                <w:rFonts w:ascii="Arial" w:cs="Arial" w:eastAsia="Arial" w:hAnsi="Arial"/>
                <w:sz w:val="18"/>
                <w:szCs w:val="18"/>
                <w:color w:val="auto"/>
              </w:rPr>
              <w:t>$</w:t>
            </w:r>
          </w:p>
        </w:tc>
        <w:tc>
          <w:tcPr>
            <w:tcW w:w="1220" w:type="dxa"/>
            <w:vAlign w:val="bottom"/>
            <w:vMerge w:val="continue"/>
            <w:shd w:val="clear" w:color="auto" w:fill="CFF0FC"/>
          </w:tcPr>
          <w:p>
            <w:pPr>
              <w:spacing w:after="0"/>
              <w:rPr>
                <w:sz w:val="23"/>
                <w:szCs w:val="23"/>
                <w:color w:val="auto"/>
              </w:rPr>
            </w:pPr>
          </w:p>
        </w:tc>
        <w:tc>
          <w:tcPr>
            <w:tcW w:w="420" w:type="dxa"/>
            <w:vAlign w:val="bottom"/>
            <w:gridSpan w:val="2"/>
            <w:vMerge w:val="continue"/>
            <w:shd w:val="clear" w:color="auto" w:fill="CFF0FC"/>
          </w:tcPr>
          <w:p>
            <w:pPr>
              <w:spacing w:after="0"/>
              <w:rPr>
                <w:sz w:val="23"/>
                <w:szCs w:val="23"/>
                <w:color w:val="auto"/>
              </w:rPr>
            </w:pPr>
          </w:p>
        </w:tc>
        <w:tc>
          <w:tcPr>
            <w:tcW w:w="1260" w:type="dxa"/>
            <w:vAlign w:val="bottom"/>
            <w:vMerge w:val="continue"/>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8"/>
        </w:trPr>
        <w:tc>
          <w:tcPr>
            <w:tcW w:w="580" w:type="dxa"/>
            <w:vAlign w:val="bottom"/>
            <w:tcBorders>
              <w:bottom w:val="single" w:sz="8" w:color="9A9A9A"/>
            </w:tcBorders>
          </w:tcPr>
          <w:p>
            <w:pPr>
              <w:spacing w:after="0"/>
              <w:rPr>
                <w:sz w:val="24"/>
                <w:szCs w:val="24"/>
                <w:color w:val="auto"/>
              </w:rPr>
            </w:pPr>
          </w:p>
        </w:tc>
        <w:tc>
          <w:tcPr>
            <w:tcW w:w="686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-2133600</wp:posOffset>
            </wp:positionV>
            <wp:extent cx="112331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315" cy="27432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-607695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-591185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-607695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9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14,803</w:t>
            </w:r>
          </w:p>
        </w:tc>
        <w:tc>
          <w:tcPr>
            <w:tcW w:w="20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8,766</w:t>
            </w:r>
          </w:p>
        </w:tc>
        <w:tc>
          <w:tcPr>
            <w:tcW w:w="200" w:type="dxa"/>
            <w:vAlign w:val="bottom"/>
            <w:shd w:val="clear" w:color="auto" w:fill="CFF0FC"/>
          </w:tcPr>
          <w:p>
            <w:pPr>
              <w:spacing w:after="0"/>
              <w:rPr>
                <w:sz w:val="20"/>
                <w:szCs w:val="20"/>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9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vMerge w:val="continue"/>
            <w:shd w:val="clear" w:color="auto" w:fill="CFF0FC"/>
          </w:tcPr>
          <w:p>
            <w:pPr>
              <w:spacing w:after="0"/>
              <w:rPr>
                <w:sz w:val="13"/>
                <w:szCs w:val="13"/>
                <w:color w:val="auto"/>
              </w:rPr>
            </w:pPr>
          </w:p>
        </w:tc>
        <w:tc>
          <w:tcPr>
            <w:tcW w:w="11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vMerge w:val="continue"/>
            <w:shd w:val="clear" w:color="auto" w:fill="CFF0FC"/>
          </w:tcPr>
          <w:p>
            <w:pPr>
              <w:spacing w:after="0"/>
              <w:rPr>
                <w:sz w:val="13"/>
                <w:szCs w:val="13"/>
                <w:color w:val="auto"/>
              </w:rPr>
            </w:pPr>
          </w:p>
        </w:tc>
        <w:tc>
          <w:tcPr>
            <w:tcW w:w="11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9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23,569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(23,569</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(16,637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 income</w:t>
            </w:r>
          </w:p>
        </w:tc>
        <w:tc>
          <w:tcPr>
            <w:tcW w:w="3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FF0FC"/>
          </w:tcPr>
          <w:p>
            <w:pPr>
              <w:spacing w:after="0"/>
              <w:rPr>
                <w:sz w:val="20"/>
                <w:szCs w:val="20"/>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9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9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(24,335 )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(13,974 )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69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Unrealized (loss) gain on available-for-sale securities</w:t>
            </w: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900" w:type="dxa"/>
            <w:vAlign w:val="bottom"/>
          </w:tcPr>
          <w:p>
            <w:pPr>
              <w:spacing w:after="0" w:line="196" w:lineRule="exact"/>
              <w:rPr>
                <w:sz w:val="20"/>
                <w:szCs w:val="20"/>
                <w:color w:val="auto"/>
              </w:rPr>
            </w:pPr>
            <w:r>
              <w:rPr>
                <w:rFonts w:ascii="Arial" w:cs="Arial" w:eastAsia="Arial" w:hAnsi="Arial"/>
                <w:sz w:val="18"/>
                <w:szCs w:val="18"/>
                <w:color w:val="auto"/>
              </w:rPr>
              <w:t>Comprehensive loss attributable to common stockholders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(24,804 )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(13,965 )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80" w:type="dxa"/>
            <w:vAlign w:val="bottom"/>
          </w:tcPr>
          <w:p>
            <w:pPr>
              <w:spacing w:after="0"/>
              <w:rPr>
                <w:sz w:val="11"/>
                <w:szCs w:val="11"/>
                <w:color w:val="auto"/>
              </w:rPr>
            </w:pPr>
          </w:p>
        </w:tc>
        <w:tc>
          <w:tcPr>
            <w:tcW w:w="6900" w:type="dxa"/>
            <w:vAlign w:val="bottom"/>
            <w:shd w:val="clear" w:color="auto" w:fill="CFF0FC"/>
          </w:tcPr>
          <w:p>
            <w:pPr>
              <w:spacing w:after="0" w:line="137" w:lineRule="exact"/>
              <w:rPr>
                <w:sz w:val="20"/>
                <w:szCs w:val="20"/>
                <w:color w:val="auto"/>
              </w:rPr>
            </w:pPr>
            <w:r>
              <w:rPr>
                <w:rFonts w:ascii="Arial" w:cs="Arial" w:eastAsia="Arial" w:hAnsi="Arial"/>
                <w:sz w:val="15"/>
                <w:szCs w:val="15"/>
                <w:color w:val="auto"/>
              </w:rPr>
              <w:t>Net loss per share attributable to common stockholders,</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FF0FC"/>
          </w:tcPr>
          <w:p>
            <w:pPr>
              <w:jc w:val="right"/>
              <w:ind w:right="61"/>
              <w:spacing w:after="0"/>
              <w:rPr>
                <w:sz w:val="20"/>
                <w:szCs w:val="20"/>
                <w:color w:val="auto"/>
              </w:rPr>
            </w:pPr>
            <w:r>
              <w:rPr>
                <w:rFonts w:ascii="Arial" w:cs="Arial" w:eastAsia="Arial" w:hAnsi="Arial"/>
                <w:sz w:val="18"/>
                <w:szCs w:val="18"/>
                <w:color w:val="auto"/>
              </w:rPr>
              <w:t>(0.65 )</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(0.38 )</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900" w:type="dxa"/>
            <w:vAlign w:val="bottom"/>
            <w:shd w:val="clear" w:color="auto" w:fill="CFF0FC"/>
          </w:tcPr>
          <w:p>
            <w:pPr>
              <w:ind w:left="160"/>
              <w:spacing w:after="0" w:line="195" w:lineRule="exact"/>
              <w:rPr>
                <w:sz w:val="20"/>
                <w:szCs w:val="20"/>
                <w:color w:val="auto"/>
              </w:rPr>
            </w:pPr>
            <w:r>
              <w:rPr>
                <w:rFonts w:ascii="Arial" w:cs="Arial" w:eastAsia="Arial" w:hAnsi="Arial"/>
                <w:sz w:val="18"/>
                <w:szCs w:val="18"/>
                <w:color w:val="auto"/>
              </w:rPr>
              <w:t>basic and diluted</w:t>
            </w:r>
          </w:p>
        </w:tc>
        <w:tc>
          <w:tcPr>
            <w:tcW w:w="320" w:type="dxa"/>
            <w:vAlign w:val="bottom"/>
            <w:vMerge w:val="continue"/>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320" w:type="dxa"/>
            <w:vAlign w:val="bottom"/>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6900" w:type="dxa"/>
            <w:vAlign w:val="bottom"/>
            <w:tcBorders>
              <w:top w:val="single" w:sz="8" w:color="CFF0FC"/>
            </w:tcBorders>
          </w:tcPr>
          <w:p>
            <w:pPr>
              <w:spacing w:after="0" w:line="137" w:lineRule="exact"/>
              <w:rPr>
                <w:sz w:val="20"/>
                <w:szCs w:val="20"/>
                <w:color w:val="auto"/>
              </w:rPr>
            </w:pPr>
            <w:r>
              <w:rPr>
                <w:rFonts w:ascii="Arial" w:cs="Arial" w:eastAsia="Arial" w:hAnsi="Arial"/>
                <w:sz w:val="15"/>
                <w:szCs w:val="15"/>
                <w:color w:val="auto"/>
              </w:rPr>
              <w:t>Weighted-average shares used in computing net loss per</w:t>
            </w:r>
          </w:p>
        </w:tc>
        <w:tc>
          <w:tcPr>
            <w:tcW w:w="3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6900" w:type="dxa"/>
            <w:vAlign w:val="bottom"/>
          </w:tcPr>
          <w:p>
            <w:pPr>
              <w:ind w:left="160"/>
              <w:spacing w:after="0" w:line="189" w:lineRule="exact"/>
              <w:rPr>
                <w:sz w:val="20"/>
                <w:szCs w:val="20"/>
                <w:color w:val="auto"/>
              </w:rPr>
            </w:pPr>
            <w:r>
              <w:rPr>
                <w:rFonts w:ascii="Arial" w:cs="Arial" w:eastAsia="Arial" w:hAnsi="Arial"/>
                <w:sz w:val="18"/>
                <w:szCs w:val="18"/>
                <w:color w:val="auto"/>
              </w:rPr>
              <w:t>share attributable to common stockholders, basic</w:t>
            </w: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37,667,971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37,214,602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900" w:type="dxa"/>
            <w:vAlign w:val="bottom"/>
          </w:tcPr>
          <w:p>
            <w:pPr>
              <w:ind w:left="160"/>
              <w:spacing w:after="0" w:line="195" w:lineRule="exact"/>
              <w:rPr>
                <w:sz w:val="20"/>
                <w:szCs w:val="20"/>
                <w:color w:val="auto"/>
              </w:rPr>
            </w:pPr>
            <w:r>
              <w:rPr>
                <w:rFonts w:ascii="Arial" w:cs="Arial" w:eastAsia="Arial" w:hAnsi="Arial"/>
                <w:sz w:val="18"/>
                <w:szCs w:val="18"/>
                <w:color w:val="auto"/>
              </w:rPr>
              <w:t>and diluted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-2322195</wp:posOffset>
            </wp:positionV>
            <wp:extent cx="60325"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-2322195</wp:posOffset>
            </wp:positionV>
            <wp:extent cx="60325"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-1430655</wp:posOffset>
            </wp:positionV>
            <wp:extent cx="6032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-1430655</wp:posOffset>
            </wp:positionV>
            <wp:extent cx="6032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-1139825</wp:posOffset>
            </wp:positionV>
            <wp:extent cx="603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-1139825</wp:posOffset>
            </wp:positionV>
            <wp:extent cx="603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-753745</wp:posOffset>
            </wp:positionV>
            <wp:extent cx="1106170" cy="394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6170" cy="39433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2022-08-15T16:23:31Z</dcterms:created>
  <dcterms:modified xsi:type="dcterms:W3CDTF">2022-08-15T16:23:31Z</dcterms:modified>
</cp:coreProperties>
</file>