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338455</wp:posOffset>
            </wp:positionV>
            <wp:extent cx="5349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211455</wp:posOffset>
            </wp:positionV>
            <wp:extent cx="5349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30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30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500" w:hanging="208"/>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500" w:hanging="208"/>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500" w:hanging="208"/>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500" w:hanging="208"/>
        <w:spacing w:after="0"/>
        <w:tabs>
          <w:tab w:leader="none" w:pos="5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00" w:hanging="208"/>
        <w:spacing w:after="0"/>
        <w:tabs>
          <w:tab w:leader="none" w:pos="5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LeonaBio,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 w:lineRule="exact"/>
        <w:rPr>
          <w:sz w:val="24"/>
          <w:szCs w:val="24"/>
          <w:color w:val="auto"/>
        </w:rPr>
      </w:pPr>
    </w:p>
    <w:p>
      <w:pPr>
        <w:ind w:left="460" w:hanging="168"/>
        <w:spacing w:after="0"/>
        <w:tabs>
          <w:tab w:leader="none" w:pos="46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235" w:lineRule="exact"/>
        <w:rPr>
          <w:sz w:val="24"/>
          <w:szCs w:val="24"/>
          <w:color w:val="auto"/>
        </w:rPr>
      </w:pPr>
    </w:p>
    <w:p>
      <w:pPr>
        <w:ind w:left="460" w:hanging="168"/>
        <w:spacing w:after="0"/>
        <w:tabs>
          <w:tab w:leader="none" w:pos="46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248" w:lineRule="exact"/>
        <w:rPr>
          <w:rFonts w:ascii="MS PGothic" w:cs="MS PGothic" w:eastAsia="MS PGothic" w:hAnsi="MS PGothic"/>
          <w:sz w:val="16"/>
          <w:szCs w:val="16"/>
          <w:color w:val="auto"/>
        </w:rPr>
      </w:pPr>
    </w:p>
    <w:p>
      <w:pPr>
        <w:ind w:left="460" w:hanging="168"/>
        <w:spacing w:after="0"/>
        <w:tabs>
          <w:tab w:leader="none" w:pos="46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1322070</wp:posOffset>
            </wp:positionV>
            <wp:extent cx="70377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3345815</wp:posOffset>
            </wp:positionH>
            <wp:positionV relativeFrom="page">
              <wp:posOffset>911860</wp:posOffset>
            </wp:positionV>
            <wp:extent cx="857250" cy="908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857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LEONABIO, INC.</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18706 North Creek Parkway, Suite 104</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Bothell, Washington 98011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March 18, 2026, at 8:00 a.m. Pacific Time</w:t>
      </w:r>
    </w:p>
    <w:p>
      <w:pPr>
        <w:spacing w:after="0" w:line="139"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This amendment, dated March 10, 2026, amends and supplements the definitive proxy statement on Schedule 14A, or the Proxy Statement, filed by LeonaBio, Inc., or the Company, with the U.S. Securities and Exchange Commission, or the SEC, on February 23, 2026, in connection with the Company’s Special Meeting of Stockholders, or the Special Meeting, to be held on March 18, 2026 at 8:00 a.m. Pacific Time.</w:t>
      </w:r>
    </w:p>
    <w:p>
      <w:pPr>
        <w:spacing w:after="0" w:line="9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Company has been advised that Proposal 6 in the Proxy Statement will be considered a “routine” proposal. Accordingly, a broker or nominee has discretion to vote on Proposal 6 if specific instructions are not received from the beneficial owner of the underlying shares. As a result, we do not expect broker non-votes on Proposal 6. There is no change to the voting standards contained in the Proxy Statement or to the effect of broker non-votes, if any, on the vote on each proposal to be considered at the Special Meeting.</w:t>
      </w:r>
    </w:p>
    <w:p>
      <w:pPr>
        <w:spacing w:after="0" w:line="116"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Other than as described above, no changes have been made to the Proxy Statement and it continues to be in full force and effect as originally filed with the SEC. To the extent that the information set forth herein differs from or updates information contained in the Proxy Statement, the information set forth herein shall supersede or supplement the information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1004570</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2026-03-10T15:32:19Z</dcterms:created>
  <dcterms:modified xsi:type="dcterms:W3CDTF">2026-03-10T15:32:19Z</dcterms:modified>
</cp:coreProperties>
</file>