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7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Washington, D.C. 20549</w:t>
      </w:r>
    </w:p>
    <w:p>
      <w:pPr>
        <w:spacing w:after="0" w:line="14" w:lineRule="exact"/>
        <w:rPr>
          <w:sz w:val="24"/>
          <w:szCs w:val="24"/>
          <w:color w:val="auto"/>
        </w:rPr>
      </w:pPr>
    </w:p>
    <w:p>
      <w:pPr>
        <w:ind w:left="5420"/>
        <w:spacing w:after="0"/>
        <w:rPr>
          <w:sz w:val="20"/>
          <w:szCs w:val="20"/>
          <w:color w:val="auto"/>
        </w:rPr>
      </w:pPr>
      <w:r>
        <w:rPr>
          <w:rFonts w:ascii="Arial" w:cs="Arial" w:eastAsia="Arial" w:hAnsi="Arial"/>
          <w:sz w:val="18"/>
          <w:szCs w:val="18"/>
          <w:b w:val="1"/>
          <w:bCs w:val="1"/>
          <w:color w:val="auto"/>
        </w:rPr>
        <w:t> </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SCHEDULE 14A</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19050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26"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82"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53"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Check the appropriate box:</w:t>
      </w:r>
    </w:p>
    <w:p>
      <w:pPr>
        <w:spacing w:after="0" w:line="102" w:lineRule="exact"/>
        <w:rPr>
          <w:sz w:val="24"/>
          <w:szCs w:val="24"/>
          <w:color w:val="auto"/>
        </w:rPr>
      </w:pPr>
    </w:p>
    <w:tbl>
      <w:tblPr>
        <w:tblLayout w:type="fixed"/>
        <w:tblInd w:w="640" w:type="dxa"/>
        <w:tblCellMar>
          <w:top w:w="0" w:type="dxa"/>
          <w:left w:w="0" w:type="dxa"/>
          <w:bottom w:w="0" w:type="dxa"/>
          <w:right w:w="0" w:type="dxa"/>
        </w:tblCellMar>
      </w:tblPr>
      <w:tr>
        <w:trPr>
          <w:trHeight w:val="272"/>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6160" w:type="dxa"/>
            <w:vAlign w:val="bottom"/>
          </w:tcPr>
          <w:p>
            <w:pPr>
              <w:ind w:left="60"/>
              <w:spacing w:after="0"/>
              <w:rPr>
                <w:sz w:val="20"/>
                <w:szCs w:val="20"/>
                <w:color w:val="auto"/>
              </w:rPr>
            </w:pPr>
            <w:r>
              <w:rPr>
                <w:rFonts w:ascii="Arial" w:cs="Arial" w:eastAsia="Arial" w:hAnsi="Arial"/>
                <w:sz w:val="16"/>
                <w:szCs w:val="16"/>
                <w:color w:val="auto"/>
              </w:rPr>
              <w:t>Preliminary Proxy Statement</w:t>
            </w:r>
          </w:p>
        </w:tc>
      </w:tr>
      <w:tr>
        <w:trPr>
          <w:trHeight w:val="283"/>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6320" w:type="dxa"/>
            <w:vAlign w:val="bottom"/>
            <w:gridSpan w:val="2"/>
          </w:tcPr>
          <w:p>
            <w:pPr>
              <w:ind w:left="60"/>
              <w:spacing w:after="0"/>
              <w:rPr>
                <w:sz w:val="20"/>
                <w:szCs w:val="20"/>
                <w:color w:val="auto"/>
              </w:rPr>
            </w:pPr>
            <w:r>
              <w:rPr>
                <w:rFonts w:ascii="Arial" w:cs="Arial" w:eastAsia="Arial" w:hAnsi="Arial"/>
                <w:sz w:val="16"/>
                <w:szCs w:val="16"/>
                <w:color w:val="auto"/>
                <w:w w:val="99"/>
              </w:rPr>
              <w:t xml:space="preserve">   </w:t>
            </w:r>
            <w:r>
              <w:rPr>
                <w:rFonts w:ascii="Arial" w:cs="Arial" w:eastAsia="Arial" w:hAnsi="Arial"/>
                <w:sz w:val="16"/>
                <w:szCs w:val="16"/>
                <w:b w:val="1"/>
                <w:bCs w:val="1"/>
                <w:color w:val="auto"/>
                <w:w w:val="99"/>
              </w:rPr>
              <w:t>Confidential, for Use of the Commission Only (as permitted by Rule 14a-6(e)(2))</w:t>
            </w:r>
          </w:p>
        </w:tc>
      </w:tr>
      <w:tr>
        <w:trPr>
          <w:trHeight w:val="311"/>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6160" w:type="dxa"/>
            <w:vAlign w:val="bottom"/>
          </w:tcPr>
          <w:p>
            <w:pPr>
              <w:ind w:left="60"/>
              <w:spacing w:after="0"/>
              <w:rPr>
                <w:sz w:val="20"/>
                <w:szCs w:val="20"/>
                <w:color w:val="auto"/>
              </w:rPr>
            </w:pPr>
            <w:r>
              <w:rPr>
                <w:rFonts w:ascii="Arial" w:cs="Arial" w:eastAsia="Arial" w:hAnsi="Arial"/>
                <w:sz w:val="16"/>
                <w:szCs w:val="16"/>
                <w:color w:val="auto"/>
              </w:rPr>
              <w:t>Definitive Proxy Statement</w:t>
            </w:r>
          </w:p>
        </w:tc>
      </w:tr>
      <w:tr>
        <w:trPr>
          <w:trHeight w:val="297"/>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6160" w:type="dxa"/>
            <w:vAlign w:val="bottom"/>
          </w:tcPr>
          <w:p>
            <w:pPr>
              <w:ind w:left="60"/>
              <w:spacing w:after="0"/>
              <w:rPr>
                <w:sz w:val="20"/>
                <w:szCs w:val="20"/>
                <w:color w:val="auto"/>
              </w:rPr>
            </w:pPr>
            <w:r>
              <w:rPr>
                <w:rFonts w:ascii="Arial" w:cs="Arial" w:eastAsia="Arial" w:hAnsi="Arial"/>
                <w:sz w:val="16"/>
                <w:szCs w:val="16"/>
                <w:color w:val="auto"/>
              </w:rPr>
              <w:t>Definitive Additional Materials</w:t>
            </w:r>
          </w:p>
        </w:tc>
      </w:tr>
      <w:tr>
        <w:trPr>
          <w:trHeight w:val="297"/>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6320" w:type="dxa"/>
            <w:vAlign w:val="bottom"/>
            <w:gridSpan w:val="2"/>
          </w:tcPr>
          <w:p>
            <w:pPr>
              <w:ind w:left="60"/>
              <w:spacing w:after="0"/>
              <w:rPr>
                <w:sz w:val="20"/>
                <w:szCs w:val="20"/>
                <w:color w:val="auto"/>
              </w:rPr>
            </w:pPr>
            <w:r>
              <w:rPr>
                <w:rFonts w:ascii="Arial" w:cs="Arial" w:eastAsia="Arial" w:hAnsi="Arial"/>
                <w:sz w:val="16"/>
                <w:szCs w:val="16"/>
                <w:color w:val="auto"/>
              </w:rPr>
              <w:t>   Soliciting Material under §240.14a-12</w:t>
            </w:r>
          </w:p>
        </w:tc>
      </w:tr>
    </w:tbl>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80" w:type="dxa"/>
            <w:vAlign w:val="bottom"/>
            <w:tcBorders>
              <w:bottom w:val="single" w:sz="8" w:color="auto"/>
            </w:tcBorders>
          </w:tcPr>
          <w:p>
            <w:pPr>
              <w:jc w:val="center"/>
              <w:ind w:right="3083"/>
              <w:spacing w:after="0"/>
              <w:rPr>
                <w:sz w:val="20"/>
                <w:szCs w:val="20"/>
                <w:color w:val="auto"/>
              </w:rPr>
            </w:pPr>
            <w:r>
              <w:rPr>
                <w:rFonts w:ascii="Arial" w:cs="Arial" w:eastAsia="Arial" w:hAnsi="Arial"/>
                <w:sz w:val="23"/>
                <w:szCs w:val="23"/>
                <w:b w:val="1"/>
                <w:bCs w:val="1"/>
                <w:color w:val="auto"/>
              </w:rPr>
              <w:t>ATHIRA PHARMA, INC.</w:t>
            </w:r>
          </w:p>
        </w:tc>
        <w:tc>
          <w:tcPr>
            <w:tcW w:w="660" w:type="dxa"/>
            <w:vAlign w:val="bottom"/>
          </w:tcPr>
          <w:p>
            <w:pPr>
              <w:spacing w:after="0"/>
              <w:rPr>
                <w:sz w:val="24"/>
                <w:szCs w:val="24"/>
                <w:color w:val="auto"/>
              </w:rPr>
            </w:pPr>
          </w:p>
        </w:tc>
      </w:tr>
      <w:tr>
        <w:trPr>
          <w:trHeight w:val="290"/>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440" w:type="dxa"/>
            <w:vAlign w:val="bottom"/>
            <w:tcBorders>
              <w:bottom w:val="single" w:sz="8" w:color="auto"/>
            </w:tcBorders>
            <w:gridSpan w:val="2"/>
          </w:tcPr>
          <w:p>
            <w:pPr>
              <w:jc w:val="center"/>
              <w:ind w:right="2203"/>
              <w:spacing w:after="0"/>
              <w:rPr>
                <w:sz w:val="20"/>
                <w:szCs w:val="20"/>
                <w:color w:val="auto"/>
              </w:rPr>
            </w:pPr>
            <w:r>
              <w:rPr>
                <w:rFonts w:ascii="Arial" w:cs="Arial" w:eastAsia="Arial" w:hAnsi="Arial"/>
                <w:sz w:val="16"/>
                <w:szCs w:val="16"/>
                <w:b w:val="1"/>
                <w:bCs w:val="1"/>
                <w:color w:val="auto"/>
              </w:rPr>
              <w:t>(Name of Registrant as Specified in its Charter)</w:t>
            </w:r>
          </w:p>
        </w:tc>
        <w:tc>
          <w:tcPr>
            <w:tcW w:w="660" w:type="dxa"/>
            <w:vAlign w:val="bottom"/>
          </w:tcPr>
          <w:p>
            <w:pPr>
              <w:spacing w:after="0"/>
              <w:rPr>
                <w:sz w:val="24"/>
                <w:szCs w:val="24"/>
                <w:color w:val="auto"/>
              </w:rPr>
            </w:pPr>
          </w:p>
        </w:tc>
      </w:tr>
      <w:tr>
        <w:trPr>
          <w:trHeight w:val="256"/>
        </w:trPr>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960" w:type="dxa"/>
            <w:vAlign w:val="bottom"/>
            <w:gridSpan w:val="4"/>
          </w:tcPr>
          <w:p>
            <w:pPr>
              <w:ind w:left="184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tc>
      </w:tr>
      <w:tr>
        <w:trPr>
          <w:trHeight w:val="343"/>
        </w:trPr>
        <w:tc>
          <w:tcPr>
            <w:tcW w:w="640" w:type="dxa"/>
            <w:vAlign w:val="bottom"/>
          </w:tcPr>
          <w:p>
            <w:pPr>
              <w:spacing w:after="0"/>
              <w:rPr>
                <w:sz w:val="24"/>
                <w:szCs w:val="24"/>
                <w:color w:val="auto"/>
              </w:rPr>
            </w:pPr>
          </w:p>
        </w:tc>
        <w:tc>
          <w:tcPr>
            <w:tcW w:w="10380" w:type="dxa"/>
            <w:vAlign w:val="bottom"/>
            <w:gridSpan w:val="6"/>
          </w:tcPr>
          <w:p>
            <w:pPr>
              <w:spacing w:after="0"/>
              <w:rPr>
                <w:sz w:val="20"/>
                <w:szCs w:val="20"/>
                <w:color w:val="auto"/>
              </w:rPr>
            </w:pPr>
            <w:r>
              <w:rPr>
                <w:rFonts w:ascii="Arial" w:cs="Arial" w:eastAsia="Arial" w:hAnsi="Arial"/>
                <w:sz w:val="16"/>
                <w:szCs w:val="16"/>
                <w:color w:val="auto"/>
              </w:rPr>
              <w:t>Payment of Filing Fee (Check all boxes that apply):</w:t>
            </w:r>
          </w:p>
        </w:tc>
      </w:tr>
      <w:tr>
        <w:trPr>
          <w:trHeight w:val="360"/>
        </w:trPr>
        <w:tc>
          <w:tcPr>
            <w:tcW w:w="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9960" w:type="dxa"/>
            <w:vAlign w:val="bottom"/>
            <w:gridSpan w:val="4"/>
          </w:tcPr>
          <w:p>
            <w:pPr>
              <w:ind w:left="60"/>
              <w:spacing w:after="0"/>
              <w:rPr>
                <w:sz w:val="20"/>
                <w:szCs w:val="20"/>
                <w:color w:val="auto"/>
              </w:rPr>
            </w:pPr>
            <w:r>
              <w:rPr>
                <w:rFonts w:ascii="Arial" w:cs="Arial" w:eastAsia="Arial" w:hAnsi="Arial"/>
                <w:sz w:val="16"/>
                <w:szCs w:val="16"/>
                <w:color w:val="auto"/>
              </w:rPr>
              <w:t>   No fee required</w:t>
            </w:r>
          </w:p>
        </w:tc>
      </w:tr>
      <w:tr>
        <w:trPr>
          <w:trHeight w:val="283"/>
        </w:trPr>
        <w:tc>
          <w:tcPr>
            <w:tcW w:w="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9960" w:type="dxa"/>
            <w:vAlign w:val="bottom"/>
            <w:gridSpan w:val="4"/>
          </w:tcPr>
          <w:p>
            <w:pPr>
              <w:ind w:left="60"/>
              <w:spacing w:after="0"/>
              <w:rPr>
                <w:sz w:val="20"/>
                <w:szCs w:val="20"/>
                <w:color w:val="auto"/>
              </w:rPr>
            </w:pPr>
            <w:r>
              <w:rPr>
                <w:rFonts w:ascii="Arial" w:cs="Arial" w:eastAsia="Arial" w:hAnsi="Arial"/>
                <w:sz w:val="16"/>
                <w:szCs w:val="16"/>
                <w:color w:val="auto"/>
              </w:rPr>
              <w:t>   Fee paid previously with preliminary materials</w:t>
            </w:r>
          </w:p>
        </w:tc>
      </w:tr>
      <w:tr>
        <w:trPr>
          <w:trHeight w:val="310"/>
        </w:trPr>
        <w:tc>
          <w:tcPr>
            <w:tcW w:w="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9960" w:type="dxa"/>
            <w:vAlign w:val="bottom"/>
            <w:gridSpan w:val="4"/>
          </w:tcPr>
          <w:p>
            <w:pPr>
              <w:ind w:left="60"/>
              <w:spacing w:after="0"/>
              <w:rPr>
                <w:sz w:val="20"/>
                <w:szCs w:val="20"/>
                <w:color w:val="auto"/>
              </w:rPr>
            </w:pPr>
            <w:r>
              <w:rPr>
                <w:rFonts w:ascii="Arial" w:cs="Arial" w:eastAsia="Arial" w:hAnsi="Arial"/>
                <w:sz w:val="16"/>
                <w:szCs w:val="16"/>
                <w:color w:val="auto"/>
              </w:rPr>
              <w:t>   Fee computed on table in exhibit required by Item 25(b) per Exchange Act Rules 14a-6(i)(1) and 0-11</w:t>
            </w:r>
          </w:p>
        </w:tc>
      </w:tr>
      <w:tr>
        <w:trPr>
          <w:trHeight w:val="142"/>
        </w:trPr>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5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r>
      <w:tr>
        <w:trPr>
          <w:trHeight w:val="81"/>
        </w:trPr>
        <w:tc>
          <w:tcPr>
            <w:tcW w:w="6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5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r>
      <w:tr>
        <w:trPr>
          <w:trHeight w:val="237"/>
        </w:trPr>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2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120015</wp:posOffset>
            </wp:positionV>
            <wp:extent cx="6720840" cy="9043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0840" cy="9043670"/>
                    </a:xfrm>
                    <a:prstGeom prst="rect">
                      <a:avLst/>
                    </a:prstGeom>
                    <a:noFill/>
                  </pic:spPr>
                </pic:pic>
              </a:graphicData>
            </a:graphic>
          </wp:anchor>
        </w:drawing>
      </w:r>
    </w:p>
    <w:p>
      <w:pPr>
        <w:sectPr>
          <w:pgSz w:w="11900" w:h="16838" w:orient="portrait"/>
          <w:cols w:equalWidth="0" w:num="1">
            <w:col w:w="10019"/>
          </w:cols>
          <w:pgMar w:left="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19"/>
          </w:cols>
          <w:pgMar w:left="44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0000"/>
        </w:rPr>
        <w:t>PRELIMINARY PROXY MATERIALS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360680</wp:posOffset>
            </wp:positionV>
            <wp:extent cx="140589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April [•], 2025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Stockholders:</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pleased to invite you to attend the 2025 annual meeting of stockholders (together with any postponement, adjournments or other delays thereof, the “Annual Meeting”) of Athira Pharma, Inc. (the “Company”). The Annual Meeting will be held on May 29, 2025, at 8:00 a.m., Pacific Time. The Annual Meeting will be conducted virtually via live audio webcast. You will be able to attend the Annual Meeting virtually by visiting www.virtualshareholdermeeting.com/ATHA2025, where you will be able to listen to the meeting live, submit questions and vote online.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attached formal meeting notice and proxy statement contain details of the business to be conducted at the Annual Meeting.</w:t>
      </w:r>
    </w:p>
    <w:p>
      <w:pPr>
        <w:spacing w:after="0" w:line="14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Your vote is important. Whether or not you attend the Annual Meeting virtually, it is important that your shares be represented and voted at the Annual Meeting. Therefore, we urge you to vote and submit your proxy promptly via the internet, telephone or mail.</w:t>
      </w:r>
    </w:p>
    <w:p>
      <w:pPr>
        <w:spacing w:after="0" w:line="156"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On behalf of our board of directors, we would like to express our appreciation for your continued support of and interest in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Mark J. Litton, Ph.D.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Athira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0000"/>
        </w:rPr>
        <w:t>PRELIMINARY PROXY MATERIALS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187960</wp:posOffset>
            </wp:positionV>
            <wp:extent cx="1405890" cy="651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F8991D"/>
        </w:rPr>
        <w:t>NOTICE OF 2025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Annual Meeting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of Stockholders</w:t>
      </w:r>
    </w:p>
    <w:p>
      <w:pPr>
        <w:sectPr>
          <w:pgSz w:w="11900" w:h="16838" w:orient="portrait"/>
          <w:cols w:equalWidth="0" w:num="1">
            <w:col w:w="9400"/>
          </w:cols>
          <w:pgMar w:left="1240" w:top="114" w:right="1259" w:bottom="1440" w:gutter="0" w:footer="0" w:header="0"/>
        </w:sectPr>
      </w:pP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4972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165100</wp:posOffset>
            </wp:positionV>
            <wp:extent cx="299720" cy="283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May 29, 2025</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Meeting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5060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0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165100</wp:posOffset>
            </wp:positionV>
            <wp:extent cx="265430"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4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8:00 a.m.,</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Pacific Time</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Meeting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6343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173355</wp:posOffset>
            </wp:positionV>
            <wp:extent cx="20574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7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123"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Annual Meeting will be conducted virtually via live audio webcast. You will be able to attend the Annual Meeting virtually by visiting www.virtualshareholder meeting.com/ATHA2025, where you will be able to listen to the meeting live, submit questions and vote online during the meeting.</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Record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4972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165100</wp:posOffset>
            </wp:positionV>
            <wp:extent cx="29972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April 4, 2025</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TO OUR STOCKHOLDERS,</w:t>
      </w:r>
    </w:p>
    <w:p>
      <w:pPr>
        <w:spacing w:after="0" w:line="149"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You are cordially invited to attend the annual meeting of stockholders virtually (together with any postponement, adjournments or other delays thereof, the “Annual Meeting”) of Athira Pharma, Inc. (the “Company”).</w:t>
      </w:r>
    </w:p>
    <w:tbl>
      <w:tblPr>
        <w:tblLayout w:type="fixed"/>
        <w:tblInd w:w="0" w:type="dxa"/>
        <w:tblCellMar>
          <w:top w:w="0" w:type="dxa"/>
          <w:left w:w="0" w:type="dxa"/>
          <w:bottom w:w="0" w:type="dxa"/>
          <w:right w:w="0" w:type="dxa"/>
        </w:tblCellMar>
      </w:tblPr>
      <w:tr>
        <w:trPr>
          <w:trHeight w:val="341"/>
        </w:trPr>
        <w:tc>
          <w:tcPr>
            <w:tcW w:w="1080" w:type="dxa"/>
            <w:vAlign w:val="bottom"/>
            <w:vMerge w:val="restart"/>
            <w:shd w:val="clear" w:color="auto" w:fill="EBEBEB"/>
          </w:tcPr>
          <w:p>
            <w:pPr>
              <w:jc w:val="right"/>
              <w:ind w:right="150"/>
              <w:spacing w:after="0" w:line="484" w:lineRule="exact"/>
              <w:rPr>
                <w:sz w:val="20"/>
                <w:szCs w:val="20"/>
                <w:color w:val="auto"/>
              </w:rPr>
            </w:pPr>
            <w:r>
              <w:rPr>
                <w:rFonts w:ascii="Times New Roman" w:cs="Times New Roman" w:eastAsia="Times New Roman" w:hAnsi="Times New Roman"/>
                <w:sz w:val="54"/>
                <w:szCs w:val="54"/>
                <w:color w:val="255993"/>
              </w:rPr>
              <w:t>1</w:t>
            </w:r>
          </w:p>
        </w:tc>
        <w:tc>
          <w:tcPr>
            <w:tcW w:w="6580" w:type="dxa"/>
            <w:vAlign w:val="bottom"/>
            <w:shd w:val="clear" w:color="auto" w:fill="EBEBEB"/>
          </w:tcPr>
          <w:p>
            <w:pPr>
              <w:spacing w:after="0"/>
              <w:rPr>
                <w:sz w:val="20"/>
                <w:szCs w:val="20"/>
                <w:color w:val="auto"/>
              </w:rPr>
            </w:pPr>
            <w:r>
              <w:rPr>
                <w:rFonts w:ascii="Arial" w:cs="Arial" w:eastAsia="Arial" w:hAnsi="Arial"/>
                <w:sz w:val="14"/>
                <w:szCs w:val="14"/>
                <w:color w:val="auto"/>
              </w:rPr>
              <w:t>To elect three Class II directors of the Company, each to serve for a term of three years and  until his</w:t>
            </w:r>
          </w:p>
        </w:tc>
        <w:tc>
          <w:tcPr>
            <w:tcW w:w="0" w:type="dxa"/>
            <w:vAlign w:val="bottom"/>
          </w:tcPr>
          <w:p>
            <w:pPr>
              <w:spacing w:after="0"/>
              <w:rPr>
                <w:sz w:val="1"/>
                <w:szCs w:val="1"/>
                <w:color w:val="auto"/>
              </w:rPr>
            </w:pPr>
          </w:p>
        </w:tc>
      </w:tr>
      <w:tr>
        <w:trPr>
          <w:trHeight w:val="162"/>
        </w:trPr>
        <w:tc>
          <w:tcPr>
            <w:tcW w:w="1080" w:type="dxa"/>
            <w:vAlign w:val="bottom"/>
            <w:vMerge w:val="continue"/>
            <w:shd w:val="clear" w:color="auto" w:fill="EBEBEB"/>
          </w:tcPr>
          <w:p>
            <w:pPr>
              <w:spacing w:after="0"/>
              <w:rPr>
                <w:sz w:val="14"/>
                <w:szCs w:val="14"/>
                <w:color w:val="auto"/>
              </w:rPr>
            </w:pPr>
          </w:p>
        </w:tc>
        <w:tc>
          <w:tcPr>
            <w:tcW w:w="6580" w:type="dxa"/>
            <w:vAlign w:val="bottom"/>
            <w:shd w:val="clear" w:color="auto" w:fill="EBEBEB"/>
          </w:tcPr>
          <w:p>
            <w:pPr>
              <w:spacing w:after="0"/>
              <w:rPr>
                <w:sz w:val="20"/>
                <w:szCs w:val="20"/>
                <w:color w:val="auto"/>
              </w:rPr>
            </w:pPr>
            <w:r>
              <w:rPr>
                <w:rFonts w:ascii="Arial" w:cs="Arial" w:eastAsia="Arial" w:hAnsi="Arial"/>
                <w:sz w:val="14"/>
                <w:szCs w:val="14"/>
                <w:color w:val="auto"/>
              </w:rPr>
              <w:t>respective successor is elected and qualified, or until his earlier death, resignation or removal.</w:t>
            </w:r>
          </w:p>
        </w:tc>
        <w:tc>
          <w:tcPr>
            <w:tcW w:w="0" w:type="dxa"/>
            <w:vAlign w:val="bottom"/>
          </w:tcPr>
          <w:p>
            <w:pPr>
              <w:spacing w:after="0"/>
              <w:rPr>
                <w:sz w:val="1"/>
                <w:szCs w:val="1"/>
                <w:color w:val="auto"/>
              </w:rPr>
            </w:pPr>
          </w:p>
        </w:tc>
      </w:tr>
      <w:tr>
        <w:trPr>
          <w:trHeight w:val="190"/>
        </w:trPr>
        <w:tc>
          <w:tcPr>
            <w:tcW w:w="1080" w:type="dxa"/>
            <w:vAlign w:val="bottom"/>
            <w:shd w:val="clear" w:color="auto" w:fill="EBEBEB"/>
          </w:tcPr>
          <w:p>
            <w:pPr>
              <w:spacing w:after="0"/>
              <w:rPr>
                <w:sz w:val="16"/>
                <w:szCs w:val="16"/>
                <w:color w:val="auto"/>
              </w:rPr>
            </w:pPr>
          </w:p>
        </w:tc>
        <w:tc>
          <w:tcPr>
            <w:tcW w:w="6580" w:type="dxa"/>
            <w:vAlign w:val="bottom"/>
            <w:shd w:val="clear" w:color="auto" w:fill="EBEBEB"/>
          </w:tcPr>
          <w:p>
            <w:pPr>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7"/>
        </w:trPr>
        <w:tc>
          <w:tcPr>
            <w:tcW w:w="1080" w:type="dxa"/>
            <w:vAlign w:val="bottom"/>
            <w:shd w:val="clear" w:color="auto" w:fill="EBEBEB"/>
          </w:tcPr>
          <w:p>
            <w:pPr>
              <w:spacing w:after="0"/>
              <w:rPr>
                <w:sz w:val="13"/>
                <w:szCs w:val="13"/>
                <w:color w:val="auto"/>
              </w:rPr>
            </w:pPr>
          </w:p>
        </w:tc>
        <w:tc>
          <w:tcPr>
            <w:tcW w:w="6580" w:type="dxa"/>
            <w:vAlign w:val="bottom"/>
            <w:shd w:val="clear" w:color="auto" w:fill="EBEBEB"/>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4869180"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69180" cy="497205"/>
                    </a:xfrm>
                    <a:prstGeom prst="rect">
                      <a:avLst/>
                    </a:prstGeom>
                    <a:noFill/>
                  </pic:spPr>
                </pic:pic>
              </a:graphicData>
            </a:graphic>
          </wp:anchor>
        </w:drawing>
      </w:r>
    </w:p>
    <w:p>
      <w:pPr>
        <w:spacing w:after="0" w:line="160" w:lineRule="exact"/>
        <w:rPr>
          <w:sz w:val="20"/>
          <w:szCs w:val="20"/>
          <w:color w:val="auto"/>
        </w:rPr>
      </w:pPr>
    </w:p>
    <w:p>
      <w:pPr>
        <w:ind w:left="1080" w:right="480" w:hanging="681"/>
        <w:spacing w:after="0" w:line="183" w:lineRule="auto"/>
        <w:tabs>
          <w:tab w:leader="none" w:pos="1080" w:val="left"/>
        </w:tabs>
        <w:numPr>
          <w:ilvl w:val="0"/>
          <w:numId w:val="1"/>
        </w:numPr>
        <w:rPr>
          <w:rFonts w:ascii="Times New Roman" w:cs="Times New Roman" w:eastAsia="Times New Roman" w:hAnsi="Times New Roman"/>
          <w:sz w:val="28"/>
          <w:szCs w:val="28"/>
          <w:color w:val="F8991D"/>
        </w:rPr>
      </w:pPr>
      <w:r>
        <w:rPr>
          <w:rFonts w:ascii="Arial" w:cs="Arial" w:eastAsia="Arial" w:hAnsi="Arial"/>
          <w:sz w:val="12"/>
          <w:szCs w:val="12"/>
          <w:color w:val="auto"/>
        </w:rPr>
        <w:t>To ratify the appointment of Ernst &amp; Young LLP as the Company’s independent registered public accounting firm for its fiscal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4869180" cy="480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69180" cy="480060"/>
                    </a:xfrm>
                    <a:prstGeom prst="rect">
                      <a:avLst/>
                    </a:prstGeom>
                    <a:noFill/>
                  </pic:spPr>
                </pic:pic>
              </a:graphicData>
            </a:graphic>
          </wp:anchor>
        </w:drawing>
      </w:r>
    </w:p>
    <w:p>
      <w:pPr>
        <w:spacing w:after="0" w:line="385" w:lineRule="exact"/>
        <w:rPr>
          <w:sz w:val="20"/>
          <w:szCs w:val="20"/>
          <w:color w:val="auto"/>
        </w:rPr>
      </w:pPr>
    </w:p>
    <w:p>
      <w:pPr>
        <w:ind w:left="1080" w:right="240" w:hanging="681"/>
        <w:spacing w:after="0" w:line="183" w:lineRule="auto"/>
        <w:tabs>
          <w:tab w:leader="none" w:pos="1080" w:val="left"/>
        </w:tabs>
        <w:numPr>
          <w:ilvl w:val="0"/>
          <w:numId w:val="2"/>
        </w:numPr>
        <w:rPr>
          <w:rFonts w:ascii="Times New Roman" w:cs="Times New Roman" w:eastAsia="Times New Roman" w:hAnsi="Times New Roman"/>
          <w:sz w:val="28"/>
          <w:szCs w:val="28"/>
          <w:color w:val="6CCAD0"/>
        </w:rPr>
      </w:pPr>
      <w:r>
        <w:rPr>
          <w:rFonts w:ascii="Arial" w:cs="Arial" w:eastAsia="Arial" w:hAnsi="Arial"/>
          <w:sz w:val="12"/>
          <w:szCs w:val="12"/>
          <w:color w:val="auto"/>
        </w:rPr>
        <w:t>To approve proposed amendments to our amended and restated certificate of incorporation to effect a reverse stock split and reduce the total number of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4869180"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69180" cy="497205"/>
                    </a:xfrm>
                    <a:prstGeom prst="rect">
                      <a:avLst/>
                    </a:prstGeom>
                    <a:noFill/>
                  </pic:spPr>
                </pic:pic>
              </a:graphicData>
            </a:graphic>
          </wp:anchor>
        </w:drawing>
      </w:r>
    </w:p>
    <w:p>
      <w:pPr>
        <w:spacing w:after="0" w:line="49" w:lineRule="exact"/>
        <w:rPr>
          <w:sz w:val="20"/>
          <w:szCs w:val="20"/>
          <w:color w:val="auto"/>
        </w:rPr>
      </w:pPr>
    </w:p>
    <w:p>
      <w:pPr>
        <w:ind w:left="1080" w:hanging="681"/>
        <w:spacing w:after="0"/>
        <w:tabs>
          <w:tab w:leader="none" w:pos="1080" w:val="left"/>
        </w:tabs>
        <w:numPr>
          <w:ilvl w:val="0"/>
          <w:numId w:val="3"/>
        </w:numPr>
        <w:rPr>
          <w:rFonts w:ascii="Times New Roman" w:cs="Times New Roman" w:eastAsia="Times New Roman" w:hAnsi="Times New Roman"/>
          <w:sz w:val="54"/>
          <w:szCs w:val="54"/>
          <w:color w:val="255993"/>
        </w:rPr>
      </w:pPr>
      <w:r>
        <w:rPr>
          <w:rFonts w:ascii="Arial" w:cs="Arial" w:eastAsia="Arial" w:hAnsi="Arial"/>
          <w:sz w:val="14"/>
          <w:szCs w:val="14"/>
          <w:color w:val="auto"/>
        </w:rPr>
        <w:t>To transact other business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48691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of Internet Availability of Proxy Materials (the “Notice of Internet Availability”).</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Notice of Internet Availability, containing instructions on how to access our proxy statement, notice of Annual Meeting, form of proxy and our annual report, is first being sent or given on or about April [•], 2025 to all stockholders entitled to vote at the Annual Meeting. The Notice of Internet Availability provides instructions on how to vote online or by telephone and includes instructions on how to receive a paper copy of proxy materials by mail. The proxy materials and our annual report can be accessed as of April [•], 2025 by visiting www.proxyvote.com. All you have to do is enter the control number located on your proxy card.</w:t>
      </w:r>
    </w:p>
    <w:p>
      <w:pPr>
        <w:spacing w:after="0" w:line="21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Only stockholders of record as of April 4, 2025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Athira Pharma, Inc., 18706 North Creek Parkway, Suite 104, Bothell, Washington 98011, Attention: Corporate Secretary.</w:t>
      </w:r>
    </w:p>
    <w:p>
      <w:pPr>
        <w:spacing w:after="0" w:line="2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If your shares of common stock are held in a brokerage account or by a broker, bank or other nominee (i.e., your shares are held beneficially in “street name”), you will receive a voting instruction form from the holder of record. You must provide voting instructions by completing the voting instruction form and returning it to your broker, bank or other nominee for your shares to be voted. We recommend that you instruct your broker, bank or other nominee to vote your shares using the voting instruction form. The availability of internet and telephone voting options will depend on the voting process of your broker, bank or other nominee.</w:t>
      </w:r>
    </w:p>
    <w:p>
      <w:pPr>
        <w:spacing w:after="0" w:line="19"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Whether or not you plan to attend the virtual Annual Meeting, we urge you to submit your proxy via the internet or telephone or by mail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81915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600" w:space="140"/>
            <w:col w:w="7660"/>
          </w:cols>
          <w:pgMar w:left="1240" w:top="114" w:right="12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4954905" cy="711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54905" cy="71120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Your Vote Is Important</w:t>
      </w:r>
    </w:p>
    <w:p>
      <w:pPr>
        <w:spacing w:after="0" w:line="177" w:lineRule="exact"/>
        <w:rPr>
          <w:sz w:val="20"/>
          <w:szCs w:val="20"/>
          <w:color w:val="auto"/>
        </w:rPr>
      </w:pPr>
    </w:p>
    <w:p>
      <w:pPr>
        <w:ind w:left="340" w:right="2259"/>
        <w:spacing w:after="0" w:line="285" w:lineRule="auto"/>
        <w:rPr>
          <w:sz w:val="20"/>
          <w:szCs w:val="20"/>
          <w:color w:val="auto"/>
        </w:rPr>
      </w:pPr>
      <w:r>
        <w:rPr>
          <w:rFonts w:ascii="Arial" w:cs="Arial" w:eastAsia="Arial" w:hAnsi="Arial"/>
          <w:sz w:val="14"/>
          <w:szCs w:val="14"/>
          <w:color w:val="255993"/>
        </w:rPr>
        <w:t>Whether or not you plan to attend the virtual Annual Meeting, we urge you to submit your proxy or voting instructions via the Internet, telephone or mail as soon as possible.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Mark J. Litton, Ph.D.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93" w:lineRule="auto"/>
        <w:rPr>
          <w:sz w:val="20"/>
          <w:szCs w:val="20"/>
          <w:color w:val="auto"/>
        </w:rPr>
      </w:pPr>
      <w:r>
        <w:rPr>
          <w:rFonts w:ascii="Arial" w:cs="Arial" w:eastAsia="Arial" w:hAnsi="Arial"/>
          <w:sz w:val="16"/>
          <w:szCs w:val="16"/>
          <w:color w:val="auto"/>
        </w:rPr>
        <w:t>Athira Pharma, Inc.</w:t>
      </w:r>
    </w:p>
    <w:p>
      <w:pPr>
        <w:spacing w:after="0" w:line="212" w:lineRule="auto"/>
        <w:rPr>
          <w:sz w:val="20"/>
          <w:szCs w:val="20"/>
          <w:color w:val="auto"/>
        </w:rPr>
      </w:pPr>
      <w:r>
        <w:rPr>
          <w:rFonts w:ascii="Arial" w:cs="Arial" w:eastAsia="Arial" w:hAnsi="Arial"/>
          <w:sz w:val="16"/>
          <w:szCs w:val="16"/>
          <w:color w:val="auto"/>
        </w:rPr>
        <w:t>Bothell, Washington</w:t>
      </w:r>
    </w:p>
    <w:p>
      <w:pPr>
        <w:spacing w:after="0"/>
        <w:rPr>
          <w:sz w:val="20"/>
          <w:szCs w:val="20"/>
          <w:color w:val="auto"/>
        </w:rPr>
      </w:pPr>
      <w:r>
        <w:rPr>
          <w:rFonts w:ascii="Arial" w:cs="Arial" w:eastAsia="Arial" w:hAnsi="Arial"/>
          <w:sz w:val="16"/>
          <w:szCs w:val="16"/>
          <w:color w:val="auto"/>
        </w:rPr>
        <w:t>April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5966460" cy="131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6460" cy="1311910"/>
                    </a:xfrm>
                    <a:prstGeom prst="rect">
                      <a:avLst/>
                    </a:prstGeom>
                    <a:noFill/>
                  </pic:spPr>
                </pic:pic>
              </a:graphicData>
            </a:graphic>
          </wp:anchor>
        </w:drawing>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to be held on May 29, 2025.</w:t>
      </w:r>
    </w:p>
    <w:p>
      <w:pPr>
        <w:spacing w:after="0" w:line="199" w:lineRule="exact"/>
        <w:rPr>
          <w:sz w:val="20"/>
          <w:szCs w:val="20"/>
          <w:color w:val="auto"/>
        </w:rPr>
      </w:pPr>
    </w:p>
    <w:p>
      <w:pPr>
        <w:ind w:left="340" w:right="179"/>
        <w:spacing w:after="0" w:line="256" w:lineRule="auto"/>
        <w:rPr>
          <w:sz w:val="20"/>
          <w:szCs w:val="20"/>
          <w:color w:val="auto"/>
        </w:rPr>
      </w:pPr>
      <w:r>
        <w:rPr>
          <w:rFonts w:ascii="Arial" w:cs="Arial" w:eastAsia="Arial" w:hAnsi="Arial"/>
          <w:sz w:val="14"/>
          <w:szCs w:val="14"/>
          <w:color w:val="255993"/>
        </w:rPr>
        <w:t>The proxy statement, the accompanying proxy card, and the Annual Report on Form 10-K for the fiscal year ended December 31, 2024 are available free of charge at www.proxyvote.com. Information on this website, other than this proxy statement, is not a part of this proxy statement. Please sign, date and promptly return the proxy card, or submit your proxy and voting instructions over the Internet or by telephone by following the instructions on the proxy card, so that you may be represented at the Annual Meeting.</w:t>
      </w:r>
    </w:p>
    <w:p>
      <w:pPr>
        <w:spacing w:after="0" w:line="218" w:lineRule="exact"/>
        <w:rPr>
          <w:sz w:val="20"/>
          <w:szCs w:val="20"/>
          <w:color w:val="auto"/>
        </w:rPr>
      </w:pPr>
    </w:p>
    <w:p>
      <w:pPr>
        <w:ind w:left="340" w:right="219"/>
        <w:spacing w:after="0" w:line="285" w:lineRule="auto"/>
        <w:rPr>
          <w:sz w:val="20"/>
          <w:szCs w:val="20"/>
          <w:color w:val="auto"/>
        </w:rPr>
      </w:pPr>
      <w:r>
        <w:rPr>
          <w:rFonts w:ascii="Arial" w:cs="Arial" w:eastAsia="Arial" w:hAnsi="Arial"/>
          <w:sz w:val="14"/>
          <w:szCs w:val="14"/>
          <w:color w:val="255993"/>
        </w:rPr>
        <w:t>The accompanying proxy statement provides a detailed description of the business to be conducted at the Annual Meeting. We urge you to read the accompanying proxy statement, including the appendices, carefully and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208915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5" w:name="page6"/>
    <w:bookmarkEnd w:id="5"/>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F8991D"/>
        </w:rPr>
        <w:t>2025 PROXY STATEMENT</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58"/>
          <w:szCs w:val="58"/>
          <w:color w:val="255993"/>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vMerge w:val="restart"/>
            <w:shd w:val="clear" w:color="auto" w:fill="EBEBEB"/>
          </w:tcPr>
          <w:p>
            <w:pPr>
              <w:spacing w:after="0"/>
              <w:rPr>
                <w:sz w:val="24"/>
                <w:szCs w:val="24"/>
                <w:color w:val="auto"/>
              </w:rPr>
            </w:pPr>
          </w:p>
        </w:tc>
        <w:tc>
          <w:tcPr>
            <w:tcW w:w="20" w:type="dxa"/>
            <w:vAlign w:val="bottom"/>
            <w:tcBorders>
              <w:bottom w:val="single" w:sz="8" w:color="EBEBEB"/>
            </w:tcBorders>
            <w:vMerge w:val="restart"/>
            <w:shd w:val="clear" w:color="auto" w:fill="EBEBEB"/>
          </w:tcPr>
          <w:p>
            <w:pPr>
              <w:spacing w:after="0"/>
              <w:rPr>
                <w:sz w:val="24"/>
                <w:szCs w:val="24"/>
                <w:color w:val="auto"/>
              </w:rPr>
            </w:pPr>
          </w:p>
        </w:tc>
        <w:tc>
          <w:tcPr>
            <w:tcW w:w="2440" w:type="dxa"/>
            <w:vAlign w:val="bottom"/>
            <w:tcBorders>
              <w:bottom w:val="single" w:sz="8" w:color="0000EE"/>
            </w:tcBorders>
            <w:gridSpan w:val="15"/>
            <w:shd w:val="clear" w:color="auto" w:fill="EBEBEB"/>
          </w:tcPr>
          <w:p>
            <w:pPr>
              <w:spacing w:after="0"/>
              <w:rPr>
                <w:sz w:val="20"/>
                <w:szCs w:val="20"/>
                <w:color w:val="auto"/>
              </w:rPr>
            </w:pPr>
            <w:r>
              <w:rPr>
                <w:rFonts w:ascii="Arial" w:cs="Arial" w:eastAsia="Arial" w:hAnsi="Arial"/>
                <w:sz w:val="16"/>
                <w:szCs w:val="16"/>
                <w:b w:val="1"/>
                <w:bCs w:val="1"/>
                <w:color w:val="0000EE"/>
                <w:w w:val="98"/>
              </w:rPr>
              <w:t>PROXY STATEMENT SUMMARY</w:t>
            </w:r>
          </w:p>
        </w:tc>
        <w:tc>
          <w:tcPr>
            <w:tcW w:w="120" w:type="dxa"/>
            <w:vAlign w:val="bottom"/>
            <w:tcBorders>
              <w:bottom w:val="single" w:sz="8" w:color="EBEBEB"/>
            </w:tcBorders>
            <w:vMerge w:val="restart"/>
            <w:shd w:val="clear" w:color="auto" w:fill="EBEBEB"/>
          </w:tcPr>
          <w:p>
            <w:pPr>
              <w:spacing w:after="0"/>
              <w:rPr>
                <w:sz w:val="24"/>
                <w:szCs w:val="24"/>
                <w:color w:val="auto"/>
              </w:rPr>
            </w:pPr>
          </w:p>
        </w:tc>
        <w:tc>
          <w:tcPr>
            <w:tcW w:w="20" w:type="dxa"/>
            <w:vAlign w:val="bottom"/>
            <w:tcBorders>
              <w:bottom w:val="single" w:sz="8" w:color="EBEBEB"/>
            </w:tcBorders>
            <w:vMerge w:val="restart"/>
            <w:shd w:val="clear" w:color="auto" w:fill="EBEBEB"/>
          </w:tcPr>
          <w:p>
            <w:pPr>
              <w:spacing w:after="0"/>
              <w:rPr>
                <w:sz w:val="24"/>
                <w:szCs w:val="24"/>
                <w:color w:val="auto"/>
              </w:rPr>
            </w:pPr>
          </w:p>
        </w:tc>
        <w:tc>
          <w:tcPr>
            <w:tcW w:w="140" w:type="dxa"/>
            <w:vAlign w:val="bottom"/>
            <w:tcBorders>
              <w:bottom w:val="single" w:sz="8" w:color="EBEBEB"/>
            </w:tcBorders>
            <w:vMerge w:val="restart"/>
            <w:shd w:val="clear" w:color="auto" w:fill="EBEBEB"/>
          </w:tcPr>
          <w:p>
            <w:pPr>
              <w:spacing w:after="0"/>
              <w:rPr>
                <w:sz w:val="24"/>
                <w:szCs w:val="24"/>
                <w:color w:val="auto"/>
              </w:rPr>
            </w:pPr>
          </w:p>
        </w:tc>
        <w:tc>
          <w:tcPr>
            <w:tcW w:w="240" w:type="dxa"/>
            <w:vAlign w:val="bottom"/>
            <w:tcBorders>
              <w:bottom w:val="single" w:sz="8" w:color="EBEBEB"/>
            </w:tcBorders>
            <w:vMerge w:val="restart"/>
            <w:shd w:val="clear" w:color="auto" w:fill="EBEBEB"/>
          </w:tcPr>
          <w:p>
            <w:pPr>
              <w:spacing w:after="0"/>
              <w:rPr>
                <w:sz w:val="24"/>
                <w:szCs w:val="24"/>
                <w:color w:val="auto"/>
              </w:rPr>
            </w:pPr>
          </w:p>
        </w:tc>
        <w:tc>
          <w:tcPr>
            <w:tcW w:w="220" w:type="dxa"/>
            <w:vAlign w:val="bottom"/>
            <w:tcBorders>
              <w:bottom w:val="single" w:sz="8" w:color="EBEBEB"/>
            </w:tcBorders>
            <w:vMerge w:val="restart"/>
            <w:shd w:val="clear" w:color="auto" w:fill="EBEBEB"/>
          </w:tcPr>
          <w:p>
            <w:pPr>
              <w:spacing w:after="0"/>
              <w:rPr>
                <w:sz w:val="24"/>
                <w:szCs w:val="24"/>
                <w:color w:val="auto"/>
              </w:rPr>
            </w:pPr>
          </w:p>
        </w:tc>
        <w:tc>
          <w:tcPr>
            <w:tcW w:w="20" w:type="dxa"/>
            <w:vAlign w:val="bottom"/>
            <w:tcBorders>
              <w:bottom w:val="single" w:sz="8" w:color="EBEBEB"/>
            </w:tcBorders>
            <w:vMerge w:val="restart"/>
            <w:shd w:val="clear" w:color="auto" w:fill="EBEBEB"/>
          </w:tcPr>
          <w:p>
            <w:pPr>
              <w:spacing w:after="0"/>
              <w:rPr>
                <w:sz w:val="24"/>
                <w:szCs w:val="24"/>
                <w:color w:val="auto"/>
              </w:rPr>
            </w:pPr>
          </w:p>
        </w:tc>
        <w:tc>
          <w:tcPr>
            <w:tcW w:w="20" w:type="dxa"/>
            <w:vAlign w:val="bottom"/>
            <w:tcBorders>
              <w:bottom w:val="single" w:sz="8" w:color="EBEBEB"/>
            </w:tcBorders>
            <w:vMerge w:val="restart"/>
            <w:shd w:val="clear" w:color="auto" w:fill="EBEBEB"/>
          </w:tcPr>
          <w:p>
            <w:pPr>
              <w:spacing w:after="0"/>
              <w:rPr>
                <w:sz w:val="24"/>
                <w:szCs w:val="24"/>
                <w:color w:val="auto"/>
              </w:rPr>
            </w:pPr>
          </w:p>
        </w:tc>
        <w:tc>
          <w:tcPr>
            <w:tcW w:w="1040" w:type="dxa"/>
            <w:vAlign w:val="bottom"/>
            <w:tcBorders>
              <w:bottom w:val="single" w:sz="8" w:color="EBEBEB"/>
            </w:tcBorders>
            <w:vMerge w:val="restart"/>
            <w:shd w:val="clear" w:color="auto" w:fill="EBEBEB"/>
          </w:tcPr>
          <w:p>
            <w:pPr>
              <w:spacing w:after="0"/>
              <w:rPr>
                <w:sz w:val="24"/>
                <w:szCs w:val="24"/>
                <w:color w:val="auto"/>
              </w:rPr>
            </w:pPr>
          </w:p>
        </w:tc>
        <w:tc>
          <w:tcPr>
            <w:tcW w:w="40" w:type="dxa"/>
            <w:vAlign w:val="bottom"/>
            <w:tcBorders>
              <w:bottom w:val="single" w:sz="8" w:color="EBEBEB"/>
            </w:tcBorders>
            <w:vMerge w:val="restart"/>
            <w:shd w:val="clear" w:color="auto" w:fill="EBEBEB"/>
          </w:tcPr>
          <w:p>
            <w:pPr>
              <w:spacing w:after="0"/>
              <w:rPr>
                <w:sz w:val="24"/>
                <w:szCs w:val="24"/>
                <w:color w:val="auto"/>
              </w:rPr>
            </w:pPr>
          </w:p>
        </w:tc>
        <w:tc>
          <w:tcPr>
            <w:tcW w:w="120" w:type="dxa"/>
            <w:vAlign w:val="bottom"/>
            <w:tcBorders>
              <w:bottom w:val="single" w:sz="8" w:color="EBEBEB"/>
            </w:tcBorders>
            <w:vMerge w:val="restart"/>
            <w:shd w:val="clear" w:color="auto" w:fill="EBEBEB"/>
          </w:tcPr>
          <w:p>
            <w:pPr>
              <w:spacing w:after="0"/>
              <w:rPr>
                <w:sz w:val="24"/>
                <w:szCs w:val="24"/>
                <w:color w:val="auto"/>
              </w:rPr>
            </w:pPr>
          </w:p>
        </w:tc>
        <w:tc>
          <w:tcPr>
            <w:tcW w:w="80" w:type="dxa"/>
            <w:vAlign w:val="bottom"/>
            <w:tcBorders>
              <w:bottom w:val="single" w:sz="8" w:color="EBEBEB"/>
            </w:tcBorders>
            <w:vMerge w:val="restart"/>
            <w:shd w:val="clear" w:color="auto" w:fill="EBEBEB"/>
          </w:tcPr>
          <w:p>
            <w:pPr>
              <w:spacing w:after="0"/>
              <w:rPr>
                <w:sz w:val="24"/>
                <w:szCs w:val="24"/>
                <w:color w:val="auto"/>
              </w:rPr>
            </w:pPr>
          </w:p>
        </w:tc>
        <w:tc>
          <w:tcPr>
            <w:tcW w:w="380" w:type="dxa"/>
            <w:vAlign w:val="bottom"/>
            <w:tcBorders>
              <w:bottom w:val="single" w:sz="8" w:color="EBEBEB"/>
            </w:tcBorders>
            <w:vMerge w:val="restart"/>
            <w:shd w:val="clear" w:color="auto" w:fill="EBEBEB"/>
          </w:tcPr>
          <w:p>
            <w:pPr>
              <w:spacing w:after="0"/>
              <w:rPr>
                <w:sz w:val="24"/>
                <w:szCs w:val="24"/>
                <w:color w:val="auto"/>
              </w:rPr>
            </w:pPr>
          </w:p>
        </w:tc>
        <w:tc>
          <w:tcPr>
            <w:tcW w:w="700" w:type="dxa"/>
            <w:vAlign w:val="bottom"/>
            <w:tcBorders>
              <w:bottom w:val="single" w:sz="8" w:color="EBEBEB"/>
            </w:tcBorders>
            <w:vMerge w:val="restart"/>
            <w:shd w:val="clear" w:color="auto" w:fill="EBEBEB"/>
          </w:tcPr>
          <w:p>
            <w:pPr>
              <w:spacing w:after="0"/>
              <w:rPr>
                <w:sz w:val="24"/>
                <w:szCs w:val="24"/>
                <w:color w:val="auto"/>
              </w:rPr>
            </w:pPr>
          </w:p>
        </w:tc>
        <w:tc>
          <w:tcPr>
            <w:tcW w:w="1520" w:type="dxa"/>
            <w:vAlign w:val="bottom"/>
            <w:tcBorders>
              <w:bottom w:val="single" w:sz="8" w:color="EBEBEB"/>
            </w:tcBorders>
            <w:vMerge w:val="restart"/>
            <w:shd w:val="clear" w:color="auto" w:fill="EBEBEB"/>
          </w:tcPr>
          <w:p>
            <w:pPr>
              <w:spacing w:after="0"/>
              <w:rPr>
                <w:sz w:val="24"/>
                <w:szCs w:val="24"/>
                <w:color w:val="auto"/>
              </w:rPr>
            </w:pPr>
          </w:p>
        </w:tc>
        <w:tc>
          <w:tcPr>
            <w:tcW w:w="1340" w:type="dxa"/>
            <w:vAlign w:val="bottom"/>
            <w:tcBorders>
              <w:bottom w:val="single" w:sz="8" w:color="EBEBEB"/>
            </w:tcBorders>
            <w:vMerge w:val="restart"/>
            <w:shd w:val="clear" w:color="auto" w:fill="EBEBEB"/>
          </w:tcPr>
          <w:p>
            <w:pPr>
              <w:spacing w:after="0"/>
              <w:rPr>
                <w:sz w:val="24"/>
                <w:szCs w:val="24"/>
                <w:color w:val="auto"/>
              </w:rPr>
            </w:pPr>
          </w:p>
        </w:tc>
        <w:tc>
          <w:tcPr>
            <w:tcW w:w="200" w:type="dxa"/>
            <w:vAlign w:val="bottom"/>
            <w:tcBorders>
              <w:bottom w:val="single" w:sz="8" w:color="EBEBEB"/>
            </w:tcBorders>
            <w:vMerge w:val="restart"/>
            <w:shd w:val="clear" w:color="auto" w:fill="EBEBEB"/>
          </w:tcPr>
          <w:p>
            <w:pPr>
              <w:spacing w:after="0"/>
              <w:rPr>
                <w:sz w:val="24"/>
                <w:szCs w:val="24"/>
                <w:color w:val="auto"/>
              </w:rPr>
            </w:pPr>
          </w:p>
        </w:tc>
        <w:tc>
          <w:tcPr>
            <w:tcW w:w="560" w:type="dxa"/>
            <w:vAlign w:val="bottom"/>
            <w:tcBorders>
              <w:bottom w:val="single" w:sz="8" w:color="EBEBEB"/>
            </w:tcBorders>
            <w:gridSpan w:val="4"/>
            <w:vMerge w:val="restart"/>
            <w:shd w:val="clear" w:color="auto" w:fill="EBEBEB"/>
          </w:tcPr>
          <w:p>
            <w:pPr>
              <w:jc w:val="right"/>
              <w:ind w:right="80"/>
              <w:spacing w:after="0"/>
              <w:rPr>
                <w:sz w:val="20"/>
                <w:szCs w:val="20"/>
                <w:color w:val="auto"/>
              </w:rPr>
            </w:pPr>
            <w:r>
              <w:rPr>
                <w:rFonts w:ascii="Times New Roman" w:cs="Times New Roman" w:eastAsia="Times New Roman" w:hAnsi="Times New Roman"/>
                <w:sz w:val="29"/>
                <w:szCs w:val="29"/>
                <w:color w:val="0000EE"/>
              </w:rPr>
              <w:t>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120" w:type="dxa"/>
            <w:vAlign w:val="bottom"/>
            <w:shd w:val="clear" w:color="auto" w:fill="EBEBEB"/>
          </w:tcPr>
          <w:p>
            <w:pPr>
              <w:spacing w:after="0"/>
              <w:rPr>
                <w:sz w:val="3"/>
                <w:szCs w:val="3"/>
                <w:color w:val="auto"/>
              </w:rPr>
            </w:pPr>
          </w:p>
        </w:tc>
        <w:tc>
          <w:tcPr>
            <w:tcW w:w="60" w:type="dxa"/>
            <w:vAlign w:val="bottom"/>
            <w:vMerge w:val="continue"/>
            <w:shd w:val="clear" w:color="auto" w:fill="EBEBEB"/>
          </w:tcPr>
          <w:p>
            <w:pPr>
              <w:spacing w:after="0"/>
              <w:rPr>
                <w:sz w:val="3"/>
                <w:szCs w:val="3"/>
                <w:color w:val="auto"/>
              </w:rPr>
            </w:pPr>
          </w:p>
        </w:tc>
        <w:tc>
          <w:tcPr>
            <w:tcW w:w="20" w:type="dxa"/>
            <w:vAlign w:val="bottom"/>
            <w:vMerge w:val="continue"/>
            <w:shd w:val="clear" w:color="auto" w:fill="EBEBEB"/>
          </w:tcPr>
          <w:p>
            <w:pPr>
              <w:spacing w:after="0"/>
              <w:rPr>
                <w:sz w:val="3"/>
                <w:szCs w:val="3"/>
                <w:color w:val="auto"/>
              </w:rPr>
            </w:pPr>
          </w:p>
        </w:tc>
        <w:tc>
          <w:tcPr>
            <w:tcW w:w="160" w:type="dxa"/>
            <w:vAlign w:val="bottom"/>
            <w:shd w:val="clear" w:color="auto" w:fill="EBEBEB"/>
          </w:tcPr>
          <w:p>
            <w:pPr>
              <w:spacing w:after="0"/>
              <w:rPr>
                <w:sz w:val="3"/>
                <w:szCs w:val="3"/>
                <w:color w:val="auto"/>
              </w:rPr>
            </w:pPr>
          </w:p>
        </w:tc>
        <w:tc>
          <w:tcPr>
            <w:tcW w:w="220" w:type="dxa"/>
            <w:vAlign w:val="bottom"/>
            <w:shd w:val="clear" w:color="auto" w:fill="EBEBEB"/>
          </w:tcPr>
          <w:p>
            <w:pPr>
              <w:spacing w:after="0"/>
              <w:rPr>
                <w:sz w:val="3"/>
                <w:szCs w:val="3"/>
                <w:color w:val="auto"/>
              </w:rPr>
            </w:pPr>
          </w:p>
        </w:tc>
        <w:tc>
          <w:tcPr>
            <w:tcW w:w="420" w:type="dxa"/>
            <w:vAlign w:val="bottom"/>
            <w:shd w:val="clear" w:color="auto" w:fill="EBEBEB"/>
          </w:tcPr>
          <w:p>
            <w:pPr>
              <w:spacing w:after="0"/>
              <w:rPr>
                <w:sz w:val="3"/>
                <w:szCs w:val="3"/>
                <w:color w:val="auto"/>
              </w:rPr>
            </w:pPr>
          </w:p>
        </w:tc>
        <w:tc>
          <w:tcPr>
            <w:tcW w:w="260" w:type="dxa"/>
            <w:vAlign w:val="bottom"/>
            <w:shd w:val="clear" w:color="auto" w:fill="EBEBEB"/>
          </w:tcPr>
          <w:p>
            <w:pPr>
              <w:spacing w:after="0"/>
              <w:rPr>
                <w:sz w:val="3"/>
                <w:szCs w:val="3"/>
                <w:color w:val="auto"/>
              </w:rPr>
            </w:pPr>
          </w:p>
        </w:tc>
        <w:tc>
          <w:tcPr>
            <w:tcW w:w="80" w:type="dxa"/>
            <w:vAlign w:val="bottom"/>
            <w:shd w:val="clear" w:color="auto" w:fill="EBEBEB"/>
          </w:tcPr>
          <w:p>
            <w:pPr>
              <w:spacing w:after="0"/>
              <w:rPr>
                <w:sz w:val="3"/>
                <w:szCs w:val="3"/>
                <w:color w:val="auto"/>
              </w:rPr>
            </w:pPr>
          </w:p>
        </w:tc>
        <w:tc>
          <w:tcPr>
            <w:tcW w:w="200" w:type="dxa"/>
            <w:vAlign w:val="bottom"/>
            <w:shd w:val="clear" w:color="auto" w:fill="EBEBEB"/>
          </w:tcPr>
          <w:p>
            <w:pPr>
              <w:spacing w:after="0"/>
              <w:rPr>
                <w:sz w:val="3"/>
                <w:szCs w:val="3"/>
                <w:color w:val="auto"/>
              </w:rPr>
            </w:pPr>
          </w:p>
        </w:tc>
        <w:tc>
          <w:tcPr>
            <w:tcW w:w="120" w:type="dxa"/>
            <w:vAlign w:val="bottom"/>
            <w:shd w:val="clear" w:color="auto" w:fill="EBEBEB"/>
          </w:tcPr>
          <w:p>
            <w:pPr>
              <w:spacing w:after="0"/>
              <w:rPr>
                <w:sz w:val="3"/>
                <w:szCs w:val="3"/>
                <w:color w:val="auto"/>
              </w:rPr>
            </w:pPr>
          </w:p>
        </w:tc>
        <w:tc>
          <w:tcPr>
            <w:tcW w:w="80" w:type="dxa"/>
            <w:vAlign w:val="bottom"/>
            <w:shd w:val="clear" w:color="auto" w:fill="EBEBEB"/>
          </w:tcPr>
          <w:p>
            <w:pPr>
              <w:spacing w:after="0"/>
              <w:rPr>
                <w:sz w:val="3"/>
                <w:szCs w:val="3"/>
                <w:color w:val="auto"/>
              </w:rPr>
            </w:pPr>
          </w:p>
        </w:tc>
        <w:tc>
          <w:tcPr>
            <w:tcW w:w="20" w:type="dxa"/>
            <w:vAlign w:val="bottom"/>
            <w:shd w:val="clear" w:color="auto" w:fill="EBEBEB"/>
          </w:tcPr>
          <w:p>
            <w:pPr>
              <w:spacing w:after="0"/>
              <w:rPr>
                <w:sz w:val="3"/>
                <w:szCs w:val="3"/>
                <w:color w:val="auto"/>
              </w:rPr>
            </w:pPr>
          </w:p>
        </w:tc>
        <w:tc>
          <w:tcPr>
            <w:tcW w:w="20" w:type="dxa"/>
            <w:vAlign w:val="bottom"/>
            <w:shd w:val="clear" w:color="auto" w:fill="EBEBEB"/>
          </w:tcPr>
          <w:p>
            <w:pPr>
              <w:spacing w:after="0"/>
              <w:rPr>
                <w:sz w:val="3"/>
                <w:szCs w:val="3"/>
                <w:color w:val="auto"/>
              </w:rPr>
            </w:pPr>
          </w:p>
        </w:tc>
        <w:tc>
          <w:tcPr>
            <w:tcW w:w="40" w:type="dxa"/>
            <w:vAlign w:val="bottom"/>
            <w:shd w:val="clear" w:color="auto" w:fill="EBEBEB"/>
          </w:tcPr>
          <w:p>
            <w:pPr>
              <w:spacing w:after="0"/>
              <w:rPr>
                <w:sz w:val="3"/>
                <w:szCs w:val="3"/>
                <w:color w:val="auto"/>
              </w:rPr>
            </w:pPr>
          </w:p>
        </w:tc>
        <w:tc>
          <w:tcPr>
            <w:tcW w:w="20" w:type="dxa"/>
            <w:vAlign w:val="bottom"/>
            <w:shd w:val="clear" w:color="auto" w:fill="EBEBEB"/>
          </w:tcPr>
          <w:p>
            <w:pPr>
              <w:spacing w:after="0"/>
              <w:rPr>
                <w:sz w:val="3"/>
                <w:szCs w:val="3"/>
                <w:color w:val="auto"/>
              </w:rPr>
            </w:pPr>
          </w:p>
        </w:tc>
        <w:tc>
          <w:tcPr>
            <w:tcW w:w="60" w:type="dxa"/>
            <w:vAlign w:val="bottom"/>
            <w:shd w:val="clear" w:color="auto" w:fill="EBEBEB"/>
          </w:tcPr>
          <w:p>
            <w:pPr>
              <w:spacing w:after="0"/>
              <w:rPr>
                <w:sz w:val="3"/>
                <w:szCs w:val="3"/>
                <w:color w:val="auto"/>
              </w:rPr>
            </w:pPr>
          </w:p>
        </w:tc>
        <w:tc>
          <w:tcPr>
            <w:tcW w:w="220" w:type="dxa"/>
            <w:vAlign w:val="bottom"/>
            <w:shd w:val="clear" w:color="auto" w:fill="EBEBEB"/>
          </w:tcPr>
          <w:p>
            <w:pPr>
              <w:spacing w:after="0"/>
              <w:rPr>
                <w:sz w:val="3"/>
                <w:szCs w:val="3"/>
                <w:color w:val="auto"/>
              </w:rPr>
            </w:pPr>
          </w:p>
        </w:tc>
        <w:tc>
          <w:tcPr>
            <w:tcW w:w="520" w:type="dxa"/>
            <w:vAlign w:val="bottom"/>
            <w:shd w:val="clear" w:color="auto" w:fill="EBEBEB"/>
          </w:tcPr>
          <w:p>
            <w:pPr>
              <w:spacing w:after="0"/>
              <w:rPr>
                <w:sz w:val="3"/>
                <w:szCs w:val="3"/>
                <w:color w:val="auto"/>
              </w:rPr>
            </w:pPr>
          </w:p>
        </w:tc>
        <w:tc>
          <w:tcPr>
            <w:tcW w:w="120" w:type="dxa"/>
            <w:vAlign w:val="bottom"/>
            <w:vMerge w:val="continue"/>
            <w:shd w:val="clear" w:color="auto" w:fill="EBEBEB"/>
          </w:tcPr>
          <w:p>
            <w:pPr>
              <w:spacing w:after="0"/>
              <w:rPr>
                <w:sz w:val="3"/>
                <w:szCs w:val="3"/>
                <w:color w:val="auto"/>
              </w:rPr>
            </w:pPr>
          </w:p>
        </w:tc>
        <w:tc>
          <w:tcPr>
            <w:tcW w:w="20" w:type="dxa"/>
            <w:vAlign w:val="bottom"/>
            <w:vMerge w:val="continue"/>
            <w:shd w:val="clear" w:color="auto" w:fill="EBEBEB"/>
          </w:tcPr>
          <w:p>
            <w:pPr>
              <w:spacing w:after="0"/>
              <w:rPr>
                <w:sz w:val="3"/>
                <w:szCs w:val="3"/>
                <w:color w:val="auto"/>
              </w:rPr>
            </w:pPr>
          </w:p>
        </w:tc>
        <w:tc>
          <w:tcPr>
            <w:tcW w:w="140" w:type="dxa"/>
            <w:vAlign w:val="bottom"/>
            <w:vMerge w:val="continue"/>
            <w:shd w:val="clear" w:color="auto" w:fill="EBEBEB"/>
          </w:tcPr>
          <w:p>
            <w:pPr>
              <w:spacing w:after="0"/>
              <w:rPr>
                <w:sz w:val="3"/>
                <w:szCs w:val="3"/>
                <w:color w:val="auto"/>
              </w:rPr>
            </w:pPr>
          </w:p>
        </w:tc>
        <w:tc>
          <w:tcPr>
            <w:tcW w:w="240" w:type="dxa"/>
            <w:vAlign w:val="bottom"/>
            <w:vMerge w:val="continue"/>
            <w:shd w:val="clear" w:color="auto" w:fill="EBEBEB"/>
          </w:tcPr>
          <w:p>
            <w:pPr>
              <w:spacing w:after="0"/>
              <w:rPr>
                <w:sz w:val="3"/>
                <w:szCs w:val="3"/>
                <w:color w:val="auto"/>
              </w:rPr>
            </w:pPr>
          </w:p>
        </w:tc>
        <w:tc>
          <w:tcPr>
            <w:tcW w:w="220" w:type="dxa"/>
            <w:vAlign w:val="bottom"/>
            <w:vMerge w:val="continue"/>
            <w:shd w:val="clear" w:color="auto" w:fill="EBEBEB"/>
          </w:tcPr>
          <w:p>
            <w:pPr>
              <w:spacing w:after="0"/>
              <w:rPr>
                <w:sz w:val="3"/>
                <w:szCs w:val="3"/>
                <w:color w:val="auto"/>
              </w:rPr>
            </w:pPr>
          </w:p>
        </w:tc>
        <w:tc>
          <w:tcPr>
            <w:tcW w:w="20" w:type="dxa"/>
            <w:vAlign w:val="bottom"/>
            <w:vMerge w:val="continue"/>
            <w:shd w:val="clear" w:color="auto" w:fill="EBEBEB"/>
          </w:tcPr>
          <w:p>
            <w:pPr>
              <w:spacing w:after="0"/>
              <w:rPr>
                <w:sz w:val="3"/>
                <w:szCs w:val="3"/>
                <w:color w:val="auto"/>
              </w:rPr>
            </w:pPr>
          </w:p>
        </w:tc>
        <w:tc>
          <w:tcPr>
            <w:tcW w:w="20" w:type="dxa"/>
            <w:vAlign w:val="bottom"/>
            <w:vMerge w:val="continue"/>
            <w:shd w:val="clear" w:color="auto" w:fill="EBEBEB"/>
          </w:tcPr>
          <w:p>
            <w:pPr>
              <w:spacing w:after="0"/>
              <w:rPr>
                <w:sz w:val="3"/>
                <w:szCs w:val="3"/>
                <w:color w:val="auto"/>
              </w:rPr>
            </w:pPr>
          </w:p>
        </w:tc>
        <w:tc>
          <w:tcPr>
            <w:tcW w:w="1040" w:type="dxa"/>
            <w:vAlign w:val="bottom"/>
            <w:vMerge w:val="continue"/>
            <w:shd w:val="clear" w:color="auto" w:fill="EBEBEB"/>
          </w:tcPr>
          <w:p>
            <w:pPr>
              <w:spacing w:after="0"/>
              <w:rPr>
                <w:sz w:val="3"/>
                <w:szCs w:val="3"/>
                <w:color w:val="auto"/>
              </w:rPr>
            </w:pPr>
          </w:p>
        </w:tc>
        <w:tc>
          <w:tcPr>
            <w:tcW w:w="40" w:type="dxa"/>
            <w:vAlign w:val="bottom"/>
            <w:vMerge w:val="continue"/>
            <w:shd w:val="clear" w:color="auto" w:fill="EBEBEB"/>
          </w:tcPr>
          <w:p>
            <w:pPr>
              <w:spacing w:after="0"/>
              <w:rPr>
                <w:sz w:val="3"/>
                <w:szCs w:val="3"/>
                <w:color w:val="auto"/>
              </w:rPr>
            </w:pPr>
          </w:p>
        </w:tc>
        <w:tc>
          <w:tcPr>
            <w:tcW w:w="120" w:type="dxa"/>
            <w:vAlign w:val="bottom"/>
            <w:vMerge w:val="continue"/>
            <w:shd w:val="clear" w:color="auto" w:fill="EBEBEB"/>
          </w:tcPr>
          <w:p>
            <w:pPr>
              <w:spacing w:after="0"/>
              <w:rPr>
                <w:sz w:val="3"/>
                <w:szCs w:val="3"/>
                <w:color w:val="auto"/>
              </w:rPr>
            </w:pPr>
          </w:p>
        </w:tc>
        <w:tc>
          <w:tcPr>
            <w:tcW w:w="80" w:type="dxa"/>
            <w:vAlign w:val="bottom"/>
            <w:vMerge w:val="continue"/>
            <w:shd w:val="clear" w:color="auto" w:fill="EBEBEB"/>
          </w:tcPr>
          <w:p>
            <w:pPr>
              <w:spacing w:after="0"/>
              <w:rPr>
                <w:sz w:val="3"/>
                <w:szCs w:val="3"/>
                <w:color w:val="auto"/>
              </w:rPr>
            </w:pPr>
          </w:p>
        </w:tc>
        <w:tc>
          <w:tcPr>
            <w:tcW w:w="380" w:type="dxa"/>
            <w:vAlign w:val="bottom"/>
            <w:vMerge w:val="continue"/>
            <w:shd w:val="clear" w:color="auto" w:fill="EBEBEB"/>
          </w:tcPr>
          <w:p>
            <w:pPr>
              <w:spacing w:after="0"/>
              <w:rPr>
                <w:sz w:val="3"/>
                <w:szCs w:val="3"/>
                <w:color w:val="auto"/>
              </w:rPr>
            </w:pPr>
          </w:p>
        </w:tc>
        <w:tc>
          <w:tcPr>
            <w:tcW w:w="700" w:type="dxa"/>
            <w:vAlign w:val="bottom"/>
            <w:vMerge w:val="continue"/>
            <w:shd w:val="clear" w:color="auto" w:fill="EBEBEB"/>
          </w:tcPr>
          <w:p>
            <w:pPr>
              <w:spacing w:after="0"/>
              <w:rPr>
                <w:sz w:val="3"/>
                <w:szCs w:val="3"/>
                <w:color w:val="auto"/>
              </w:rPr>
            </w:pPr>
          </w:p>
        </w:tc>
        <w:tc>
          <w:tcPr>
            <w:tcW w:w="1520" w:type="dxa"/>
            <w:vAlign w:val="bottom"/>
            <w:vMerge w:val="continue"/>
            <w:shd w:val="clear" w:color="auto" w:fill="EBEBEB"/>
          </w:tcPr>
          <w:p>
            <w:pPr>
              <w:spacing w:after="0"/>
              <w:rPr>
                <w:sz w:val="3"/>
                <w:szCs w:val="3"/>
                <w:color w:val="auto"/>
              </w:rPr>
            </w:pPr>
          </w:p>
        </w:tc>
        <w:tc>
          <w:tcPr>
            <w:tcW w:w="1340" w:type="dxa"/>
            <w:vAlign w:val="bottom"/>
            <w:vMerge w:val="continue"/>
            <w:shd w:val="clear" w:color="auto" w:fill="EBEBEB"/>
          </w:tcPr>
          <w:p>
            <w:pPr>
              <w:spacing w:after="0"/>
              <w:rPr>
                <w:sz w:val="3"/>
                <w:szCs w:val="3"/>
                <w:color w:val="auto"/>
              </w:rPr>
            </w:pPr>
          </w:p>
        </w:tc>
        <w:tc>
          <w:tcPr>
            <w:tcW w:w="200" w:type="dxa"/>
            <w:vAlign w:val="bottom"/>
            <w:vMerge w:val="continue"/>
            <w:shd w:val="clear" w:color="auto" w:fill="EBEBEB"/>
          </w:tcPr>
          <w:p>
            <w:pPr>
              <w:spacing w:after="0"/>
              <w:rPr>
                <w:sz w:val="3"/>
                <w:szCs w:val="3"/>
                <w:color w:val="auto"/>
              </w:rPr>
            </w:pPr>
          </w:p>
        </w:tc>
        <w:tc>
          <w:tcPr>
            <w:tcW w:w="560" w:type="dxa"/>
            <w:vAlign w:val="bottom"/>
            <w:gridSpan w:val="4"/>
            <w:vMerge w:val="continue"/>
            <w:shd w:val="clear" w:color="auto" w:fill="EBEBEB"/>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42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52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EBEBEB"/>
            </w:tcBorders>
            <w:shd w:val="clear" w:color="auto" w:fill="EBEBEB"/>
          </w:tcPr>
          <w:p>
            <w:pPr>
              <w:spacing w:after="0"/>
              <w:rPr>
                <w:sz w:val="9"/>
                <w:szCs w:val="9"/>
                <w:color w:val="auto"/>
              </w:rPr>
            </w:pPr>
          </w:p>
        </w:tc>
        <w:tc>
          <w:tcPr>
            <w:tcW w:w="24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04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380" w:type="dxa"/>
            <w:vAlign w:val="bottom"/>
            <w:tcBorders>
              <w:top w:val="single" w:sz="8" w:color="EBEBEB"/>
            </w:tcBorders>
            <w:shd w:val="clear" w:color="auto" w:fill="EBEBEB"/>
          </w:tcPr>
          <w:p>
            <w:pPr>
              <w:spacing w:after="0"/>
              <w:rPr>
                <w:sz w:val="9"/>
                <w:szCs w:val="9"/>
                <w:color w:val="auto"/>
              </w:rPr>
            </w:pPr>
          </w:p>
        </w:tc>
        <w:tc>
          <w:tcPr>
            <w:tcW w:w="700" w:type="dxa"/>
            <w:vAlign w:val="bottom"/>
            <w:tcBorders>
              <w:top w:val="single" w:sz="8" w:color="EBEBEB"/>
            </w:tcBorders>
            <w:shd w:val="clear" w:color="auto" w:fill="EBEBEB"/>
          </w:tcPr>
          <w:p>
            <w:pPr>
              <w:spacing w:after="0"/>
              <w:rPr>
                <w:sz w:val="9"/>
                <w:szCs w:val="9"/>
                <w:color w:val="auto"/>
              </w:rPr>
            </w:pPr>
          </w:p>
        </w:tc>
        <w:tc>
          <w:tcPr>
            <w:tcW w:w="1520" w:type="dxa"/>
            <w:vAlign w:val="bottom"/>
            <w:tcBorders>
              <w:top w:val="single" w:sz="8" w:color="EBEBEB"/>
            </w:tcBorders>
            <w:shd w:val="clear" w:color="auto" w:fill="EBEBEB"/>
          </w:tcPr>
          <w:p>
            <w:pPr>
              <w:spacing w:after="0"/>
              <w:rPr>
                <w:sz w:val="9"/>
                <w:szCs w:val="9"/>
                <w:color w:val="auto"/>
              </w:rPr>
            </w:pPr>
          </w:p>
        </w:tc>
        <w:tc>
          <w:tcPr>
            <w:tcW w:w="134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7100" w:type="dxa"/>
            <w:vAlign w:val="bottom"/>
            <w:tcBorders>
              <w:bottom w:val="single" w:sz="8" w:color="0000EE"/>
            </w:tcBorders>
            <w:gridSpan w:val="29"/>
            <w:shd w:val="clear" w:color="auto" w:fill="FAFAFA"/>
          </w:tcPr>
          <w:p>
            <w:pPr>
              <w:spacing w:after="0"/>
              <w:rPr>
                <w:sz w:val="20"/>
                <w:szCs w:val="20"/>
                <w:color w:val="auto"/>
              </w:rPr>
            </w:pPr>
            <w:r>
              <w:rPr>
                <w:rFonts w:ascii="Arial" w:cs="Arial" w:eastAsia="Arial" w:hAnsi="Arial"/>
                <w:sz w:val="16"/>
                <w:szCs w:val="16"/>
                <w:b w:val="1"/>
                <w:bCs w:val="1"/>
                <w:color w:val="0000EE"/>
              </w:rPr>
              <w:t>QUESTIONS AND ANSWERS ABOUT THE PROXY MATERIALS AND OUR ANNUAL MEETING</w:t>
            </w:r>
          </w:p>
        </w:tc>
        <w:tc>
          <w:tcPr>
            <w:tcW w:w="1340" w:type="dxa"/>
            <w:vAlign w:val="bottom"/>
            <w:tcBorders>
              <w:bottom w:val="single" w:sz="8" w:color="FAFAFA"/>
            </w:tcBorders>
            <w:shd w:val="clear" w:color="auto" w:fill="FAFAFA"/>
          </w:tcPr>
          <w:p>
            <w:pPr>
              <w:spacing w:after="0"/>
              <w:rPr>
                <w:sz w:val="24"/>
                <w:szCs w:val="24"/>
                <w:color w:val="auto"/>
              </w:rPr>
            </w:pPr>
          </w:p>
        </w:tc>
        <w:tc>
          <w:tcPr>
            <w:tcW w:w="200" w:type="dxa"/>
            <w:vAlign w:val="bottom"/>
            <w:tcBorders>
              <w:bottom w:val="single" w:sz="8" w:color="FAFAFA"/>
            </w:tcBorders>
            <w:shd w:val="clear" w:color="auto" w:fill="FAFAFA"/>
          </w:tcPr>
          <w:p>
            <w:pPr>
              <w:spacing w:after="0"/>
              <w:rPr>
                <w:sz w:val="24"/>
                <w:szCs w:val="24"/>
                <w:color w:val="auto"/>
              </w:rPr>
            </w:pPr>
          </w:p>
        </w:tc>
        <w:tc>
          <w:tcPr>
            <w:tcW w:w="560" w:type="dxa"/>
            <w:vAlign w:val="bottom"/>
            <w:tcBorders>
              <w:bottom w:val="single" w:sz="8" w:color="FAFAFA"/>
            </w:tcBorders>
            <w:gridSpan w:val="4"/>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42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52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24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04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380" w:type="dxa"/>
            <w:vAlign w:val="bottom"/>
            <w:tcBorders>
              <w:top w:val="single" w:sz="8" w:color="FAFAFA"/>
            </w:tcBorders>
            <w:shd w:val="clear" w:color="auto" w:fill="FAFAFA"/>
          </w:tcPr>
          <w:p>
            <w:pPr>
              <w:spacing w:after="0"/>
              <w:rPr>
                <w:sz w:val="9"/>
                <w:szCs w:val="9"/>
                <w:color w:val="auto"/>
              </w:rPr>
            </w:pPr>
          </w:p>
        </w:tc>
        <w:tc>
          <w:tcPr>
            <w:tcW w:w="700" w:type="dxa"/>
            <w:vAlign w:val="bottom"/>
            <w:tcBorders>
              <w:top w:val="single" w:sz="8" w:color="FAFAFA"/>
            </w:tcBorders>
            <w:shd w:val="clear" w:color="auto" w:fill="FAFAFA"/>
          </w:tcPr>
          <w:p>
            <w:pPr>
              <w:spacing w:after="0"/>
              <w:rPr>
                <w:sz w:val="9"/>
                <w:szCs w:val="9"/>
                <w:color w:val="auto"/>
              </w:rPr>
            </w:pPr>
          </w:p>
        </w:tc>
        <w:tc>
          <w:tcPr>
            <w:tcW w:w="1520" w:type="dxa"/>
            <w:vAlign w:val="bottom"/>
            <w:tcBorders>
              <w:top w:val="single" w:sz="8" w:color="FAFAFA"/>
            </w:tcBorders>
            <w:shd w:val="clear" w:color="auto" w:fill="FAFAFA"/>
          </w:tcPr>
          <w:p>
            <w:pPr>
              <w:spacing w:after="0"/>
              <w:rPr>
                <w:sz w:val="9"/>
                <w:szCs w:val="9"/>
                <w:color w:val="auto"/>
              </w:rPr>
            </w:pPr>
          </w:p>
        </w:tc>
        <w:tc>
          <w:tcPr>
            <w:tcW w:w="134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4500" w:type="dxa"/>
            <w:vAlign w:val="bottom"/>
            <w:tcBorders>
              <w:bottom w:val="single" w:sz="8" w:color="0000EE"/>
            </w:tcBorders>
            <w:gridSpan w:val="26"/>
            <w:shd w:val="clear" w:color="auto" w:fill="EBEBEB"/>
          </w:tcPr>
          <w:p>
            <w:pPr>
              <w:spacing w:after="0"/>
              <w:rPr>
                <w:sz w:val="20"/>
                <w:szCs w:val="20"/>
                <w:color w:val="auto"/>
              </w:rPr>
            </w:pPr>
            <w:r>
              <w:rPr>
                <w:rFonts w:ascii="Arial" w:cs="Arial" w:eastAsia="Arial" w:hAnsi="Arial"/>
                <w:sz w:val="16"/>
                <w:szCs w:val="16"/>
                <w:b w:val="1"/>
                <w:bCs w:val="1"/>
                <w:color w:val="0000EE"/>
                <w:w w:val="99"/>
              </w:rPr>
              <w:t>BOARD OF DIRECTORS AND CORPORATE GOVERNANCE</w:t>
            </w:r>
          </w:p>
        </w:tc>
        <w:tc>
          <w:tcPr>
            <w:tcW w:w="380" w:type="dxa"/>
            <w:vAlign w:val="bottom"/>
            <w:tcBorders>
              <w:bottom w:val="single" w:sz="8" w:color="EBEBEB"/>
            </w:tcBorders>
            <w:shd w:val="clear" w:color="auto" w:fill="EBEBEB"/>
          </w:tcPr>
          <w:p>
            <w:pPr>
              <w:spacing w:after="0"/>
              <w:rPr>
                <w:sz w:val="24"/>
                <w:szCs w:val="24"/>
                <w:color w:val="auto"/>
              </w:rPr>
            </w:pPr>
          </w:p>
        </w:tc>
        <w:tc>
          <w:tcPr>
            <w:tcW w:w="700" w:type="dxa"/>
            <w:vAlign w:val="bottom"/>
            <w:tcBorders>
              <w:bottom w:val="single" w:sz="8" w:color="EBEBEB"/>
            </w:tcBorders>
            <w:shd w:val="clear" w:color="auto" w:fill="EBEBEB"/>
          </w:tcPr>
          <w:p>
            <w:pPr>
              <w:spacing w:after="0"/>
              <w:rPr>
                <w:sz w:val="24"/>
                <w:szCs w:val="24"/>
                <w:color w:val="auto"/>
              </w:rPr>
            </w:pPr>
          </w:p>
        </w:tc>
        <w:tc>
          <w:tcPr>
            <w:tcW w:w="2860" w:type="dxa"/>
            <w:vAlign w:val="bottom"/>
            <w:tcBorders>
              <w:bottom w:val="single" w:sz="8" w:color="EBEBEB"/>
            </w:tcBorders>
            <w:gridSpan w:val="2"/>
            <w:shd w:val="clear" w:color="auto" w:fill="EBEBEB"/>
          </w:tcPr>
          <w:p>
            <w:pPr>
              <w:spacing w:after="0"/>
              <w:rPr>
                <w:sz w:val="24"/>
                <w:szCs w:val="24"/>
                <w:color w:val="auto"/>
              </w:rPr>
            </w:pPr>
          </w:p>
        </w:tc>
        <w:tc>
          <w:tcPr>
            <w:tcW w:w="200" w:type="dxa"/>
            <w:vAlign w:val="bottom"/>
            <w:tcBorders>
              <w:bottom w:val="single" w:sz="8" w:color="EBEBEB"/>
            </w:tcBorders>
            <w:shd w:val="clear" w:color="auto" w:fill="EBEBEB"/>
          </w:tcPr>
          <w:p>
            <w:pPr>
              <w:spacing w:after="0"/>
              <w:rPr>
                <w:sz w:val="24"/>
                <w:szCs w:val="24"/>
                <w:color w:val="auto"/>
              </w:rPr>
            </w:pPr>
          </w:p>
        </w:tc>
        <w:tc>
          <w:tcPr>
            <w:tcW w:w="560" w:type="dxa"/>
            <w:vAlign w:val="bottom"/>
            <w:tcBorders>
              <w:bottom w:val="single" w:sz="8" w:color="EBEBEB"/>
            </w:tcBorders>
            <w:gridSpan w:val="4"/>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42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52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EBEBEB"/>
            </w:tcBorders>
            <w:shd w:val="clear" w:color="auto" w:fill="EBEBEB"/>
          </w:tcPr>
          <w:p>
            <w:pPr>
              <w:spacing w:after="0"/>
              <w:rPr>
                <w:sz w:val="9"/>
                <w:szCs w:val="9"/>
                <w:color w:val="auto"/>
              </w:rPr>
            </w:pPr>
          </w:p>
        </w:tc>
        <w:tc>
          <w:tcPr>
            <w:tcW w:w="24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04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380" w:type="dxa"/>
            <w:vAlign w:val="bottom"/>
            <w:tcBorders>
              <w:top w:val="single" w:sz="8" w:color="EBEBEB"/>
            </w:tcBorders>
            <w:shd w:val="clear" w:color="auto" w:fill="EBEBEB"/>
          </w:tcPr>
          <w:p>
            <w:pPr>
              <w:spacing w:after="0"/>
              <w:rPr>
                <w:sz w:val="9"/>
                <w:szCs w:val="9"/>
                <w:color w:val="auto"/>
              </w:rPr>
            </w:pPr>
          </w:p>
        </w:tc>
        <w:tc>
          <w:tcPr>
            <w:tcW w:w="700" w:type="dxa"/>
            <w:vAlign w:val="bottom"/>
            <w:tcBorders>
              <w:top w:val="single" w:sz="8" w:color="EBEBEB"/>
            </w:tcBorders>
            <w:shd w:val="clear" w:color="auto" w:fill="EBEBEB"/>
          </w:tcPr>
          <w:p>
            <w:pPr>
              <w:spacing w:after="0"/>
              <w:rPr>
                <w:sz w:val="9"/>
                <w:szCs w:val="9"/>
                <w:color w:val="auto"/>
              </w:rPr>
            </w:pPr>
          </w:p>
        </w:tc>
        <w:tc>
          <w:tcPr>
            <w:tcW w:w="1520" w:type="dxa"/>
            <w:vAlign w:val="bottom"/>
            <w:tcBorders>
              <w:top w:val="single" w:sz="8" w:color="EBEBEB"/>
            </w:tcBorders>
            <w:shd w:val="clear" w:color="auto" w:fill="EBEBEB"/>
          </w:tcPr>
          <w:p>
            <w:pPr>
              <w:spacing w:after="0"/>
              <w:rPr>
                <w:sz w:val="9"/>
                <w:szCs w:val="9"/>
                <w:color w:val="auto"/>
              </w:rPr>
            </w:pPr>
          </w:p>
        </w:tc>
        <w:tc>
          <w:tcPr>
            <w:tcW w:w="134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60" w:type="dxa"/>
            <w:vAlign w:val="bottom"/>
            <w:tcBorders>
              <w:bottom w:val="single" w:sz="8" w:color="FAFAFA"/>
            </w:tcBorders>
            <w:shd w:val="clear" w:color="auto" w:fill="FAFAFA"/>
          </w:tcPr>
          <w:p>
            <w:pPr>
              <w:spacing w:after="0"/>
              <w:rPr>
                <w:sz w:val="24"/>
                <w:szCs w:val="24"/>
                <w:color w:val="auto"/>
              </w:rPr>
            </w:pPr>
          </w:p>
        </w:tc>
        <w:tc>
          <w:tcPr>
            <w:tcW w:w="2400" w:type="dxa"/>
            <w:vAlign w:val="bottom"/>
            <w:tcBorders>
              <w:bottom w:val="single" w:sz="8" w:color="0000EE"/>
            </w:tcBorders>
            <w:gridSpan w:val="15"/>
            <w:shd w:val="clear" w:color="auto" w:fill="FAFAFA"/>
          </w:tcPr>
          <w:p>
            <w:pPr>
              <w:spacing w:after="0"/>
              <w:rPr>
                <w:sz w:val="20"/>
                <w:szCs w:val="20"/>
                <w:color w:val="auto"/>
              </w:rPr>
            </w:pPr>
            <w:r>
              <w:rPr>
                <w:rFonts w:ascii="Arial" w:cs="Arial" w:eastAsia="Arial" w:hAnsi="Arial"/>
                <w:sz w:val="14"/>
                <w:szCs w:val="14"/>
                <w:color w:val="0000EE"/>
              </w:rPr>
              <w:t>Composition of the Board of Directors</w:t>
            </w:r>
          </w:p>
        </w:tc>
        <w:tc>
          <w:tcPr>
            <w:tcW w:w="20" w:type="dxa"/>
            <w:vAlign w:val="bottom"/>
            <w:tcBorders>
              <w:bottom w:val="single" w:sz="8" w:color="FAFAFA"/>
            </w:tcBorders>
            <w:shd w:val="clear" w:color="auto" w:fill="FAFAFA"/>
          </w:tcPr>
          <w:p>
            <w:pPr>
              <w:spacing w:after="0"/>
              <w:rPr>
                <w:sz w:val="24"/>
                <w:szCs w:val="24"/>
                <w:color w:val="auto"/>
              </w:rPr>
            </w:pPr>
          </w:p>
        </w:tc>
        <w:tc>
          <w:tcPr>
            <w:tcW w:w="140" w:type="dxa"/>
            <w:vAlign w:val="bottom"/>
            <w:tcBorders>
              <w:bottom w:val="single" w:sz="8" w:color="FAFAFA"/>
            </w:tcBorders>
            <w:shd w:val="clear" w:color="auto" w:fill="FAFAFA"/>
          </w:tcPr>
          <w:p>
            <w:pPr>
              <w:spacing w:after="0"/>
              <w:rPr>
                <w:sz w:val="24"/>
                <w:szCs w:val="24"/>
                <w:color w:val="auto"/>
              </w:rPr>
            </w:pPr>
          </w:p>
        </w:tc>
        <w:tc>
          <w:tcPr>
            <w:tcW w:w="240" w:type="dxa"/>
            <w:vAlign w:val="bottom"/>
            <w:tcBorders>
              <w:bottom w:val="single" w:sz="8" w:color="FAFAFA"/>
            </w:tcBorders>
            <w:shd w:val="clear" w:color="auto" w:fill="FAFAFA"/>
          </w:tcPr>
          <w:p>
            <w:pPr>
              <w:spacing w:after="0"/>
              <w:rPr>
                <w:sz w:val="24"/>
                <w:szCs w:val="24"/>
                <w:color w:val="auto"/>
              </w:rPr>
            </w:pPr>
          </w:p>
        </w:tc>
        <w:tc>
          <w:tcPr>
            <w:tcW w:w="22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040" w:type="dxa"/>
            <w:vAlign w:val="bottom"/>
            <w:tcBorders>
              <w:bottom w:val="single" w:sz="8" w:color="FAFAFA"/>
            </w:tcBorders>
            <w:shd w:val="clear" w:color="auto" w:fill="FAFAFA"/>
          </w:tcPr>
          <w:p>
            <w:pPr>
              <w:spacing w:after="0"/>
              <w:rPr>
                <w:sz w:val="24"/>
                <w:szCs w:val="24"/>
                <w:color w:val="auto"/>
              </w:rPr>
            </w:pPr>
          </w:p>
        </w:tc>
        <w:tc>
          <w:tcPr>
            <w:tcW w:w="40" w:type="dxa"/>
            <w:vAlign w:val="bottom"/>
            <w:tcBorders>
              <w:bottom w:val="single" w:sz="8" w:color="FAFAFA"/>
            </w:tcBorders>
            <w:shd w:val="clear" w:color="auto" w:fill="FAFAFA"/>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460" w:type="dxa"/>
            <w:vAlign w:val="bottom"/>
            <w:tcBorders>
              <w:bottom w:val="single" w:sz="8" w:color="FAFAFA"/>
            </w:tcBorders>
            <w:gridSpan w:val="2"/>
            <w:shd w:val="clear" w:color="auto" w:fill="FAFAFA"/>
          </w:tcPr>
          <w:p>
            <w:pPr>
              <w:spacing w:after="0"/>
              <w:rPr>
                <w:sz w:val="24"/>
                <w:szCs w:val="24"/>
                <w:color w:val="auto"/>
              </w:rPr>
            </w:pPr>
          </w:p>
        </w:tc>
        <w:tc>
          <w:tcPr>
            <w:tcW w:w="700" w:type="dxa"/>
            <w:vAlign w:val="bottom"/>
            <w:tcBorders>
              <w:bottom w:val="single" w:sz="8" w:color="FAFAFA"/>
            </w:tcBorders>
            <w:shd w:val="clear" w:color="auto" w:fill="FAFAFA"/>
          </w:tcPr>
          <w:p>
            <w:pPr>
              <w:spacing w:after="0"/>
              <w:rPr>
                <w:sz w:val="24"/>
                <w:szCs w:val="24"/>
                <w:color w:val="auto"/>
              </w:rPr>
            </w:pPr>
          </w:p>
        </w:tc>
        <w:tc>
          <w:tcPr>
            <w:tcW w:w="2860" w:type="dxa"/>
            <w:vAlign w:val="bottom"/>
            <w:tcBorders>
              <w:bottom w:val="single" w:sz="8" w:color="FAFAFA"/>
            </w:tcBorders>
            <w:gridSpan w:val="2"/>
            <w:shd w:val="clear" w:color="auto" w:fill="FAFAFA"/>
          </w:tcPr>
          <w:p>
            <w:pPr>
              <w:spacing w:after="0"/>
              <w:rPr>
                <w:sz w:val="24"/>
                <w:szCs w:val="24"/>
                <w:color w:val="auto"/>
              </w:rPr>
            </w:pPr>
          </w:p>
        </w:tc>
        <w:tc>
          <w:tcPr>
            <w:tcW w:w="200" w:type="dxa"/>
            <w:vAlign w:val="bottom"/>
            <w:tcBorders>
              <w:bottom w:val="single" w:sz="8" w:color="FAFAFA"/>
            </w:tcBorders>
            <w:shd w:val="clear" w:color="auto" w:fill="FAFAFA"/>
          </w:tcPr>
          <w:p>
            <w:pPr>
              <w:spacing w:after="0"/>
              <w:rPr>
                <w:sz w:val="24"/>
                <w:szCs w:val="24"/>
                <w:color w:val="auto"/>
              </w:rPr>
            </w:pPr>
          </w:p>
        </w:tc>
        <w:tc>
          <w:tcPr>
            <w:tcW w:w="560" w:type="dxa"/>
            <w:vAlign w:val="bottom"/>
            <w:tcBorders>
              <w:bottom w:val="single" w:sz="8" w:color="FAFAFA"/>
            </w:tcBorders>
            <w:gridSpan w:val="4"/>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42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52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24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04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380" w:type="dxa"/>
            <w:vAlign w:val="bottom"/>
            <w:tcBorders>
              <w:top w:val="single" w:sz="8" w:color="FAFAFA"/>
            </w:tcBorders>
            <w:shd w:val="clear" w:color="auto" w:fill="FAFAFA"/>
          </w:tcPr>
          <w:p>
            <w:pPr>
              <w:spacing w:after="0"/>
              <w:rPr>
                <w:sz w:val="9"/>
                <w:szCs w:val="9"/>
                <w:color w:val="auto"/>
              </w:rPr>
            </w:pPr>
          </w:p>
        </w:tc>
        <w:tc>
          <w:tcPr>
            <w:tcW w:w="700" w:type="dxa"/>
            <w:vAlign w:val="bottom"/>
            <w:tcBorders>
              <w:top w:val="single" w:sz="8" w:color="FAFAFA"/>
            </w:tcBorders>
            <w:shd w:val="clear" w:color="auto" w:fill="FAFAFA"/>
          </w:tcPr>
          <w:p>
            <w:pPr>
              <w:spacing w:after="0"/>
              <w:rPr>
                <w:sz w:val="9"/>
                <w:szCs w:val="9"/>
                <w:color w:val="auto"/>
              </w:rPr>
            </w:pPr>
          </w:p>
        </w:tc>
        <w:tc>
          <w:tcPr>
            <w:tcW w:w="1520" w:type="dxa"/>
            <w:vAlign w:val="bottom"/>
            <w:tcBorders>
              <w:top w:val="single" w:sz="8" w:color="FAFAFA"/>
            </w:tcBorders>
            <w:shd w:val="clear" w:color="auto" w:fill="FAFAFA"/>
          </w:tcPr>
          <w:p>
            <w:pPr>
              <w:spacing w:after="0"/>
              <w:rPr>
                <w:sz w:val="9"/>
                <w:szCs w:val="9"/>
                <w:color w:val="auto"/>
              </w:rPr>
            </w:pPr>
          </w:p>
        </w:tc>
        <w:tc>
          <w:tcPr>
            <w:tcW w:w="134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160" w:type="dxa"/>
            <w:vAlign w:val="bottom"/>
            <w:tcBorders>
              <w:bottom w:val="single" w:sz="8" w:color="EBEBEB"/>
            </w:tcBorders>
            <w:shd w:val="clear" w:color="auto" w:fill="EBEBEB"/>
          </w:tcPr>
          <w:p>
            <w:pPr>
              <w:spacing w:after="0"/>
              <w:rPr>
                <w:sz w:val="24"/>
                <w:szCs w:val="24"/>
                <w:color w:val="auto"/>
              </w:rPr>
            </w:pPr>
          </w:p>
        </w:tc>
        <w:tc>
          <w:tcPr>
            <w:tcW w:w="1400" w:type="dxa"/>
            <w:vAlign w:val="bottom"/>
            <w:tcBorders>
              <w:bottom w:val="single" w:sz="8" w:color="0000EE"/>
            </w:tcBorders>
            <w:gridSpan w:val="8"/>
            <w:shd w:val="clear" w:color="auto" w:fill="EBEBEB"/>
          </w:tcPr>
          <w:p>
            <w:pPr>
              <w:spacing w:after="0"/>
              <w:rPr>
                <w:sz w:val="20"/>
                <w:szCs w:val="20"/>
                <w:color w:val="auto"/>
              </w:rPr>
            </w:pPr>
            <w:r>
              <w:rPr>
                <w:rFonts w:ascii="Arial" w:cs="Arial" w:eastAsia="Arial" w:hAnsi="Arial"/>
                <w:sz w:val="14"/>
                <w:szCs w:val="14"/>
                <w:color w:val="0000EE"/>
              </w:rPr>
              <w:t>Nominees for Director</w:t>
            </w:r>
          </w:p>
        </w:tc>
        <w:tc>
          <w:tcPr>
            <w:tcW w:w="20" w:type="dxa"/>
            <w:vAlign w:val="bottom"/>
            <w:tcBorders>
              <w:bottom w:val="single" w:sz="8" w:color="EBEBEB"/>
            </w:tcBorders>
            <w:shd w:val="clear" w:color="auto" w:fill="EBEBEB"/>
          </w:tcPr>
          <w:p>
            <w:pPr>
              <w:spacing w:after="0"/>
              <w:rPr>
                <w:sz w:val="24"/>
                <w:szCs w:val="24"/>
                <w:color w:val="auto"/>
              </w:rPr>
            </w:pPr>
          </w:p>
        </w:tc>
        <w:tc>
          <w:tcPr>
            <w:tcW w:w="4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220" w:type="dxa"/>
            <w:vAlign w:val="bottom"/>
            <w:tcBorders>
              <w:bottom w:val="single" w:sz="8" w:color="EBEBEB"/>
            </w:tcBorders>
            <w:shd w:val="clear" w:color="auto" w:fill="EBEBEB"/>
          </w:tcPr>
          <w:p>
            <w:pPr>
              <w:spacing w:after="0"/>
              <w:rPr>
                <w:sz w:val="24"/>
                <w:szCs w:val="24"/>
                <w:color w:val="auto"/>
              </w:rPr>
            </w:pPr>
          </w:p>
        </w:tc>
        <w:tc>
          <w:tcPr>
            <w:tcW w:w="660" w:type="dxa"/>
            <w:vAlign w:val="bottom"/>
            <w:tcBorders>
              <w:bottom w:val="single" w:sz="8" w:color="EBEBEB"/>
            </w:tcBorders>
            <w:gridSpan w:val="3"/>
            <w:shd w:val="clear" w:color="auto" w:fill="EBEBEB"/>
          </w:tcPr>
          <w:p>
            <w:pPr>
              <w:spacing w:after="0"/>
              <w:rPr>
                <w:sz w:val="24"/>
                <w:szCs w:val="24"/>
                <w:color w:val="auto"/>
              </w:rPr>
            </w:pPr>
          </w:p>
        </w:tc>
        <w:tc>
          <w:tcPr>
            <w:tcW w:w="140" w:type="dxa"/>
            <w:vAlign w:val="bottom"/>
            <w:tcBorders>
              <w:bottom w:val="single" w:sz="8" w:color="EBEBEB"/>
            </w:tcBorders>
            <w:shd w:val="clear" w:color="auto" w:fill="EBEBEB"/>
          </w:tcPr>
          <w:p>
            <w:pPr>
              <w:spacing w:after="0"/>
              <w:rPr>
                <w:sz w:val="24"/>
                <w:szCs w:val="24"/>
                <w:color w:val="auto"/>
              </w:rPr>
            </w:pPr>
          </w:p>
        </w:tc>
        <w:tc>
          <w:tcPr>
            <w:tcW w:w="240" w:type="dxa"/>
            <w:vAlign w:val="bottom"/>
            <w:tcBorders>
              <w:bottom w:val="single" w:sz="8" w:color="EBEBEB"/>
            </w:tcBorders>
            <w:shd w:val="clear" w:color="auto" w:fill="EBEBEB"/>
          </w:tcPr>
          <w:p>
            <w:pPr>
              <w:spacing w:after="0"/>
              <w:rPr>
                <w:sz w:val="24"/>
                <w:szCs w:val="24"/>
                <w:color w:val="auto"/>
              </w:rPr>
            </w:pPr>
          </w:p>
        </w:tc>
        <w:tc>
          <w:tcPr>
            <w:tcW w:w="22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1040" w:type="dxa"/>
            <w:vAlign w:val="bottom"/>
            <w:tcBorders>
              <w:bottom w:val="single" w:sz="8" w:color="EBEBEB"/>
            </w:tcBorders>
            <w:shd w:val="clear" w:color="auto" w:fill="EBEBEB"/>
          </w:tcPr>
          <w:p>
            <w:pPr>
              <w:spacing w:after="0"/>
              <w:rPr>
                <w:sz w:val="24"/>
                <w:szCs w:val="24"/>
                <w:color w:val="auto"/>
              </w:rPr>
            </w:pPr>
          </w:p>
        </w:tc>
        <w:tc>
          <w:tcPr>
            <w:tcW w:w="40" w:type="dxa"/>
            <w:vAlign w:val="bottom"/>
            <w:tcBorders>
              <w:bottom w:val="single" w:sz="8" w:color="EBEBEB"/>
            </w:tcBorders>
            <w:shd w:val="clear" w:color="auto" w:fill="EBEBEB"/>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460" w:type="dxa"/>
            <w:vAlign w:val="bottom"/>
            <w:tcBorders>
              <w:bottom w:val="single" w:sz="8" w:color="EBEBEB"/>
            </w:tcBorders>
            <w:gridSpan w:val="2"/>
            <w:shd w:val="clear" w:color="auto" w:fill="EBEBEB"/>
          </w:tcPr>
          <w:p>
            <w:pPr>
              <w:spacing w:after="0"/>
              <w:rPr>
                <w:sz w:val="24"/>
                <w:szCs w:val="24"/>
                <w:color w:val="auto"/>
              </w:rPr>
            </w:pPr>
          </w:p>
        </w:tc>
        <w:tc>
          <w:tcPr>
            <w:tcW w:w="700" w:type="dxa"/>
            <w:vAlign w:val="bottom"/>
            <w:tcBorders>
              <w:bottom w:val="single" w:sz="8" w:color="EBEBEB"/>
            </w:tcBorders>
            <w:shd w:val="clear" w:color="auto" w:fill="EBEBEB"/>
          </w:tcPr>
          <w:p>
            <w:pPr>
              <w:spacing w:after="0"/>
              <w:rPr>
                <w:sz w:val="24"/>
                <w:szCs w:val="24"/>
                <w:color w:val="auto"/>
              </w:rPr>
            </w:pPr>
          </w:p>
        </w:tc>
        <w:tc>
          <w:tcPr>
            <w:tcW w:w="2860" w:type="dxa"/>
            <w:vAlign w:val="bottom"/>
            <w:tcBorders>
              <w:bottom w:val="single" w:sz="8" w:color="EBEBEB"/>
            </w:tcBorders>
            <w:gridSpan w:val="2"/>
            <w:shd w:val="clear" w:color="auto" w:fill="EBEBEB"/>
          </w:tcPr>
          <w:p>
            <w:pPr>
              <w:spacing w:after="0"/>
              <w:rPr>
                <w:sz w:val="24"/>
                <w:szCs w:val="24"/>
                <w:color w:val="auto"/>
              </w:rPr>
            </w:pPr>
          </w:p>
        </w:tc>
        <w:tc>
          <w:tcPr>
            <w:tcW w:w="200" w:type="dxa"/>
            <w:vAlign w:val="bottom"/>
            <w:tcBorders>
              <w:bottom w:val="single" w:sz="8" w:color="EBEBEB"/>
            </w:tcBorders>
            <w:shd w:val="clear" w:color="auto" w:fill="EBEBEB"/>
          </w:tcPr>
          <w:p>
            <w:pPr>
              <w:spacing w:after="0"/>
              <w:rPr>
                <w:sz w:val="24"/>
                <w:szCs w:val="24"/>
                <w:color w:val="auto"/>
              </w:rPr>
            </w:pPr>
          </w:p>
        </w:tc>
        <w:tc>
          <w:tcPr>
            <w:tcW w:w="560" w:type="dxa"/>
            <w:vAlign w:val="bottom"/>
            <w:tcBorders>
              <w:bottom w:val="single" w:sz="8" w:color="EBEBEB"/>
            </w:tcBorders>
            <w:gridSpan w:val="4"/>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10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42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52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EBEBEB"/>
            </w:tcBorders>
            <w:shd w:val="clear" w:color="auto" w:fill="EBEBEB"/>
          </w:tcPr>
          <w:p>
            <w:pPr>
              <w:spacing w:after="0"/>
              <w:rPr>
                <w:sz w:val="9"/>
                <w:szCs w:val="9"/>
                <w:color w:val="auto"/>
              </w:rPr>
            </w:pPr>
          </w:p>
        </w:tc>
        <w:tc>
          <w:tcPr>
            <w:tcW w:w="24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04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380" w:type="dxa"/>
            <w:vAlign w:val="bottom"/>
            <w:tcBorders>
              <w:top w:val="single" w:sz="8" w:color="EBEBEB"/>
            </w:tcBorders>
            <w:shd w:val="clear" w:color="auto" w:fill="EBEBEB"/>
          </w:tcPr>
          <w:p>
            <w:pPr>
              <w:spacing w:after="0"/>
              <w:rPr>
                <w:sz w:val="9"/>
                <w:szCs w:val="9"/>
                <w:color w:val="auto"/>
              </w:rPr>
            </w:pPr>
          </w:p>
        </w:tc>
        <w:tc>
          <w:tcPr>
            <w:tcW w:w="700" w:type="dxa"/>
            <w:vAlign w:val="bottom"/>
            <w:tcBorders>
              <w:top w:val="single" w:sz="8" w:color="EBEBEB"/>
            </w:tcBorders>
            <w:shd w:val="clear" w:color="auto" w:fill="EBEBEB"/>
          </w:tcPr>
          <w:p>
            <w:pPr>
              <w:spacing w:after="0"/>
              <w:rPr>
                <w:sz w:val="9"/>
                <w:szCs w:val="9"/>
                <w:color w:val="auto"/>
              </w:rPr>
            </w:pPr>
          </w:p>
        </w:tc>
        <w:tc>
          <w:tcPr>
            <w:tcW w:w="1520" w:type="dxa"/>
            <w:vAlign w:val="bottom"/>
            <w:tcBorders>
              <w:top w:val="single" w:sz="8" w:color="EBEBEB"/>
            </w:tcBorders>
            <w:shd w:val="clear" w:color="auto" w:fill="EBEBEB"/>
          </w:tcPr>
          <w:p>
            <w:pPr>
              <w:spacing w:after="0"/>
              <w:rPr>
                <w:sz w:val="9"/>
                <w:szCs w:val="9"/>
                <w:color w:val="auto"/>
              </w:rPr>
            </w:pPr>
          </w:p>
        </w:tc>
        <w:tc>
          <w:tcPr>
            <w:tcW w:w="134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60" w:type="dxa"/>
            <w:vAlign w:val="bottom"/>
            <w:tcBorders>
              <w:bottom w:val="single" w:sz="8" w:color="FAFAFA"/>
            </w:tcBorders>
            <w:shd w:val="clear" w:color="auto" w:fill="FAFAFA"/>
          </w:tcPr>
          <w:p>
            <w:pPr>
              <w:spacing w:after="0"/>
              <w:rPr>
                <w:sz w:val="24"/>
                <w:szCs w:val="24"/>
                <w:color w:val="auto"/>
              </w:rPr>
            </w:pPr>
          </w:p>
        </w:tc>
        <w:tc>
          <w:tcPr>
            <w:tcW w:w="1300" w:type="dxa"/>
            <w:vAlign w:val="bottom"/>
            <w:tcBorders>
              <w:bottom w:val="single" w:sz="8" w:color="0000EE"/>
            </w:tcBorders>
            <w:gridSpan w:val="6"/>
            <w:shd w:val="clear" w:color="auto" w:fill="FAFAFA"/>
          </w:tcPr>
          <w:p>
            <w:pPr>
              <w:spacing w:after="0"/>
              <w:rPr>
                <w:sz w:val="20"/>
                <w:szCs w:val="20"/>
                <w:color w:val="auto"/>
              </w:rPr>
            </w:pPr>
            <w:r>
              <w:rPr>
                <w:rFonts w:ascii="Arial" w:cs="Arial" w:eastAsia="Arial" w:hAnsi="Arial"/>
                <w:sz w:val="14"/>
                <w:szCs w:val="14"/>
                <w:color w:val="0000EE"/>
              </w:rPr>
              <w:t>Continuing Directors</w:t>
            </w:r>
          </w:p>
        </w:tc>
        <w:tc>
          <w:tcPr>
            <w:tcW w:w="80" w:type="dxa"/>
            <w:vAlign w:val="bottom"/>
            <w:tcBorders>
              <w:bottom w:val="single" w:sz="8" w:color="FAFAFA"/>
            </w:tcBorders>
            <w:shd w:val="clear" w:color="auto" w:fill="FAFAFA"/>
          </w:tcPr>
          <w:p>
            <w:pPr>
              <w:spacing w:after="0"/>
              <w:rPr>
                <w:sz w:val="24"/>
                <w:szCs w:val="24"/>
                <w:color w:val="auto"/>
              </w:rPr>
            </w:pPr>
          </w:p>
        </w:tc>
        <w:tc>
          <w:tcPr>
            <w:tcW w:w="40" w:type="dxa"/>
            <w:vAlign w:val="bottom"/>
            <w:tcBorders>
              <w:bottom w:val="single" w:sz="8" w:color="FAFAFA"/>
            </w:tcBorders>
            <w:gridSpan w:val="2"/>
            <w:shd w:val="clear" w:color="auto" w:fill="FAFAFA"/>
          </w:tcPr>
          <w:p>
            <w:pPr>
              <w:spacing w:after="0"/>
              <w:rPr>
                <w:sz w:val="24"/>
                <w:szCs w:val="24"/>
                <w:color w:val="auto"/>
              </w:rPr>
            </w:pPr>
          </w:p>
        </w:tc>
        <w:tc>
          <w:tcPr>
            <w:tcW w:w="4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20" w:type="dxa"/>
            <w:vAlign w:val="bottom"/>
            <w:tcBorders>
              <w:bottom w:val="single" w:sz="8" w:color="FAFAFA"/>
            </w:tcBorders>
            <w:shd w:val="clear" w:color="auto" w:fill="FAFAFA"/>
          </w:tcPr>
          <w:p>
            <w:pPr>
              <w:spacing w:after="0"/>
              <w:rPr>
                <w:sz w:val="24"/>
                <w:szCs w:val="24"/>
                <w:color w:val="auto"/>
              </w:rPr>
            </w:pPr>
          </w:p>
        </w:tc>
        <w:tc>
          <w:tcPr>
            <w:tcW w:w="660" w:type="dxa"/>
            <w:vAlign w:val="bottom"/>
            <w:tcBorders>
              <w:bottom w:val="single" w:sz="8" w:color="FAFAFA"/>
            </w:tcBorders>
            <w:gridSpan w:val="3"/>
            <w:shd w:val="clear" w:color="auto" w:fill="FAFAFA"/>
          </w:tcPr>
          <w:p>
            <w:pPr>
              <w:spacing w:after="0"/>
              <w:rPr>
                <w:sz w:val="24"/>
                <w:szCs w:val="24"/>
                <w:color w:val="auto"/>
              </w:rPr>
            </w:pPr>
          </w:p>
        </w:tc>
        <w:tc>
          <w:tcPr>
            <w:tcW w:w="140" w:type="dxa"/>
            <w:vAlign w:val="bottom"/>
            <w:tcBorders>
              <w:bottom w:val="single" w:sz="8" w:color="FAFAFA"/>
            </w:tcBorders>
            <w:shd w:val="clear" w:color="auto" w:fill="FAFAFA"/>
          </w:tcPr>
          <w:p>
            <w:pPr>
              <w:spacing w:after="0"/>
              <w:rPr>
                <w:sz w:val="24"/>
                <w:szCs w:val="24"/>
                <w:color w:val="auto"/>
              </w:rPr>
            </w:pPr>
          </w:p>
        </w:tc>
        <w:tc>
          <w:tcPr>
            <w:tcW w:w="240" w:type="dxa"/>
            <w:vAlign w:val="bottom"/>
            <w:tcBorders>
              <w:bottom w:val="single" w:sz="8" w:color="FAFAFA"/>
            </w:tcBorders>
            <w:shd w:val="clear" w:color="auto" w:fill="FAFAFA"/>
          </w:tcPr>
          <w:p>
            <w:pPr>
              <w:spacing w:after="0"/>
              <w:rPr>
                <w:sz w:val="24"/>
                <w:szCs w:val="24"/>
                <w:color w:val="auto"/>
              </w:rPr>
            </w:pPr>
          </w:p>
        </w:tc>
        <w:tc>
          <w:tcPr>
            <w:tcW w:w="22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040" w:type="dxa"/>
            <w:vAlign w:val="bottom"/>
            <w:tcBorders>
              <w:bottom w:val="single" w:sz="8" w:color="FAFAFA"/>
            </w:tcBorders>
            <w:shd w:val="clear" w:color="auto" w:fill="FAFAFA"/>
          </w:tcPr>
          <w:p>
            <w:pPr>
              <w:spacing w:after="0"/>
              <w:rPr>
                <w:sz w:val="24"/>
                <w:szCs w:val="24"/>
                <w:color w:val="auto"/>
              </w:rPr>
            </w:pPr>
          </w:p>
        </w:tc>
        <w:tc>
          <w:tcPr>
            <w:tcW w:w="40" w:type="dxa"/>
            <w:vAlign w:val="bottom"/>
            <w:tcBorders>
              <w:bottom w:val="single" w:sz="8" w:color="FAFAFA"/>
            </w:tcBorders>
            <w:shd w:val="clear" w:color="auto" w:fill="FAFAFA"/>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460" w:type="dxa"/>
            <w:vAlign w:val="bottom"/>
            <w:tcBorders>
              <w:bottom w:val="single" w:sz="8" w:color="FAFAFA"/>
            </w:tcBorders>
            <w:gridSpan w:val="2"/>
            <w:shd w:val="clear" w:color="auto" w:fill="FAFAFA"/>
          </w:tcPr>
          <w:p>
            <w:pPr>
              <w:spacing w:after="0"/>
              <w:rPr>
                <w:sz w:val="24"/>
                <w:szCs w:val="24"/>
                <w:color w:val="auto"/>
              </w:rPr>
            </w:pPr>
          </w:p>
        </w:tc>
        <w:tc>
          <w:tcPr>
            <w:tcW w:w="700" w:type="dxa"/>
            <w:vAlign w:val="bottom"/>
            <w:tcBorders>
              <w:bottom w:val="single" w:sz="8" w:color="FAFAFA"/>
            </w:tcBorders>
            <w:shd w:val="clear" w:color="auto" w:fill="FAFAFA"/>
          </w:tcPr>
          <w:p>
            <w:pPr>
              <w:spacing w:after="0"/>
              <w:rPr>
                <w:sz w:val="24"/>
                <w:szCs w:val="24"/>
                <w:color w:val="auto"/>
              </w:rPr>
            </w:pPr>
          </w:p>
        </w:tc>
        <w:tc>
          <w:tcPr>
            <w:tcW w:w="2860" w:type="dxa"/>
            <w:vAlign w:val="bottom"/>
            <w:tcBorders>
              <w:bottom w:val="single" w:sz="8" w:color="FAFAFA"/>
            </w:tcBorders>
            <w:gridSpan w:val="2"/>
            <w:shd w:val="clear" w:color="auto" w:fill="FAFAFA"/>
          </w:tcPr>
          <w:p>
            <w:pPr>
              <w:spacing w:after="0"/>
              <w:rPr>
                <w:sz w:val="24"/>
                <w:szCs w:val="24"/>
                <w:color w:val="auto"/>
              </w:rPr>
            </w:pPr>
          </w:p>
        </w:tc>
        <w:tc>
          <w:tcPr>
            <w:tcW w:w="200" w:type="dxa"/>
            <w:vAlign w:val="bottom"/>
            <w:tcBorders>
              <w:bottom w:val="single" w:sz="8" w:color="FAFAFA"/>
            </w:tcBorders>
            <w:shd w:val="clear" w:color="auto" w:fill="FAFAFA"/>
          </w:tcPr>
          <w:p>
            <w:pPr>
              <w:spacing w:after="0"/>
              <w:rPr>
                <w:sz w:val="24"/>
                <w:szCs w:val="24"/>
                <w:color w:val="auto"/>
              </w:rPr>
            </w:pPr>
          </w:p>
        </w:tc>
        <w:tc>
          <w:tcPr>
            <w:tcW w:w="560" w:type="dxa"/>
            <w:vAlign w:val="bottom"/>
            <w:tcBorders>
              <w:bottom w:val="single" w:sz="8" w:color="FAFAFA"/>
            </w:tcBorders>
            <w:gridSpan w:val="4"/>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11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42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52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24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04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380" w:type="dxa"/>
            <w:vAlign w:val="bottom"/>
            <w:tcBorders>
              <w:top w:val="single" w:sz="8" w:color="FAFAFA"/>
            </w:tcBorders>
            <w:shd w:val="clear" w:color="auto" w:fill="FAFAFA"/>
          </w:tcPr>
          <w:p>
            <w:pPr>
              <w:spacing w:after="0"/>
              <w:rPr>
                <w:sz w:val="9"/>
                <w:szCs w:val="9"/>
                <w:color w:val="auto"/>
              </w:rPr>
            </w:pPr>
          </w:p>
        </w:tc>
        <w:tc>
          <w:tcPr>
            <w:tcW w:w="700" w:type="dxa"/>
            <w:vAlign w:val="bottom"/>
            <w:tcBorders>
              <w:top w:val="single" w:sz="8" w:color="FAFAFA"/>
            </w:tcBorders>
            <w:shd w:val="clear" w:color="auto" w:fill="FAFAFA"/>
          </w:tcPr>
          <w:p>
            <w:pPr>
              <w:spacing w:after="0"/>
              <w:rPr>
                <w:sz w:val="9"/>
                <w:szCs w:val="9"/>
                <w:color w:val="auto"/>
              </w:rPr>
            </w:pPr>
          </w:p>
        </w:tc>
        <w:tc>
          <w:tcPr>
            <w:tcW w:w="1520" w:type="dxa"/>
            <w:vAlign w:val="bottom"/>
            <w:tcBorders>
              <w:top w:val="single" w:sz="8" w:color="FAFAFA"/>
            </w:tcBorders>
            <w:shd w:val="clear" w:color="auto" w:fill="FAFAFA"/>
          </w:tcPr>
          <w:p>
            <w:pPr>
              <w:spacing w:after="0"/>
              <w:rPr>
                <w:sz w:val="9"/>
                <w:szCs w:val="9"/>
                <w:color w:val="auto"/>
              </w:rPr>
            </w:pPr>
          </w:p>
        </w:tc>
        <w:tc>
          <w:tcPr>
            <w:tcW w:w="134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160" w:type="dxa"/>
            <w:vAlign w:val="bottom"/>
            <w:tcBorders>
              <w:bottom w:val="single" w:sz="8" w:color="EBEBEB"/>
            </w:tcBorders>
            <w:shd w:val="clear" w:color="auto" w:fill="EBEBEB"/>
          </w:tcPr>
          <w:p>
            <w:pPr>
              <w:spacing w:after="0"/>
              <w:rPr>
                <w:sz w:val="24"/>
                <w:szCs w:val="24"/>
                <w:color w:val="auto"/>
              </w:rPr>
            </w:pPr>
          </w:p>
        </w:tc>
        <w:tc>
          <w:tcPr>
            <w:tcW w:w="1460" w:type="dxa"/>
            <w:vAlign w:val="bottom"/>
            <w:tcBorders>
              <w:bottom w:val="single" w:sz="8" w:color="0000EE"/>
            </w:tcBorders>
            <w:gridSpan w:val="10"/>
            <w:shd w:val="clear" w:color="auto" w:fill="EBEBEB"/>
          </w:tcPr>
          <w:p>
            <w:pPr>
              <w:spacing w:after="0"/>
              <w:rPr>
                <w:sz w:val="20"/>
                <w:szCs w:val="20"/>
                <w:color w:val="auto"/>
              </w:rPr>
            </w:pPr>
            <w:r>
              <w:rPr>
                <w:rFonts w:ascii="Arial" w:cs="Arial" w:eastAsia="Arial" w:hAnsi="Arial"/>
                <w:sz w:val="14"/>
                <w:szCs w:val="14"/>
                <w:color w:val="0000EE"/>
              </w:rPr>
              <w:t>Director Independence</w:t>
            </w:r>
          </w:p>
        </w:tc>
        <w:tc>
          <w:tcPr>
            <w:tcW w:w="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220" w:type="dxa"/>
            <w:vAlign w:val="bottom"/>
            <w:tcBorders>
              <w:bottom w:val="single" w:sz="8" w:color="EBEBEB"/>
            </w:tcBorders>
            <w:shd w:val="clear" w:color="auto" w:fill="EBEBEB"/>
          </w:tcPr>
          <w:p>
            <w:pPr>
              <w:spacing w:after="0"/>
              <w:rPr>
                <w:sz w:val="24"/>
                <w:szCs w:val="24"/>
                <w:color w:val="auto"/>
              </w:rPr>
            </w:pPr>
          </w:p>
        </w:tc>
        <w:tc>
          <w:tcPr>
            <w:tcW w:w="660" w:type="dxa"/>
            <w:vAlign w:val="bottom"/>
            <w:tcBorders>
              <w:bottom w:val="single" w:sz="8" w:color="EBEBEB"/>
            </w:tcBorders>
            <w:gridSpan w:val="3"/>
            <w:shd w:val="clear" w:color="auto" w:fill="EBEBEB"/>
          </w:tcPr>
          <w:p>
            <w:pPr>
              <w:spacing w:after="0"/>
              <w:rPr>
                <w:sz w:val="24"/>
                <w:szCs w:val="24"/>
                <w:color w:val="auto"/>
              </w:rPr>
            </w:pPr>
          </w:p>
        </w:tc>
        <w:tc>
          <w:tcPr>
            <w:tcW w:w="140" w:type="dxa"/>
            <w:vAlign w:val="bottom"/>
            <w:tcBorders>
              <w:bottom w:val="single" w:sz="8" w:color="EBEBEB"/>
            </w:tcBorders>
            <w:shd w:val="clear" w:color="auto" w:fill="EBEBEB"/>
          </w:tcPr>
          <w:p>
            <w:pPr>
              <w:spacing w:after="0"/>
              <w:rPr>
                <w:sz w:val="24"/>
                <w:szCs w:val="24"/>
                <w:color w:val="auto"/>
              </w:rPr>
            </w:pPr>
          </w:p>
        </w:tc>
        <w:tc>
          <w:tcPr>
            <w:tcW w:w="240" w:type="dxa"/>
            <w:vAlign w:val="bottom"/>
            <w:tcBorders>
              <w:bottom w:val="single" w:sz="8" w:color="EBEBEB"/>
            </w:tcBorders>
            <w:shd w:val="clear" w:color="auto" w:fill="EBEBEB"/>
          </w:tcPr>
          <w:p>
            <w:pPr>
              <w:spacing w:after="0"/>
              <w:rPr>
                <w:sz w:val="24"/>
                <w:szCs w:val="24"/>
                <w:color w:val="auto"/>
              </w:rPr>
            </w:pPr>
          </w:p>
        </w:tc>
        <w:tc>
          <w:tcPr>
            <w:tcW w:w="22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1040" w:type="dxa"/>
            <w:vAlign w:val="bottom"/>
            <w:tcBorders>
              <w:bottom w:val="single" w:sz="8" w:color="EBEBEB"/>
            </w:tcBorders>
            <w:shd w:val="clear" w:color="auto" w:fill="EBEBEB"/>
          </w:tcPr>
          <w:p>
            <w:pPr>
              <w:spacing w:after="0"/>
              <w:rPr>
                <w:sz w:val="24"/>
                <w:szCs w:val="24"/>
                <w:color w:val="auto"/>
              </w:rPr>
            </w:pPr>
          </w:p>
        </w:tc>
        <w:tc>
          <w:tcPr>
            <w:tcW w:w="40" w:type="dxa"/>
            <w:vAlign w:val="bottom"/>
            <w:tcBorders>
              <w:bottom w:val="single" w:sz="8" w:color="EBEBEB"/>
            </w:tcBorders>
            <w:shd w:val="clear" w:color="auto" w:fill="EBEBEB"/>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460" w:type="dxa"/>
            <w:vAlign w:val="bottom"/>
            <w:tcBorders>
              <w:bottom w:val="single" w:sz="8" w:color="EBEBEB"/>
            </w:tcBorders>
            <w:gridSpan w:val="2"/>
            <w:shd w:val="clear" w:color="auto" w:fill="EBEBEB"/>
          </w:tcPr>
          <w:p>
            <w:pPr>
              <w:spacing w:after="0"/>
              <w:rPr>
                <w:sz w:val="24"/>
                <w:szCs w:val="24"/>
                <w:color w:val="auto"/>
              </w:rPr>
            </w:pPr>
          </w:p>
        </w:tc>
        <w:tc>
          <w:tcPr>
            <w:tcW w:w="700" w:type="dxa"/>
            <w:vAlign w:val="bottom"/>
            <w:tcBorders>
              <w:bottom w:val="single" w:sz="8" w:color="EBEBEB"/>
            </w:tcBorders>
            <w:shd w:val="clear" w:color="auto" w:fill="EBEBEB"/>
          </w:tcPr>
          <w:p>
            <w:pPr>
              <w:spacing w:after="0"/>
              <w:rPr>
                <w:sz w:val="24"/>
                <w:szCs w:val="24"/>
                <w:color w:val="auto"/>
              </w:rPr>
            </w:pPr>
          </w:p>
        </w:tc>
        <w:tc>
          <w:tcPr>
            <w:tcW w:w="2860" w:type="dxa"/>
            <w:vAlign w:val="bottom"/>
            <w:tcBorders>
              <w:bottom w:val="single" w:sz="8" w:color="EBEBEB"/>
            </w:tcBorders>
            <w:gridSpan w:val="2"/>
            <w:shd w:val="clear" w:color="auto" w:fill="EBEBEB"/>
          </w:tcPr>
          <w:p>
            <w:pPr>
              <w:spacing w:after="0"/>
              <w:rPr>
                <w:sz w:val="24"/>
                <w:szCs w:val="24"/>
                <w:color w:val="auto"/>
              </w:rPr>
            </w:pPr>
          </w:p>
        </w:tc>
        <w:tc>
          <w:tcPr>
            <w:tcW w:w="200" w:type="dxa"/>
            <w:vAlign w:val="bottom"/>
            <w:tcBorders>
              <w:bottom w:val="single" w:sz="8" w:color="EBEBEB"/>
            </w:tcBorders>
            <w:shd w:val="clear" w:color="auto" w:fill="EBEBEB"/>
          </w:tcPr>
          <w:p>
            <w:pPr>
              <w:spacing w:after="0"/>
              <w:rPr>
                <w:sz w:val="24"/>
                <w:szCs w:val="24"/>
                <w:color w:val="auto"/>
              </w:rPr>
            </w:pPr>
          </w:p>
        </w:tc>
        <w:tc>
          <w:tcPr>
            <w:tcW w:w="560" w:type="dxa"/>
            <w:vAlign w:val="bottom"/>
            <w:tcBorders>
              <w:bottom w:val="single" w:sz="8" w:color="EBEBEB"/>
            </w:tcBorders>
            <w:gridSpan w:val="4"/>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14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42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52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EBEBEB"/>
            </w:tcBorders>
            <w:shd w:val="clear" w:color="auto" w:fill="EBEBEB"/>
          </w:tcPr>
          <w:p>
            <w:pPr>
              <w:spacing w:after="0"/>
              <w:rPr>
                <w:sz w:val="9"/>
                <w:szCs w:val="9"/>
                <w:color w:val="auto"/>
              </w:rPr>
            </w:pPr>
          </w:p>
        </w:tc>
        <w:tc>
          <w:tcPr>
            <w:tcW w:w="24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04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380" w:type="dxa"/>
            <w:vAlign w:val="bottom"/>
            <w:tcBorders>
              <w:top w:val="single" w:sz="8" w:color="EBEBEB"/>
            </w:tcBorders>
            <w:shd w:val="clear" w:color="auto" w:fill="EBEBEB"/>
          </w:tcPr>
          <w:p>
            <w:pPr>
              <w:spacing w:after="0"/>
              <w:rPr>
                <w:sz w:val="9"/>
                <w:szCs w:val="9"/>
                <w:color w:val="auto"/>
              </w:rPr>
            </w:pPr>
          </w:p>
        </w:tc>
        <w:tc>
          <w:tcPr>
            <w:tcW w:w="700" w:type="dxa"/>
            <w:vAlign w:val="bottom"/>
            <w:tcBorders>
              <w:top w:val="single" w:sz="8" w:color="EBEBEB"/>
            </w:tcBorders>
            <w:shd w:val="clear" w:color="auto" w:fill="EBEBEB"/>
          </w:tcPr>
          <w:p>
            <w:pPr>
              <w:spacing w:after="0"/>
              <w:rPr>
                <w:sz w:val="9"/>
                <w:szCs w:val="9"/>
                <w:color w:val="auto"/>
              </w:rPr>
            </w:pPr>
          </w:p>
        </w:tc>
        <w:tc>
          <w:tcPr>
            <w:tcW w:w="1520" w:type="dxa"/>
            <w:vAlign w:val="bottom"/>
            <w:tcBorders>
              <w:top w:val="single" w:sz="8" w:color="EBEBEB"/>
            </w:tcBorders>
            <w:shd w:val="clear" w:color="auto" w:fill="EBEBEB"/>
          </w:tcPr>
          <w:p>
            <w:pPr>
              <w:spacing w:after="0"/>
              <w:rPr>
                <w:sz w:val="9"/>
                <w:szCs w:val="9"/>
                <w:color w:val="auto"/>
              </w:rPr>
            </w:pPr>
          </w:p>
        </w:tc>
        <w:tc>
          <w:tcPr>
            <w:tcW w:w="134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60" w:type="dxa"/>
            <w:vAlign w:val="bottom"/>
            <w:tcBorders>
              <w:bottom w:val="single" w:sz="8" w:color="FAFAFA"/>
            </w:tcBorders>
            <w:shd w:val="clear" w:color="auto" w:fill="FAFAFA"/>
          </w:tcPr>
          <w:p>
            <w:pPr>
              <w:spacing w:after="0"/>
              <w:rPr>
                <w:sz w:val="24"/>
                <w:szCs w:val="24"/>
                <w:color w:val="auto"/>
              </w:rPr>
            </w:pPr>
          </w:p>
        </w:tc>
        <w:tc>
          <w:tcPr>
            <w:tcW w:w="1760" w:type="dxa"/>
            <w:vAlign w:val="bottom"/>
            <w:tcBorders>
              <w:bottom w:val="single" w:sz="8" w:color="0000EE"/>
            </w:tcBorders>
            <w:gridSpan w:val="13"/>
            <w:shd w:val="clear" w:color="auto" w:fill="FAFAFA"/>
          </w:tcPr>
          <w:p>
            <w:pPr>
              <w:spacing w:after="0"/>
              <w:rPr>
                <w:sz w:val="20"/>
                <w:szCs w:val="20"/>
                <w:color w:val="auto"/>
              </w:rPr>
            </w:pPr>
            <w:r>
              <w:rPr>
                <w:rFonts w:ascii="Arial" w:cs="Arial" w:eastAsia="Arial" w:hAnsi="Arial"/>
                <w:sz w:val="14"/>
                <w:szCs w:val="14"/>
                <w:color w:val="0000EE"/>
              </w:rPr>
              <w:t>Board Leadership Structure</w:t>
            </w:r>
          </w:p>
        </w:tc>
        <w:tc>
          <w:tcPr>
            <w:tcW w:w="660" w:type="dxa"/>
            <w:vAlign w:val="bottom"/>
            <w:tcBorders>
              <w:bottom w:val="single" w:sz="8" w:color="FAFAFA"/>
            </w:tcBorders>
            <w:gridSpan w:val="3"/>
            <w:shd w:val="clear" w:color="auto" w:fill="FAFAFA"/>
          </w:tcPr>
          <w:p>
            <w:pPr>
              <w:spacing w:after="0"/>
              <w:rPr>
                <w:sz w:val="24"/>
                <w:szCs w:val="24"/>
                <w:color w:val="auto"/>
              </w:rPr>
            </w:pPr>
          </w:p>
        </w:tc>
        <w:tc>
          <w:tcPr>
            <w:tcW w:w="140" w:type="dxa"/>
            <w:vAlign w:val="bottom"/>
            <w:tcBorders>
              <w:bottom w:val="single" w:sz="8" w:color="FAFAFA"/>
            </w:tcBorders>
            <w:shd w:val="clear" w:color="auto" w:fill="FAFAFA"/>
          </w:tcPr>
          <w:p>
            <w:pPr>
              <w:spacing w:after="0"/>
              <w:rPr>
                <w:sz w:val="24"/>
                <w:szCs w:val="24"/>
                <w:color w:val="auto"/>
              </w:rPr>
            </w:pPr>
          </w:p>
        </w:tc>
        <w:tc>
          <w:tcPr>
            <w:tcW w:w="240" w:type="dxa"/>
            <w:vAlign w:val="bottom"/>
            <w:tcBorders>
              <w:bottom w:val="single" w:sz="8" w:color="FAFAFA"/>
            </w:tcBorders>
            <w:shd w:val="clear" w:color="auto" w:fill="FAFAFA"/>
          </w:tcPr>
          <w:p>
            <w:pPr>
              <w:spacing w:after="0"/>
              <w:rPr>
                <w:sz w:val="24"/>
                <w:szCs w:val="24"/>
                <w:color w:val="auto"/>
              </w:rPr>
            </w:pPr>
          </w:p>
        </w:tc>
        <w:tc>
          <w:tcPr>
            <w:tcW w:w="22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040" w:type="dxa"/>
            <w:vAlign w:val="bottom"/>
            <w:tcBorders>
              <w:bottom w:val="single" w:sz="8" w:color="FAFAFA"/>
            </w:tcBorders>
            <w:shd w:val="clear" w:color="auto" w:fill="FAFAFA"/>
          </w:tcPr>
          <w:p>
            <w:pPr>
              <w:spacing w:after="0"/>
              <w:rPr>
                <w:sz w:val="24"/>
                <w:szCs w:val="24"/>
                <w:color w:val="auto"/>
              </w:rPr>
            </w:pPr>
          </w:p>
        </w:tc>
        <w:tc>
          <w:tcPr>
            <w:tcW w:w="40" w:type="dxa"/>
            <w:vAlign w:val="bottom"/>
            <w:tcBorders>
              <w:bottom w:val="single" w:sz="8" w:color="FAFAFA"/>
            </w:tcBorders>
            <w:shd w:val="clear" w:color="auto" w:fill="FAFAFA"/>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460" w:type="dxa"/>
            <w:vAlign w:val="bottom"/>
            <w:tcBorders>
              <w:bottom w:val="single" w:sz="8" w:color="FAFAFA"/>
            </w:tcBorders>
            <w:gridSpan w:val="2"/>
            <w:shd w:val="clear" w:color="auto" w:fill="FAFAFA"/>
          </w:tcPr>
          <w:p>
            <w:pPr>
              <w:spacing w:after="0"/>
              <w:rPr>
                <w:sz w:val="24"/>
                <w:szCs w:val="24"/>
                <w:color w:val="auto"/>
              </w:rPr>
            </w:pPr>
          </w:p>
        </w:tc>
        <w:tc>
          <w:tcPr>
            <w:tcW w:w="700" w:type="dxa"/>
            <w:vAlign w:val="bottom"/>
            <w:tcBorders>
              <w:bottom w:val="single" w:sz="8" w:color="FAFAFA"/>
            </w:tcBorders>
            <w:shd w:val="clear" w:color="auto" w:fill="FAFAFA"/>
          </w:tcPr>
          <w:p>
            <w:pPr>
              <w:spacing w:after="0"/>
              <w:rPr>
                <w:sz w:val="24"/>
                <w:szCs w:val="24"/>
                <w:color w:val="auto"/>
              </w:rPr>
            </w:pPr>
          </w:p>
        </w:tc>
        <w:tc>
          <w:tcPr>
            <w:tcW w:w="2860" w:type="dxa"/>
            <w:vAlign w:val="bottom"/>
            <w:tcBorders>
              <w:bottom w:val="single" w:sz="8" w:color="FAFAFA"/>
            </w:tcBorders>
            <w:gridSpan w:val="2"/>
            <w:shd w:val="clear" w:color="auto" w:fill="FAFAFA"/>
          </w:tcPr>
          <w:p>
            <w:pPr>
              <w:spacing w:after="0"/>
              <w:rPr>
                <w:sz w:val="24"/>
                <w:szCs w:val="24"/>
                <w:color w:val="auto"/>
              </w:rPr>
            </w:pPr>
          </w:p>
        </w:tc>
        <w:tc>
          <w:tcPr>
            <w:tcW w:w="200" w:type="dxa"/>
            <w:vAlign w:val="bottom"/>
            <w:tcBorders>
              <w:bottom w:val="single" w:sz="8" w:color="FAFAFA"/>
            </w:tcBorders>
            <w:shd w:val="clear" w:color="auto" w:fill="FAFAFA"/>
          </w:tcPr>
          <w:p>
            <w:pPr>
              <w:spacing w:after="0"/>
              <w:rPr>
                <w:sz w:val="24"/>
                <w:szCs w:val="24"/>
                <w:color w:val="auto"/>
              </w:rPr>
            </w:pPr>
          </w:p>
        </w:tc>
        <w:tc>
          <w:tcPr>
            <w:tcW w:w="560" w:type="dxa"/>
            <w:vAlign w:val="bottom"/>
            <w:tcBorders>
              <w:bottom w:val="single" w:sz="8" w:color="FAFAFA"/>
            </w:tcBorders>
            <w:gridSpan w:val="4"/>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14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42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52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24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04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380" w:type="dxa"/>
            <w:vAlign w:val="bottom"/>
            <w:tcBorders>
              <w:top w:val="single" w:sz="8" w:color="FAFAFA"/>
            </w:tcBorders>
            <w:shd w:val="clear" w:color="auto" w:fill="FAFAFA"/>
          </w:tcPr>
          <w:p>
            <w:pPr>
              <w:spacing w:after="0"/>
              <w:rPr>
                <w:sz w:val="9"/>
                <w:szCs w:val="9"/>
                <w:color w:val="auto"/>
              </w:rPr>
            </w:pPr>
          </w:p>
        </w:tc>
        <w:tc>
          <w:tcPr>
            <w:tcW w:w="700" w:type="dxa"/>
            <w:vAlign w:val="bottom"/>
            <w:tcBorders>
              <w:top w:val="single" w:sz="8" w:color="FAFAFA"/>
            </w:tcBorders>
            <w:shd w:val="clear" w:color="auto" w:fill="FAFAFA"/>
          </w:tcPr>
          <w:p>
            <w:pPr>
              <w:spacing w:after="0"/>
              <w:rPr>
                <w:sz w:val="9"/>
                <w:szCs w:val="9"/>
                <w:color w:val="auto"/>
              </w:rPr>
            </w:pPr>
          </w:p>
        </w:tc>
        <w:tc>
          <w:tcPr>
            <w:tcW w:w="1520" w:type="dxa"/>
            <w:vAlign w:val="bottom"/>
            <w:tcBorders>
              <w:top w:val="single" w:sz="8" w:color="FAFAFA"/>
            </w:tcBorders>
            <w:shd w:val="clear" w:color="auto" w:fill="FAFAFA"/>
          </w:tcPr>
          <w:p>
            <w:pPr>
              <w:spacing w:after="0"/>
              <w:rPr>
                <w:sz w:val="9"/>
                <w:szCs w:val="9"/>
                <w:color w:val="auto"/>
              </w:rPr>
            </w:pPr>
          </w:p>
        </w:tc>
        <w:tc>
          <w:tcPr>
            <w:tcW w:w="134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160" w:type="dxa"/>
            <w:vAlign w:val="bottom"/>
            <w:tcBorders>
              <w:bottom w:val="single" w:sz="8" w:color="EBEBEB"/>
            </w:tcBorders>
            <w:shd w:val="clear" w:color="auto" w:fill="EBEBEB"/>
          </w:tcPr>
          <w:p>
            <w:pPr>
              <w:spacing w:after="0"/>
              <w:rPr>
                <w:sz w:val="24"/>
                <w:szCs w:val="24"/>
                <w:color w:val="auto"/>
              </w:rPr>
            </w:pPr>
          </w:p>
        </w:tc>
        <w:tc>
          <w:tcPr>
            <w:tcW w:w="2560" w:type="dxa"/>
            <w:vAlign w:val="bottom"/>
            <w:tcBorders>
              <w:bottom w:val="single" w:sz="8" w:color="0000EE"/>
            </w:tcBorders>
            <w:gridSpan w:val="17"/>
            <w:shd w:val="clear" w:color="auto" w:fill="EBEBEB"/>
          </w:tcPr>
          <w:p>
            <w:pPr>
              <w:spacing w:after="0"/>
              <w:rPr>
                <w:sz w:val="20"/>
                <w:szCs w:val="20"/>
                <w:color w:val="auto"/>
              </w:rPr>
            </w:pPr>
            <w:r>
              <w:rPr>
                <w:rFonts w:ascii="Arial" w:cs="Arial" w:eastAsia="Arial" w:hAnsi="Arial"/>
                <w:sz w:val="14"/>
                <w:szCs w:val="14"/>
                <w:color w:val="0000EE"/>
              </w:rPr>
              <w:t>Role of Board in Risk Oversight Process</w:t>
            </w:r>
          </w:p>
        </w:tc>
        <w:tc>
          <w:tcPr>
            <w:tcW w:w="240" w:type="dxa"/>
            <w:vAlign w:val="bottom"/>
            <w:tcBorders>
              <w:bottom w:val="single" w:sz="8" w:color="EBEBEB"/>
            </w:tcBorders>
            <w:shd w:val="clear" w:color="auto" w:fill="EBEBEB"/>
          </w:tcPr>
          <w:p>
            <w:pPr>
              <w:spacing w:after="0"/>
              <w:rPr>
                <w:sz w:val="24"/>
                <w:szCs w:val="24"/>
                <w:color w:val="auto"/>
              </w:rPr>
            </w:pPr>
          </w:p>
        </w:tc>
        <w:tc>
          <w:tcPr>
            <w:tcW w:w="22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1040" w:type="dxa"/>
            <w:vAlign w:val="bottom"/>
            <w:tcBorders>
              <w:bottom w:val="single" w:sz="8" w:color="EBEBEB"/>
            </w:tcBorders>
            <w:shd w:val="clear" w:color="auto" w:fill="EBEBEB"/>
          </w:tcPr>
          <w:p>
            <w:pPr>
              <w:spacing w:after="0"/>
              <w:rPr>
                <w:sz w:val="24"/>
                <w:szCs w:val="24"/>
                <w:color w:val="auto"/>
              </w:rPr>
            </w:pPr>
          </w:p>
        </w:tc>
        <w:tc>
          <w:tcPr>
            <w:tcW w:w="40" w:type="dxa"/>
            <w:vAlign w:val="bottom"/>
            <w:tcBorders>
              <w:bottom w:val="single" w:sz="8" w:color="EBEBEB"/>
            </w:tcBorders>
            <w:shd w:val="clear" w:color="auto" w:fill="EBEBEB"/>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460" w:type="dxa"/>
            <w:vAlign w:val="bottom"/>
            <w:tcBorders>
              <w:bottom w:val="single" w:sz="8" w:color="EBEBEB"/>
            </w:tcBorders>
            <w:gridSpan w:val="2"/>
            <w:shd w:val="clear" w:color="auto" w:fill="EBEBEB"/>
          </w:tcPr>
          <w:p>
            <w:pPr>
              <w:spacing w:after="0"/>
              <w:rPr>
                <w:sz w:val="24"/>
                <w:szCs w:val="24"/>
                <w:color w:val="auto"/>
              </w:rPr>
            </w:pPr>
          </w:p>
        </w:tc>
        <w:tc>
          <w:tcPr>
            <w:tcW w:w="700" w:type="dxa"/>
            <w:vAlign w:val="bottom"/>
            <w:tcBorders>
              <w:bottom w:val="single" w:sz="8" w:color="EBEBEB"/>
            </w:tcBorders>
            <w:shd w:val="clear" w:color="auto" w:fill="EBEBEB"/>
          </w:tcPr>
          <w:p>
            <w:pPr>
              <w:spacing w:after="0"/>
              <w:rPr>
                <w:sz w:val="24"/>
                <w:szCs w:val="24"/>
                <w:color w:val="auto"/>
              </w:rPr>
            </w:pPr>
          </w:p>
        </w:tc>
        <w:tc>
          <w:tcPr>
            <w:tcW w:w="2860" w:type="dxa"/>
            <w:vAlign w:val="bottom"/>
            <w:tcBorders>
              <w:bottom w:val="single" w:sz="8" w:color="EBEBEB"/>
            </w:tcBorders>
            <w:gridSpan w:val="2"/>
            <w:shd w:val="clear" w:color="auto" w:fill="EBEBEB"/>
          </w:tcPr>
          <w:p>
            <w:pPr>
              <w:spacing w:after="0"/>
              <w:rPr>
                <w:sz w:val="24"/>
                <w:szCs w:val="24"/>
                <w:color w:val="auto"/>
              </w:rPr>
            </w:pPr>
          </w:p>
        </w:tc>
        <w:tc>
          <w:tcPr>
            <w:tcW w:w="200" w:type="dxa"/>
            <w:vAlign w:val="bottom"/>
            <w:tcBorders>
              <w:bottom w:val="single" w:sz="8" w:color="EBEBEB"/>
            </w:tcBorders>
            <w:shd w:val="clear" w:color="auto" w:fill="EBEBEB"/>
          </w:tcPr>
          <w:p>
            <w:pPr>
              <w:spacing w:after="0"/>
              <w:rPr>
                <w:sz w:val="24"/>
                <w:szCs w:val="24"/>
                <w:color w:val="auto"/>
              </w:rPr>
            </w:pPr>
          </w:p>
        </w:tc>
        <w:tc>
          <w:tcPr>
            <w:tcW w:w="560" w:type="dxa"/>
            <w:vAlign w:val="bottom"/>
            <w:tcBorders>
              <w:bottom w:val="single" w:sz="8" w:color="EBEBEB"/>
            </w:tcBorders>
            <w:gridSpan w:val="4"/>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14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42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52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EBEBEB"/>
            </w:tcBorders>
            <w:shd w:val="clear" w:color="auto" w:fill="EBEBEB"/>
          </w:tcPr>
          <w:p>
            <w:pPr>
              <w:spacing w:after="0"/>
              <w:rPr>
                <w:sz w:val="9"/>
                <w:szCs w:val="9"/>
                <w:color w:val="auto"/>
              </w:rPr>
            </w:pPr>
          </w:p>
        </w:tc>
        <w:tc>
          <w:tcPr>
            <w:tcW w:w="24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04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380" w:type="dxa"/>
            <w:vAlign w:val="bottom"/>
            <w:tcBorders>
              <w:top w:val="single" w:sz="8" w:color="EBEBEB"/>
            </w:tcBorders>
            <w:shd w:val="clear" w:color="auto" w:fill="EBEBEB"/>
          </w:tcPr>
          <w:p>
            <w:pPr>
              <w:spacing w:after="0"/>
              <w:rPr>
                <w:sz w:val="9"/>
                <w:szCs w:val="9"/>
                <w:color w:val="auto"/>
              </w:rPr>
            </w:pPr>
          </w:p>
        </w:tc>
        <w:tc>
          <w:tcPr>
            <w:tcW w:w="700" w:type="dxa"/>
            <w:vAlign w:val="bottom"/>
            <w:tcBorders>
              <w:top w:val="single" w:sz="8" w:color="EBEBEB"/>
            </w:tcBorders>
            <w:shd w:val="clear" w:color="auto" w:fill="EBEBEB"/>
          </w:tcPr>
          <w:p>
            <w:pPr>
              <w:spacing w:after="0"/>
              <w:rPr>
                <w:sz w:val="9"/>
                <w:szCs w:val="9"/>
                <w:color w:val="auto"/>
              </w:rPr>
            </w:pPr>
          </w:p>
        </w:tc>
        <w:tc>
          <w:tcPr>
            <w:tcW w:w="1520" w:type="dxa"/>
            <w:vAlign w:val="bottom"/>
            <w:tcBorders>
              <w:top w:val="single" w:sz="8" w:color="EBEBEB"/>
            </w:tcBorders>
            <w:shd w:val="clear" w:color="auto" w:fill="EBEBEB"/>
          </w:tcPr>
          <w:p>
            <w:pPr>
              <w:spacing w:after="0"/>
              <w:rPr>
                <w:sz w:val="9"/>
                <w:szCs w:val="9"/>
                <w:color w:val="auto"/>
              </w:rPr>
            </w:pPr>
          </w:p>
        </w:tc>
        <w:tc>
          <w:tcPr>
            <w:tcW w:w="134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60" w:type="dxa"/>
            <w:vAlign w:val="bottom"/>
            <w:tcBorders>
              <w:bottom w:val="single" w:sz="8" w:color="FAFAFA"/>
            </w:tcBorders>
            <w:shd w:val="clear" w:color="auto" w:fill="FAFAFA"/>
          </w:tcPr>
          <w:p>
            <w:pPr>
              <w:spacing w:after="0"/>
              <w:rPr>
                <w:sz w:val="24"/>
                <w:szCs w:val="24"/>
                <w:color w:val="auto"/>
              </w:rPr>
            </w:pPr>
          </w:p>
        </w:tc>
        <w:tc>
          <w:tcPr>
            <w:tcW w:w="3040" w:type="dxa"/>
            <w:vAlign w:val="bottom"/>
            <w:tcBorders>
              <w:bottom w:val="single" w:sz="8" w:color="0000EE"/>
            </w:tcBorders>
            <w:gridSpan w:val="20"/>
            <w:shd w:val="clear" w:color="auto" w:fill="FAFAFA"/>
          </w:tcPr>
          <w:p>
            <w:pPr>
              <w:spacing w:after="0"/>
              <w:rPr>
                <w:sz w:val="20"/>
                <w:szCs w:val="20"/>
                <w:color w:val="auto"/>
              </w:rPr>
            </w:pPr>
            <w:r>
              <w:rPr>
                <w:rFonts w:ascii="Arial" w:cs="Arial" w:eastAsia="Arial" w:hAnsi="Arial"/>
                <w:sz w:val="14"/>
                <w:szCs w:val="14"/>
                <w:color w:val="0000EE"/>
              </w:rPr>
              <w:t>Attendance at Board and Stockholder Meetings</w:t>
            </w:r>
          </w:p>
        </w:tc>
        <w:tc>
          <w:tcPr>
            <w:tcW w:w="20" w:type="dxa"/>
            <w:vAlign w:val="bottom"/>
            <w:tcBorders>
              <w:bottom w:val="single" w:sz="8" w:color="FAFAFA"/>
            </w:tcBorders>
            <w:shd w:val="clear" w:color="auto" w:fill="FAFAFA"/>
          </w:tcPr>
          <w:p>
            <w:pPr>
              <w:spacing w:after="0"/>
              <w:rPr>
                <w:sz w:val="24"/>
                <w:szCs w:val="24"/>
                <w:color w:val="auto"/>
              </w:rPr>
            </w:pPr>
          </w:p>
        </w:tc>
        <w:tc>
          <w:tcPr>
            <w:tcW w:w="1040" w:type="dxa"/>
            <w:vAlign w:val="bottom"/>
            <w:tcBorders>
              <w:bottom w:val="single" w:sz="8" w:color="FAFAFA"/>
            </w:tcBorders>
            <w:shd w:val="clear" w:color="auto" w:fill="FAFAFA"/>
          </w:tcPr>
          <w:p>
            <w:pPr>
              <w:spacing w:after="0"/>
              <w:rPr>
                <w:sz w:val="24"/>
                <w:szCs w:val="24"/>
                <w:color w:val="auto"/>
              </w:rPr>
            </w:pPr>
          </w:p>
        </w:tc>
        <w:tc>
          <w:tcPr>
            <w:tcW w:w="40" w:type="dxa"/>
            <w:vAlign w:val="bottom"/>
            <w:tcBorders>
              <w:bottom w:val="single" w:sz="8" w:color="FAFAFA"/>
            </w:tcBorders>
            <w:shd w:val="clear" w:color="auto" w:fill="FAFAFA"/>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460" w:type="dxa"/>
            <w:vAlign w:val="bottom"/>
            <w:tcBorders>
              <w:bottom w:val="single" w:sz="8" w:color="FAFAFA"/>
            </w:tcBorders>
            <w:gridSpan w:val="2"/>
            <w:shd w:val="clear" w:color="auto" w:fill="FAFAFA"/>
          </w:tcPr>
          <w:p>
            <w:pPr>
              <w:spacing w:after="0"/>
              <w:rPr>
                <w:sz w:val="24"/>
                <w:szCs w:val="24"/>
                <w:color w:val="auto"/>
              </w:rPr>
            </w:pPr>
          </w:p>
        </w:tc>
        <w:tc>
          <w:tcPr>
            <w:tcW w:w="700" w:type="dxa"/>
            <w:vAlign w:val="bottom"/>
            <w:tcBorders>
              <w:bottom w:val="single" w:sz="8" w:color="FAFAFA"/>
            </w:tcBorders>
            <w:shd w:val="clear" w:color="auto" w:fill="FAFAFA"/>
          </w:tcPr>
          <w:p>
            <w:pPr>
              <w:spacing w:after="0"/>
              <w:rPr>
                <w:sz w:val="24"/>
                <w:szCs w:val="24"/>
                <w:color w:val="auto"/>
              </w:rPr>
            </w:pPr>
          </w:p>
        </w:tc>
        <w:tc>
          <w:tcPr>
            <w:tcW w:w="2860" w:type="dxa"/>
            <w:vAlign w:val="bottom"/>
            <w:tcBorders>
              <w:bottom w:val="single" w:sz="8" w:color="FAFAFA"/>
            </w:tcBorders>
            <w:gridSpan w:val="2"/>
            <w:shd w:val="clear" w:color="auto" w:fill="FAFAFA"/>
          </w:tcPr>
          <w:p>
            <w:pPr>
              <w:spacing w:after="0"/>
              <w:rPr>
                <w:sz w:val="24"/>
                <w:szCs w:val="24"/>
                <w:color w:val="auto"/>
              </w:rPr>
            </w:pPr>
          </w:p>
        </w:tc>
        <w:tc>
          <w:tcPr>
            <w:tcW w:w="200" w:type="dxa"/>
            <w:vAlign w:val="bottom"/>
            <w:tcBorders>
              <w:bottom w:val="single" w:sz="8" w:color="FAFAFA"/>
            </w:tcBorders>
            <w:shd w:val="clear" w:color="auto" w:fill="FAFAFA"/>
          </w:tcPr>
          <w:p>
            <w:pPr>
              <w:spacing w:after="0"/>
              <w:rPr>
                <w:sz w:val="24"/>
                <w:szCs w:val="24"/>
                <w:color w:val="auto"/>
              </w:rPr>
            </w:pPr>
          </w:p>
        </w:tc>
        <w:tc>
          <w:tcPr>
            <w:tcW w:w="560" w:type="dxa"/>
            <w:vAlign w:val="bottom"/>
            <w:tcBorders>
              <w:bottom w:val="single" w:sz="8" w:color="FAFAFA"/>
            </w:tcBorders>
            <w:gridSpan w:val="4"/>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15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42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52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24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04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380" w:type="dxa"/>
            <w:vAlign w:val="bottom"/>
            <w:tcBorders>
              <w:top w:val="single" w:sz="8" w:color="FAFAFA"/>
            </w:tcBorders>
            <w:shd w:val="clear" w:color="auto" w:fill="FAFAFA"/>
          </w:tcPr>
          <w:p>
            <w:pPr>
              <w:spacing w:after="0"/>
              <w:rPr>
                <w:sz w:val="9"/>
                <w:szCs w:val="9"/>
                <w:color w:val="auto"/>
              </w:rPr>
            </w:pPr>
          </w:p>
        </w:tc>
        <w:tc>
          <w:tcPr>
            <w:tcW w:w="700" w:type="dxa"/>
            <w:vAlign w:val="bottom"/>
            <w:tcBorders>
              <w:top w:val="single" w:sz="8" w:color="FAFAFA"/>
            </w:tcBorders>
            <w:shd w:val="clear" w:color="auto" w:fill="FAFAFA"/>
          </w:tcPr>
          <w:p>
            <w:pPr>
              <w:spacing w:after="0"/>
              <w:rPr>
                <w:sz w:val="9"/>
                <w:szCs w:val="9"/>
                <w:color w:val="auto"/>
              </w:rPr>
            </w:pPr>
          </w:p>
        </w:tc>
        <w:tc>
          <w:tcPr>
            <w:tcW w:w="1520" w:type="dxa"/>
            <w:vAlign w:val="bottom"/>
            <w:tcBorders>
              <w:top w:val="single" w:sz="8" w:color="FAFAFA"/>
            </w:tcBorders>
            <w:shd w:val="clear" w:color="auto" w:fill="FAFAFA"/>
          </w:tcPr>
          <w:p>
            <w:pPr>
              <w:spacing w:after="0"/>
              <w:rPr>
                <w:sz w:val="9"/>
                <w:szCs w:val="9"/>
                <w:color w:val="auto"/>
              </w:rPr>
            </w:pPr>
          </w:p>
        </w:tc>
        <w:tc>
          <w:tcPr>
            <w:tcW w:w="134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160" w:type="dxa"/>
            <w:vAlign w:val="bottom"/>
            <w:tcBorders>
              <w:bottom w:val="single" w:sz="8" w:color="EBEBEB"/>
            </w:tcBorders>
            <w:shd w:val="clear" w:color="auto" w:fill="EBEBEB"/>
          </w:tcPr>
          <w:p>
            <w:pPr>
              <w:spacing w:after="0"/>
              <w:rPr>
                <w:sz w:val="24"/>
                <w:szCs w:val="24"/>
                <w:color w:val="auto"/>
              </w:rPr>
            </w:pPr>
          </w:p>
        </w:tc>
        <w:tc>
          <w:tcPr>
            <w:tcW w:w="3020" w:type="dxa"/>
            <w:vAlign w:val="bottom"/>
            <w:tcBorders>
              <w:bottom w:val="single" w:sz="8" w:color="0000EE"/>
            </w:tcBorders>
            <w:gridSpan w:val="19"/>
            <w:shd w:val="clear" w:color="auto" w:fill="EBEBEB"/>
          </w:tcPr>
          <w:p>
            <w:pPr>
              <w:spacing w:after="0"/>
              <w:rPr>
                <w:sz w:val="20"/>
                <w:szCs w:val="20"/>
                <w:color w:val="auto"/>
              </w:rPr>
            </w:pPr>
            <w:r>
              <w:rPr>
                <w:rFonts w:ascii="Arial" w:cs="Arial" w:eastAsia="Arial" w:hAnsi="Arial"/>
                <w:sz w:val="14"/>
                <w:szCs w:val="14"/>
                <w:color w:val="0000EE"/>
              </w:rPr>
              <w:t>Executive Sessions of Non-Employee Directors</w:t>
            </w:r>
          </w:p>
        </w:tc>
        <w:tc>
          <w:tcPr>
            <w:tcW w:w="40" w:type="dxa"/>
            <w:vAlign w:val="bottom"/>
            <w:tcBorders>
              <w:bottom w:val="single" w:sz="8" w:color="EBEBEB"/>
            </w:tcBorders>
            <w:gridSpan w:val="2"/>
            <w:shd w:val="clear" w:color="auto" w:fill="EBEBEB"/>
          </w:tcPr>
          <w:p>
            <w:pPr>
              <w:spacing w:after="0"/>
              <w:rPr>
                <w:sz w:val="24"/>
                <w:szCs w:val="24"/>
                <w:color w:val="auto"/>
              </w:rPr>
            </w:pPr>
          </w:p>
        </w:tc>
        <w:tc>
          <w:tcPr>
            <w:tcW w:w="1040" w:type="dxa"/>
            <w:vAlign w:val="bottom"/>
            <w:tcBorders>
              <w:bottom w:val="single" w:sz="8" w:color="EBEBEB"/>
            </w:tcBorders>
            <w:shd w:val="clear" w:color="auto" w:fill="EBEBEB"/>
          </w:tcPr>
          <w:p>
            <w:pPr>
              <w:spacing w:after="0"/>
              <w:rPr>
                <w:sz w:val="24"/>
                <w:szCs w:val="24"/>
                <w:color w:val="auto"/>
              </w:rPr>
            </w:pPr>
          </w:p>
        </w:tc>
        <w:tc>
          <w:tcPr>
            <w:tcW w:w="40" w:type="dxa"/>
            <w:vAlign w:val="bottom"/>
            <w:tcBorders>
              <w:bottom w:val="single" w:sz="8" w:color="EBEBEB"/>
            </w:tcBorders>
            <w:shd w:val="clear" w:color="auto" w:fill="EBEBEB"/>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460" w:type="dxa"/>
            <w:vAlign w:val="bottom"/>
            <w:tcBorders>
              <w:bottom w:val="single" w:sz="8" w:color="EBEBEB"/>
            </w:tcBorders>
            <w:gridSpan w:val="2"/>
            <w:shd w:val="clear" w:color="auto" w:fill="EBEBEB"/>
          </w:tcPr>
          <w:p>
            <w:pPr>
              <w:spacing w:after="0"/>
              <w:rPr>
                <w:sz w:val="24"/>
                <w:szCs w:val="24"/>
                <w:color w:val="auto"/>
              </w:rPr>
            </w:pPr>
          </w:p>
        </w:tc>
        <w:tc>
          <w:tcPr>
            <w:tcW w:w="700" w:type="dxa"/>
            <w:vAlign w:val="bottom"/>
            <w:tcBorders>
              <w:bottom w:val="single" w:sz="8" w:color="EBEBEB"/>
            </w:tcBorders>
            <w:shd w:val="clear" w:color="auto" w:fill="EBEBEB"/>
          </w:tcPr>
          <w:p>
            <w:pPr>
              <w:spacing w:after="0"/>
              <w:rPr>
                <w:sz w:val="24"/>
                <w:szCs w:val="24"/>
                <w:color w:val="auto"/>
              </w:rPr>
            </w:pPr>
          </w:p>
        </w:tc>
        <w:tc>
          <w:tcPr>
            <w:tcW w:w="2860" w:type="dxa"/>
            <w:vAlign w:val="bottom"/>
            <w:tcBorders>
              <w:bottom w:val="single" w:sz="8" w:color="EBEBEB"/>
            </w:tcBorders>
            <w:gridSpan w:val="2"/>
            <w:shd w:val="clear" w:color="auto" w:fill="EBEBEB"/>
          </w:tcPr>
          <w:p>
            <w:pPr>
              <w:spacing w:after="0"/>
              <w:rPr>
                <w:sz w:val="24"/>
                <w:szCs w:val="24"/>
                <w:color w:val="auto"/>
              </w:rPr>
            </w:pPr>
          </w:p>
        </w:tc>
        <w:tc>
          <w:tcPr>
            <w:tcW w:w="200" w:type="dxa"/>
            <w:vAlign w:val="bottom"/>
            <w:tcBorders>
              <w:bottom w:val="single" w:sz="8" w:color="EBEBEB"/>
            </w:tcBorders>
            <w:shd w:val="clear" w:color="auto" w:fill="EBEBEB"/>
          </w:tcPr>
          <w:p>
            <w:pPr>
              <w:spacing w:after="0"/>
              <w:rPr>
                <w:sz w:val="24"/>
                <w:szCs w:val="24"/>
                <w:color w:val="auto"/>
              </w:rPr>
            </w:pPr>
          </w:p>
        </w:tc>
        <w:tc>
          <w:tcPr>
            <w:tcW w:w="560" w:type="dxa"/>
            <w:vAlign w:val="bottom"/>
            <w:tcBorders>
              <w:bottom w:val="single" w:sz="8" w:color="EBEBEB"/>
            </w:tcBorders>
            <w:gridSpan w:val="4"/>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15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42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52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EBEBEB"/>
            </w:tcBorders>
            <w:shd w:val="clear" w:color="auto" w:fill="EBEBEB"/>
          </w:tcPr>
          <w:p>
            <w:pPr>
              <w:spacing w:after="0"/>
              <w:rPr>
                <w:sz w:val="9"/>
                <w:szCs w:val="9"/>
                <w:color w:val="auto"/>
              </w:rPr>
            </w:pPr>
          </w:p>
        </w:tc>
        <w:tc>
          <w:tcPr>
            <w:tcW w:w="24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04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380" w:type="dxa"/>
            <w:vAlign w:val="bottom"/>
            <w:tcBorders>
              <w:top w:val="single" w:sz="8" w:color="EBEBEB"/>
            </w:tcBorders>
            <w:shd w:val="clear" w:color="auto" w:fill="EBEBEB"/>
          </w:tcPr>
          <w:p>
            <w:pPr>
              <w:spacing w:after="0"/>
              <w:rPr>
                <w:sz w:val="9"/>
                <w:szCs w:val="9"/>
                <w:color w:val="auto"/>
              </w:rPr>
            </w:pPr>
          </w:p>
        </w:tc>
        <w:tc>
          <w:tcPr>
            <w:tcW w:w="700" w:type="dxa"/>
            <w:vAlign w:val="bottom"/>
            <w:tcBorders>
              <w:top w:val="single" w:sz="8" w:color="EBEBEB"/>
            </w:tcBorders>
            <w:shd w:val="clear" w:color="auto" w:fill="EBEBEB"/>
          </w:tcPr>
          <w:p>
            <w:pPr>
              <w:spacing w:after="0"/>
              <w:rPr>
                <w:sz w:val="9"/>
                <w:szCs w:val="9"/>
                <w:color w:val="auto"/>
              </w:rPr>
            </w:pPr>
          </w:p>
        </w:tc>
        <w:tc>
          <w:tcPr>
            <w:tcW w:w="1520" w:type="dxa"/>
            <w:vAlign w:val="bottom"/>
            <w:tcBorders>
              <w:top w:val="single" w:sz="8" w:color="EBEBEB"/>
            </w:tcBorders>
            <w:shd w:val="clear" w:color="auto" w:fill="EBEBEB"/>
          </w:tcPr>
          <w:p>
            <w:pPr>
              <w:spacing w:after="0"/>
              <w:rPr>
                <w:sz w:val="9"/>
                <w:szCs w:val="9"/>
                <w:color w:val="auto"/>
              </w:rPr>
            </w:pPr>
          </w:p>
        </w:tc>
        <w:tc>
          <w:tcPr>
            <w:tcW w:w="134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60" w:type="dxa"/>
            <w:vAlign w:val="bottom"/>
            <w:tcBorders>
              <w:bottom w:val="single" w:sz="8" w:color="FAFAFA"/>
            </w:tcBorders>
            <w:shd w:val="clear" w:color="auto" w:fill="FAFAFA"/>
          </w:tcPr>
          <w:p>
            <w:pPr>
              <w:spacing w:after="0"/>
              <w:rPr>
                <w:sz w:val="24"/>
                <w:szCs w:val="24"/>
                <w:color w:val="auto"/>
              </w:rPr>
            </w:pPr>
          </w:p>
        </w:tc>
        <w:tc>
          <w:tcPr>
            <w:tcW w:w="980" w:type="dxa"/>
            <w:vAlign w:val="bottom"/>
            <w:tcBorders>
              <w:bottom w:val="single" w:sz="8" w:color="0000EE"/>
            </w:tcBorders>
            <w:gridSpan w:val="4"/>
            <w:shd w:val="clear" w:color="auto" w:fill="FAFAFA"/>
          </w:tcPr>
          <w:p>
            <w:pPr>
              <w:spacing w:after="0"/>
              <w:rPr>
                <w:sz w:val="20"/>
                <w:szCs w:val="20"/>
                <w:color w:val="auto"/>
              </w:rPr>
            </w:pPr>
            <w:r>
              <w:rPr>
                <w:rFonts w:ascii="Arial" w:cs="Arial" w:eastAsia="Arial" w:hAnsi="Arial"/>
                <w:sz w:val="14"/>
                <w:szCs w:val="14"/>
                <w:color w:val="0000EE"/>
              </w:rPr>
              <w:t>Board Diversity</w:t>
            </w:r>
          </w:p>
        </w:tc>
        <w:tc>
          <w:tcPr>
            <w:tcW w:w="200" w:type="dxa"/>
            <w:vAlign w:val="bottom"/>
            <w:tcBorders>
              <w:bottom w:val="single" w:sz="8" w:color="FAFAFA"/>
            </w:tcBorders>
            <w:shd w:val="clear" w:color="auto" w:fill="FAFAFA"/>
          </w:tcPr>
          <w:p>
            <w:pPr>
              <w:spacing w:after="0"/>
              <w:rPr>
                <w:sz w:val="24"/>
                <w:szCs w:val="24"/>
                <w:color w:val="auto"/>
              </w:rPr>
            </w:pPr>
          </w:p>
        </w:tc>
        <w:tc>
          <w:tcPr>
            <w:tcW w:w="200" w:type="dxa"/>
            <w:vAlign w:val="bottom"/>
            <w:tcBorders>
              <w:bottom w:val="single" w:sz="8" w:color="FAFAFA"/>
            </w:tcBorders>
            <w:gridSpan w:val="2"/>
            <w:shd w:val="clear" w:color="auto" w:fill="FAFAFA"/>
          </w:tcPr>
          <w:p>
            <w:pPr>
              <w:spacing w:after="0"/>
              <w:rPr>
                <w:sz w:val="24"/>
                <w:szCs w:val="24"/>
                <w:color w:val="auto"/>
              </w:rPr>
            </w:pPr>
          </w:p>
        </w:tc>
        <w:tc>
          <w:tcPr>
            <w:tcW w:w="40" w:type="dxa"/>
            <w:vAlign w:val="bottom"/>
            <w:tcBorders>
              <w:bottom w:val="single" w:sz="8" w:color="FAFAFA"/>
            </w:tcBorders>
            <w:gridSpan w:val="2"/>
            <w:shd w:val="clear" w:color="auto" w:fill="FAFAFA"/>
          </w:tcPr>
          <w:p>
            <w:pPr>
              <w:spacing w:after="0"/>
              <w:rPr>
                <w:sz w:val="24"/>
                <w:szCs w:val="24"/>
                <w:color w:val="auto"/>
              </w:rPr>
            </w:pPr>
          </w:p>
        </w:tc>
        <w:tc>
          <w:tcPr>
            <w:tcW w:w="60" w:type="dxa"/>
            <w:vAlign w:val="bottom"/>
            <w:tcBorders>
              <w:bottom w:val="single" w:sz="8" w:color="FAFAFA"/>
            </w:tcBorders>
            <w:gridSpan w:val="2"/>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880" w:type="dxa"/>
            <w:vAlign w:val="bottom"/>
            <w:tcBorders>
              <w:bottom w:val="single" w:sz="8" w:color="FAFAFA"/>
            </w:tcBorders>
            <w:gridSpan w:val="4"/>
            <w:shd w:val="clear" w:color="auto" w:fill="FAFAFA"/>
          </w:tcPr>
          <w:p>
            <w:pPr>
              <w:spacing w:after="0"/>
              <w:rPr>
                <w:sz w:val="24"/>
                <w:szCs w:val="24"/>
                <w:color w:val="auto"/>
              </w:rPr>
            </w:pPr>
          </w:p>
        </w:tc>
        <w:tc>
          <w:tcPr>
            <w:tcW w:w="380" w:type="dxa"/>
            <w:vAlign w:val="bottom"/>
            <w:tcBorders>
              <w:bottom w:val="single" w:sz="8" w:color="FAFAFA"/>
            </w:tcBorders>
            <w:gridSpan w:val="2"/>
            <w:shd w:val="clear" w:color="auto" w:fill="FAFAFA"/>
          </w:tcPr>
          <w:p>
            <w:pPr>
              <w:spacing w:after="0"/>
              <w:rPr>
                <w:sz w:val="24"/>
                <w:szCs w:val="24"/>
                <w:color w:val="auto"/>
              </w:rPr>
            </w:pPr>
          </w:p>
        </w:tc>
        <w:tc>
          <w:tcPr>
            <w:tcW w:w="260" w:type="dxa"/>
            <w:vAlign w:val="bottom"/>
            <w:tcBorders>
              <w:bottom w:val="single" w:sz="8" w:color="FAFAFA"/>
            </w:tcBorders>
            <w:gridSpan w:val="3"/>
            <w:shd w:val="clear" w:color="auto" w:fill="FAFAFA"/>
          </w:tcPr>
          <w:p>
            <w:pPr>
              <w:spacing w:after="0"/>
              <w:rPr>
                <w:sz w:val="24"/>
                <w:szCs w:val="24"/>
                <w:color w:val="auto"/>
              </w:rPr>
            </w:pPr>
          </w:p>
        </w:tc>
        <w:tc>
          <w:tcPr>
            <w:tcW w:w="1040" w:type="dxa"/>
            <w:vAlign w:val="bottom"/>
            <w:tcBorders>
              <w:bottom w:val="single" w:sz="8" w:color="FAFAFA"/>
            </w:tcBorders>
            <w:shd w:val="clear" w:color="auto" w:fill="FAFAFA"/>
          </w:tcPr>
          <w:p>
            <w:pPr>
              <w:spacing w:after="0"/>
              <w:rPr>
                <w:sz w:val="24"/>
                <w:szCs w:val="24"/>
                <w:color w:val="auto"/>
              </w:rPr>
            </w:pPr>
          </w:p>
        </w:tc>
        <w:tc>
          <w:tcPr>
            <w:tcW w:w="40" w:type="dxa"/>
            <w:vAlign w:val="bottom"/>
            <w:tcBorders>
              <w:bottom w:val="single" w:sz="8" w:color="FAFAFA"/>
            </w:tcBorders>
            <w:shd w:val="clear" w:color="auto" w:fill="FAFAFA"/>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460" w:type="dxa"/>
            <w:vAlign w:val="bottom"/>
            <w:tcBorders>
              <w:bottom w:val="single" w:sz="8" w:color="FAFAFA"/>
            </w:tcBorders>
            <w:gridSpan w:val="2"/>
            <w:shd w:val="clear" w:color="auto" w:fill="FAFAFA"/>
          </w:tcPr>
          <w:p>
            <w:pPr>
              <w:spacing w:after="0"/>
              <w:rPr>
                <w:sz w:val="24"/>
                <w:szCs w:val="24"/>
                <w:color w:val="auto"/>
              </w:rPr>
            </w:pPr>
          </w:p>
        </w:tc>
        <w:tc>
          <w:tcPr>
            <w:tcW w:w="700" w:type="dxa"/>
            <w:vAlign w:val="bottom"/>
            <w:tcBorders>
              <w:bottom w:val="single" w:sz="8" w:color="FAFAFA"/>
            </w:tcBorders>
            <w:shd w:val="clear" w:color="auto" w:fill="FAFAFA"/>
          </w:tcPr>
          <w:p>
            <w:pPr>
              <w:spacing w:after="0"/>
              <w:rPr>
                <w:sz w:val="24"/>
                <w:szCs w:val="24"/>
                <w:color w:val="auto"/>
              </w:rPr>
            </w:pPr>
          </w:p>
        </w:tc>
        <w:tc>
          <w:tcPr>
            <w:tcW w:w="2860" w:type="dxa"/>
            <w:vAlign w:val="bottom"/>
            <w:tcBorders>
              <w:bottom w:val="single" w:sz="8" w:color="FAFAFA"/>
            </w:tcBorders>
            <w:gridSpan w:val="2"/>
            <w:shd w:val="clear" w:color="auto" w:fill="FAFAFA"/>
          </w:tcPr>
          <w:p>
            <w:pPr>
              <w:spacing w:after="0"/>
              <w:rPr>
                <w:sz w:val="24"/>
                <w:szCs w:val="24"/>
                <w:color w:val="auto"/>
              </w:rPr>
            </w:pPr>
          </w:p>
        </w:tc>
        <w:tc>
          <w:tcPr>
            <w:tcW w:w="200" w:type="dxa"/>
            <w:vAlign w:val="bottom"/>
            <w:tcBorders>
              <w:bottom w:val="single" w:sz="8" w:color="FAFAFA"/>
            </w:tcBorders>
            <w:shd w:val="clear" w:color="auto" w:fill="FAFAFA"/>
          </w:tcPr>
          <w:p>
            <w:pPr>
              <w:spacing w:after="0"/>
              <w:rPr>
                <w:sz w:val="24"/>
                <w:szCs w:val="24"/>
                <w:color w:val="auto"/>
              </w:rPr>
            </w:pPr>
          </w:p>
        </w:tc>
        <w:tc>
          <w:tcPr>
            <w:tcW w:w="560" w:type="dxa"/>
            <w:vAlign w:val="bottom"/>
            <w:tcBorders>
              <w:bottom w:val="single" w:sz="8" w:color="FAFAFA"/>
            </w:tcBorders>
            <w:gridSpan w:val="4"/>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15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42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52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24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04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380" w:type="dxa"/>
            <w:vAlign w:val="bottom"/>
            <w:tcBorders>
              <w:top w:val="single" w:sz="8" w:color="FAFAFA"/>
            </w:tcBorders>
            <w:shd w:val="clear" w:color="auto" w:fill="FAFAFA"/>
          </w:tcPr>
          <w:p>
            <w:pPr>
              <w:spacing w:after="0"/>
              <w:rPr>
                <w:sz w:val="9"/>
                <w:szCs w:val="9"/>
                <w:color w:val="auto"/>
              </w:rPr>
            </w:pPr>
          </w:p>
        </w:tc>
        <w:tc>
          <w:tcPr>
            <w:tcW w:w="700" w:type="dxa"/>
            <w:vAlign w:val="bottom"/>
            <w:tcBorders>
              <w:top w:val="single" w:sz="8" w:color="FAFAFA"/>
            </w:tcBorders>
            <w:shd w:val="clear" w:color="auto" w:fill="FAFAFA"/>
          </w:tcPr>
          <w:p>
            <w:pPr>
              <w:spacing w:after="0"/>
              <w:rPr>
                <w:sz w:val="9"/>
                <w:szCs w:val="9"/>
                <w:color w:val="auto"/>
              </w:rPr>
            </w:pPr>
          </w:p>
        </w:tc>
        <w:tc>
          <w:tcPr>
            <w:tcW w:w="1520" w:type="dxa"/>
            <w:vAlign w:val="bottom"/>
            <w:tcBorders>
              <w:top w:val="single" w:sz="8" w:color="FAFAFA"/>
            </w:tcBorders>
            <w:shd w:val="clear" w:color="auto" w:fill="FAFAFA"/>
          </w:tcPr>
          <w:p>
            <w:pPr>
              <w:spacing w:after="0"/>
              <w:rPr>
                <w:sz w:val="9"/>
                <w:szCs w:val="9"/>
                <w:color w:val="auto"/>
              </w:rPr>
            </w:pPr>
          </w:p>
        </w:tc>
        <w:tc>
          <w:tcPr>
            <w:tcW w:w="134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160" w:type="dxa"/>
            <w:vAlign w:val="bottom"/>
            <w:tcBorders>
              <w:bottom w:val="single" w:sz="8" w:color="EBEBEB"/>
            </w:tcBorders>
            <w:shd w:val="clear" w:color="auto" w:fill="EBEBEB"/>
          </w:tcPr>
          <w:p>
            <w:pPr>
              <w:spacing w:after="0"/>
              <w:rPr>
                <w:sz w:val="24"/>
                <w:szCs w:val="24"/>
                <w:color w:val="auto"/>
              </w:rPr>
            </w:pPr>
          </w:p>
        </w:tc>
        <w:tc>
          <w:tcPr>
            <w:tcW w:w="1180" w:type="dxa"/>
            <w:vAlign w:val="bottom"/>
            <w:tcBorders>
              <w:bottom w:val="single" w:sz="8" w:color="0000EE"/>
            </w:tcBorders>
            <w:gridSpan w:val="5"/>
            <w:shd w:val="clear" w:color="auto" w:fill="EBEBEB"/>
          </w:tcPr>
          <w:p>
            <w:pPr>
              <w:spacing w:after="0"/>
              <w:rPr>
                <w:sz w:val="20"/>
                <w:szCs w:val="20"/>
                <w:color w:val="auto"/>
              </w:rPr>
            </w:pPr>
            <w:r>
              <w:rPr>
                <w:rFonts w:ascii="Arial" w:cs="Arial" w:eastAsia="Arial" w:hAnsi="Arial"/>
                <w:sz w:val="14"/>
                <w:szCs w:val="14"/>
                <w:color w:val="0000EE"/>
              </w:rPr>
              <w:t>Board Committees</w:t>
            </w:r>
          </w:p>
        </w:tc>
        <w:tc>
          <w:tcPr>
            <w:tcW w:w="200" w:type="dxa"/>
            <w:vAlign w:val="bottom"/>
            <w:tcBorders>
              <w:bottom w:val="single" w:sz="8" w:color="EBEBEB"/>
            </w:tcBorders>
            <w:gridSpan w:val="2"/>
            <w:shd w:val="clear" w:color="auto" w:fill="EBEBEB"/>
          </w:tcPr>
          <w:p>
            <w:pPr>
              <w:spacing w:after="0"/>
              <w:rPr>
                <w:sz w:val="24"/>
                <w:szCs w:val="24"/>
                <w:color w:val="auto"/>
              </w:rPr>
            </w:pPr>
          </w:p>
        </w:tc>
        <w:tc>
          <w:tcPr>
            <w:tcW w:w="40" w:type="dxa"/>
            <w:vAlign w:val="bottom"/>
            <w:tcBorders>
              <w:bottom w:val="single" w:sz="8" w:color="EBEBEB"/>
            </w:tcBorders>
            <w:gridSpan w:val="2"/>
            <w:shd w:val="clear" w:color="auto" w:fill="EBEBEB"/>
          </w:tcPr>
          <w:p>
            <w:pPr>
              <w:spacing w:after="0"/>
              <w:rPr>
                <w:sz w:val="24"/>
                <w:szCs w:val="24"/>
                <w:color w:val="auto"/>
              </w:rPr>
            </w:pPr>
          </w:p>
        </w:tc>
        <w:tc>
          <w:tcPr>
            <w:tcW w:w="60" w:type="dxa"/>
            <w:vAlign w:val="bottom"/>
            <w:tcBorders>
              <w:bottom w:val="single" w:sz="8" w:color="EBEBEB"/>
            </w:tcBorders>
            <w:gridSpan w:val="2"/>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880" w:type="dxa"/>
            <w:vAlign w:val="bottom"/>
            <w:tcBorders>
              <w:bottom w:val="single" w:sz="8" w:color="EBEBEB"/>
            </w:tcBorders>
            <w:gridSpan w:val="4"/>
            <w:shd w:val="clear" w:color="auto" w:fill="EBEBEB"/>
          </w:tcPr>
          <w:p>
            <w:pPr>
              <w:spacing w:after="0"/>
              <w:rPr>
                <w:sz w:val="24"/>
                <w:szCs w:val="24"/>
                <w:color w:val="auto"/>
              </w:rPr>
            </w:pPr>
          </w:p>
        </w:tc>
        <w:tc>
          <w:tcPr>
            <w:tcW w:w="380" w:type="dxa"/>
            <w:vAlign w:val="bottom"/>
            <w:tcBorders>
              <w:bottom w:val="single" w:sz="8" w:color="EBEBEB"/>
            </w:tcBorders>
            <w:gridSpan w:val="2"/>
            <w:shd w:val="clear" w:color="auto" w:fill="EBEBEB"/>
          </w:tcPr>
          <w:p>
            <w:pPr>
              <w:spacing w:after="0"/>
              <w:rPr>
                <w:sz w:val="24"/>
                <w:szCs w:val="24"/>
                <w:color w:val="auto"/>
              </w:rPr>
            </w:pPr>
          </w:p>
        </w:tc>
        <w:tc>
          <w:tcPr>
            <w:tcW w:w="260" w:type="dxa"/>
            <w:vAlign w:val="bottom"/>
            <w:tcBorders>
              <w:bottom w:val="single" w:sz="8" w:color="EBEBEB"/>
            </w:tcBorders>
            <w:gridSpan w:val="3"/>
            <w:shd w:val="clear" w:color="auto" w:fill="EBEBEB"/>
          </w:tcPr>
          <w:p>
            <w:pPr>
              <w:spacing w:after="0"/>
              <w:rPr>
                <w:sz w:val="24"/>
                <w:szCs w:val="24"/>
                <w:color w:val="auto"/>
              </w:rPr>
            </w:pPr>
          </w:p>
        </w:tc>
        <w:tc>
          <w:tcPr>
            <w:tcW w:w="1040" w:type="dxa"/>
            <w:vAlign w:val="bottom"/>
            <w:tcBorders>
              <w:bottom w:val="single" w:sz="8" w:color="EBEBEB"/>
            </w:tcBorders>
            <w:shd w:val="clear" w:color="auto" w:fill="EBEBEB"/>
          </w:tcPr>
          <w:p>
            <w:pPr>
              <w:spacing w:after="0"/>
              <w:rPr>
                <w:sz w:val="24"/>
                <w:szCs w:val="24"/>
                <w:color w:val="auto"/>
              </w:rPr>
            </w:pPr>
          </w:p>
        </w:tc>
        <w:tc>
          <w:tcPr>
            <w:tcW w:w="40" w:type="dxa"/>
            <w:vAlign w:val="bottom"/>
            <w:tcBorders>
              <w:bottom w:val="single" w:sz="8" w:color="EBEBEB"/>
            </w:tcBorders>
            <w:shd w:val="clear" w:color="auto" w:fill="EBEBEB"/>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460" w:type="dxa"/>
            <w:vAlign w:val="bottom"/>
            <w:tcBorders>
              <w:bottom w:val="single" w:sz="8" w:color="EBEBEB"/>
            </w:tcBorders>
            <w:gridSpan w:val="2"/>
            <w:shd w:val="clear" w:color="auto" w:fill="EBEBEB"/>
          </w:tcPr>
          <w:p>
            <w:pPr>
              <w:spacing w:after="0"/>
              <w:rPr>
                <w:sz w:val="24"/>
                <w:szCs w:val="24"/>
                <w:color w:val="auto"/>
              </w:rPr>
            </w:pPr>
          </w:p>
        </w:tc>
        <w:tc>
          <w:tcPr>
            <w:tcW w:w="700" w:type="dxa"/>
            <w:vAlign w:val="bottom"/>
            <w:tcBorders>
              <w:bottom w:val="single" w:sz="8" w:color="EBEBEB"/>
            </w:tcBorders>
            <w:shd w:val="clear" w:color="auto" w:fill="EBEBEB"/>
          </w:tcPr>
          <w:p>
            <w:pPr>
              <w:spacing w:after="0"/>
              <w:rPr>
                <w:sz w:val="24"/>
                <w:szCs w:val="24"/>
                <w:color w:val="auto"/>
              </w:rPr>
            </w:pPr>
          </w:p>
        </w:tc>
        <w:tc>
          <w:tcPr>
            <w:tcW w:w="2860" w:type="dxa"/>
            <w:vAlign w:val="bottom"/>
            <w:tcBorders>
              <w:bottom w:val="single" w:sz="8" w:color="EBEBEB"/>
            </w:tcBorders>
            <w:gridSpan w:val="2"/>
            <w:shd w:val="clear" w:color="auto" w:fill="EBEBEB"/>
          </w:tcPr>
          <w:p>
            <w:pPr>
              <w:spacing w:after="0"/>
              <w:rPr>
                <w:sz w:val="24"/>
                <w:szCs w:val="24"/>
                <w:color w:val="auto"/>
              </w:rPr>
            </w:pPr>
          </w:p>
        </w:tc>
        <w:tc>
          <w:tcPr>
            <w:tcW w:w="200" w:type="dxa"/>
            <w:vAlign w:val="bottom"/>
            <w:tcBorders>
              <w:bottom w:val="single" w:sz="8" w:color="EBEBEB"/>
            </w:tcBorders>
            <w:shd w:val="clear" w:color="auto" w:fill="EBEBEB"/>
          </w:tcPr>
          <w:p>
            <w:pPr>
              <w:spacing w:after="0"/>
              <w:rPr>
                <w:sz w:val="24"/>
                <w:szCs w:val="24"/>
                <w:color w:val="auto"/>
              </w:rPr>
            </w:pPr>
          </w:p>
        </w:tc>
        <w:tc>
          <w:tcPr>
            <w:tcW w:w="560" w:type="dxa"/>
            <w:vAlign w:val="bottom"/>
            <w:tcBorders>
              <w:bottom w:val="single" w:sz="8" w:color="EBEBEB"/>
            </w:tcBorders>
            <w:gridSpan w:val="4"/>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15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42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52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EBEBEB"/>
            </w:tcBorders>
            <w:shd w:val="clear" w:color="auto" w:fill="EBEBEB"/>
          </w:tcPr>
          <w:p>
            <w:pPr>
              <w:spacing w:after="0"/>
              <w:rPr>
                <w:sz w:val="9"/>
                <w:szCs w:val="9"/>
                <w:color w:val="auto"/>
              </w:rPr>
            </w:pPr>
          </w:p>
        </w:tc>
        <w:tc>
          <w:tcPr>
            <w:tcW w:w="24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04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380" w:type="dxa"/>
            <w:vAlign w:val="bottom"/>
            <w:tcBorders>
              <w:top w:val="single" w:sz="8" w:color="EBEBEB"/>
            </w:tcBorders>
            <w:shd w:val="clear" w:color="auto" w:fill="EBEBEB"/>
          </w:tcPr>
          <w:p>
            <w:pPr>
              <w:spacing w:after="0"/>
              <w:rPr>
                <w:sz w:val="9"/>
                <w:szCs w:val="9"/>
                <w:color w:val="auto"/>
              </w:rPr>
            </w:pPr>
          </w:p>
        </w:tc>
        <w:tc>
          <w:tcPr>
            <w:tcW w:w="700" w:type="dxa"/>
            <w:vAlign w:val="bottom"/>
            <w:tcBorders>
              <w:top w:val="single" w:sz="8" w:color="EBEBEB"/>
            </w:tcBorders>
            <w:shd w:val="clear" w:color="auto" w:fill="EBEBEB"/>
          </w:tcPr>
          <w:p>
            <w:pPr>
              <w:spacing w:after="0"/>
              <w:rPr>
                <w:sz w:val="9"/>
                <w:szCs w:val="9"/>
                <w:color w:val="auto"/>
              </w:rPr>
            </w:pPr>
          </w:p>
        </w:tc>
        <w:tc>
          <w:tcPr>
            <w:tcW w:w="1520" w:type="dxa"/>
            <w:vAlign w:val="bottom"/>
            <w:tcBorders>
              <w:top w:val="single" w:sz="8" w:color="EBEBEB"/>
            </w:tcBorders>
            <w:shd w:val="clear" w:color="auto" w:fill="EBEBEB"/>
          </w:tcPr>
          <w:p>
            <w:pPr>
              <w:spacing w:after="0"/>
              <w:rPr>
                <w:sz w:val="9"/>
                <w:szCs w:val="9"/>
                <w:color w:val="auto"/>
              </w:rPr>
            </w:pPr>
          </w:p>
        </w:tc>
        <w:tc>
          <w:tcPr>
            <w:tcW w:w="134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60" w:type="dxa"/>
            <w:vAlign w:val="bottom"/>
            <w:tcBorders>
              <w:bottom w:val="single" w:sz="8" w:color="FAFAFA"/>
            </w:tcBorders>
            <w:shd w:val="clear" w:color="auto" w:fill="FAFAFA"/>
          </w:tcPr>
          <w:p>
            <w:pPr>
              <w:spacing w:after="0"/>
              <w:rPr>
                <w:sz w:val="24"/>
                <w:szCs w:val="24"/>
                <w:color w:val="auto"/>
              </w:rPr>
            </w:pPr>
          </w:p>
        </w:tc>
        <w:tc>
          <w:tcPr>
            <w:tcW w:w="3060" w:type="dxa"/>
            <w:vAlign w:val="bottom"/>
            <w:tcBorders>
              <w:bottom w:val="single" w:sz="8" w:color="0000EE"/>
            </w:tcBorders>
            <w:gridSpan w:val="21"/>
            <w:shd w:val="clear" w:color="auto" w:fill="FAFAFA"/>
          </w:tcPr>
          <w:p>
            <w:pPr>
              <w:spacing w:after="0"/>
              <w:rPr>
                <w:sz w:val="20"/>
                <w:szCs w:val="20"/>
                <w:color w:val="auto"/>
              </w:rPr>
            </w:pPr>
            <w:r>
              <w:rPr>
                <w:rFonts w:ascii="Arial" w:cs="Arial" w:eastAsia="Arial" w:hAnsi="Arial"/>
                <w:sz w:val="14"/>
                <w:szCs w:val="14"/>
                <w:color w:val="0000EE"/>
              </w:rPr>
              <w:t>Considerations in Evaluating Director Nominees</w:t>
            </w:r>
          </w:p>
        </w:tc>
        <w:tc>
          <w:tcPr>
            <w:tcW w:w="1040" w:type="dxa"/>
            <w:vAlign w:val="bottom"/>
            <w:tcBorders>
              <w:bottom w:val="single" w:sz="8" w:color="FAFAFA"/>
            </w:tcBorders>
            <w:shd w:val="clear" w:color="auto" w:fill="FAFAFA"/>
          </w:tcPr>
          <w:p>
            <w:pPr>
              <w:spacing w:after="0"/>
              <w:rPr>
                <w:sz w:val="24"/>
                <w:szCs w:val="24"/>
                <w:color w:val="auto"/>
              </w:rPr>
            </w:pPr>
          </w:p>
        </w:tc>
        <w:tc>
          <w:tcPr>
            <w:tcW w:w="40" w:type="dxa"/>
            <w:vAlign w:val="bottom"/>
            <w:tcBorders>
              <w:bottom w:val="single" w:sz="8" w:color="FAFAFA"/>
            </w:tcBorders>
            <w:shd w:val="clear" w:color="auto" w:fill="FAFAFA"/>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460" w:type="dxa"/>
            <w:vAlign w:val="bottom"/>
            <w:tcBorders>
              <w:bottom w:val="single" w:sz="8" w:color="FAFAFA"/>
            </w:tcBorders>
            <w:gridSpan w:val="2"/>
            <w:shd w:val="clear" w:color="auto" w:fill="FAFAFA"/>
          </w:tcPr>
          <w:p>
            <w:pPr>
              <w:spacing w:after="0"/>
              <w:rPr>
                <w:sz w:val="24"/>
                <w:szCs w:val="24"/>
                <w:color w:val="auto"/>
              </w:rPr>
            </w:pPr>
          </w:p>
        </w:tc>
        <w:tc>
          <w:tcPr>
            <w:tcW w:w="700" w:type="dxa"/>
            <w:vAlign w:val="bottom"/>
            <w:tcBorders>
              <w:bottom w:val="single" w:sz="8" w:color="FAFAFA"/>
            </w:tcBorders>
            <w:shd w:val="clear" w:color="auto" w:fill="FAFAFA"/>
          </w:tcPr>
          <w:p>
            <w:pPr>
              <w:spacing w:after="0"/>
              <w:rPr>
                <w:sz w:val="24"/>
                <w:szCs w:val="24"/>
                <w:color w:val="auto"/>
              </w:rPr>
            </w:pPr>
          </w:p>
        </w:tc>
        <w:tc>
          <w:tcPr>
            <w:tcW w:w="2860" w:type="dxa"/>
            <w:vAlign w:val="bottom"/>
            <w:tcBorders>
              <w:bottom w:val="single" w:sz="8" w:color="FAFAFA"/>
            </w:tcBorders>
            <w:gridSpan w:val="2"/>
            <w:shd w:val="clear" w:color="auto" w:fill="FAFAFA"/>
          </w:tcPr>
          <w:p>
            <w:pPr>
              <w:spacing w:after="0"/>
              <w:rPr>
                <w:sz w:val="24"/>
                <w:szCs w:val="24"/>
                <w:color w:val="auto"/>
              </w:rPr>
            </w:pPr>
          </w:p>
        </w:tc>
        <w:tc>
          <w:tcPr>
            <w:tcW w:w="200" w:type="dxa"/>
            <w:vAlign w:val="bottom"/>
            <w:tcBorders>
              <w:bottom w:val="single" w:sz="8" w:color="FAFAFA"/>
            </w:tcBorders>
            <w:shd w:val="clear" w:color="auto" w:fill="FAFAFA"/>
          </w:tcPr>
          <w:p>
            <w:pPr>
              <w:spacing w:after="0"/>
              <w:rPr>
                <w:sz w:val="24"/>
                <w:szCs w:val="24"/>
                <w:color w:val="auto"/>
              </w:rPr>
            </w:pPr>
          </w:p>
        </w:tc>
        <w:tc>
          <w:tcPr>
            <w:tcW w:w="560" w:type="dxa"/>
            <w:vAlign w:val="bottom"/>
            <w:tcBorders>
              <w:bottom w:val="single" w:sz="8" w:color="FAFAFA"/>
            </w:tcBorders>
            <w:gridSpan w:val="4"/>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18</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42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52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24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04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380" w:type="dxa"/>
            <w:vAlign w:val="bottom"/>
            <w:tcBorders>
              <w:top w:val="single" w:sz="8" w:color="FAFAFA"/>
            </w:tcBorders>
            <w:shd w:val="clear" w:color="auto" w:fill="FAFAFA"/>
          </w:tcPr>
          <w:p>
            <w:pPr>
              <w:spacing w:after="0"/>
              <w:rPr>
                <w:sz w:val="9"/>
                <w:szCs w:val="9"/>
                <w:color w:val="auto"/>
              </w:rPr>
            </w:pPr>
          </w:p>
        </w:tc>
        <w:tc>
          <w:tcPr>
            <w:tcW w:w="700" w:type="dxa"/>
            <w:vAlign w:val="bottom"/>
            <w:tcBorders>
              <w:top w:val="single" w:sz="8" w:color="FAFAFA"/>
            </w:tcBorders>
            <w:shd w:val="clear" w:color="auto" w:fill="FAFAFA"/>
          </w:tcPr>
          <w:p>
            <w:pPr>
              <w:spacing w:after="0"/>
              <w:rPr>
                <w:sz w:val="9"/>
                <w:szCs w:val="9"/>
                <w:color w:val="auto"/>
              </w:rPr>
            </w:pPr>
          </w:p>
        </w:tc>
        <w:tc>
          <w:tcPr>
            <w:tcW w:w="1520" w:type="dxa"/>
            <w:vAlign w:val="bottom"/>
            <w:tcBorders>
              <w:top w:val="single" w:sz="8" w:color="FAFAFA"/>
            </w:tcBorders>
            <w:shd w:val="clear" w:color="auto" w:fill="FAFAFA"/>
          </w:tcPr>
          <w:p>
            <w:pPr>
              <w:spacing w:after="0"/>
              <w:rPr>
                <w:sz w:val="9"/>
                <w:szCs w:val="9"/>
                <w:color w:val="auto"/>
              </w:rPr>
            </w:pPr>
          </w:p>
        </w:tc>
        <w:tc>
          <w:tcPr>
            <w:tcW w:w="134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160" w:type="dxa"/>
            <w:vAlign w:val="bottom"/>
            <w:tcBorders>
              <w:bottom w:val="single" w:sz="8" w:color="EBEBEB"/>
            </w:tcBorders>
            <w:shd w:val="clear" w:color="auto" w:fill="EBEBEB"/>
          </w:tcPr>
          <w:p>
            <w:pPr>
              <w:spacing w:after="0"/>
              <w:rPr>
                <w:sz w:val="24"/>
                <w:szCs w:val="24"/>
                <w:color w:val="auto"/>
              </w:rPr>
            </w:pPr>
          </w:p>
        </w:tc>
        <w:tc>
          <w:tcPr>
            <w:tcW w:w="4720" w:type="dxa"/>
            <w:vAlign w:val="bottom"/>
            <w:tcBorders>
              <w:bottom w:val="single" w:sz="8" w:color="0000EE"/>
            </w:tcBorders>
            <w:gridSpan w:val="26"/>
            <w:shd w:val="clear" w:color="auto" w:fill="EBEBEB"/>
          </w:tcPr>
          <w:p>
            <w:pPr>
              <w:spacing w:after="0"/>
              <w:rPr>
                <w:sz w:val="20"/>
                <w:szCs w:val="20"/>
                <w:color w:val="auto"/>
              </w:rPr>
            </w:pPr>
            <w:r>
              <w:rPr>
                <w:rFonts w:ascii="Arial" w:cs="Arial" w:eastAsia="Arial" w:hAnsi="Arial"/>
                <w:sz w:val="14"/>
                <w:szCs w:val="14"/>
                <w:color w:val="0000EE"/>
              </w:rPr>
              <w:t>Stockholder Recommendations and Nominations to our Board of Directors</w:t>
            </w:r>
          </w:p>
        </w:tc>
        <w:tc>
          <w:tcPr>
            <w:tcW w:w="700" w:type="dxa"/>
            <w:vAlign w:val="bottom"/>
            <w:tcBorders>
              <w:bottom w:val="single" w:sz="8" w:color="EBEBEB"/>
            </w:tcBorders>
            <w:shd w:val="clear" w:color="auto" w:fill="EBEBEB"/>
          </w:tcPr>
          <w:p>
            <w:pPr>
              <w:spacing w:after="0"/>
              <w:rPr>
                <w:sz w:val="24"/>
                <w:szCs w:val="24"/>
                <w:color w:val="auto"/>
              </w:rPr>
            </w:pPr>
          </w:p>
        </w:tc>
        <w:tc>
          <w:tcPr>
            <w:tcW w:w="2860" w:type="dxa"/>
            <w:vAlign w:val="bottom"/>
            <w:tcBorders>
              <w:bottom w:val="single" w:sz="8" w:color="EBEBEB"/>
            </w:tcBorders>
            <w:gridSpan w:val="2"/>
            <w:shd w:val="clear" w:color="auto" w:fill="EBEBEB"/>
          </w:tcPr>
          <w:p>
            <w:pPr>
              <w:spacing w:after="0"/>
              <w:rPr>
                <w:sz w:val="24"/>
                <w:szCs w:val="24"/>
                <w:color w:val="auto"/>
              </w:rPr>
            </w:pPr>
          </w:p>
        </w:tc>
        <w:tc>
          <w:tcPr>
            <w:tcW w:w="200" w:type="dxa"/>
            <w:vAlign w:val="bottom"/>
            <w:tcBorders>
              <w:bottom w:val="single" w:sz="8" w:color="EBEBEB"/>
            </w:tcBorders>
            <w:shd w:val="clear" w:color="auto" w:fill="EBEBEB"/>
          </w:tcPr>
          <w:p>
            <w:pPr>
              <w:spacing w:after="0"/>
              <w:rPr>
                <w:sz w:val="24"/>
                <w:szCs w:val="24"/>
                <w:color w:val="auto"/>
              </w:rPr>
            </w:pPr>
          </w:p>
        </w:tc>
        <w:tc>
          <w:tcPr>
            <w:tcW w:w="560" w:type="dxa"/>
            <w:vAlign w:val="bottom"/>
            <w:tcBorders>
              <w:bottom w:val="single" w:sz="8" w:color="EBEBEB"/>
            </w:tcBorders>
            <w:gridSpan w:val="4"/>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18</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42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52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EBEBEB"/>
            </w:tcBorders>
            <w:shd w:val="clear" w:color="auto" w:fill="EBEBEB"/>
          </w:tcPr>
          <w:p>
            <w:pPr>
              <w:spacing w:after="0"/>
              <w:rPr>
                <w:sz w:val="9"/>
                <w:szCs w:val="9"/>
                <w:color w:val="auto"/>
              </w:rPr>
            </w:pPr>
          </w:p>
        </w:tc>
        <w:tc>
          <w:tcPr>
            <w:tcW w:w="24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04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380" w:type="dxa"/>
            <w:vAlign w:val="bottom"/>
            <w:tcBorders>
              <w:top w:val="single" w:sz="8" w:color="EBEBEB"/>
            </w:tcBorders>
            <w:shd w:val="clear" w:color="auto" w:fill="EBEBEB"/>
          </w:tcPr>
          <w:p>
            <w:pPr>
              <w:spacing w:after="0"/>
              <w:rPr>
                <w:sz w:val="9"/>
                <w:szCs w:val="9"/>
                <w:color w:val="auto"/>
              </w:rPr>
            </w:pPr>
          </w:p>
        </w:tc>
        <w:tc>
          <w:tcPr>
            <w:tcW w:w="700" w:type="dxa"/>
            <w:vAlign w:val="bottom"/>
            <w:tcBorders>
              <w:top w:val="single" w:sz="8" w:color="EBEBEB"/>
            </w:tcBorders>
            <w:shd w:val="clear" w:color="auto" w:fill="EBEBEB"/>
          </w:tcPr>
          <w:p>
            <w:pPr>
              <w:spacing w:after="0"/>
              <w:rPr>
                <w:sz w:val="9"/>
                <w:szCs w:val="9"/>
                <w:color w:val="auto"/>
              </w:rPr>
            </w:pPr>
          </w:p>
        </w:tc>
        <w:tc>
          <w:tcPr>
            <w:tcW w:w="1520" w:type="dxa"/>
            <w:vAlign w:val="bottom"/>
            <w:tcBorders>
              <w:top w:val="single" w:sz="8" w:color="EBEBEB"/>
            </w:tcBorders>
            <w:shd w:val="clear" w:color="auto" w:fill="EBEBEB"/>
          </w:tcPr>
          <w:p>
            <w:pPr>
              <w:spacing w:after="0"/>
              <w:rPr>
                <w:sz w:val="9"/>
                <w:szCs w:val="9"/>
                <w:color w:val="auto"/>
              </w:rPr>
            </w:pPr>
          </w:p>
        </w:tc>
        <w:tc>
          <w:tcPr>
            <w:tcW w:w="134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60" w:type="dxa"/>
            <w:vAlign w:val="bottom"/>
            <w:tcBorders>
              <w:bottom w:val="single" w:sz="8" w:color="FAFAFA"/>
            </w:tcBorders>
            <w:shd w:val="clear" w:color="auto" w:fill="FAFAFA"/>
          </w:tcPr>
          <w:p>
            <w:pPr>
              <w:spacing w:after="0"/>
              <w:rPr>
                <w:sz w:val="24"/>
                <w:szCs w:val="24"/>
                <w:color w:val="auto"/>
              </w:rPr>
            </w:pPr>
          </w:p>
        </w:tc>
        <w:tc>
          <w:tcPr>
            <w:tcW w:w="2800" w:type="dxa"/>
            <w:vAlign w:val="bottom"/>
            <w:tcBorders>
              <w:bottom w:val="single" w:sz="8" w:color="0000EE"/>
            </w:tcBorders>
            <w:gridSpan w:val="18"/>
            <w:shd w:val="clear" w:color="auto" w:fill="FAFAFA"/>
          </w:tcPr>
          <w:p>
            <w:pPr>
              <w:spacing w:after="0"/>
              <w:rPr>
                <w:sz w:val="20"/>
                <w:szCs w:val="20"/>
                <w:color w:val="auto"/>
              </w:rPr>
            </w:pPr>
            <w:r>
              <w:rPr>
                <w:rFonts w:ascii="Arial" w:cs="Arial" w:eastAsia="Arial" w:hAnsi="Arial"/>
                <w:sz w:val="14"/>
                <w:szCs w:val="14"/>
                <w:color w:val="0000EE"/>
              </w:rPr>
              <w:t>Communications with the Board of Directors</w:t>
            </w:r>
          </w:p>
        </w:tc>
        <w:tc>
          <w:tcPr>
            <w:tcW w:w="1300" w:type="dxa"/>
            <w:vAlign w:val="bottom"/>
            <w:tcBorders>
              <w:bottom w:val="single" w:sz="8" w:color="FAFAFA"/>
            </w:tcBorders>
            <w:gridSpan w:val="4"/>
            <w:shd w:val="clear" w:color="auto" w:fill="FAFAFA"/>
          </w:tcPr>
          <w:p>
            <w:pPr>
              <w:spacing w:after="0"/>
              <w:rPr>
                <w:sz w:val="24"/>
                <w:szCs w:val="24"/>
                <w:color w:val="auto"/>
              </w:rPr>
            </w:pPr>
          </w:p>
        </w:tc>
        <w:tc>
          <w:tcPr>
            <w:tcW w:w="40" w:type="dxa"/>
            <w:vAlign w:val="bottom"/>
            <w:tcBorders>
              <w:bottom w:val="single" w:sz="8" w:color="FAFAFA"/>
            </w:tcBorders>
            <w:shd w:val="clear" w:color="auto" w:fill="FAFAFA"/>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1160" w:type="dxa"/>
            <w:vAlign w:val="bottom"/>
            <w:tcBorders>
              <w:bottom w:val="single" w:sz="8" w:color="FAFAFA"/>
            </w:tcBorders>
            <w:gridSpan w:val="3"/>
            <w:shd w:val="clear" w:color="auto" w:fill="FAFAFA"/>
          </w:tcPr>
          <w:p>
            <w:pPr>
              <w:spacing w:after="0"/>
              <w:rPr>
                <w:sz w:val="24"/>
                <w:szCs w:val="24"/>
                <w:color w:val="auto"/>
              </w:rPr>
            </w:pPr>
          </w:p>
        </w:tc>
        <w:tc>
          <w:tcPr>
            <w:tcW w:w="2860" w:type="dxa"/>
            <w:vAlign w:val="bottom"/>
            <w:tcBorders>
              <w:bottom w:val="single" w:sz="8" w:color="FAFAFA"/>
            </w:tcBorders>
            <w:gridSpan w:val="2"/>
            <w:shd w:val="clear" w:color="auto" w:fill="FAFAFA"/>
          </w:tcPr>
          <w:p>
            <w:pPr>
              <w:spacing w:after="0"/>
              <w:rPr>
                <w:sz w:val="24"/>
                <w:szCs w:val="24"/>
                <w:color w:val="auto"/>
              </w:rPr>
            </w:pPr>
          </w:p>
        </w:tc>
        <w:tc>
          <w:tcPr>
            <w:tcW w:w="200" w:type="dxa"/>
            <w:vAlign w:val="bottom"/>
            <w:tcBorders>
              <w:bottom w:val="single" w:sz="8" w:color="FAFAFA"/>
            </w:tcBorders>
            <w:shd w:val="clear" w:color="auto" w:fill="FAFAFA"/>
          </w:tcPr>
          <w:p>
            <w:pPr>
              <w:spacing w:after="0"/>
              <w:rPr>
                <w:sz w:val="24"/>
                <w:szCs w:val="24"/>
                <w:color w:val="auto"/>
              </w:rPr>
            </w:pPr>
          </w:p>
        </w:tc>
        <w:tc>
          <w:tcPr>
            <w:tcW w:w="560" w:type="dxa"/>
            <w:vAlign w:val="bottom"/>
            <w:tcBorders>
              <w:bottom w:val="single" w:sz="8" w:color="FAFAFA"/>
            </w:tcBorders>
            <w:gridSpan w:val="4"/>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19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42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52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24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04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380" w:type="dxa"/>
            <w:vAlign w:val="bottom"/>
            <w:tcBorders>
              <w:top w:val="single" w:sz="8" w:color="FAFAFA"/>
            </w:tcBorders>
            <w:shd w:val="clear" w:color="auto" w:fill="FAFAFA"/>
          </w:tcPr>
          <w:p>
            <w:pPr>
              <w:spacing w:after="0"/>
              <w:rPr>
                <w:sz w:val="9"/>
                <w:szCs w:val="9"/>
                <w:color w:val="auto"/>
              </w:rPr>
            </w:pPr>
          </w:p>
        </w:tc>
        <w:tc>
          <w:tcPr>
            <w:tcW w:w="700" w:type="dxa"/>
            <w:vAlign w:val="bottom"/>
            <w:tcBorders>
              <w:top w:val="single" w:sz="8" w:color="FAFAFA"/>
            </w:tcBorders>
            <w:shd w:val="clear" w:color="auto" w:fill="FAFAFA"/>
          </w:tcPr>
          <w:p>
            <w:pPr>
              <w:spacing w:after="0"/>
              <w:rPr>
                <w:sz w:val="9"/>
                <w:szCs w:val="9"/>
                <w:color w:val="auto"/>
              </w:rPr>
            </w:pPr>
          </w:p>
        </w:tc>
        <w:tc>
          <w:tcPr>
            <w:tcW w:w="1520" w:type="dxa"/>
            <w:vAlign w:val="bottom"/>
            <w:tcBorders>
              <w:top w:val="single" w:sz="8" w:color="FAFAFA"/>
            </w:tcBorders>
            <w:shd w:val="clear" w:color="auto" w:fill="FAFAFA"/>
          </w:tcPr>
          <w:p>
            <w:pPr>
              <w:spacing w:after="0"/>
              <w:rPr>
                <w:sz w:val="9"/>
                <w:szCs w:val="9"/>
                <w:color w:val="auto"/>
              </w:rPr>
            </w:pPr>
          </w:p>
        </w:tc>
        <w:tc>
          <w:tcPr>
            <w:tcW w:w="134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4"/>
                <w:szCs w:val="24"/>
                <w:color w:val="auto"/>
              </w:rPr>
            </w:pPr>
          </w:p>
        </w:tc>
        <w:tc>
          <w:tcPr>
            <w:tcW w:w="120" w:type="dxa"/>
            <w:vAlign w:val="bottom"/>
            <w:shd w:val="clear" w:color="auto" w:fill="EBEBEB"/>
          </w:tcPr>
          <w:p>
            <w:pPr>
              <w:spacing w:after="0"/>
              <w:rPr>
                <w:sz w:val="24"/>
                <w:szCs w:val="24"/>
                <w:color w:val="auto"/>
              </w:rPr>
            </w:pPr>
          </w:p>
        </w:tc>
        <w:tc>
          <w:tcPr>
            <w:tcW w:w="60" w:type="dxa"/>
            <w:vAlign w:val="bottom"/>
            <w:shd w:val="clear" w:color="auto" w:fill="EBEBEB"/>
          </w:tcPr>
          <w:p>
            <w:pPr>
              <w:spacing w:after="0"/>
              <w:rPr>
                <w:sz w:val="24"/>
                <w:szCs w:val="24"/>
                <w:color w:val="auto"/>
              </w:rPr>
            </w:pPr>
          </w:p>
        </w:tc>
        <w:tc>
          <w:tcPr>
            <w:tcW w:w="20" w:type="dxa"/>
            <w:vAlign w:val="bottom"/>
            <w:shd w:val="clear" w:color="auto" w:fill="EBEBEB"/>
          </w:tcPr>
          <w:p>
            <w:pPr>
              <w:spacing w:after="0"/>
              <w:rPr>
                <w:sz w:val="24"/>
                <w:szCs w:val="24"/>
                <w:color w:val="auto"/>
              </w:rPr>
            </w:pPr>
          </w:p>
        </w:tc>
        <w:tc>
          <w:tcPr>
            <w:tcW w:w="160" w:type="dxa"/>
            <w:vAlign w:val="bottom"/>
            <w:shd w:val="clear" w:color="auto" w:fill="EBEBEB"/>
          </w:tcPr>
          <w:p>
            <w:pPr>
              <w:spacing w:after="0"/>
              <w:rPr>
                <w:sz w:val="24"/>
                <w:szCs w:val="24"/>
                <w:color w:val="auto"/>
              </w:rPr>
            </w:pPr>
          </w:p>
        </w:tc>
        <w:tc>
          <w:tcPr>
            <w:tcW w:w="8480" w:type="dxa"/>
            <w:vAlign w:val="bottom"/>
            <w:gridSpan w:val="30"/>
            <w:shd w:val="clear" w:color="auto" w:fill="EBEBEB"/>
          </w:tcPr>
          <w:p>
            <w:pPr>
              <w:spacing w:after="0"/>
              <w:rPr>
                <w:sz w:val="20"/>
                <w:szCs w:val="20"/>
                <w:color w:val="auto"/>
              </w:rPr>
            </w:pPr>
            <w:r>
              <w:rPr>
                <w:rFonts w:ascii="Arial" w:cs="Arial" w:eastAsia="Arial" w:hAnsi="Arial"/>
                <w:sz w:val="14"/>
                <w:szCs w:val="14"/>
                <w:color w:val="0000EE"/>
              </w:rPr>
              <w:t>Insider Trading Policy</w:t>
            </w:r>
          </w:p>
        </w:tc>
        <w:tc>
          <w:tcPr>
            <w:tcW w:w="560" w:type="dxa"/>
            <w:vAlign w:val="bottom"/>
            <w:gridSpan w:val="4"/>
            <w:shd w:val="clear" w:color="auto" w:fill="EBEBEB"/>
          </w:tcPr>
          <w:p>
            <w:pPr>
              <w:jc w:val="right"/>
              <w:ind w:right="80"/>
              <w:spacing w:after="0" w:line="310" w:lineRule="exact"/>
              <w:rPr>
                <w:sz w:val="20"/>
                <w:szCs w:val="20"/>
                <w:color w:val="auto"/>
              </w:rPr>
            </w:pPr>
            <w:r>
              <w:rPr>
                <w:rFonts w:ascii="Times New Roman" w:cs="Times New Roman" w:eastAsia="Times New Roman" w:hAnsi="Times New Roman"/>
                <w:sz w:val="29"/>
                <w:szCs w:val="29"/>
                <w:color w:val="0000EE"/>
              </w:rPr>
              <w:t>19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120" w:type="dxa"/>
            <w:vAlign w:val="bottom"/>
            <w:tcBorders>
              <w:top w:val="single" w:sz="8" w:color="EBEBEB"/>
            </w:tcBorders>
            <w:shd w:val="clear" w:color="auto" w:fill="EBEBEB"/>
          </w:tcPr>
          <w:p>
            <w:pPr>
              <w:spacing w:after="0"/>
              <w:rPr>
                <w:sz w:val="10"/>
                <w:szCs w:val="10"/>
                <w:color w:val="auto"/>
              </w:rPr>
            </w:pPr>
          </w:p>
        </w:tc>
        <w:tc>
          <w:tcPr>
            <w:tcW w:w="60" w:type="dxa"/>
            <w:vAlign w:val="bottom"/>
            <w:tcBorders>
              <w:top w:val="single" w:sz="8" w:color="EBEBEB"/>
            </w:tcBorders>
            <w:shd w:val="clear" w:color="auto" w:fill="EBEBEB"/>
          </w:tcPr>
          <w:p>
            <w:pPr>
              <w:spacing w:after="0"/>
              <w:rPr>
                <w:sz w:val="10"/>
                <w:szCs w:val="10"/>
                <w:color w:val="auto"/>
              </w:rPr>
            </w:pPr>
          </w:p>
        </w:tc>
        <w:tc>
          <w:tcPr>
            <w:tcW w:w="20" w:type="dxa"/>
            <w:vAlign w:val="bottom"/>
            <w:tcBorders>
              <w:top w:val="single" w:sz="8" w:color="EBEBEB"/>
            </w:tcBorders>
            <w:shd w:val="clear" w:color="auto" w:fill="EBEBEB"/>
          </w:tcPr>
          <w:p>
            <w:pPr>
              <w:spacing w:after="0"/>
              <w:rPr>
                <w:sz w:val="10"/>
                <w:szCs w:val="10"/>
                <w:color w:val="auto"/>
              </w:rPr>
            </w:pPr>
          </w:p>
        </w:tc>
        <w:tc>
          <w:tcPr>
            <w:tcW w:w="160" w:type="dxa"/>
            <w:vAlign w:val="bottom"/>
            <w:tcBorders>
              <w:top w:val="single" w:sz="8" w:color="EBEBEB"/>
            </w:tcBorders>
            <w:shd w:val="clear" w:color="auto" w:fill="EBEBEB"/>
          </w:tcPr>
          <w:p>
            <w:pPr>
              <w:spacing w:after="0"/>
              <w:rPr>
                <w:sz w:val="10"/>
                <w:szCs w:val="10"/>
                <w:color w:val="auto"/>
              </w:rPr>
            </w:pPr>
          </w:p>
        </w:tc>
        <w:tc>
          <w:tcPr>
            <w:tcW w:w="220" w:type="dxa"/>
            <w:vAlign w:val="bottom"/>
            <w:tcBorders>
              <w:top w:val="single" w:sz="8" w:color="0000EE"/>
            </w:tcBorders>
            <w:shd w:val="clear" w:color="auto" w:fill="EBEBEB"/>
          </w:tcPr>
          <w:p>
            <w:pPr>
              <w:spacing w:after="0"/>
              <w:rPr>
                <w:sz w:val="10"/>
                <w:szCs w:val="10"/>
                <w:color w:val="auto"/>
              </w:rPr>
            </w:pPr>
          </w:p>
        </w:tc>
        <w:tc>
          <w:tcPr>
            <w:tcW w:w="420" w:type="dxa"/>
            <w:vAlign w:val="bottom"/>
            <w:tcBorders>
              <w:top w:val="single" w:sz="8" w:color="0000EE"/>
            </w:tcBorders>
            <w:shd w:val="clear" w:color="auto" w:fill="EBEBEB"/>
          </w:tcPr>
          <w:p>
            <w:pPr>
              <w:spacing w:after="0"/>
              <w:rPr>
                <w:sz w:val="10"/>
                <w:szCs w:val="10"/>
                <w:color w:val="auto"/>
              </w:rPr>
            </w:pPr>
          </w:p>
        </w:tc>
        <w:tc>
          <w:tcPr>
            <w:tcW w:w="260" w:type="dxa"/>
            <w:vAlign w:val="bottom"/>
            <w:tcBorders>
              <w:top w:val="single" w:sz="8" w:color="0000EE"/>
            </w:tcBorders>
            <w:shd w:val="clear" w:color="auto" w:fill="EBEBEB"/>
          </w:tcPr>
          <w:p>
            <w:pPr>
              <w:spacing w:after="0"/>
              <w:rPr>
                <w:sz w:val="10"/>
                <w:szCs w:val="10"/>
                <w:color w:val="auto"/>
              </w:rPr>
            </w:pPr>
          </w:p>
        </w:tc>
        <w:tc>
          <w:tcPr>
            <w:tcW w:w="80" w:type="dxa"/>
            <w:vAlign w:val="bottom"/>
            <w:tcBorders>
              <w:top w:val="single" w:sz="8" w:color="0000EE"/>
            </w:tcBorders>
            <w:shd w:val="clear" w:color="auto" w:fill="EBEBEB"/>
          </w:tcPr>
          <w:p>
            <w:pPr>
              <w:spacing w:after="0"/>
              <w:rPr>
                <w:sz w:val="10"/>
                <w:szCs w:val="10"/>
                <w:color w:val="auto"/>
              </w:rPr>
            </w:pPr>
          </w:p>
        </w:tc>
        <w:tc>
          <w:tcPr>
            <w:tcW w:w="200" w:type="dxa"/>
            <w:vAlign w:val="bottom"/>
            <w:tcBorders>
              <w:top w:val="single" w:sz="8" w:color="0000EE"/>
            </w:tcBorders>
            <w:shd w:val="clear" w:color="auto" w:fill="EBEBEB"/>
          </w:tcPr>
          <w:p>
            <w:pPr>
              <w:spacing w:after="0"/>
              <w:rPr>
                <w:sz w:val="10"/>
                <w:szCs w:val="10"/>
                <w:color w:val="auto"/>
              </w:rPr>
            </w:pPr>
          </w:p>
        </w:tc>
        <w:tc>
          <w:tcPr>
            <w:tcW w:w="120" w:type="dxa"/>
            <w:vAlign w:val="bottom"/>
            <w:tcBorders>
              <w:top w:val="single" w:sz="8" w:color="0000EE"/>
            </w:tcBorders>
            <w:shd w:val="clear" w:color="auto" w:fill="EBEBEB"/>
          </w:tcPr>
          <w:p>
            <w:pPr>
              <w:spacing w:after="0"/>
              <w:rPr>
                <w:sz w:val="10"/>
                <w:szCs w:val="10"/>
                <w:color w:val="auto"/>
              </w:rPr>
            </w:pPr>
          </w:p>
        </w:tc>
        <w:tc>
          <w:tcPr>
            <w:tcW w:w="80" w:type="dxa"/>
            <w:vAlign w:val="bottom"/>
            <w:tcBorders>
              <w:top w:val="single" w:sz="8" w:color="0000EE"/>
            </w:tcBorders>
            <w:shd w:val="clear" w:color="auto" w:fill="EBEBEB"/>
          </w:tcPr>
          <w:p>
            <w:pPr>
              <w:spacing w:after="0"/>
              <w:rPr>
                <w:sz w:val="10"/>
                <w:szCs w:val="10"/>
                <w:color w:val="auto"/>
              </w:rPr>
            </w:pPr>
          </w:p>
        </w:tc>
        <w:tc>
          <w:tcPr>
            <w:tcW w:w="20" w:type="dxa"/>
            <w:vAlign w:val="bottom"/>
            <w:tcBorders>
              <w:top w:val="single" w:sz="8" w:color="EBEBEB"/>
            </w:tcBorders>
            <w:shd w:val="clear" w:color="auto" w:fill="EBEBEB"/>
          </w:tcPr>
          <w:p>
            <w:pPr>
              <w:spacing w:after="0"/>
              <w:rPr>
                <w:sz w:val="10"/>
                <w:szCs w:val="10"/>
                <w:color w:val="auto"/>
              </w:rPr>
            </w:pPr>
          </w:p>
        </w:tc>
        <w:tc>
          <w:tcPr>
            <w:tcW w:w="20" w:type="dxa"/>
            <w:vAlign w:val="bottom"/>
            <w:tcBorders>
              <w:top w:val="single" w:sz="8" w:color="EBEBEB"/>
            </w:tcBorders>
            <w:shd w:val="clear" w:color="auto" w:fill="EBEBEB"/>
          </w:tcPr>
          <w:p>
            <w:pPr>
              <w:spacing w:after="0"/>
              <w:rPr>
                <w:sz w:val="10"/>
                <w:szCs w:val="10"/>
                <w:color w:val="auto"/>
              </w:rPr>
            </w:pPr>
          </w:p>
        </w:tc>
        <w:tc>
          <w:tcPr>
            <w:tcW w:w="40" w:type="dxa"/>
            <w:vAlign w:val="bottom"/>
            <w:tcBorders>
              <w:top w:val="single" w:sz="8" w:color="EBEBEB"/>
            </w:tcBorders>
            <w:shd w:val="clear" w:color="auto" w:fill="EBEBEB"/>
          </w:tcPr>
          <w:p>
            <w:pPr>
              <w:spacing w:after="0"/>
              <w:rPr>
                <w:sz w:val="10"/>
                <w:szCs w:val="10"/>
                <w:color w:val="auto"/>
              </w:rPr>
            </w:pPr>
          </w:p>
        </w:tc>
        <w:tc>
          <w:tcPr>
            <w:tcW w:w="20" w:type="dxa"/>
            <w:vAlign w:val="bottom"/>
            <w:tcBorders>
              <w:top w:val="single" w:sz="8" w:color="EBEBEB"/>
            </w:tcBorders>
            <w:shd w:val="clear" w:color="auto" w:fill="EBEBEB"/>
          </w:tcPr>
          <w:p>
            <w:pPr>
              <w:spacing w:after="0"/>
              <w:rPr>
                <w:sz w:val="10"/>
                <w:szCs w:val="10"/>
                <w:color w:val="auto"/>
              </w:rPr>
            </w:pPr>
          </w:p>
        </w:tc>
        <w:tc>
          <w:tcPr>
            <w:tcW w:w="60" w:type="dxa"/>
            <w:vAlign w:val="bottom"/>
            <w:tcBorders>
              <w:top w:val="single" w:sz="8" w:color="EBEBEB"/>
            </w:tcBorders>
            <w:shd w:val="clear" w:color="auto" w:fill="EBEBEB"/>
          </w:tcPr>
          <w:p>
            <w:pPr>
              <w:spacing w:after="0"/>
              <w:rPr>
                <w:sz w:val="10"/>
                <w:szCs w:val="10"/>
                <w:color w:val="auto"/>
              </w:rPr>
            </w:pPr>
          </w:p>
        </w:tc>
        <w:tc>
          <w:tcPr>
            <w:tcW w:w="220" w:type="dxa"/>
            <w:vAlign w:val="bottom"/>
            <w:tcBorders>
              <w:top w:val="single" w:sz="8" w:color="EBEBEB"/>
            </w:tcBorders>
            <w:shd w:val="clear" w:color="auto" w:fill="EBEBEB"/>
          </w:tcPr>
          <w:p>
            <w:pPr>
              <w:spacing w:after="0"/>
              <w:rPr>
                <w:sz w:val="10"/>
                <w:szCs w:val="10"/>
                <w:color w:val="auto"/>
              </w:rPr>
            </w:pPr>
          </w:p>
        </w:tc>
        <w:tc>
          <w:tcPr>
            <w:tcW w:w="520" w:type="dxa"/>
            <w:vAlign w:val="bottom"/>
            <w:tcBorders>
              <w:top w:val="single" w:sz="8" w:color="EBEBEB"/>
            </w:tcBorders>
            <w:shd w:val="clear" w:color="auto" w:fill="EBEBEB"/>
          </w:tcPr>
          <w:p>
            <w:pPr>
              <w:spacing w:after="0"/>
              <w:rPr>
                <w:sz w:val="10"/>
                <w:szCs w:val="10"/>
                <w:color w:val="auto"/>
              </w:rPr>
            </w:pPr>
          </w:p>
        </w:tc>
        <w:tc>
          <w:tcPr>
            <w:tcW w:w="120" w:type="dxa"/>
            <w:vAlign w:val="bottom"/>
            <w:tcBorders>
              <w:top w:val="single" w:sz="8" w:color="EBEBEB"/>
            </w:tcBorders>
            <w:shd w:val="clear" w:color="auto" w:fill="EBEBEB"/>
          </w:tcPr>
          <w:p>
            <w:pPr>
              <w:spacing w:after="0"/>
              <w:rPr>
                <w:sz w:val="10"/>
                <w:szCs w:val="10"/>
                <w:color w:val="auto"/>
              </w:rPr>
            </w:pPr>
          </w:p>
        </w:tc>
        <w:tc>
          <w:tcPr>
            <w:tcW w:w="20" w:type="dxa"/>
            <w:vAlign w:val="bottom"/>
            <w:tcBorders>
              <w:top w:val="single" w:sz="8" w:color="EBEBEB"/>
            </w:tcBorders>
            <w:shd w:val="clear" w:color="auto" w:fill="EBEBEB"/>
          </w:tcPr>
          <w:p>
            <w:pPr>
              <w:spacing w:after="0"/>
              <w:rPr>
                <w:sz w:val="10"/>
                <w:szCs w:val="10"/>
                <w:color w:val="auto"/>
              </w:rPr>
            </w:pPr>
          </w:p>
        </w:tc>
        <w:tc>
          <w:tcPr>
            <w:tcW w:w="140" w:type="dxa"/>
            <w:vAlign w:val="bottom"/>
            <w:tcBorders>
              <w:top w:val="single" w:sz="8" w:color="EBEBEB"/>
            </w:tcBorders>
            <w:shd w:val="clear" w:color="auto" w:fill="EBEBEB"/>
          </w:tcPr>
          <w:p>
            <w:pPr>
              <w:spacing w:after="0"/>
              <w:rPr>
                <w:sz w:val="10"/>
                <w:szCs w:val="10"/>
                <w:color w:val="auto"/>
              </w:rPr>
            </w:pPr>
          </w:p>
        </w:tc>
        <w:tc>
          <w:tcPr>
            <w:tcW w:w="240" w:type="dxa"/>
            <w:vAlign w:val="bottom"/>
            <w:tcBorders>
              <w:top w:val="single" w:sz="8" w:color="EBEBEB"/>
            </w:tcBorders>
            <w:shd w:val="clear" w:color="auto" w:fill="EBEBEB"/>
          </w:tcPr>
          <w:p>
            <w:pPr>
              <w:spacing w:after="0"/>
              <w:rPr>
                <w:sz w:val="10"/>
                <w:szCs w:val="10"/>
                <w:color w:val="auto"/>
              </w:rPr>
            </w:pPr>
          </w:p>
        </w:tc>
        <w:tc>
          <w:tcPr>
            <w:tcW w:w="220" w:type="dxa"/>
            <w:vAlign w:val="bottom"/>
            <w:tcBorders>
              <w:top w:val="single" w:sz="8" w:color="EBEBEB"/>
            </w:tcBorders>
            <w:shd w:val="clear" w:color="auto" w:fill="EBEBEB"/>
          </w:tcPr>
          <w:p>
            <w:pPr>
              <w:spacing w:after="0"/>
              <w:rPr>
                <w:sz w:val="10"/>
                <w:szCs w:val="10"/>
                <w:color w:val="auto"/>
              </w:rPr>
            </w:pPr>
          </w:p>
        </w:tc>
        <w:tc>
          <w:tcPr>
            <w:tcW w:w="20" w:type="dxa"/>
            <w:vAlign w:val="bottom"/>
            <w:tcBorders>
              <w:top w:val="single" w:sz="8" w:color="EBEBEB"/>
            </w:tcBorders>
            <w:shd w:val="clear" w:color="auto" w:fill="EBEBEB"/>
          </w:tcPr>
          <w:p>
            <w:pPr>
              <w:spacing w:after="0"/>
              <w:rPr>
                <w:sz w:val="10"/>
                <w:szCs w:val="10"/>
                <w:color w:val="auto"/>
              </w:rPr>
            </w:pPr>
          </w:p>
        </w:tc>
        <w:tc>
          <w:tcPr>
            <w:tcW w:w="20" w:type="dxa"/>
            <w:vAlign w:val="bottom"/>
            <w:tcBorders>
              <w:top w:val="single" w:sz="8" w:color="EBEBEB"/>
            </w:tcBorders>
            <w:shd w:val="clear" w:color="auto" w:fill="EBEBEB"/>
          </w:tcPr>
          <w:p>
            <w:pPr>
              <w:spacing w:after="0"/>
              <w:rPr>
                <w:sz w:val="10"/>
                <w:szCs w:val="10"/>
                <w:color w:val="auto"/>
              </w:rPr>
            </w:pPr>
          </w:p>
        </w:tc>
        <w:tc>
          <w:tcPr>
            <w:tcW w:w="1040" w:type="dxa"/>
            <w:vAlign w:val="bottom"/>
            <w:tcBorders>
              <w:top w:val="single" w:sz="8" w:color="EBEBEB"/>
            </w:tcBorders>
            <w:shd w:val="clear" w:color="auto" w:fill="EBEBEB"/>
          </w:tcPr>
          <w:p>
            <w:pPr>
              <w:spacing w:after="0"/>
              <w:rPr>
                <w:sz w:val="10"/>
                <w:szCs w:val="10"/>
                <w:color w:val="auto"/>
              </w:rPr>
            </w:pPr>
          </w:p>
        </w:tc>
        <w:tc>
          <w:tcPr>
            <w:tcW w:w="40" w:type="dxa"/>
            <w:vAlign w:val="bottom"/>
            <w:tcBorders>
              <w:top w:val="single" w:sz="8" w:color="EBEBEB"/>
            </w:tcBorders>
            <w:shd w:val="clear" w:color="auto" w:fill="EBEBEB"/>
          </w:tcPr>
          <w:p>
            <w:pPr>
              <w:spacing w:after="0"/>
              <w:rPr>
                <w:sz w:val="10"/>
                <w:szCs w:val="10"/>
                <w:color w:val="auto"/>
              </w:rPr>
            </w:pPr>
          </w:p>
        </w:tc>
        <w:tc>
          <w:tcPr>
            <w:tcW w:w="120" w:type="dxa"/>
            <w:vAlign w:val="bottom"/>
            <w:tcBorders>
              <w:top w:val="single" w:sz="8" w:color="EBEBEB"/>
            </w:tcBorders>
            <w:shd w:val="clear" w:color="auto" w:fill="EBEBEB"/>
          </w:tcPr>
          <w:p>
            <w:pPr>
              <w:spacing w:after="0"/>
              <w:rPr>
                <w:sz w:val="10"/>
                <w:szCs w:val="10"/>
                <w:color w:val="auto"/>
              </w:rPr>
            </w:pPr>
          </w:p>
        </w:tc>
        <w:tc>
          <w:tcPr>
            <w:tcW w:w="80" w:type="dxa"/>
            <w:vAlign w:val="bottom"/>
            <w:tcBorders>
              <w:top w:val="single" w:sz="8" w:color="EBEBEB"/>
            </w:tcBorders>
            <w:shd w:val="clear" w:color="auto" w:fill="EBEBEB"/>
          </w:tcPr>
          <w:p>
            <w:pPr>
              <w:spacing w:after="0"/>
              <w:rPr>
                <w:sz w:val="10"/>
                <w:szCs w:val="10"/>
                <w:color w:val="auto"/>
              </w:rPr>
            </w:pPr>
          </w:p>
        </w:tc>
        <w:tc>
          <w:tcPr>
            <w:tcW w:w="380" w:type="dxa"/>
            <w:vAlign w:val="bottom"/>
            <w:tcBorders>
              <w:top w:val="single" w:sz="8" w:color="EBEBEB"/>
            </w:tcBorders>
            <w:shd w:val="clear" w:color="auto" w:fill="EBEBEB"/>
          </w:tcPr>
          <w:p>
            <w:pPr>
              <w:spacing w:after="0"/>
              <w:rPr>
                <w:sz w:val="10"/>
                <w:szCs w:val="10"/>
                <w:color w:val="auto"/>
              </w:rPr>
            </w:pPr>
          </w:p>
        </w:tc>
        <w:tc>
          <w:tcPr>
            <w:tcW w:w="700" w:type="dxa"/>
            <w:vAlign w:val="bottom"/>
            <w:tcBorders>
              <w:top w:val="single" w:sz="8" w:color="EBEBEB"/>
            </w:tcBorders>
            <w:shd w:val="clear" w:color="auto" w:fill="EBEBEB"/>
          </w:tcPr>
          <w:p>
            <w:pPr>
              <w:spacing w:after="0"/>
              <w:rPr>
                <w:sz w:val="10"/>
                <w:szCs w:val="10"/>
                <w:color w:val="auto"/>
              </w:rPr>
            </w:pPr>
          </w:p>
        </w:tc>
        <w:tc>
          <w:tcPr>
            <w:tcW w:w="1520" w:type="dxa"/>
            <w:vAlign w:val="bottom"/>
            <w:tcBorders>
              <w:top w:val="single" w:sz="8" w:color="EBEBEB"/>
            </w:tcBorders>
            <w:shd w:val="clear" w:color="auto" w:fill="EBEBEB"/>
          </w:tcPr>
          <w:p>
            <w:pPr>
              <w:spacing w:after="0"/>
              <w:rPr>
                <w:sz w:val="10"/>
                <w:szCs w:val="10"/>
                <w:color w:val="auto"/>
              </w:rPr>
            </w:pPr>
          </w:p>
        </w:tc>
        <w:tc>
          <w:tcPr>
            <w:tcW w:w="1340" w:type="dxa"/>
            <w:vAlign w:val="bottom"/>
            <w:tcBorders>
              <w:top w:val="single" w:sz="8" w:color="EBEBEB"/>
            </w:tcBorders>
            <w:shd w:val="clear" w:color="auto" w:fill="EBEBEB"/>
          </w:tcPr>
          <w:p>
            <w:pPr>
              <w:spacing w:after="0"/>
              <w:rPr>
                <w:sz w:val="10"/>
                <w:szCs w:val="10"/>
                <w:color w:val="auto"/>
              </w:rPr>
            </w:pPr>
          </w:p>
        </w:tc>
        <w:tc>
          <w:tcPr>
            <w:tcW w:w="200" w:type="dxa"/>
            <w:vAlign w:val="bottom"/>
            <w:tcBorders>
              <w:top w:val="single" w:sz="8" w:color="EBEBEB"/>
            </w:tcBorders>
            <w:shd w:val="clear" w:color="auto" w:fill="EBEBEB"/>
          </w:tcPr>
          <w:p>
            <w:pPr>
              <w:spacing w:after="0"/>
              <w:rPr>
                <w:sz w:val="10"/>
                <w:szCs w:val="10"/>
                <w:color w:val="auto"/>
              </w:rPr>
            </w:pPr>
          </w:p>
        </w:tc>
        <w:tc>
          <w:tcPr>
            <w:tcW w:w="200" w:type="dxa"/>
            <w:vAlign w:val="bottom"/>
            <w:tcBorders>
              <w:top w:val="single" w:sz="8" w:color="EBEBEB"/>
            </w:tcBorders>
            <w:shd w:val="clear" w:color="auto" w:fill="EBEBEB"/>
          </w:tcPr>
          <w:p>
            <w:pPr>
              <w:spacing w:after="0"/>
              <w:rPr>
                <w:sz w:val="10"/>
                <w:szCs w:val="10"/>
                <w:color w:val="auto"/>
              </w:rPr>
            </w:pPr>
          </w:p>
        </w:tc>
        <w:tc>
          <w:tcPr>
            <w:tcW w:w="140" w:type="dxa"/>
            <w:vAlign w:val="bottom"/>
            <w:tcBorders>
              <w:top w:val="single" w:sz="8" w:color="0000EE"/>
            </w:tcBorders>
            <w:shd w:val="clear" w:color="auto" w:fill="EBEBEB"/>
          </w:tcPr>
          <w:p>
            <w:pPr>
              <w:spacing w:after="0"/>
              <w:rPr>
                <w:sz w:val="10"/>
                <w:szCs w:val="10"/>
                <w:color w:val="auto"/>
              </w:rPr>
            </w:pPr>
          </w:p>
        </w:tc>
        <w:tc>
          <w:tcPr>
            <w:tcW w:w="140" w:type="dxa"/>
            <w:vAlign w:val="bottom"/>
            <w:tcBorders>
              <w:top w:val="single" w:sz="8" w:color="0000EE"/>
            </w:tcBorders>
            <w:shd w:val="clear" w:color="auto" w:fill="EBEBEB"/>
          </w:tcPr>
          <w:p>
            <w:pPr>
              <w:spacing w:after="0"/>
              <w:rPr>
                <w:sz w:val="10"/>
                <w:szCs w:val="10"/>
                <w:color w:val="auto"/>
              </w:rPr>
            </w:pPr>
          </w:p>
        </w:tc>
        <w:tc>
          <w:tcPr>
            <w:tcW w:w="80" w:type="dxa"/>
            <w:vAlign w:val="bottom"/>
            <w:tcBorders>
              <w:top w:val="single" w:sz="8" w:color="EBEBEB"/>
            </w:tcBorders>
            <w:shd w:val="clear" w:color="auto" w:fill="EBEBEB"/>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60" w:type="dxa"/>
            <w:vAlign w:val="bottom"/>
            <w:tcBorders>
              <w:bottom w:val="single" w:sz="8" w:color="FAFAFA"/>
            </w:tcBorders>
            <w:shd w:val="clear" w:color="auto" w:fill="FAFAFA"/>
          </w:tcPr>
          <w:p>
            <w:pPr>
              <w:spacing w:after="0"/>
              <w:rPr>
                <w:sz w:val="24"/>
                <w:szCs w:val="24"/>
                <w:color w:val="auto"/>
              </w:rPr>
            </w:pPr>
          </w:p>
        </w:tc>
        <w:tc>
          <w:tcPr>
            <w:tcW w:w="2420" w:type="dxa"/>
            <w:vAlign w:val="bottom"/>
            <w:tcBorders>
              <w:bottom w:val="single" w:sz="8" w:color="0000EE"/>
            </w:tcBorders>
            <w:gridSpan w:val="16"/>
            <w:shd w:val="clear" w:color="auto" w:fill="FAFAFA"/>
          </w:tcPr>
          <w:p>
            <w:pPr>
              <w:spacing w:after="0"/>
              <w:rPr>
                <w:sz w:val="20"/>
                <w:szCs w:val="20"/>
                <w:color w:val="auto"/>
              </w:rPr>
            </w:pPr>
            <w:r>
              <w:rPr>
                <w:rFonts w:ascii="Arial" w:cs="Arial" w:eastAsia="Arial" w:hAnsi="Arial"/>
                <w:sz w:val="14"/>
                <w:szCs w:val="14"/>
                <w:color w:val="0000EE"/>
              </w:rPr>
              <w:t>Code of Business Conduct and Ethics</w:t>
            </w:r>
          </w:p>
        </w:tc>
        <w:tc>
          <w:tcPr>
            <w:tcW w:w="1680" w:type="dxa"/>
            <w:vAlign w:val="bottom"/>
            <w:tcBorders>
              <w:bottom w:val="single" w:sz="8" w:color="FAFAFA"/>
            </w:tcBorders>
            <w:gridSpan w:val="6"/>
            <w:shd w:val="clear" w:color="auto" w:fill="FAFAFA"/>
          </w:tcPr>
          <w:p>
            <w:pPr>
              <w:spacing w:after="0"/>
              <w:rPr>
                <w:sz w:val="24"/>
                <w:szCs w:val="24"/>
                <w:color w:val="auto"/>
              </w:rPr>
            </w:pPr>
          </w:p>
        </w:tc>
        <w:tc>
          <w:tcPr>
            <w:tcW w:w="40" w:type="dxa"/>
            <w:vAlign w:val="bottom"/>
            <w:tcBorders>
              <w:bottom w:val="single" w:sz="8" w:color="FAFAFA"/>
            </w:tcBorders>
            <w:shd w:val="clear" w:color="auto" w:fill="FAFAFA"/>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1160" w:type="dxa"/>
            <w:vAlign w:val="bottom"/>
            <w:tcBorders>
              <w:bottom w:val="single" w:sz="8" w:color="FAFAFA"/>
            </w:tcBorders>
            <w:gridSpan w:val="3"/>
            <w:shd w:val="clear" w:color="auto" w:fill="FAFAFA"/>
          </w:tcPr>
          <w:p>
            <w:pPr>
              <w:spacing w:after="0"/>
              <w:rPr>
                <w:sz w:val="24"/>
                <w:szCs w:val="24"/>
                <w:color w:val="auto"/>
              </w:rPr>
            </w:pPr>
          </w:p>
        </w:tc>
        <w:tc>
          <w:tcPr>
            <w:tcW w:w="2860" w:type="dxa"/>
            <w:vAlign w:val="bottom"/>
            <w:tcBorders>
              <w:bottom w:val="single" w:sz="8" w:color="FAFAFA"/>
            </w:tcBorders>
            <w:gridSpan w:val="2"/>
            <w:shd w:val="clear" w:color="auto" w:fill="FAFAFA"/>
          </w:tcPr>
          <w:p>
            <w:pPr>
              <w:spacing w:after="0"/>
              <w:rPr>
                <w:sz w:val="24"/>
                <w:szCs w:val="24"/>
                <w:color w:val="auto"/>
              </w:rPr>
            </w:pPr>
          </w:p>
        </w:tc>
        <w:tc>
          <w:tcPr>
            <w:tcW w:w="200" w:type="dxa"/>
            <w:vAlign w:val="bottom"/>
            <w:tcBorders>
              <w:bottom w:val="single" w:sz="8" w:color="FAFAFA"/>
            </w:tcBorders>
            <w:shd w:val="clear" w:color="auto" w:fill="FAFAFA"/>
          </w:tcPr>
          <w:p>
            <w:pPr>
              <w:spacing w:after="0"/>
              <w:rPr>
                <w:sz w:val="24"/>
                <w:szCs w:val="24"/>
                <w:color w:val="auto"/>
              </w:rPr>
            </w:pPr>
          </w:p>
        </w:tc>
        <w:tc>
          <w:tcPr>
            <w:tcW w:w="560" w:type="dxa"/>
            <w:vAlign w:val="bottom"/>
            <w:tcBorders>
              <w:bottom w:val="single" w:sz="8" w:color="FAFAFA"/>
            </w:tcBorders>
            <w:gridSpan w:val="4"/>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19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42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52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24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04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380" w:type="dxa"/>
            <w:vAlign w:val="bottom"/>
            <w:tcBorders>
              <w:top w:val="single" w:sz="8" w:color="FAFAFA"/>
            </w:tcBorders>
            <w:shd w:val="clear" w:color="auto" w:fill="FAFAFA"/>
          </w:tcPr>
          <w:p>
            <w:pPr>
              <w:spacing w:after="0"/>
              <w:rPr>
                <w:sz w:val="9"/>
                <w:szCs w:val="9"/>
                <w:color w:val="auto"/>
              </w:rPr>
            </w:pPr>
          </w:p>
        </w:tc>
        <w:tc>
          <w:tcPr>
            <w:tcW w:w="700" w:type="dxa"/>
            <w:vAlign w:val="bottom"/>
            <w:tcBorders>
              <w:top w:val="single" w:sz="8" w:color="FAFAFA"/>
            </w:tcBorders>
            <w:shd w:val="clear" w:color="auto" w:fill="FAFAFA"/>
          </w:tcPr>
          <w:p>
            <w:pPr>
              <w:spacing w:after="0"/>
              <w:rPr>
                <w:sz w:val="9"/>
                <w:szCs w:val="9"/>
                <w:color w:val="auto"/>
              </w:rPr>
            </w:pPr>
          </w:p>
        </w:tc>
        <w:tc>
          <w:tcPr>
            <w:tcW w:w="1520" w:type="dxa"/>
            <w:vAlign w:val="bottom"/>
            <w:tcBorders>
              <w:top w:val="single" w:sz="8" w:color="FAFAFA"/>
            </w:tcBorders>
            <w:shd w:val="clear" w:color="auto" w:fill="FAFAFA"/>
          </w:tcPr>
          <w:p>
            <w:pPr>
              <w:spacing w:after="0"/>
              <w:rPr>
                <w:sz w:val="9"/>
                <w:szCs w:val="9"/>
                <w:color w:val="auto"/>
              </w:rPr>
            </w:pPr>
          </w:p>
        </w:tc>
        <w:tc>
          <w:tcPr>
            <w:tcW w:w="134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160" w:type="dxa"/>
            <w:vAlign w:val="bottom"/>
            <w:tcBorders>
              <w:bottom w:val="single" w:sz="8" w:color="EBEBEB"/>
            </w:tcBorders>
            <w:shd w:val="clear" w:color="auto" w:fill="EBEBEB"/>
          </w:tcPr>
          <w:p>
            <w:pPr>
              <w:spacing w:after="0"/>
              <w:rPr>
                <w:sz w:val="24"/>
                <w:szCs w:val="24"/>
                <w:color w:val="auto"/>
              </w:rPr>
            </w:pPr>
          </w:p>
        </w:tc>
        <w:tc>
          <w:tcPr>
            <w:tcW w:w="4260" w:type="dxa"/>
            <w:vAlign w:val="bottom"/>
            <w:tcBorders>
              <w:bottom w:val="single" w:sz="8" w:color="0000EE"/>
            </w:tcBorders>
            <w:gridSpan w:val="24"/>
            <w:shd w:val="clear" w:color="auto" w:fill="EBEBEB"/>
          </w:tcPr>
          <w:p>
            <w:pPr>
              <w:spacing w:after="0"/>
              <w:rPr>
                <w:sz w:val="20"/>
                <w:szCs w:val="20"/>
                <w:color w:val="auto"/>
              </w:rPr>
            </w:pPr>
            <w:r>
              <w:rPr>
                <w:rFonts w:ascii="Arial" w:cs="Arial" w:eastAsia="Arial" w:hAnsi="Arial"/>
                <w:sz w:val="14"/>
                <w:szCs w:val="14"/>
                <w:color w:val="0000EE"/>
              </w:rPr>
              <w:t>Environmental, Social and Governance (ESG) and Related Matters</w:t>
            </w:r>
          </w:p>
        </w:tc>
        <w:tc>
          <w:tcPr>
            <w:tcW w:w="1160" w:type="dxa"/>
            <w:vAlign w:val="bottom"/>
            <w:tcBorders>
              <w:bottom w:val="single" w:sz="8" w:color="EBEBEB"/>
            </w:tcBorders>
            <w:gridSpan w:val="3"/>
            <w:shd w:val="clear" w:color="auto" w:fill="EBEBEB"/>
          </w:tcPr>
          <w:p>
            <w:pPr>
              <w:spacing w:after="0"/>
              <w:rPr>
                <w:sz w:val="24"/>
                <w:szCs w:val="24"/>
                <w:color w:val="auto"/>
              </w:rPr>
            </w:pPr>
          </w:p>
        </w:tc>
        <w:tc>
          <w:tcPr>
            <w:tcW w:w="2860" w:type="dxa"/>
            <w:vAlign w:val="bottom"/>
            <w:tcBorders>
              <w:bottom w:val="single" w:sz="8" w:color="EBEBEB"/>
            </w:tcBorders>
            <w:gridSpan w:val="2"/>
            <w:shd w:val="clear" w:color="auto" w:fill="EBEBEB"/>
          </w:tcPr>
          <w:p>
            <w:pPr>
              <w:spacing w:after="0"/>
              <w:rPr>
                <w:sz w:val="24"/>
                <w:szCs w:val="24"/>
                <w:color w:val="auto"/>
              </w:rPr>
            </w:pPr>
          </w:p>
        </w:tc>
        <w:tc>
          <w:tcPr>
            <w:tcW w:w="200" w:type="dxa"/>
            <w:vAlign w:val="bottom"/>
            <w:tcBorders>
              <w:bottom w:val="single" w:sz="8" w:color="EBEBEB"/>
            </w:tcBorders>
            <w:shd w:val="clear" w:color="auto" w:fill="EBEBEB"/>
          </w:tcPr>
          <w:p>
            <w:pPr>
              <w:spacing w:after="0"/>
              <w:rPr>
                <w:sz w:val="24"/>
                <w:szCs w:val="24"/>
                <w:color w:val="auto"/>
              </w:rPr>
            </w:pPr>
          </w:p>
        </w:tc>
        <w:tc>
          <w:tcPr>
            <w:tcW w:w="560" w:type="dxa"/>
            <w:vAlign w:val="bottom"/>
            <w:tcBorders>
              <w:bottom w:val="single" w:sz="8" w:color="EBEBEB"/>
            </w:tcBorders>
            <w:gridSpan w:val="4"/>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19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42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52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EBEBEB"/>
            </w:tcBorders>
            <w:shd w:val="clear" w:color="auto" w:fill="EBEBEB"/>
          </w:tcPr>
          <w:p>
            <w:pPr>
              <w:spacing w:after="0"/>
              <w:rPr>
                <w:sz w:val="9"/>
                <w:szCs w:val="9"/>
                <w:color w:val="auto"/>
              </w:rPr>
            </w:pPr>
          </w:p>
        </w:tc>
        <w:tc>
          <w:tcPr>
            <w:tcW w:w="24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04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380" w:type="dxa"/>
            <w:vAlign w:val="bottom"/>
            <w:tcBorders>
              <w:top w:val="single" w:sz="8" w:color="EBEBEB"/>
            </w:tcBorders>
            <w:shd w:val="clear" w:color="auto" w:fill="EBEBEB"/>
          </w:tcPr>
          <w:p>
            <w:pPr>
              <w:spacing w:after="0"/>
              <w:rPr>
                <w:sz w:val="9"/>
                <w:szCs w:val="9"/>
                <w:color w:val="auto"/>
              </w:rPr>
            </w:pPr>
          </w:p>
        </w:tc>
        <w:tc>
          <w:tcPr>
            <w:tcW w:w="700" w:type="dxa"/>
            <w:vAlign w:val="bottom"/>
            <w:tcBorders>
              <w:top w:val="single" w:sz="8" w:color="EBEBEB"/>
            </w:tcBorders>
            <w:shd w:val="clear" w:color="auto" w:fill="EBEBEB"/>
          </w:tcPr>
          <w:p>
            <w:pPr>
              <w:spacing w:after="0"/>
              <w:rPr>
                <w:sz w:val="9"/>
                <w:szCs w:val="9"/>
                <w:color w:val="auto"/>
              </w:rPr>
            </w:pPr>
          </w:p>
        </w:tc>
        <w:tc>
          <w:tcPr>
            <w:tcW w:w="1520" w:type="dxa"/>
            <w:vAlign w:val="bottom"/>
            <w:tcBorders>
              <w:top w:val="single" w:sz="8" w:color="EBEBEB"/>
            </w:tcBorders>
            <w:shd w:val="clear" w:color="auto" w:fill="EBEBEB"/>
          </w:tcPr>
          <w:p>
            <w:pPr>
              <w:spacing w:after="0"/>
              <w:rPr>
                <w:sz w:val="9"/>
                <w:szCs w:val="9"/>
                <w:color w:val="auto"/>
              </w:rPr>
            </w:pPr>
          </w:p>
        </w:tc>
        <w:tc>
          <w:tcPr>
            <w:tcW w:w="134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60" w:type="dxa"/>
            <w:vAlign w:val="bottom"/>
            <w:tcBorders>
              <w:bottom w:val="single" w:sz="8" w:color="FAFAFA"/>
            </w:tcBorders>
            <w:shd w:val="clear" w:color="auto" w:fill="FAFAFA"/>
          </w:tcPr>
          <w:p>
            <w:pPr>
              <w:spacing w:after="0"/>
              <w:rPr>
                <w:sz w:val="24"/>
                <w:szCs w:val="24"/>
                <w:color w:val="auto"/>
              </w:rPr>
            </w:pPr>
          </w:p>
        </w:tc>
        <w:tc>
          <w:tcPr>
            <w:tcW w:w="1480" w:type="dxa"/>
            <w:vAlign w:val="bottom"/>
            <w:tcBorders>
              <w:bottom w:val="single" w:sz="8" w:color="0000EE"/>
            </w:tcBorders>
            <w:gridSpan w:val="11"/>
            <w:shd w:val="clear" w:color="auto" w:fill="FAFAFA"/>
          </w:tcPr>
          <w:p>
            <w:pPr>
              <w:spacing w:after="0"/>
              <w:rPr>
                <w:sz w:val="20"/>
                <w:szCs w:val="20"/>
                <w:color w:val="auto"/>
              </w:rPr>
            </w:pPr>
            <w:r>
              <w:rPr>
                <w:rFonts w:ascii="Arial" w:cs="Arial" w:eastAsia="Arial" w:hAnsi="Arial"/>
                <w:sz w:val="14"/>
                <w:szCs w:val="14"/>
                <w:color w:val="0000EE"/>
              </w:rPr>
              <w:t>Director Compensation</w:t>
            </w:r>
          </w:p>
        </w:tc>
        <w:tc>
          <w:tcPr>
            <w:tcW w:w="60" w:type="dxa"/>
            <w:vAlign w:val="bottom"/>
            <w:tcBorders>
              <w:bottom w:val="single" w:sz="8" w:color="FAFAFA"/>
            </w:tcBorders>
            <w:shd w:val="clear" w:color="auto" w:fill="FAFAFA"/>
          </w:tcPr>
          <w:p>
            <w:pPr>
              <w:spacing w:after="0"/>
              <w:rPr>
                <w:sz w:val="24"/>
                <w:szCs w:val="24"/>
                <w:color w:val="auto"/>
              </w:rPr>
            </w:pPr>
          </w:p>
        </w:tc>
        <w:tc>
          <w:tcPr>
            <w:tcW w:w="2560" w:type="dxa"/>
            <w:vAlign w:val="bottom"/>
            <w:tcBorders>
              <w:bottom w:val="single" w:sz="8" w:color="FAFAFA"/>
            </w:tcBorders>
            <w:gridSpan w:val="10"/>
            <w:shd w:val="clear" w:color="auto" w:fill="FAFAFA"/>
          </w:tcPr>
          <w:p>
            <w:pPr>
              <w:spacing w:after="0"/>
              <w:rPr>
                <w:sz w:val="24"/>
                <w:szCs w:val="24"/>
                <w:color w:val="auto"/>
              </w:rPr>
            </w:pPr>
          </w:p>
        </w:tc>
        <w:tc>
          <w:tcPr>
            <w:tcW w:w="40" w:type="dxa"/>
            <w:vAlign w:val="bottom"/>
            <w:tcBorders>
              <w:bottom w:val="single" w:sz="8" w:color="FAFAFA"/>
            </w:tcBorders>
            <w:shd w:val="clear" w:color="auto" w:fill="FAFAFA"/>
          </w:tcPr>
          <w:p>
            <w:pPr>
              <w:spacing w:after="0"/>
              <w:rPr>
                <w:sz w:val="24"/>
                <w:szCs w:val="24"/>
                <w:color w:val="auto"/>
              </w:rPr>
            </w:pPr>
          </w:p>
        </w:tc>
        <w:tc>
          <w:tcPr>
            <w:tcW w:w="1280" w:type="dxa"/>
            <w:vAlign w:val="bottom"/>
            <w:tcBorders>
              <w:bottom w:val="single" w:sz="8" w:color="FAFAFA"/>
            </w:tcBorders>
            <w:gridSpan w:val="4"/>
            <w:shd w:val="clear" w:color="auto" w:fill="FAFAFA"/>
          </w:tcPr>
          <w:p>
            <w:pPr>
              <w:spacing w:after="0"/>
              <w:rPr>
                <w:sz w:val="24"/>
                <w:szCs w:val="24"/>
                <w:color w:val="auto"/>
              </w:rPr>
            </w:pPr>
          </w:p>
        </w:tc>
        <w:tc>
          <w:tcPr>
            <w:tcW w:w="2860" w:type="dxa"/>
            <w:vAlign w:val="bottom"/>
            <w:tcBorders>
              <w:bottom w:val="single" w:sz="8" w:color="FAFAFA"/>
            </w:tcBorders>
            <w:gridSpan w:val="2"/>
            <w:shd w:val="clear" w:color="auto" w:fill="FAFAFA"/>
          </w:tcPr>
          <w:p>
            <w:pPr>
              <w:spacing w:after="0"/>
              <w:rPr>
                <w:sz w:val="24"/>
                <w:szCs w:val="24"/>
                <w:color w:val="auto"/>
              </w:rPr>
            </w:pPr>
          </w:p>
        </w:tc>
        <w:tc>
          <w:tcPr>
            <w:tcW w:w="200" w:type="dxa"/>
            <w:vAlign w:val="bottom"/>
            <w:tcBorders>
              <w:bottom w:val="single" w:sz="8" w:color="FAFAFA"/>
            </w:tcBorders>
            <w:shd w:val="clear" w:color="auto" w:fill="FAFAFA"/>
          </w:tcPr>
          <w:p>
            <w:pPr>
              <w:spacing w:after="0"/>
              <w:rPr>
                <w:sz w:val="24"/>
                <w:szCs w:val="24"/>
                <w:color w:val="auto"/>
              </w:rPr>
            </w:pPr>
          </w:p>
        </w:tc>
        <w:tc>
          <w:tcPr>
            <w:tcW w:w="560" w:type="dxa"/>
            <w:vAlign w:val="bottom"/>
            <w:tcBorders>
              <w:bottom w:val="single" w:sz="8" w:color="FAFAFA"/>
            </w:tcBorders>
            <w:gridSpan w:val="4"/>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42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52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24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04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380" w:type="dxa"/>
            <w:vAlign w:val="bottom"/>
            <w:tcBorders>
              <w:top w:val="single" w:sz="8" w:color="FAFAFA"/>
            </w:tcBorders>
            <w:shd w:val="clear" w:color="auto" w:fill="FAFAFA"/>
          </w:tcPr>
          <w:p>
            <w:pPr>
              <w:spacing w:after="0"/>
              <w:rPr>
                <w:sz w:val="9"/>
                <w:szCs w:val="9"/>
                <w:color w:val="auto"/>
              </w:rPr>
            </w:pPr>
          </w:p>
        </w:tc>
        <w:tc>
          <w:tcPr>
            <w:tcW w:w="700" w:type="dxa"/>
            <w:vAlign w:val="bottom"/>
            <w:tcBorders>
              <w:top w:val="single" w:sz="8" w:color="FAFAFA"/>
            </w:tcBorders>
            <w:shd w:val="clear" w:color="auto" w:fill="FAFAFA"/>
          </w:tcPr>
          <w:p>
            <w:pPr>
              <w:spacing w:after="0"/>
              <w:rPr>
                <w:sz w:val="9"/>
                <w:szCs w:val="9"/>
                <w:color w:val="auto"/>
              </w:rPr>
            </w:pPr>
          </w:p>
        </w:tc>
        <w:tc>
          <w:tcPr>
            <w:tcW w:w="1520" w:type="dxa"/>
            <w:vAlign w:val="bottom"/>
            <w:tcBorders>
              <w:top w:val="single" w:sz="8" w:color="FAFAFA"/>
            </w:tcBorders>
            <w:shd w:val="clear" w:color="auto" w:fill="FAFAFA"/>
          </w:tcPr>
          <w:p>
            <w:pPr>
              <w:spacing w:after="0"/>
              <w:rPr>
                <w:sz w:val="9"/>
                <w:szCs w:val="9"/>
                <w:color w:val="auto"/>
              </w:rPr>
            </w:pPr>
          </w:p>
        </w:tc>
        <w:tc>
          <w:tcPr>
            <w:tcW w:w="134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8991D"/>
            </w:tcBorders>
            <w:shd w:val="clear" w:color="auto" w:fill="F8991D"/>
          </w:tcPr>
          <w:p>
            <w:pPr>
              <w:spacing w:after="0"/>
              <w:rPr>
                <w:sz w:val="24"/>
                <w:szCs w:val="24"/>
                <w:color w:val="auto"/>
              </w:rPr>
            </w:pPr>
          </w:p>
        </w:tc>
        <w:tc>
          <w:tcPr>
            <w:tcW w:w="60" w:type="dxa"/>
            <w:vAlign w:val="bottom"/>
            <w:tcBorders>
              <w:bottom w:val="single" w:sz="8" w:color="F8991D"/>
            </w:tcBorders>
            <w:shd w:val="clear" w:color="auto" w:fill="F8991D"/>
          </w:tcPr>
          <w:p>
            <w:pPr>
              <w:spacing w:after="0"/>
              <w:rPr>
                <w:sz w:val="24"/>
                <w:szCs w:val="24"/>
                <w:color w:val="auto"/>
              </w:rPr>
            </w:pPr>
          </w:p>
        </w:tc>
        <w:tc>
          <w:tcPr>
            <w:tcW w:w="20" w:type="dxa"/>
            <w:vAlign w:val="bottom"/>
            <w:tcBorders>
              <w:bottom w:val="single" w:sz="8" w:color="F8991D"/>
            </w:tcBorders>
            <w:shd w:val="clear" w:color="auto" w:fill="F8991D"/>
          </w:tcPr>
          <w:p>
            <w:pPr>
              <w:spacing w:after="0"/>
              <w:rPr>
                <w:sz w:val="24"/>
                <w:szCs w:val="24"/>
                <w:color w:val="auto"/>
              </w:rPr>
            </w:pPr>
          </w:p>
        </w:tc>
        <w:tc>
          <w:tcPr>
            <w:tcW w:w="4260" w:type="dxa"/>
            <w:vAlign w:val="bottom"/>
            <w:tcBorders>
              <w:bottom w:val="single" w:sz="8" w:color="0000EE"/>
            </w:tcBorders>
            <w:gridSpan w:val="23"/>
            <w:shd w:val="clear" w:color="auto" w:fill="F8991D"/>
          </w:tcPr>
          <w:p>
            <w:pPr>
              <w:spacing w:after="0"/>
              <w:rPr>
                <w:sz w:val="20"/>
                <w:szCs w:val="20"/>
                <w:color w:val="auto"/>
              </w:rPr>
            </w:pPr>
            <w:r>
              <w:rPr>
                <w:rFonts w:ascii="Arial" w:cs="Arial" w:eastAsia="Arial" w:hAnsi="Arial"/>
                <w:sz w:val="16"/>
                <w:szCs w:val="16"/>
                <w:b w:val="1"/>
                <w:bCs w:val="1"/>
                <w:color w:val="0000EE"/>
                <w:w w:val="99"/>
              </w:rPr>
              <w:t>PROPOSAL NO. 1: ELECTION OF CLASS II DIRECTORS</w:t>
            </w:r>
          </w:p>
        </w:tc>
        <w:tc>
          <w:tcPr>
            <w:tcW w:w="40" w:type="dxa"/>
            <w:vAlign w:val="bottom"/>
            <w:tcBorders>
              <w:bottom w:val="single" w:sz="8" w:color="F8991D"/>
            </w:tcBorders>
            <w:shd w:val="clear" w:color="auto" w:fill="F8991D"/>
          </w:tcPr>
          <w:p>
            <w:pPr>
              <w:spacing w:after="0"/>
              <w:rPr>
                <w:sz w:val="24"/>
                <w:szCs w:val="24"/>
                <w:color w:val="auto"/>
              </w:rPr>
            </w:pPr>
          </w:p>
        </w:tc>
        <w:tc>
          <w:tcPr>
            <w:tcW w:w="1280" w:type="dxa"/>
            <w:vAlign w:val="bottom"/>
            <w:tcBorders>
              <w:bottom w:val="single" w:sz="8" w:color="F8991D"/>
            </w:tcBorders>
            <w:gridSpan w:val="4"/>
            <w:shd w:val="clear" w:color="auto" w:fill="F8991D"/>
          </w:tcPr>
          <w:p>
            <w:pPr>
              <w:spacing w:after="0"/>
              <w:rPr>
                <w:sz w:val="24"/>
                <w:szCs w:val="24"/>
                <w:color w:val="auto"/>
              </w:rPr>
            </w:pPr>
          </w:p>
        </w:tc>
        <w:tc>
          <w:tcPr>
            <w:tcW w:w="2860" w:type="dxa"/>
            <w:vAlign w:val="bottom"/>
            <w:tcBorders>
              <w:bottom w:val="single" w:sz="8" w:color="F8991D"/>
            </w:tcBorders>
            <w:gridSpan w:val="2"/>
            <w:shd w:val="clear" w:color="auto" w:fill="F8991D"/>
          </w:tcPr>
          <w:p>
            <w:pPr>
              <w:spacing w:after="0"/>
              <w:rPr>
                <w:sz w:val="24"/>
                <w:szCs w:val="24"/>
                <w:color w:val="auto"/>
              </w:rPr>
            </w:pPr>
          </w:p>
        </w:tc>
        <w:tc>
          <w:tcPr>
            <w:tcW w:w="200" w:type="dxa"/>
            <w:vAlign w:val="bottom"/>
            <w:tcBorders>
              <w:bottom w:val="single" w:sz="8" w:color="F8991D"/>
            </w:tcBorders>
            <w:shd w:val="clear" w:color="auto" w:fill="F8991D"/>
          </w:tcPr>
          <w:p>
            <w:pPr>
              <w:spacing w:after="0"/>
              <w:rPr>
                <w:sz w:val="24"/>
                <w:szCs w:val="24"/>
                <w:color w:val="auto"/>
              </w:rPr>
            </w:pPr>
          </w:p>
        </w:tc>
        <w:tc>
          <w:tcPr>
            <w:tcW w:w="560" w:type="dxa"/>
            <w:vAlign w:val="bottom"/>
            <w:tcBorders>
              <w:bottom w:val="single" w:sz="8" w:color="F8991D"/>
            </w:tcBorders>
            <w:gridSpan w:val="4"/>
            <w:shd w:val="clear" w:color="auto" w:fill="F8991D"/>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23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8991D"/>
            </w:tcBorders>
            <w:shd w:val="clear" w:color="auto" w:fill="F8991D"/>
          </w:tcPr>
          <w:p>
            <w:pPr>
              <w:spacing w:after="0"/>
              <w:rPr>
                <w:sz w:val="9"/>
                <w:szCs w:val="9"/>
                <w:color w:val="auto"/>
              </w:rPr>
            </w:pPr>
          </w:p>
        </w:tc>
        <w:tc>
          <w:tcPr>
            <w:tcW w:w="60" w:type="dxa"/>
            <w:vAlign w:val="bottom"/>
            <w:tcBorders>
              <w:top w:val="single" w:sz="8" w:color="F8991D"/>
            </w:tcBorders>
            <w:shd w:val="clear" w:color="auto" w:fill="F8991D"/>
          </w:tcPr>
          <w:p>
            <w:pPr>
              <w:spacing w:after="0"/>
              <w:rPr>
                <w:sz w:val="9"/>
                <w:szCs w:val="9"/>
                <w:color w:val="auto"/>
              </w:rPr>
            </w:pPr>
          </w:p>
        </w:tc>
        <w:tc>
          <w:tcPr>
            <w:tcW w:w="20" w:type="dxa"/>
            <w:vAlign w:val="bottom"/>
            <w:tcBorders>
              <w:top w:val="single" w:sz="8" w:color="F8991D"/>
            </w:tcBorders>
            <w:shd w:val="clear" w:color="auto" w:fill="F8991D"/>
          </w:tcPr>
          <w:p>
            <w:pPr>
              <w:spacing w:after="0"/>
              <w:rPr>
                <w:sz w:val="9"/>
                <w:szCs w:val="9"/>
                <w:color w:val="auto"/>
              </w:rPr>
            </w:pPr>
          </w:p>
        </w:tc>
        <w:tc>
          <w:tcPr>
            <w:tcW w:w="160" w:type="dxa"/>
            <w:vAlign w:val="bottom"/>
            <w:tcBorders>
              <w:top w:val="single" w:sz="8" w:color="F8991D"/>
            </w:tcBorders>
            <w:shd w:val="clear" w:color="auto" w:fill="F8991D"/>
          </w:tcPr>
          <w:p>
            <w:pPr>
              <w:spacing w:after="0"/>
              <w:rPr>
                <w:sz w:val="9"/>
                <w:szCs w:val="9"/>
                <w:color w:val="auto"/>
              </w:rPr>
            </w:pPr>
          </w:p>
        </w:tc>
        <w:tc>
          <w:tcPr>
            <w:tcW w:w="220" w:type="dxa"/>
            <w:vAlign w:val="bottom"/>
            <w:tcBorders>
              <w:top w:val="single" w:sz="8" w:color="F8991D"/>
            </w:tcBorders>
            <w:shd w:val="clear" w:color="auto" w:fill="F8991D"/>
          </w:tcPr>
          <w:p>
            <w:pPr>
              <w:spacing w:after="0"/>
              <w:rPr>
                <w:sz w:val="9"/>
                <w:szCs w:val="9"/>
                <w:color w:val="auto"/>
              </w:rPr>
            </w:pPr>
          </w:p>
        </w:tc>
        <w:tc>
          <w:tcPr>
            <w:tcW w:w="420" w:type="dxa"/>
            <w:vAlign w:val="bottom"/>
            <w:tcBorders>
              <w:top w:val="single" w:sz="8" w:color="F8991D"/>
            </w:tcBorders>
            <w:shd w:val="clear" w:color="auto" w:fill="F8991D"/>
          </w:tcPr>
          <w:p>
            <w:pPr>
              <w:spacing w:after="0"/>
              <w:rPr>
                <w:sz w:val="9"/>
                <w:szCs w:val="9"/>
                <w:color w:val="auto"/>
              </w:rPr>
            </w:pPr>
          </w:p>
        </w:tc>
        <w:tc>
          <w:tcPr>
            <w:tcW w:w="260" w:type="dxa"/>
            <w:vAlign w:val="bottom"/>
            <w:tcBorders>
              <w:top w:val="single" w:sz="8" w:color="F8991D"/>
            </w:tcBorders>
            <w:shd w:val="clear" w:color="auto" w:fill="F8991D"/>
          </w:tcPr>
          <w:p>
            <w:pPr>
              <w:spacing w:after="0"/>
              <w:rPr>
                <w:sz w:val="9"/>
                <w:szCs w:val="9"/>
                <w:color w:val="auto"/>
              </w:rPr>
            </w:pPr>
          </w:p>
        </w:tc>
        <w:tc>
          <w:tcPr>
            <w:tcW w:w="80" w:type="dxa"/>
            <w:vAlign w:val="bottom"/>
            <w:tcBorders>
              <w:top w:val="single" w:sz="8" w:color="F8991D"/>
            </w:tcBorders>
            <w:shd w:val="clear" w:color="auto" w:fill="F8991D"/>
          </w:tcPr>
          <w:p>
            <w:pPr>
              <w:spacing w:after="0"/>
              <w:rPr>
                <w:sz w:val="9"/>
                <w:szCs w:val="9"/>
                <w:color w:val="auto"/>
              </w:rPr>
            </w:pPr>
          </w:p>
        </w:tc>
        <w:tc>
          <w:tcPr>
            <w:tcW w:w="200" w:type="dxa"/>
            <w:vAlign w:val="bottom"/>
            <w:tcBorders>
              <w:top w:val="single" w:sz="8" w:color="F8991D"/>
            </w:tcBorders>
            <w:shd w:val="clear" w:color="auto" w:fill="F8991D"/>
          </w:tcPr>
          <w:p>
            <w:pPr>
              <w:spacing w:after="0"/>
              <w:rPr>
                <w:sz w:val="9"/>
                <w:szCs w:val="9"/>
                <w:color w:val="auto"/>
              </w:rPr>
            </w:pPr>
          </w:p>
        </w:tc>
        <w:tc>
          <w:tcPr>
            <w:tcW w:w="120" w:type="dxa"/>
            <w:vAlign w:val="bottom"/>
            <w:tcBorders>
              <w:top w:val="single" w:sz="8" w:color="F8991D"/>
            </w:tcBorders>
            <w:shd w:val="clear" w:color="auto" w:fill="F8991D"/>
          </w:tcPr>
          <w:p>
            <w:pPr>
              <w:spacing w:after="0"/>
              <w:rPr>
                <w:sz w:val="9"/>
                <w:szCs w:val="9"/>
                <w:color w:val="auto"/>
              </w:rPr>
            </w:pPr>
          </w:p>
        </w:tc>
        <w:tc>
          <w:tcPr>
            <w:tcW w:w="80" w:type="dxa"/>
            <w:vAlign w:val="bottom"/>
            <w:tcBorders>
              <w:top w:val="single" w:sz="8" w:color="F8991D"/>
            </w:tcBorders>
            <w:shd w:val="clear" w:color="auto" w:fill="F8991D"/>
          </w:tcPr>
          <w:p>
            <w:pPr>
              <w:spacing w:after="0"/>
              <w:rPr>
                <w:sz w:val="9"/>
                <w:szCs w:val="9"/>
                <w:color w:val="auto"/>
              </w:rPr>
            </w:pPr>
          </w:p>
        </w:tc>
        <w:tc>
          <w:tcPr>
            <w:tcW w:w="20" w:type="dxa"/>
            <w:vAlign w:val="bottom"/>
            <w:tcBorders>
              <w:top w:val="single" w:sz="8" w:color="F8991D"/>
            </w:tcBorders>
            <w:shd w:val="clear" w:color="auto" w:fill="F8991D"/>
          </w:tcPr>
          <w:p>
            <w:pPr>
              <w:spacing w:after="0"/>
              <w:rPr>
                <w:sz w:val="9"/>
                <w:szCs w:val="9"/>
                <w:color w:val="auto"/>
              </w:rPr>
            </w:pPr>
          </w:p>
        </w:tc>
        <w:tc>
          <w:tcPr>
            <w:tcW w:w="20" w:type="dxa"/>
            <w:vAlign w:val="bottom"/>
            <w:tcBorders>
              <w:top w:val="single" w:sz="8" w:color="F8991D"/>
            </w:tcBorders>
            <w:shd w:val="clear" w:color="auto" w:fill="F8991D"/>
          </w:tcPr>
          <w:p>
            <w:pPr>
              <w:spacing w:after="0"/>
              <w:rPr>
                <w:sz w:val="9"/>
                <w:szCs w:val="9"/>
                <w:color w:val="auto"/>
              </w:rPr>
            </w:pPr>
          </w:p>
        </w:tc>
        <w:tc>
          <w:tcPr>
            <w:tcW w:w="40" w:type="dxa"/>
            <w:vAlign w:val="bottom"/>
            <w:tcBorders>
              <w:top w:val="single" w:sz="8" w:color="F8991D"/>
            </w:tcBorders>
            <w:shd w:val="clear" w:color="auto" w:fill="F8991D"/>
          </w:tcPr>
          <w:p>
            <w:pPr>
              <w:spacing w:after="0"/>
              <w:rPr>
                <w:sz w:val="9"/>
                <w:szCs w:val="9"/>
                <w:color w:val="auto"/>
              </w:rPr>
            </w:pPr>
          </w:p>
        </w:tc>
        <w:tc>
          <w:tcPr>
            <w:tcW w:w="20" w:type="dxa"/>
            <w:vAlign w:val="bottom"/>
            <w:tcBorders>
              <w:top w:val="single" w:sz="8" w:color="F8991D"/>
            </w:tcBorders>
            <w:shd w:val="clear" w:color="auto" w:fill="F8991D"/>
          </w:tcPr>
          <w:p>
            <w:pPr>
              <w:spacing w:after="0"/>
              <w:rPr>
                <w:sz w:val="9"/>
                <w:szCs w:val="9"/>
                <w:color w:val="auto"/>
              </w:rPr>
            </w:pPr>
          </w:p>
        </w:tc>
        <w:tc>
          <w:tcPr>
            <w:tcW w:w="60" w:type="dxa"/>
            <w:vAlign w:val="bottom"/>
            <w:tcBorders>
              <w:top w:val="single" w:sz="8" w:color="F8991D"/>
            </w:tcBorders>
            <w:shd w:val="clear" w:color="auto" w:fill="F8991D"/>
          </w:tcPr>
          <w:p>
            <w:pPr>
              <w:spacing w:after="0"/>
              <w:rPr>
                <w:sz w:val="9"/>
                <w:szCs w:val="9"/>
                <w:color w:val="auto"/>
              </w:rPr>
            </w:pPr>
          </w:p>
        </w:tc>
        <w:tc>
          <w:tcPr>
            <w:tcW w:w="220" w:type="dxa"/>
            <w:vAlign w:val="bottom"/>
            <w:tcBorders>
              <w:top w:val="single" w:sz="8" w:color="F8991D"/>
            </w:tcBorders>
            <w:shd w:val="clear" w:color="auto" w:fill="F8991D"/>
          </w:tcPr>
          <w:p>
            <w:pPr>
              <w:spacing w:after="0"/>
              <w:rPr>
                <w:sz w:val="9"/>
                <w:szCs w:val="9"/>
                <w:color w:val="auto"/>
              </w:rPr>
            </w:pPr>
          </w:p>
        </w:tc>
        <w:tc>
          <w:tcPr>
            <w:tcW w:w="520" w:type="dxa"/>
            <w:vAlign w:val="bottom"/>
            <w:tcBorders>
              <w:top w:val="single" w:sz="8" w:color="F8991D"/>
            </w:tcBorders>
            <w:shd w:val="clear" w:color="auto" w:fill="F8991D"/>
          </w:tcPr>
          <w:p>
            <w:pPr>
              <w:spacing w:after="0"/>
              <w:rPr>
                <w:sz w:val="9"/>
                <w:szCs w:val="9"/>
                <w:color w:val="auto"/>
              </w:rPr>
            </w:pPr>
          </w:p>
        </w:tc>
        <w:tc>
          <w:tcPr>
            <w:tcW w:w="120" w:type="dxa"/>
            <w:vAlign w:val="bottom"/>
            <w:tcBorders>
              <w:top w:val="single" w:sz="8" w:color="F8991D"/>
            </w:tcBorders>
            <w:shd w:val="clear" w:color="auto" w:fill="F8991D"/>
          </w:tcPr>
          <w:p>
            <w:pPr>
              <w:spacing w:after="0"/>
              <w:rPr>
                <w:sz w:val="9"/>
                <w:szCs w:val="9"/>
                <w:color w:val="auto"/>
              </w:rPr>
            </w:pPr>
          </w:p>
        </w:tc>
        <w:tc>
          <w:tcPr>
            <w:tcW w:w="20" w:type="dxa"/>
            <w:vAlign w:val="bottom"/>
            <w:tcBorders>
              <w:top w:val="single" w:sz="8" w:color="F8991D"/>
            </w:tcBorders>
            <w:shd w:val="clear" w:color="auto" w:fill="F8991D"/>
          </w:tcPr>
          <w:p>
            <w:pPr>
              <w:spacing w:after="0"/>
              <w:rPr>
                <w:sz w:val="9"/>
                <w:szCs w:val="9"/>
                <w:color w:val="auto"/>
              </w:rPr>
            </w:pPr>
          </w:p>
        </w:tc>
        <w:tc>
          <w:tcPr>
            <w:tcW w:w="140" w:type="dxa"/>
            <w:vAlign w:val="bottom"/>
            <w:tcBorders>
              <w:top w:val="single" w:sz="8" w:color="F8991D"/>
            </w:tcBorders>
            <w:shd w:val="clear" w:color="auto" w:fill="F8991D"/>
          </w:tcPr>
          <w:p>
            <w:pPr>
              <w:spacing w:after="0"/>
              <w:rPr>
                <w:sz w:val="9"/>
                <w:szCs w:val="9"/>
                <w:color w:val="auto"/>
              </w:rPr>
            </w:pPr>
          </w:p>
        </w:tc>
        <w:tc>
          <w:tcPr>
            <w:tcW w:w="240" w:type="dxa"/>
            <w:vAlign w:val="bottom"/>
            <w:tcBorders>
              <w:top w:val="single" w:sz="8" w:color="F8991D"/>
            </w:tcBorders>
            <w:shd w:val="clear" w:color="auto" w:fill="F8991D"/>
          </w:tcPr>
          <w:p>
            <w:pPr>
              <w:spacing w:after="0"/>
              <w:rPr>
                <w:sz w:val="9"/>
                <w:szCs w:val="9"/>
                <w:color w:val="auto"/>
              </w:rPr>
            </w:pPr>
          </w:p>
        </w:tc>
        <w:tc>
          <w:tcPr>
            <w:tcW w:w="220" w:type="dxa"/>
            <w:vAlign w:val="bottom"/>
            <w:tcBorders>
              <w:top w:val="single" w:sz="8" w:color="F8991D"/>
            </w:tcBorders>
            <w:shd w:val="clear" w:color="auto" w:fill="F8991D"/>
          </w:tcPr>
          <w:p>
            <w:pPr>
              <w:spacing w:after="0"/>
              <w:rPr>
                <w:sz w:val="9"/>
                <w:szCs w:val="9"/>
                <w:color w:val="auto"/>
              </w:rPr>
            </w:pPr>
          </w:p>
        </w:tc>
        <w:tc>
          <w:tcPr>
            <w:tcW w:w="20" w:type="dxa"/>
            <w:vAlign w:val="bottom"/>
            <w:tcBorders>
              <w:top w:val="single" w:sz="8" w:color="F8991D"/>
            </w:tcBorders>
            <w:shd w:val="clear" w:color="auto" w:fill="F8991D"/>
          </w:tcPr>
          <w:p>
            <w:pPr>
              <w:spacing w:after="0"/>
              <w:rPr>
                <w:sz w:val="9"/>
                <w:szCs w:val="9"/>
                <w:color w:val="auto"/>
              </w:rPr>
            </w:pPr>
          </w:p>
        </w:tc>
        <w:tc>
          <w:tcPr>
            <w:tcW w:w="20" w:type="dxa"/>
            <w:vAlign w:val="bottom"/>
            <w:tcBorders>
              <w:top w:val="single" w:sz="8" w:color="F8991D"/>
            </w:tcBorders>
            <w:shd w:val="clear" w:color="auto" w:fill="F8991D"/>
          </w:tcPr>
          <w:p>
            <w:pPr>
              <w:spacing w:after="0"/>
              <w:rPr>
                <w:sz w:val="9"/>
                <w:szCs w:val="9"/>
                <w:color w:val="auto"/>
              </w:rPr>
            </w:pPr>
          </w:p>
        </w:tc>
        <w:tc>
          <w:tcPr>
            <w:tcW w:w="1040" w:type="dxa"/>
            <w:vAlign w:val="bottom"/>
            <w:tcBorders>
              <w:top w:val="single" w:sz="8" w:color="F8991D"/>
            </w:tcBorders>
            <w:shd w:val="clear" w:color="auto" w:fill="F8991D"/>
          </w:tcPr>
          <w:p>
            <w:pPr>
              <w:spacing w:after="0"/>
              <w:rPr>
                <w:sz w:val="9"/>
                <w:szCs w:val="9"/>
                <w:color w:val="auto"/>
              </w:rPr>
            </w:pPr>
          </w:p>
        </w:tc>
        <w:tc>
          <w:tcPr>
            <w:tcW w:w="40" w:type="dxa"/>
            <w:vAlign w:val="bottom"/>
            <w:tcBorders>
              <w:top w:val="single" w:sz="8" w:color="F8991D"/>
            </w:tcBorders>
            <w:shd w:val="clear" w:color="auto" w:fill="F8991D"/>
          </w:tcPr>
          <w:p>
            <w:pPr>
              <w:spacing w:after="0"/>
              <w:rPr>
                <w:sz w:val="9"/>
                <w:szCs w:val="9"/>
                <w:color w:val="auto"/>
              </w:rPr>
            </w:pPr>
          </w:p>
        </w:tc>
        <w:tc>
          <w:tcPr>
            <w:tcW w:w="120" w:type="dxa"/>
            <w:vAlign w:val="bottom"/>
            <w:tcBorders>
              <w:top w:val="single" w:sz="8" w:color="F8991D"/>
            </w:tcBorders>
            <w:shd w:val="clear" w:color="auto" w:fill="F8991D"/>
          </w:tcPr>
          <w:p>
            <w:pPr>
              <w:spacing w:after="0"/>
              <w:rPr>
                <w:sz w:val="9"/>
                <w:szCs w:val="9"/>
                <w:color w:val="auto"/>
              </w:rPr>
            </w:pPr>
          </w:p>
        </w:tc>
        <w:tc>
          <w:tcPr>
            <w:tcW w:w="80" w:type="dxa"/>
            <w:vAlign w:val="bottom"/>
            <w:tcBorders>
              <w:top w:val="single" w:sz="8" w:color="F8991D"/>
            </w:tcBorders>
            <w:shd w:val="clear" w:color="auto" w:fill="F8991D"/>
          </w:tcPr>
          <w:p>
            <w:pPr>
              <w:spacing w:after="0"/>
              <w:rPr>
                <w:sz w:val="9"/>
                <w:szCs w:val="9"/>
                <w:color w:val="auto"/>
              </w:rPr>
            </w:pPr>
          </w:p>
        </w:tc>
        <w:tc>
          <w:tcPr>
            <w:tcW w:w="380" w:type="dxa"/>
            <w:vAlign w:val="bottom"/>
            <w:tcBorders>
              <w:top w:val="single" w:sz="8" w:color="F8991D"/>
            </w:tcBorders>
            <w:shd w:val="clear" w:color="auto" w:fill="F8991D"/>
          </w:tcPr>
          <w:p>
            <w:pPr>
              <w:spacing w:after="0"/>
              <w:rPr>
                <w:sz w:val="9"/>
                <w:szCs w:val="9"/>
                <w:color w:val="auto"/>
              </w:rPr>
            </w:pPr>
          </w:p>
        </w:tc>
        <w:tc>
          <w:tcPr>
            <w:tcW w:w="700" w:type="dxa"/>
            <w:vAlign w:val="bottom"/>
            <w:tcBorders>
              <w:top w:val="single" w:sz="8" w:color="F8991D"/>
            </w:tcBorders>
            <w:shd w:val="clear" w:color="auto" w:fill="F8991D"/>
          </w:tcPr>
          <w:p>
            <w:pPr>
              <w:spacing w:after="0"/>
              <w:rPr>
                <w:sz w:val="9"/>
                <w:szCs w:val="9"/>
                <w:color w:val="auto"/>
              </w:rPr>
            </w:pPr>
          </w:p>
        </w:tc>
        <w:tc>
          <w:tcPr>
            <w:tcW w:w="1520" w:type="dxa"/>
            <w:vAlign w:val="bottom"/>
            <w:tcBorders>
              <w:top w:val="single" w:sz="8" w:color="F8991D"/>
            </w:tcBorders>
            <w:shd w:val="clear" w:color="auto" w:fill="F8991D"/>
          </w:tcPr>
          <w:p>
            <w:pPr>
              <w:spacing w:after="0"/>
              <w:rPr>
                <w:sz w:val="9"/>
                <w:szCs w:val="9"/>
                <w:color w:val="auto"/>
              </w:rPr>
            </w:pPr>
          </w:p>
        </w:tc>
        <w:tc>
          <w:tcPr>
            <w:tcW w:w="1340" w:type="dxa"/>
            <w:vAlign w:val="bottom"/>
            <w:tcBorders>
              <w:top w:val="single" w:sz="8" w:color="F8991D"/>
            </w:tcBorders>
            <w:shd w:val="clear" w:color="auto" w:fill="F8991D"/>
          </w:tcPr>
          <w:p>
            <w:pPr>
              <w:spacing w:after="0"/>
              <w:rPr>
                <w:sz w:val="9"/>
                <w:szCs w:val="9"/>
                <w:color w:val="auto"/>
              </w:rPr>
            </w:pPr>
          </w:p>
        </w:tc>
        <w:tc>
          <w:tcPr>
            <w:tcW w:w="200" w:type="dxa"/>
            <w:vAlign w:val="bottom"/>
            <w:tcBorders>
              <w:top w:val="single" w:sz="8" w:color="F8991D"/>
            </w:tcBorders>
            <w:shd w:val="clear" w:color="auto" w:fill="F8991D"/>
          </w:tcPr>
          <w:p>
            <w:pPr>
              <w:spacing w:after="0"/>
              <w:rPr>
                <w:sz w:val="9"/>
                <w:szCs w:val="9"/>
                <w:color w:val="auto"/>
              </w:rPr>
            </w:pPr>
          </w:p>
        </w:tc>
        <w:tc>
          <w:tcPr>
            <w:tcW w:w="200" w:type="dxa"/>
            <w:vAlign w:val="bottom"/>
            <w:tcBorders>
              <w:top w:val="single" w:sz="8" w:color="F8991D"/>
            </w:tcBorders>
            <w:shd w:val="clear" w:color="auto" w:fill="F8991D"/>
          </w:tcPr>
          <w:p>
            <w:pPr>
              <w:spacing w:after="0"/>
              <w:rPr>
                <w:sz w:val="9"/>
                <w:szCs w:val="9"/>
                <w:color w:val="auto"/>
              </w:rPr>
            </w:pPr>
          </w:p>
        </w:tc>
        <w:tc>
          <w:tcPr>
            <w:tcW w:w="140" w:type="dxa"/>
            <w:vAlign w:val="bottom"/>
            <w:tcBorders>
              <w:top w:val="single" w:sz="8" w:color="0000EE"/>
            </w:tcBorders>
            <w:shd w:val="clear" w:color="auto" w:fill="F8991D"/>
          </w:tcPr>
          <w:p>
            <w:pPr>
              <w:spacing w:after="0"/>
              <w:rPr>
                <w:sz w:val="9"/>
                <w:szCs w:val="9"/>
                <w:color w:val="auto"/>
              </w:rPr>
            </w:pPr>
          </w:p>
        </w:tc>
        <w:tc>
          <w:tcPr>
            <w:tcW w:w="140" w:type="dxa"/>
            <w:vAlign w:val="bottom"/>
            <w:tcBorders>
              <w:top w:val="single" w:sz="8" w:color="0000EE"/>
            </w:tcBorders>
            <w:shd w:val="clear" w:color="auto" w:fill="F8991D"/>
          </w:tcPr>
          <w:p>
            <w:pPr>
              <w:spacing w:after="0"/>
              <w:rPr>
                <w:sz w:val="9"/>
                <w:szCs w:val="9"/>
                <w:color w:val="auto"/>
              </w:rPr>
            </w:pPr>
          </w:p>
        </w:tc>
        <w:tc>
          <w:tcPr>
            <w:tcW w:w="80" w:type="dxa"/>
            <w:vAlign w:val="bottom"/>
            <w:tcBorders>
              <w:top w:val="single" w:sz="8" w:color="F8991D"/>
            </w:tcBorders>
            <w:shd w:val="clear" w:color="auto" w:fill="F8991D"/>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60" w:type="dxa"/>
            <w:vAlign w:val="bottom"/>
            <w:tcBorders>
              <w:bottom w:val="single" w:sz="8" w:color="FAFAFA"/>
            </w:tcBorders>
            <w:shd w:val="clear" w:color="auto" w:fill="FAFAFA"/>
          </w:tcPr>
          <w:p>
            <w:pPr>
              <w:spacing w:after="0"/>
              <w:rPr>
                <w:sz w:val="24"/>
                <w:szCs w:val="24"/>
                <w:color w:val="auto"/>
              </w:rPr>
            </w:pPr>
          </w:p>
        </w:tc>
        <w:tc>
          <w:tcPr>
            <w:tcW w:w="640" w:type="dxa"/>
            <w:vAlign w:val="bottom"/>
            <w:tcBorders>
              <w:bottom w:val="single" w:sz="8" w:color="0000EE"/>
            </w:tcBorders>
            <w:gridSpan w:val="2"/>
            <w:shd w:val="clear" w:color="auto" w:fill="FAFAFA"/>
          </w:tcPr>
          <w:p>
            <w:pPr>
              <w:spacing w:after="0"/>
              <w:rPr>
                <w:sz w:val="20"/>
                <w:szCs w:val="20"/>
                <w:color w:val="auto"/>
              </w:rPr>
            </w:pPr>
            <w:r>
              <w:rPr>
                <w:rFonts w:ascii="Arial" w:cs="Arial" w:eastAsia="Arial" w:hAnsi="Arial"/>
                <w:sz w:val="14"/>
                <w:szCs w:val="14"/>
                <w:color w:val="0000EE"/>
                <w:w w:val="98"/>
              </w:rPr>
              <w:t>Nominees</w:t>
            </w:r>
          </w:p>
        </w:tc>
        <w:tc>
          <w:tcPr>
            <w:tcW w:w="260" w:type="dxa"/>
            <w:vAlign w:val="bottom"/>
            <w:tcBorders>
              <w:bottom w:val="single" w:sz="8" w:color="FAFAFA"/>
            </w:tcBorders>
            <w:shd w:val="clear" w:color="auto" w:fill="FAFAFA"/>
          </w:tcPr>
          <w:p>
            <w:pPr>
              <w:spacing w:after="0"/>
              <w:rPr>
                <w:sz w:val="24"/>
                <w:szCs w:val="24"/>
                <w:color w:val="auto"/>
              </w:rPr>
            </w:pPr>
          </w:p>
        </w:tc>
        <w:tc>
          <w:tcPr>
            <w:tcW w:w="520" w:type="dxa"/>
            <w:vAlign w:val="bottom"/>
            <w:tcBorders>
              <w:bottom w:val="single" w:sz="8" w:color="FAFAFA"/>
            </w:tcBorders>
            <w:gridSpan w:val="6"/>
            <w:shd w:val="clear" w:color="auto" w:fill="FAFAFA"/>
          </w:tcPr>
          <w:p>
            <w:pPr>
              <w:spacing w:after="0"/>
              <w:rPr>
                <w:sz w:val="24"/>
                <w:szCs w:val="24"/>
                <w:color w:val="auto"/>
              </w:rPr>
            </w:pPr>
          </w:p>
        </w:tc>
        <w:tc>
          <w:tcPr>
            <w:tcW w:w="120" w:type="dxa"/>
            <w:vAlign w:val="bottom"/>
            <w:tcBorders>
              <w:bottom w:val="single" w:sz="8" w:color="FAFAFA"/>
            </w:tcBorders>
            <w:gridSpan w:val="3"/>
            <w:shd w:val="clear" w:color="auto" w:fill="FAFAFA"/>
          </w:tcPr>
          <w:p>
            <w:pPr>
              <w:spacing w:after="0"/>
              <w:rPr>
                <w:sz w:val="24"/>
                <w:szCs w:val="24"/>
                <w:color w:val="auto"/>
              </w:rPr>
            </w:pPr>
          </w:p>
        </w:tc>
        <w:tc>
          <w:tcPr>
            <w:tcW w:w="2600" w:type="dxa"/>
            <w:vAlign w:val="bottom"/>
            <w:tcBorders>
              <w:bottom w:val="single" w:sz="8" w:color="FAFAFA"/>
            </w:tcBorders>
            <w:gridSpan w:val="11"/>
            <w:shd w:val="clear" w:color="auto" w:fill="FAFAFA"/>
          </w:tcPr>
          <w:p>
            <w:pPr>
              <w:spacing w:after="0"/>
              <w:rPr>
                <w:sz w:val="24"/>
                <w:szCs w:val="24"/>
                <w:color w:val="auto"/>
              </w:rPr>
            </w:pPr>
          </w:p>
        </w:tc>
        <w:tc>
          <w:tcPr>
            <w:tcW w:w="1280" w:type="dxa"/>
            <w:vAlign w:val="bottom"/>
            <w:tcBorders>
              <w:bottom w:val="single" w:sz="8" w:color="FAFAFA"/>
            </w:tcBorders>
            <w:gridSpan w:val="4"/>
            <w:shd w:val="clear" w:color="auto" w:fill="FAFAFA"/>
          </w:tcPr>
          <w:p>
            <w:pPr>
              <w:spacing w:after="0"/>
              <w:rPr>
                <w:sz w:val="24"/>
                <w:szCs w:val="24"/>
                <w:color w:val="auto"/>
              </w:rPr>
            </w:pPr>
          </w:p>
        </w:tc>
        <w:tc>
          <w:tcPr>
            <w:tcW w:w="2860" w:type="dxa"/>
            <w:vAlign w:val="bottom"/>
            <w:tcBorders>
              <w:bottom w:val="single" w:sz="8" w:color="FAFAFA"/>
            </w:tcBorders>
            <w:gridSpan w:val="2"/>
            <w:shd w:val="clear" w:color="auto" w:fill="FAFAFA"/>
          </w:tcPr>
          <w:p>
            <w:pPr>
              <w:spacing w:after="0"/>
              <w:rPr>
                <w:sz w:val="24"/>
                <w:szCs w:val="24"/>
                <w:color w:val="auto"/>
              </w:rPr>
            </w:pPr>
          </w:p>
        </w:tc>
        <w:tc>
          <w:tcPr>
            <w:tcW w:w="200" w:type="dxa"/>
            <w:vAlign w:val="bottom"/>
            <w:tcBorders>
              <w:bottom w:val="single" w:sz="8" w:color="FAFAFA"/>
            </w:tcBorders>
            <w:shd w:val="clear" w:color="auto" w:fill="FAFAFA"/>
          </w:tcPr>
          <w:p>
            <w:pPr>
              <w:spacing w:after="0"/>
              <w:rPr>
                <w:sz w:val="24"/>
                <w:szCs w:val="24"/>
                <w:color w:val="auto"/>
              </w:rPr>
            </w:pPr>
          </w:p>
        </w:tc>
        <w:tc>
          <w:tcPr>
            <w:tcW w:w="560" w:type="dxa"/>
            <w:vAlign w:val="bottom"/>
            <w:tcBorders>
              <w:bottom w:val="single" w:sz="8" w:color="FAFAFA"/>
            </w:tcBorders>
            <w:gridSpan w:val="4"/>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23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42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52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24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04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380" w:type="dxa"/>
            <w:vAlign w:val="bottom"/>
            <w:tcBorders>
              <w:top w:val="single" w:sz="8" w:color="FAFAFA"/>
            </w:tcBorders>
            <w:shd w:val="clear" w:color="auto" w:fill="FAFAFA"/>
          </w:tcPr>
          <w:p>
            <w:pPr>
              <w:spacing w:after="0"/>
              <w:rPr>
                <w:sz w:val="9"/>
                <w:szCs w:val="9"/>
                <w:color w:val="auto"/>
              </w:rPr>
            </w:pPr>
          </w:p>
        </w:tc>
        <w:tc>
          <w:tcPr>
            <w:tcW w:w="700" w:type="dxa"/>
            <w:vAlign w:val="bottom"/>
            <w:tcBorders>
              <w:top w:val="single" w:sz="8" w:color="FAFAFA"/>
            </w:tcBorders>
            <w:shd w:val="clear" w:color="auto" w:fill="FAFAFA"/>
          </w:tcPr>
          <w:p>
            <w:pPr>
              <w:spacing w:after="0"/>
              <w:rPr>
                <w:sz w:val="9"/>
                <w:szCs w:val="9"/>
                <w:color w:val="auto"/>
              </w:rPr>
            </w:pPr>
          </w:p>
        </w:tc>
        <w:tc>
          <w:tcPr>
            <w:tcW w:w="1520" w:type="dxa"/>
            <w:vAlign w:val="bottom"/>
            <w:tcBorders>
              <w:top w:val="single" w:sz="8" w:color="FAFAFA"/>
            </w:tcBorders>
            <w:shd w:val="clear" w:color="auto" w:fill="FAFAFA"/>
          </w:tcPr>
          <w:p>
            <w:pPr>
              <w:spacing w:after="0"/>
              <w:rPr>
                <w:sz w:val="9"/>
                <w:szCs w:val="9"/>
                <w:color w:val="auto"/>
              </w:rPr>
            </w:pPr>
          </w:p>
        </w:tc>
        <w:tc>
          <w:tcPr>
            <w:tcW w:w="134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160" w:type="dxa"/>
            <w:vAlign w:val="bottom"/>
            <w:tcBorders>
              <w:bottom w:val="single" w:sz="8" w:color="EBEBEB"/>
            </w:tcBorders>
            <w:shd w:val="clear" w:color="auto" w:fill="EBEBEB"/>
          </w:tcPr>
          <w:p>
            <w:pPr>
              <w:spacing w:after="0"/>
              <w:rPr>
                <w:sz w:val="24"/>
                <w:szCs w:val="24"/>
                <w:color w:val="auto"/>
              </w:rPr>
            </w:pPr>
          </w:p>
        </w:tc>
        <w:tc>
          <w:tcPr>
            <w:tcW w:w="900" w:type="dxa"/>
            <w:vAlign w:val="bottom"/>
            <w:tcBorders>
              <w:bottom w:val="single" w:sz="8" w:color="0000EE"/>
            </w:tcBorders>
            <w:gridSpan w:val="3"/>
            <w:shd w:val="clear" w:color="auto" w:fill="EBEBEB"/>
          </w:tcPr>
          <w:p>
            <w:pPr>
              <w:spacing w:after="0"/>
              <w:rPr>
                <w:sz w:val="20"/>
                <w:szCs w:val="20"/>
                <w:color w:val="auto"/>
              </w:rPr>
            </w:pPr>
            <w:r>
              <w:rPr>
                <w:rFonts w:ascii="Arial" w:cs="Arial" w:eastAsia="Arial" w:hAnsi="Arial"/>
                <w:sz w:val="14"/>
                <w:szCs w:val="14"/>
                <w:color w:val="0000EE"/>
                <w:w w:val="98"/>
              </w:rPr>
              <w:t>Vote Required</w:t>
            </w:r>
          </w:p>
        </w:tc>
        <w:tc>
          <w:tcPr>
            <w:tcW w:w="520" w:type="dxa"/>
            <w:vAlign w:val="bottom"/>
            <w:tcBorders>
              <w:bottom w:val="single" w:sz="8" w:color="EBEBEB"/>
            </w:tcBorders>
            <w:gridSpan w:val="6"/>
            <w:shd w:val="clear" w:color="auto" w:fill="EBEBEB"/>
          </w:tcPr>
          <w:p>
            <w:pPr>
              <w:spacing w:after="0"/>
              <w:rPr>
                <w:sz w:val="24"/>
                <w:szCs w:val="24"/>
                <w:color w:val="auto"/>
              </w:rPr>
            </w:pPr>
          </w:p>
        </w:tc>
        <w:tc>
          <w:tcPr>
            <w:tcW w:w="120" w:type="dxa"/>
            <w:vAlign w:val="bottom"/>
            <w:tcBorders>
              <w:bottom w:val="single" w:sz="8" w:color="EBEBEB"/>
            </w:tcBorders>
            <w:gridSpan w:val="3"/>
            <w:shd w:val="clear" w:color="auto" w:fill="EBEBEB"/>
          </w:tcPr>
          <w:p>
            <w:pPr>
              <w:spacing w:after="0"/>
              <w:rPr>
                <w:sz w:val="24"/>
                <w:szCs w:val="24"/>
                <w:color w:val="auto"/>
              </w:rPr>
            </w:pPr>
          </w:p>
        </w:tc>
        <w:tc>
          <w:tcPr>
            <w:tcW w:w="2600" w:type="dxa"/>
            <w:vAlign w:val="bottom"/>
            <w:tcBorders>
              <w:bottom w:val="single" w:sz="8" w:color="EBEBEB"/>
            </w:tcBorders>
            <w:gridSpan w:val="11"/>
            <w:shd w:val="clear" w:color="auto" w:fill="EBEBEB"/>
          </w:tcPr>
          <w:p>
            <w:pPr>
              <w:spacing w:after="0"/>
              <w:rPr>
                <w:sz w:val="24"/>
                <w:szCs w:val="24"/>
                <w:color w:val="auto"/>
              </w:rPr>
            </w:pPr>
          </w:p>
        </w:tc>
        <w:tc>
          <w:tcPr>
            <w:tcW w:w="1280" w:type="dxa"/>
            <w:vAlign w:val="bottom"/>
            <w:tcBorders>
              <w:bottom w:val="single" w:sz="8" w:color="EBEBEB"/>
            </w:tcBorders>
            <w:gridSpan w:val="4"/>
            <w:shd w:val="clear" w:color="auto" w:fill="EBEBEB"/>
          </w:tcPr>
          <w:p>
            <w:pPr>
              <w:spacing w:after="0"/>
              <w:rPr>
                <w:sz w:val="24"/>
                <w:szCs w:val="24"/>
                <w:color w:val="auto"/>
              </w:rPr>
            </w:pPr>
          </w:p>
        </w:tc>
        <w:tc>
          <w:tcPr>
            <w:tcW w:w="2860" w:type="dxa"/>
            <w:vAlign w:val="bottom"/>
            <w:tcBorders>
              <w:bottom w:val="single" w:sz="8" w:color="EBEBEB"/>
            </w:tcBorders>
            <w:gridSpan w:val="2"/>
            <w:shd w:val="clear" w:color="auto" w:fill="EBEBEB"/>
          </w:tcPr>
          <w:p>
            <w:pPr>
              <w:spacing w:after="0"/>
              <w:rPr>
                <w:sz w:val="24"/>
                <w:szCs w:val="24"/>
                <w:color w:val="auto"/>
              </w:rPr>
            </w:pPr>
          </w:p>
        </w:tc>
        <w:tc>
          <w:tcPr>
            <w:tcW w:w="200" w:type="dxa"/>
            <w:vAlign w:val="bottom"/>
            <w:tcBorders>
              <w:bottom w:val="single" w:sz="8" w:color="EBEBEB"/>
            </w:tcBorders>
            <w:shd w:val="clear" w:color="auto" w:fill="EBEBEB"/>
          </w:tcPr>
          <w:p>
            <w:pPr>
              <w:spacing w:after="0"/>
              <w:rPr>
                <w:sz w:val="24"/>
                <w:szCs w:val="24"/>
                <w:color w:val="auto"/>
              </w:rPr>
            </w:pPr>
          </w:p>
        </w:tc>
        <w:tc>
          <w:tcPr>
            <w:tcW w:w="560" w:type="dxa"/>
            <w:vAlign w:val="bottom"/>
            <w:tcBorders>
              <w:bottom w:val="single" w:sz="8" w:color="EBEBEB"/>
            </w:tcBorders>
            <w:gridSpan w:val="4"/>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23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42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52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EBEBEB"/>
            </w:tcBorders>
            <w:shd w:val="clear" w:color="auto" w:fill="EBEBEB"/>
          </w:tcPr>
          <w:p>
            <w:pPr>
              <w:spacing w:after="0"/>
              <w:rPr>
                <w:sz w:val="9"/>
                <w:szCs w:val="9"/>
                <w:color w:val="auto"/>
              </w:rPr>
            </w:pPr>
          </w:p>
        </w:tc>
        <w:tc>
          <w:tcPr>
            <w:tcW w:w="24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04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380" w:type="dxa"/>
            <w:vAlign w:val="bottom"/>
            <w:tcBorders>
              <w:top w:val="single" w:sz="8" w:color="EBEBEB"/>
            </w:tcBorders>
            <w:shd w:val="clear" w:color="auto" w:fill="EBEBEB"/>
          </w:tcPr>
          <w:p>
            <w:pPr>
              <w:spacing w:after="0"/>
              <w:rPr>
                <w:sz w:val="9"/>
                <w:szCs w:val="9"/>
                <w:color w:val="auto"/>
              </w:rPr>
            </w:pPr>
          </w:p>
        </w:tc>
        <w:tc>
          <w:tcPr>
            <w:tcW w:w="700" w:type="dxa"/>
            <w:vAlign w:val="bottom"/>
            <w:tcBorders>
              <w:top w:val="single" w:sz="8" w:color="EBEBEB"/>
            </w:tcBorders>
            <w:shd w:val="clear" w:color="auto" w:fill="EBEBEB"/>
          </w:tcPr>
          <w:p>
            <w:pPr>
              <w:spacing w:after="0"/>
              <w:rPr>
                <w:sz w:val="9"/>
                <w:szCs w:val="9"/>
                <w:color w:val="auto"/>
              </w:rPr>
            </w:pPr>
          </w:p>
        </w:tc>
        <w:tc>
          <w:tcPr>
            <w:tcW w:w="1520" w:type="dxa"/>
            <w:vAlign w:val="bottom"/>
            <w:tcBorders>
              <w:top w:val="single" w:sz="8" w:color="EBEBEB"/>
            </w:tcBorders>
            <w:shd w:val="clear" w:color="auto" w:fill="EBEBEB"/>
          </w:tcPr>
          <w:p>
            <w:pPr>
              <w:spacing w:after="0"/>
              <w:rPr>
                <w:sz w:val="9"/>
                <w:szCs w:val="9"/>
                <w:color w:val="auto"/>
              </w:rPr>
            </w:pPr>
          </w:p>
        </w:tc>
        <w:tc>
          <w:tcPr>
            <w:tcW w:w="134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60" w:type="dxa"/>
            <w:vAlign w:val="bottom"/>
            <w:tcBorders>
              <w:bottom w:val="single" w:sz="8" w:color="FAFAFA"/>
            </w:tcBorders>
            <w:shd w:val="clear" w:color="auto" w:fill="FAFAFA"/>
          </w:tcPr>
          <w:p>
            <w:pPr>
              <w:spacing w:after="0"/>
              <w:rPr>
                <w:sz w:val="24"/>
                <w:szCs w:val="24"/>
                <w:color w:val="auto"/>
              </w:rPr>
            </w:pPr>
          </w:p>
        </w:tc>
        <w:tc>
          <w:tcPr>
            <w:tcW w:w="1540" w:type="dxa"/>
            <w:vAlign w:val="bottom"/>
            <w:tcBorders>
              <w:bottom w:val="single" w:sz="8" w:color="0000EE"/>
            </w:tcBorders>
            <w:gridSpan w:val="12"/>
            <w:shd w:val="clear" w:color="auto" w:fill="FAFAFA"/>
          </w:tcPr>
          <w:p>
            <w:pPr>
              <w:spacing w:after="0"/>
              <w:rPr>
                <w:sz w:val="20"/>
                <w:szCs w:val="20"/>
                <w:color w:val="auto"/>
              </w:rPr>
            </w:pPr>
            <w:r>
              <w:rPr>
                <w:rFonts w:ascii="Arial" w:cs="Arial" w:eastAsia="Arial" w:hAnsi="Arial"/>
                <w:sz w:val="14"/>
                <w:szCs w:val="14"/>
                <w:color w:val="0000EE"/>
              </w:rPr>
              <w:t>Board Recommendation</w:t>
            </w:r>
          </w:p>
        </w:tc>
        <w:tc>
          <w:tcPr>
            <w:tcW w:w="2600" w:type="dxa"/>
            <w:vAlign w:val="bottom"/>
            <w:tcBorders>
              <w:bottom w:val="single" w:sz="8" w:color="FAFAFA"/>
            </w:tcBorders>
            <w:gridSpan w:val="11"/>
            <w:shd w:val="clear" w:color="auto" w:fill="FAFAFA"/>
          </w:tcPr>
          <w:p>
            <w:pPr>
              <w:spacing w:after="0"/>
              <w:rPr>
                <w:sz w:val="24"/>
                <w:szCs w:val="24"/>
                <w:color w:val="auto"/>
              </w:rPr>
            </w:pPr>
          </w:p>
        </w:tc>
        <w:tc>
          <w:tcPr>
            <w:tcW w:w="1280" w:type="dxa"/>
            <w:vAlign w:val="bottom"/>
            <w:tcBorders>
              <w:bottom w:val="single" w:sz="8" w:color="FAFAFA"/>
            </w:tcBorders>
            <w:gridSpan w:val="4"/>
            <w:shd w:val="clear" w:color="auto" w:fill="FAFAFA"/>
          </w:tcPr>
          <w:p>
            <w:pPr>
              <w:spacing w:after="0"/>
              <w:rPr>
                <w:sz w:val="24"/>
                <w:szCs w:val="24"/>
                <w:color w:val="auto"/>
              </w:rPr>
            </w:pPr>
          </w:p>
        </w:tc>
        <w:tc>
          <w:tcPr>
            <w:tcW w:w="2860" w:type="dxa"/>
            <w:vAlign w:val="bottom"/>
            <w:tcBorders>
              <w:bottom w:val="single" w:sz="8" w:color="FAFAFA"/>
            </w:tcBorders>
            <w:gridSpan w:val="2"/>
            <w:shd w:val="clear" w:color="auto" w:fill="FAFAFA"/>
          </w:tcPr>
          <w:p>
            <w:pPr>
              <w:spacing w:after="0"/>
              <w:rPr>
                <w:sz w:val="24"/>
                <w:szCs w:val="24"/>
                <w:color w:val="auto"/>
              </w:rPr>
            </w:pPr>
          </w:p>
        </w:tc>
        <w:tc>
          <w:tcPr>
            <w:tcW w:w="200" w:type="dxa"/>
            <w:vAlign w:val="bottom"/>
            <w:tcBorders>
              <w:bottom w:val="single" w:sz="8" w:color="FAFAFA"/>
            </w:tcBorders>
            <w:shd w:val="clear" w:color="auto" w:fill="FAFAFA"/>
          </w:tcPr>
          <w:p>
            <w:pPr>
              <w:spacing w:after="0"/>
              <w:rPr>
                <w:sz w:val="24"/>
                <w:szCs w:val="24"/>
                <w:color w:val="auto"/>
              </w:rPr>
            </w:pPr>
          </w:p>
        </w:tc>
        <w:tc>
          <w:tcPr>
            <w:tcW w:w="560" w:type="dxa"/>
            <w:vAlign w:val="bottom"/>
            <w:tcBorders>
              <w:bottom w:val="single" w:sz="8" w:color="FAFAFA"/>
            </w:tcBorders>
            <w:gridSpan w:val="4"/>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23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42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52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24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04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380" w:type="dxa"/>
            <w:vAlign w:val="bottom"/>
            <w:tcBorders>
              <w:top w:val="single" w:sz="8" w:color="FAFAFA"/>
            </w:tcBorders>
            <w:shd w:val="clear" w:color="auto" w:fill="FAFAFA"/>
          </w:tcPr>
          <w:p>
            <w:pPr>
              <w:spacing w:after="0"/>
              <w:rPr>
                <w:sz w:val="9"/>
                <w:szCs w:val="9"/>
                <w:color w:val="auto"/>
              </w:rPr>
            </w:pPr>
          </w:p>
        </w:tc>
        <w:tc>
          <w:tcPr>
            <w:tcW w:w="700" w:type="dxa"/>
            <w:vAlign w:val="bottom"/>
            <w:tcBorders>
              <w:top w:val="single" w:sz="8" w:color="FAFAFA"/>
            </w:tcBorders>
            <w:shd w:val="clear" w:color="auto" w:fill="FAFAFA"/>
          </w:tcPr>
          <w:p>
            <w:pPr>
              <w:spacing w:after="0"/>
              <w:rPr>
                <w:sz w:val="9"/>
                <w:szCs w:val="9"/>
                <w:color w:val="auto"/>
              </w:rPr>
            </w:pPr>
          </w:p>
        </w:tc>
        <w:tc>
          <w:tcPr>
            <w:tcW w:w="1520" w:type="dxa"/>
            <w:vAlign w:val="bottom"/>
            <w:tcBorders>
              <w:top w:val="single" w:sz="8" w:color="FAFAFA"/>
            </w:tcBorders>
            <w:shd w:val="clear" w:color="auto" w:fill="FAFAFA"/>
          </w:tcPr>
          <w:p>
            <w:pPr>
              <w:spacing w:after="0"/>
              <w:rPr>
                <w:sz w:val="9"/>
                <w:szCs w:val="9"/>
                <w:color w:val="auto"/>
              </w:rPr>
            </w:pPr>
          </w:p>
        </w:tc>
        <w:tc>
          <w:tcPr>
            <w:tcW w:w="134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20" w:type="dxa"/>
            <w:vAlign w:val="bottom"/>
            <w:shd w:val="clear" w:color="auto" w:fill="F8991D"/>
          </w:tcPr>
          <w:p>
            <w:pPr>
              <w:spacing w:after="0"/>
              <w:rPr>
                <w:sz w:val="17"/>
                <w:szCs w:val="17"/>
                <w:color w:val="auto"/>
              </w:rPr>
            </w:pPr>
          </w:p>
        </w:tc>
        <w:tc>
          <w:tcPr>
            <w:tcW w:w="60" w:type="dxa"/>
            <w:vAlign w:val="bottom"/>
            <w:shd w:val="clear" w:color="auto" w:fill="F8991D"/>
          </w:tcPr>
          <w:p>
            <w:pPr>
              <w:spacing w:after="0"/>
              <w:rPr>
                <w:sz w:val="17"/>
                <w:szCs w:val="17"/>
                <w:color w:val="auto"/>
              </w:rPr>
            </w:pPr>
          </w:p>
        </w:tc>
        <w:tc>
          <w:tcPr>
            <w:tcW w:w="8660" w:type="dxa"/>
            <w:vAlign w:val="bottom"/>
            <w:gridSpan w:val="32"/>
            <w:shd w:val="clear" w:color="auto" w:fill="F8991D"/>
          </w:tcPr>
          <w:p>
            <w:pPr>
              <w:spacing w:after="0"/>
              <w:rPr>
                <w:sz w:val="20"/>
                <w:szCs w:val="20"/>
                <w:color w:val="auto"/>
              </w:rPr>
            </w:pPr>
            <w:r>
              <w:rPr>
                <w:rFonts w:ascii="Arial" w:cs="Arial" w:eastAsia="Arial" w:hAnsi="Arial"/>
                <w:sz w:val="16"/>
                <w:szCs w:val="16"/>
                <w:b w:val="1"/>
                <w:bCs w:val="1"/>
                <w:color w:val="0000EE"/>
              </w:rPr>
              <w:t>PROPOSAL NO. 2: RATIFICATION OF APPOINTMENT OF INDEPENDENT REGISTERED PUBLIC ACCOUNTING</w:t>
            </w:r>
          </w:p>
        </w:tc>
        <w:tc>
          <w:tcPr>
            <w:tcW w:w="200" w:type="dxa"/>
            <w:vAlign w:val="bottom"/>
            <w:shd w:val="clear" w:color="auto" w:fill="F8991D"/>
          </w:tcPr>
          <w:p>
            <w:pPr>
              <w:spacing w:after="0"/>
              <w:rPr>
                <w:sz w:val="17"/>
                <w:szCs w:val="17"/>
                <w:color w:val="auto"/>
              </w:rPr>
            </w:pPr>
          </w:p>
        </w:tc>
        <w:tc>
          <w:tcPr>
            <w:tcW w:w="280" w:type="dxa"/>
            <w:vAlign w:val="bottom"/>
            <w:gridSpan w:val="2"/>
            <w:vMerge w:val="restart"/>
            <w:shd w:val="clear" w:color="auto" w:fill="F8991D"/>
          </w:tcPr>
          <w:p>
            <w:pPr>
              <w:jc w:val="right"/>
              <w:spacing w:after="0" w:line="317" w:lineRule="exact"/>
              <w:rPr>
                <w:sz w:val="20"/>
                <w:szCs w:val="20"/>
                <w:color w:val="auto"/>
              </w:rPr>
            </w:pPr>
            <w:r>
              <w:rPr>
                <w:rFonts w:ascii="Times New Roman" w:cs="Times New Roman" w:eastAsia="Times New Roman" w:hAnsi="Times New Roman"/>
                <w:sz w:val="29"/>
                <w:szCs w:val="29"/>
                <w:color w:val="0000EE"/>
                <w:w w:val="89"/>
              </w:rPr>
              <w:t>24</w:t>
            </w:r>
          </w:p>
        </w:tc>
        <w:tc>
          <w:tcPr>
            <w:tcW w:w="80" w:type="dxa"/>
            <w:vAlign w:val="bottom"/>
            <w:shd w:val="clear" w:color="auto" w:fill="F8991D"/>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120" w:type="dxa"/>
            <w:vAlign w:val="bottom"/>
            <w:tcBorders>
              <w:top w:val="single" w:sz="8" w:color="F8991D"/>
              <w:bottom w:val="single" w:sz="8" w:color="F8991D"/>
            </w:tcBorders>
            <w:shd w:val="clear" w:color="auto" w:fill="F8991D"/>
          </w:tcPr>
          <w:p>
            <w:pPr>
              <w:spacing w:after="0"/>
              <w:rPr>
                <w:sz w:val="10"/>
                <w:szCs w:val="10"/>
                <w:color w:val="auto"/>
              </w:rPr>
            </w:pPr>
          </w:p>
        </w:tc>
        <w:tc>
          <w:tcPr>
            <w:tcW w:w="60" w:type="dxa"/>
            <w:vAlign w:val="bottom"/>
            <w:tcBorders>
              <w:top w:val="single" w:sz="8" w:color="F8991D"/>
              <w:bottom w:val="single" w:sz="8" w:color="F8991D"/>
            </w:tcBorders>
            <w:shd w:val="clear" w:color="auto" w:fill="F8991D"/>
          </w:tcPr>
          <w:p>
            <w:pPr>
              <w:spacing w:after="0"/>
              <w:rPr>
                <w:sz w:val="10"/>
                <w:szCs w:val="10"/>
                <w:color w:val="auto"/>
              </w:rPr>
            </w:pPr>
          </w:p>
        </w:tc>
        <w:tc>
          <w:tcPr>
            <w:tcW w:w="8460" w:type="dxa"/>
            <w:vAlign w:val="bottom"/>
            <w:tcBorders>
              <w:top w:val="single" w:sz="8" w:color="0000EE"/>
              <w:bottom w:val="single" w:sz="8" w:color="0000EE"/>
            </w:tcBorders>
            <w:gridSpan w:val="31"/>
            <w:vMerge w:val="restart"/>
            <w:shd w:val="clear" w:color="auto" w:fill="F8991D"/>
          </w:tcPr>
          <w:p>
            <w:pPr>
              <w:spacing w:after="0" w:line="169" w:lineRule="exact"/>
              <w:rPr>
                <w:sz w:val="20"/>
                <w:szCs w:val="20"/>
                <w:color w:val="auto"/>
              </w:rPr>
            </w:pPr>
            <w:r>
              <w:rPr>
                <w:rFonts w:ascii="Arial" w:cs="Arial" w:eastAsia="Arial" w:hAnsi="Arial"/>
                <w:sz w:val="16"/>
                <w:szCs w:val="16"/>
                <w:b w:val="1"/>
                <w:bCs w:val="1"/>
                <w:color w:val="0000EE"/>
              </w:rPr>
              <w:t>FIRM</w:t>
            </w:r>
          </w:p>
        </w:tc>
        <w:tc>
          <w:tcPr>
            <w:tcW w:w="200" w:type="dxa"/>
            <w:vAlign w:val="bottom"/>
            <w:tcBorders>
              <w:top w:val="single" w:sz="8" w:color="F8991D"/>
              <w:bottom w:val="single" w:sz="8" w:color="F8991D"/>
            </w:tcBorders>
            <w:shd w:val="clear" w:color="auto" w:fill="F8991D"/>
          </w:tcPr>
          <w:p>
            <w:pPr>
              <w:spacing w:after="0"/>
              <w:rPr>
                <w:sz w:val="10"/>
                <w:szCs w:val="10"/>
                <w:color w:val="auto"/>
              </w:rPr>
            </w:pPr>
          </w:p>
        </w:tc>
        <w:tc>
          <w:tcPr>
            <w:tcW w:w="200" w:type="dxa"/>
            <w:vAlign w:val="bottom"/>
            <w:tcBorders>
              <w:top w:val="single" w:sz="8" w:color="F8991D"/>
              <w:bottom w:val="single" w:sz="8" w:color="F8991D"/>
            </w:tcBorders>
            <w:vMerge w:val="restart"/>
            <w:shd w:val="clear" w:color="auto" w:fill="F8991D"/>
          </w:tcPr>
          <w:p>
            <w:pPr>
              <w:spacing w:after="0"/>
              <w:rPr>
                <w:sz w:val="10"/>
                <w:szCs w:val="10"/>
                <w:color w:val="auto"/>
              </w:rPr>
            </w:pPr>
          </w:p>
        </w:tc>
        <w:tc>
          <w:tcPr>
            <w:tcW w:w="280" w:type="dxa"/>
            <w:vAlign w:val="bottom"/>
            <w:tcBorders>
              <w:top w:val="single" w:sz="8" w:color="F8991D"/>
              <w:bottom w:val="single" w:sz="8" w:color="0000EE"/>
            </w:tcBorders>
            <w:gridSpan w:val="2"/>
            <w:vMerge w:val="continue"/>
            <w:shd w:val="clear" w:color="auto" w:fill="F8991D"/>
          </w:tcPr>
          <w:p>
            <w:pPr>
              <w:spacing w:after="0"/>
              <w:rPr>
                <w:sz w:val="10"/>
                <w:szCs w:val="10"/>
                <w:color w:val="auto"/>
              </w:rPr>
            </w:pPr>
          </w:p>
        </w:tc>
        <w:tc>
          <w:tcPr>
            <w:tcW w:w="80" w:type="dxa"/>
            <w:vAlign w:val="bottom"/>
            <w:tcBorders>
              <w:top w:val="single" w:sz="8" w:color="F8991D"/>
              <w:bottom w:val="single" w:sz="8" w:color="F8991D"/>
            </w:tcBorders>
            <w:vMerge w:val="restart"/>
            <w:shd w:val="clear" w:color="auto" w:fill="F8991D"/>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120" w:type="dxa"/>
            <w:vAlign w:val="bottom"/>
            <w:shd w:val="clear" w:color="auto" w:fill="F8991D"/>
          </w:tcPr>
          <w:p>
            <w:pPr>
              <w:spacing w:after="0"/>
              <w:rPr>
                <w:sz w:val="2"/>
                <w:szCs w:val="2"/>
                <w:color w:val="auto"/>
              </w:rPr>
            </w:pPr>
          </w:p>
        </w:tc>
        <w:tc>
          <w:tcPr>
            <w:tcW w:w="60" w:type="dxa"/>
            <w:vAlign w:val="bottom"/>
            <w:shd w:val="clear" w:color="auto" w:fill="F8991D"/>
          </w:tcPr>
          <w:p>
            <w:pPr>
              <w:spacing w:after="0"/>
              <w:rPr>
                <w:sz w:val="2"/>
                <w:szCs w:val="2"/>
                <w:color w:val="auto"/>
              </w:rPr>
            </w:pPr>
          </w:p>
        </w:tc>
        <w:tc>
          <w:tcPr>
            <w:tcW w:w="8460" w:type="dxa"/>
            <w:vAlign w:val="bottom"/>
            <w:gridSpan w:val="31"/>
            <w:vMerge w:val="continue"/>
            <w:shd w:val="clear" w:color="auto" w:fill="F8991D"/>
          </w:tcPr>
          <w:p>
            <w:pPr>
              <w:spacing w:after="0"/>
              <w:rPr>
                <w:sz w:val="2"/>
                <w:szCs w:val="2"/>
                <w:color w:val="auto"/>
              </w:rPr>
            </w:pPr>
          </w:p>
        </w:tc>
        <w:tc>
          <w:tcPr>
            <w:tcW w:w="200" w:type="dxa"/>
            <w:vAlign w:val="bottom"/>
            <w:shd w:val="clear" w:color="auto" w:fill="F8991D"/>
          </w:tcPr>
          <w:p>
            <w:pPr>
              <w:spacing w:after="0"/>
              <w:rPr>
                <w:sz w:val="2"/>
                <w:szCs w:val="2"/>
                <w:color w:val="auto"/>
              </w:rPr>
            </w:pPr>
          </w:p>
        </w:tc>
        <w:tc>
          <w:tcPr>
            <w:tcW w:w="200" w:type="dxa"/>
            <w:vAlign w:val="bottom"/>
            <w:vMerge w:val="continue"/>
            <w:shd w:val="clear" w:color="auto" w:fill="F8991D"/>
          </w:tcPr>
          <w:p>
            <w:pPr>
              <w:spacing w:after="0"/>
              <w:rPr>
                <w:sz w:val="2"/>
                <w:szCs w:val="2"/>
                <w:color w:val="auto"/>
              </w:rPr>
            </w:pPr>
          </w:p>
        </w:tc>
        <w:tc>
          <w:tcPr>
            <w:tcW w:w="280" w:type="dxa"/>
            <w:vAlign w:val="bottom"/>
            <w:gridSpan w:val="2"/>
            <w:shd w:val="clear" w:color="auto" w:fill="F8991D"/>
          </w:tcPr>
          <w:p>
            <w:pPr>
              <w:spacing w:after="0"/>
              <w:rPr>
                <w:sz w:val="2"/>
                <w:szCs w:val="2"/>
                <w:color w:val="auto"/>
              </w:rPr>
            </w:pPr>
          </w:p>
        </w:tc>
        <w:tc>
          <w:tcPr>
            <w:tcW w:w="80" w:type="dxa"/>
            <w:vAlign w:val="bottom"/>
            <w:vMerge w:val="continue"/>
            <w:shd w:val="clear" w:color="auto" w:fill="F8991D"/>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800" w:type="dxa"/>
            <w:vAlign w:val="bottom"/>
          </w:tcPr>
          <w:p>
            <w:pPr>
              <w:spacing w:after="0"/>
              <w:rPr>
                <w:sz w:val="7"/>
                <w:szCs w:val="7"/>
                <w:color w:val="auto"/>
              </w:rPr>
            </w:pPr>
          </w:p>
        </w:tc>
        <w:tc>
          <w:tcPr>
            <w:tcW w:w="120" w:type="dxa"/>
            <w:vAlign w:val="bottom"/>
            <w:tcBorders>
              <w:top w:val="single" w:sz="8" w:color="F8991D"/>
            </w:tcBorders>
            <w:shd w:val="clear" w:color="auto" w:fill="F8991D"/>
          </w:tcPr>
          <w:p>
            <w:pPr>
              <w:spacing w:after="0"/>
              <w:rPr>
                <w:sz w:val="7"/>
                <w:szCs w:val="7"/>
                <w:color w:val="auto"/>
              </w:rPr>
            </w:pPr>
          </w:p>
        </w:tc>
        <w:tc>
          <w:tcPr>
            <w:tcW w:w="60" w:type="dxa"/>
            <w:vAlign w:val="bottom"/>
            <w:tcBorders>
              <w:top w:val="single" w:sz="8" w:color="F8991D"/>
            </w:tcBorders>
            <w:shd w:val="clear" w:color="auto" w:fill="F8991D"/>
          </w:tcPr>
          <w:p>
            <w:pPr>
              <w:spacing w:after="0"/>
              <w:rPr>
                <w:sz w:val="7"/>
                <w:szCs w:val="7"/>
                <w:color w:val="auto"/>
              </w:rPr>
            </w:pPr>
          </w:p>
        </w:tc>
        <w:tc>
          <w:tcPr>
            <w:tcW w:w="20" w:type="dxa"/>
            <w:vAlign w:val="bottom"/>
            <w:tcBorders>
              <w:top w:val="single" w:sz="8" w:color="F8991D"/>
            </w:tcBorders>
            <w:shd w:val="clear" w:color="auto" w:fill="F8991D"/>
          </w:tcPr>
          <w:p>
            <w:pPr>
              <w:spacing w:after="0"/>
              <w:rPr>
                <w:sz w:val="7"/>
                <w:szCs w:val="7"/>
                <w:color w:val="auto"/>
              </w:rPr>
            </w:pPr>
          </w:p>
        </w:tc>
        <w:tc>
          <w:tcPr>
            <w:tcW w:w="160" w:type="dxa"/>
            <w:vAlign w:val="bottom"/>
            <w:tcBorders>
              <w:top w:val="single" w:sz="8" w:color="0000EE"/>
            </w:tcBorders>
            <w:shd w:val="clear" w:color="auto" w:fill="F8991D"/>
          </w:tcPr>
          <w:p>
            <w:pPr>
              <w:spacing w:after="0"/>
              <w:rPr>
                <w:sz w:val="7"/>
                <w:szCs w:val="7"/>
                <w:color w:val="auto"/>
              </w:rPr>
            </w:pPr>
          </w:p>
        </w:tc>
        <w:tc>
          <w:tcPr>
            <w:tcW w:w="220" w:type="dxa"/>
            <w:vAlign w:val="bottom"/>
            <w:tcBorders>
              <w:top w:val="single" w:sz="8" w:color="0000EE"/>
            </w:tcBorders>
            <w:shd w:val="clear" w:color="auto" w:fill="F8991D"/>
          </w:tcPr>
          <w:p>
            <w:pPr>
              <w:spacing w:after="0"/>
              <w:rPr>
                <w:sz w:val="7"/>
                <w:szCs w:val="7"/>
                <w:color w:val="auto"/>
              </w:rPr>
            </w:pPr>
          </w:p>
        </w:tc>
        <w:tc>
          <w:tcPr>
            <w:tcW w:w="420" w:type="dxa"/>
            <w:vAlign w:val="bottom"/>
            <w:tcBorders>
              <w:top w:val="single" w:sz="8" w:color="F8991D"/>
            </w:tcBorders>
            <w:shd w:val="clear" w:color="auto" w:fill="F8991D"/>
          </w:tcPr>
          <w:p>
            <w:pPr>
              <w:spacing w:after="0"/>
              <w:rPr>
                <w:sz w:val="7"/>
                <w:szCs w:val="7"/>
                <w:color w:val="auto"/>
              </w:rPr>
            </w:pPr>
          </w:p>
        </w:tc>
        <w:tc>
          <w:tcPr>
            <w:tcW w:w="260" w:type="dxa"/>
            <w:vAlign w:val="bottom"/>
            <w:tcBorders>
              <w:top w:val="single" w:sz="8" w:color="F8991D"/>
            </w:tcBorders>
            <w:shd w:val="clear" w:color="auto" w:fill="F8991D"/>
          </w:tcPr>
          <w:p>
            <w:pPr>
              <w:spacing w:after="0"/>
              <w:rPr>
                <w:sz w:val="7"/>
                <w:szCs w:val="7"/>
                <w:color w:val="auto"/>
              </w:rPr>
            </w:pPr>
          </w:p>
        </w:tc>
        <w:tc>
          <w:tcPr>
            <w:tcW w:w="80" w:type="dxa"/>
            <w:vAlign w:val="bottom"/>
            <w:tcBorders>
              <w:top w:val="single" w:sz="8" w:color="F8991D"/>
            </w:tcBorders>
            <w:shd w:val="clear" w:color="auto" w:fill="F8991D"/>
          </w:tcPr>
          <w:p>
            <w:pPr>
              <w:spacing w:after="0"/>
              <w:rPr>
                <w:sz w:val="7"/>
                <w:szCs w:val="7"/>
                <w:color w:val="auto"/>
              </w:rPr>
            </w:pPr>
          </w:p>
        </w:tc>
        <w:tc>
          <w:tcPr>
            <w:tcW w:w="200" w:type="dxa"/>
            <w:vAlign w:val="bottom"/>
            <w:tcBorders>
              <w:top w:val="single" w:sz="8" w:color="F8991D"/>
            </w:tcBorders>
            <w:shd w:val="clear" w:color="auto" w:fill="F8991D"/>
          </w:tcPr>
          <w:p>
            <w:pPr>
              <w:spacing w:after="0"/>
              <w:rPr>
                <w:sz w:val="7"/>
                <w:szCs w:val="7"/>
                <w:color w:val="auto"/>
              </w:rPr>
            </w:pPr>
          </w:p>
        </w:tc>
        <w:tc>
          <w:tcPr>
            <w:tcW w:w="120" w:type="dxa"/>
            <w:vAlign w:val="bottom"/>
            <w:tcBorders>
              <w:top w:val="single" w:sz="8" w:color="F8991D"/>
            </w:tcBorders>
            <w:shd w:val="clear" w:color="auto" w:fill="F8991D"/>
          </w:tcPr>
          <w:p>
            <w:pPr>
              <w:spacing w:after="0"/>
              <w:rPr>
                <w:sz w:val="7"/>
                <w:szCs w:val="7"/>
                <w:color w:val="auto"/>
              </w:rPr>
            </w:pPr>
          </w:p>
        </w:tc>
        <w:tc>
          <w:tcPr>
            <w:tcW w:w="80" w:type="dxa"/>
            <w:vAlign w:val="bottom"/>
            <w:tcBorders>
              <w:top w:val="single" w:sz="8" w:color="F8991D"/>
            </w:tcBorders>
            <w:shd w:val="clear" w:color="auto" w:fill="F8991D"/>
          </w:tcPr>
          <w:p>
            <w:pPr>
              <w:spacing w:after="0"/>
              <w:rPr>
                <w:sz w:val="7"/>
                <w:szCs w:val="7"/>
                <w:color w:val="auto"/>
              </w:rPr>
            </w:pPr>
          </w:p>
        </w:tc>
        <w:tc>
          <w:tcPr>
            <w:tcW w:w="20" w:type="dxa"/>
            <w:vAlign w:val="bottom"/>
            <w:tcBorders>
              <w:top w:val="single" w:sz="8" w:color="F8991D"/>
            </w:tcBorders>
            <w:shd w:val="clear" w:color="auto" w:fill="F8991D"/>
          </w:tcPr>
          <w:p>
            <w:pPr>
              <w:spacing w:after="0"/>
              <w:rPr>
                <w:sz w:val="7"/>
                <w:szCs w:val="7"/>
                <w:color w:val="auto"/>
              </w:rPr>
            </w:pPr>
          </w:p>
        </w:tc>
        <w:tc>
          <w:tcPr>
            <w:tcW w:w="20" w:type="dxa"/>
            <w:vAlign w:val="bottom"/>
            <w:tcBorders>
              <w:top w:val="single" w:sz="8" w:color="F8991D"/>
            </w:tcBorders>
            <w:shd w:val="clear" w:color="auto" w:fill="F8991D"/>
          </w:tcPr>
          <w:p>
            <w:pPr>
              <w:spacing w:after="0"/>
              <w:rPr>
                <w:sz w:val="7"/>
                <w:szCs w:val="7"/>
                <w:color w:val="auto"/>
              </w:rPr>
            </w:pPr>
          </w:p>
        </w:tc>
        <w:tc>
          <w:tcPr>
            <w:tcW w:w="40" w:type="dxa"/>
            <w:vAlign w:val="bottom"/>
            <w:tcBorders>
              <w:top w:val="single" w:sz="8" w:color="F8991D"/>
            </w:tcBorders>
            <w:shd w:val="clear" w:color="auto" w:fill="F8991D"/>
          </w:tcPr>
          <w:p>
            <w:pPr>
              <w:spacing w:after="0"/>
              <w:rPr>
                <w:sz w:val="7"/>
                <w:szCs w:val="7"/>
                <w:color w:val="auto"/>
              </w:rPr>
            </w:pPr>
          </w:p>
        </w:tc>
        <w:tc>
          <w:tcPr>
            <w:tcW w:w="20" w:type="dxa"/>
            <w:vAlign w:val="bottom"/>
            <w:tcBorders>
              <w:top w:val="single" w:sz="8" w:color="F8991D"/>
            </w:tcBorders>
            <w:shd w:val="clear" w:color="auto" w:fill="F8991D"/>
          </w:tcPr>
          <w:p>
            <w:pPr>
              <w:spacing w:after="0"/>
              <w:rPr>
                <w:sz w:val="7"/>
                <w:szCs w:val="7"/>
                <w:color w:val="auto"/>
              </w:rPr>
            </w:pPr>
          </w:p>
        </w:tc>
        <w:tc>
          <w:tcPr>
            <w:tcW w:w="60" w:type="dxa"/>
            <w:vAlign w:val="bottom"/>
            <w:tcBorders>
              <w:top w:val="single" w:sz="8" w:color="F8991D"/>
            </w:tcBorders>
            <w:shd w:val="clear" w:color="auto" w:fill="F8991D"/>
          </w:tcPr>
          <w:p>
            <w:pPr>
              <w:spacing w:after="0"/>
              <w:rPr>
                <w:sz w:val="7"/>
                <w:szCs w:val="7"/>
                <w:color w:val="auto"/>
              </w:rPr>
            </w:pPr>
          </w:p>
        </w:tc>
        <w:tc>
          <w:tcPr>
            <w:tcW w:w="220" w:type="dxa"/>
            <w:vAlign w:val="bottom"/>
            <w:tcBorders>
              <w:top w:val="single" w:sz="8" w:color="F8991D"/>
            </w:tcBorders>
            <w:shd w:val="clear" w:color="auto" w:fill="F8991D"/>
          </w:tcPr>
          <w:p>
            <w:pPr>
              <w:spacing w:after="0"/>
              <w:rPr>
                <w:sz w:val="7"/>
                <w:szCs w:val="7"/>
                <w:color w:val="auto"/>
              </w:rPr>
            </w:pPr>
          </w:p>
        </w:tc>
        <w:tc>
          <w:tcPr>
            <w:tcW w:w="520" w:type="dxa"/>
            <w:vAlign w:val="bottom"/>
            <w:tcBorders>
              <w:top w:val="single" w:sz="8" w:color="F8991D"/>
            </w:tcBorders>
            <w:shd w:val="clear" w:color="auto" w:fill="F8991D"/>
          </w:tcPr>
          <w:p>
            <w:pPr>
              <w:spacing w:after="0"/>
              <w:rPr>
                <w:sz w:val="7"/>
                <w:szCs w:val="7"/>
                <w:color w:val="auto"/>
              </w:rPr>
            </w:pPr>
          </w:p>
        </w:tc>
        <w:tc>
          <w:tcPr>
            <w:tcW w:w="120" w:type="dxa"/>
            <w:vAlign w:val="bottom"/>
            <w:tcBorders>
              <w:top w:val="single" w:sz="8" w:color="F8991D"/>
            </w:tcBorders>
            <w:shd w:val="clear" w:color="auto" w:fill="F8991D"/>
          </w:tcPr>
          <w:p>
            <w:pPr>
              <w:spacing w:after="0"/>
              <w:rPr>
                <w:sz w:val="7"/>
                <w:szCs w:val="7"/>
                <w:color w:val="auto"/>
              </w:rPr>
            </w:pPr>
          </w:p>
        </w:tc>
        <w:tc>
          <w:tcPr>
            <w:tcW w:w="20" w:type="dxa"/>
            <w:vAlign w:val="bottom"/>
            <w:tcBorders>
              <w:top w:val="single" w:sz="8" w:color="F8991D"/>
            </w:tcBorders>
            <w:shd w:val="clear" w:color="auto" w:fill="F8991D"/>
          </w:tcPr>
          <w:p>
            <w:pPr>
              <w:spacing w:after="0"/>
              <w:rPr>
                <w:sz w:val="7"/>
                <w:szCs w:val="7"/>
                <w:color w:val="auto"/>
              </w:rPr>
            </w:pPr>
          </w:p>
        </w:tc>
        <w:tc>
          <w:tcPr>
            <w:tcW w:w="140" w:type="dxa"/>
            <w:vAlign w:val="bottom"/>
            <w:tcBorders>
              <w:top w:val="single" w:sz="8" w:color="F8991D"/>
            </w:tcBorders>
            <w:shd w:val="clear" w:color="auto" w:fill="F8991D"/>
          </w:tcPr>
          <w:p>
            <w:pPr>
              <w:spacing w:after="0"/>
              <w:rPr>
                <w:sz w:val="7"/>
                <w:szCs w:val="7"/>
                <w:color w:val="auto"/>
              </w:rPr>
            </w:pPr>
          </w:p>
        </w:tc>
        <w:tc>
          <w:tcPr>
            <w:tcW w:w="240" w:type="dxa"/>
            <w:vAlign w:val="bottom"/>
            <w:tcBorders>
              <w:top w:val="single" w:sz="8" w:color="F8991D"/>
            </w:tcBorders>
            <w:shd w:val="clear" w:color="auto" w:fill="F8991D"/>
          </w:tcPr>
          <w:p>
            <w:pPr>
              <w:spacing w:after="0"/>
              <w:rPr>
                <w:sz w:val="7"/>
                <w:szCs w:val="7"/>
                <w:color w:val="auto"/>
              </w:rPr>
            </w:pPr>
          </w:p>
        </w:tc>
        <w:tc>
          <w:tcPr>
            <w:tcW w:w="220" w:type="dxa"/>
            <w:vAlign w:val="bottom"/>
            <w:tcBorders>
              <w:top w:val="single" w:sz="8" w:color="F8991D"/>
            </w:tcBorders>
            <w:shd w:val="clear" w:color="auto" w:fill="F8991D"/>
          </w:tcPr>
          <w:p>
            <w:pPr>
              <w:spacing w:after="0"/>
              <w:rPr>
                <w:sz w:val="7"/>
                <w:szCs w:val="7"/>
                <w:color w:val="auto"/>
              </w:rPr>
            </w:pPr>
          </w:p>
        </w:tc>
        <w:tc>
          <w:tcPr>
            <w:tcW w:w="20" w:type="dxa"/>
            <w:vAlign w:val="bottom"/>
            <w:tcBorders>
              <w:top w:val="single" w:sz="8" w:color="F8991D"/>
            </w:tcBorders>
            <w:shd w:val="clear" w:color="auto" w:fill="F8991D"/>
          </w:tcPr>
          <w:p>
            <w:pPr>
              <w:spacing w:after="0"/>
              <w:rPr>
                <w:sz w:val="7"/>
                <w:szCs w:val="7"/>
                <w:color w:val="auto"/>
              </w:rPr>
            </w:pPr>
          </w:p>
        </w:tc>
        <w:tc>
          <w:tcPr>
            <w:tcW w:w="20" w:type="dxa"/>
            <w:vAlign w:val="bottom"/>
            <w:tcBorders>
              <w:top w:val="single" w:sz="8" w:color="F8991D"/>
            </w:tcBorders>
            <w:shd w:val="clear" w:color="auto" w:fill="F8991D"/>
          </w:tcPr>
          <w:p>
            <w:pPr>
              <w:spacing w:after="0"/>
              <w:rPr>
                <w:sz w:val="7"/>
                <w:szCs w:val="7"/>
                <w:color w:val="auto"/>
              </w:rPr>
            </w:pPr>
          </w:p>
        </w:tc>
        <w:tc>
          <w:tcPr>
            <w:tcW w:w="1040" w:type="dxa"/>
            <w:vAlign w:val="bottom"/>
            <w:tcBorders>
              <w:top w:val="single" w:sz="8" w:color="F8991D"/>
            </w:tcBorders>
            <w:shd w:val="clear" w:color="auto" w:fill="F8991D"/>
          </w:tcPr>
          <w:p>
            <w:pPr>
              <w:spacing w:after="0"/>
              <w:rPr>
                <w:sz w:val="7"/>
                <w:szCs w:val="7"/>
                <w:color w:val="auto"/>
              </w:rPr>
            </w:pPr>
          </w:p>
        </w:tc>
        <w:tc>
          <w:tcPr>
            <w:tcW w:w="40" w:type="dxa"/>
            <w:vAlign w:val="bottom"/>
            <w:tcBorders>
              <w:top w:val="single" w:sz="8" w:color="F8991D"/>
            </w:tcBorders>
            <w:shd w:val="clear" w:color="auto" w:fill="F8991D"/>
          </w:tcPr>
          <w:p>
            <w:pPr>
              <w:spacing w:after="0"/>
              <w:rPr>
                <w:sz w:val="7"/>
                <w:szCs w:val="7"/>
                <w:color w:val="auto"/>
              </w:rPr>
            </w:pPr>
          </w:p>
        </w:tc>
        <w:tc>
          <w:tcPr>
            <w:tcW w:w="120" w:type="dxa"/>
            <w:vAlign w:val="bottom"/>
            <w:tcBorders>
              <w:top w:val="single" w:sz="8" w:color="F8991D"/>
            </w:tcBorders>
            <w:shd w:val="clear" w:color="auto" w:fill="F8991D"/>
          </w:tcPr>
          <w:p>
            <w:pPr>
              <w:spacing w:after="0"/>
              <w:rPr>
                <w:sz w:val="7"/>
                <w:szCs w:val="7"/>
                <w:color w:val="auto"/>
              </w:rPr>
            </w:pPr>
          </w:p>
        </w:tc>
        <w:tc>
          <w:tcPr>
            <w:tcW w:w="80" w:type="dxa"/>
            <w:vAlign w:val="bottom"/>
            <w:tcBorders>
              <w:top w:val="single" w:sz="8" w:color="F8991D"/>
            </w:tcBorders>
            <w:shd w:val="clear" w:color="auto" w:fill="F8991D"/>
          </w:tcPr>
          <w:p>
            <w:pPr>
              <w:spacing w:after="0"/>
              <w:rPr>
                <w:sz w:val="7"/>
                <w:szCs w:val="7"/>
                <w:color w:val="auto"/>
              </w:rPr>
            </w:pPr>
          </w:p>
        </w:tc>
        <w:tc>
          <w:tcPr>
            <w:tcW w:w="380" w:type="dxa"/>
            <w:vAlign w:val="bottom"/>
            <w:tcBorders>
              <w:top w:val="single" w:sz="8" w:color="F8991D"/>
            </w:tcBorders>
            <w:shd w:val="clear" w:color="auto" w:fill="F8991D"/>
          </w:tcPr>
          <w:p>
            <w:pPr>
              <w:spacing w:after="0"/>
              <w:rPr>
                <w:sz w:val="7"/>
                <w:szCs w:val="7"/>
                <w:color w:val="auto"/>
              </w:rPr>
            </w:pPr>
          </w:p>
        </w:tc>
        <w:tc>
          <w:tcPr>
            <w:tcW w:w="700" w:type="dxa"/>
            <w:vAlign w:val="bottom"/>
            <w:tcBorders>
              <w:top w:val="single" w:sz="8" w:color="F8991D"/>
            </w:tcBorders>
            <w:shd w:val="clear" w:color="auto" w:fill="F8991D"/>
          </w:tcPr>
          <w:p>
            <w:pPr>
              <w:spacing w:after="0"/>
              <w:rPr>
                <w:sz w:val="7"/>
                <w:szCs w:val="7"/>
                <w:color w:val="auto"/>
              </w:rPr>
            </w:pPr>
          </w:p>
        </w:tc>
        <w:tc>
          <w:tcPr>
            <w:tcW w:w="1520" w:type="dxa"/>
            <w:vAlign w:val="bottom"/>
            <w:tcBorders>
              <w:top w:val="single" w:sz="8" w:color="F8991D"/>
            </w:tcBorders>
            <w:shd w:val="clear" w:color="auto" w:fill="F8991D"/>
          </w:tcPr>
          <w:p>
            <w:pPr>
              <w:spacing w:after="0"/>
              <w:rPr>
                <w:sz w:val="7"/>
                <w:szCs w:val="7"/>
                <w:color w:val="auto"/>
              </w:rPr>
            </w:pPr>
          </w:p>
        </w:tc>
        <w:tc>
          <w:tcPr>
            <w:tcW w:w="1340" w:type="dxa"/>
            <w:vAlign w:val="bottom"/>
            <w:tcBorders>
              <w:top w:val="single" w:sz="8" w:color="F8991D"/>
            </w:tcBorders>
            <w:shd w:val="clear" w:color="auto" w:fill="F8991D"/>
          </w:tcPr>
          <w:p>
            <w:pPr>
              <w:spacing w:after="0"/>
              <w:rPr>
                <w:sz w:val="7"/>
                <w:szCs w:val="7"/>
                <w:color w:val="auto"/>
              </w:rPr>
            </w:pPr>
          </w:p>
        </w:tc>
        <w:tc>
          <w:tcPr>
            <w:tcW w:w="200" w:type="dxa"/>
            <w:vAlign w:val="bottom"/>
            <w:tcBorders>
              <w:top w:val="single" w:sz="8" w:color="F8991D"/>
            </w:tcBorders>
            <w:shd w:val="clear" w:color="auto" w:fill="F8991D"/>
          </w:tcPr>
          <w:p>
            <w:pPr>
              <w:spacing w:after="0"/>
              <w:rPr>
                <w:sz w:val="7"/>
                <w:szCs w:val="7"/>
                <w:color w:val="auto"/>
              </w:rPr>
            </w:pPr>
          </w:p>
        </w:tc>
        <w:tc>
          <w:tcPr>
            <w:tcW w:w="200" w:type="dxa"/>
            <w:vAlign w:val="bottom"/>
            <w:tcBorders>
              <w:top w:val="single" w:sz="8" w:color="F8991D"/>
            </w:tcBorders>
            <w:shd w:val="clear" w:color="auto" w:fill="F8991D"/>
          </w:tcPr>
          <w:p>
            <w:pPr>
              <w:spacing w:after="0"/>
              <w:rPr>
                <w:sz w:val="7"/>
                <w:szCs w:val="7"/>
                <w:color w:val="auto"/>
              </w:rPr>
            </w:pPr>
          </w:p>
        </w:tc>
        <w:tc>
          <w:tcPr>
            <w:tcW w:w="140" w:type="dxa"/>
            <w:vAlign w:val="bottom"/>
            <w:tcBorders>
              <w:top w:val="single" w:sz="8" w:color="F8991D"/>
            </w:tcBorders>
            <w:shd w:val="clear" w:color="auto" w:fill="F8991D"/>
          </w:tcPr>
          <w:p>
            <w:pPr>
              <w:spacing w:after="0"/>
              <w:rPr>
                <w:sz w:val="7"/>
                <w:szCs w:val="7"/>
                <w:color w:val="auto"/>
              </w:rPr>
            </w:pPr>
          </w:p>
        </w:tc>
        <w:tc>
          <w:tcPr>
            <w:tcW w:w="140" w:type="dxa"/>
            <w:vAlign w:val="bottom"/>
            <w:tcBorders>
              <w:top w:val="single" w:sz="8" w:color="F8991D"/>
            </w:tcBorders>
            <w:shd w:val="clear" w:color="auto" w:fill="F8991D"/>
          </w:tcPr>
          <w:p>
            <w:pPr>
              <w:spacing w:after="0"/>
              <w:rPr>
                <w:sz w:val="7"/>
                <w:szCs w:val="7"/>
                <w:color w:val="auto"/>
              </w:rPr>
            </w:pPr>
          </w:p>
        </w:tc>
        <w:tc>
          <w:tcPr>
            <w:tcW w:w="80" w:type="dxa"/>
            <w:vAlign w:val="bottom"/>
            <w:tcBorders>
              <w:top w:val="single" w:sz="8" w:color="F8991D"/>
            </w:tcBorders>
            <w:shd w:val="clear" w:color="auto" w:fill="F8991D"/>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60" w:type="dxa"/>
            <w:vAlign w:val="bottom"/>
            <w:tcBorders>
              <w:bottom w:val="single" w:sz="8" w:color="FAFAFA"/>
            </w:tcBorders>
            <w:shd w:val="clear" w:color="auto" w:fill="FAFAFA"/>
          </w:tcPr>
          <w:p>
            <w:pPr>
              <w:spacing w:after="0"/>
              <w:rPr>
                <w:sz w:val="24"/>
                <w:szCs w:val="24"/>
                <w:color w:val="auto"/>
              </w:rPr>
            </w:pPr>
          </w:p>
        </w:tc>
        <w:tc>
          <w:tcPr>
            <w:tcW w:w="4140" w:type="dxa"/>
            <w:vAlign w:val="bottom"/>
            <w:tcBorders>
              <w:bottom w:val="single" w:sz="8" w:color="0000EE"/>
            </w:tcBorders>
            <w:gridSpan w:val="23"/>
            <w:shd w:val="clear" w:color="auto" w:fill="FAFAFA"/>
          </w:tcPr>
          <w:p>
            <w:pPr>
              <w:spacing w:after="0"/>
              <w:rPr>
                <w:sz w:val="20"/>
                <w:szCs w:val="20"/>
                <w:color w:val="auto"/>
              </w:rPr>
            </w:pPr>
            <w:r>
              <w:rPr>
                <w:rFonts w:ascii="Arial" w:cs="Arial" w:eastAsia="Arial" w:hAnsi="Arial"/>
                <w:sz w:val="14"/>
                <w:szCs w:val="14"/>
                <w:color w:val="0000EE"/>
              </w:rPr>
              <w:t>Fees Paid to the Independent Registered Public Accounting Firm</w:t>
            </w:r>
          </w:p>
        </w:tc>
        <w:tc>
          <w:tcPr>
            <w:tcW w:w="1280" w:type="dxa"/>
            <w:vAlign w:val="bottom"/>
            <w:tcBorders>
              <w:bottom w:val="single" w:sz="8" w:color="FAFAFA"/>
            </w:tcBorders>
            <w:gridSpan w:val="4"/>
            <w:shd w:val="clear" w:color="auto" w:fill="FAFAFA"/>
          </w:tcPr>
          <w:p>
            <w:pPr>
              <w:spacing w:after="0"/>
              <w:rPr>
                <w:sz w:val="24"/>
                <w:szCs w:val="24"/>
                <w:color w:val="auto"/>
              </w:rPr>
            </w:pPr>
          </w:p>
        </w:tc>
        <w:tc>
          <w:tcPr>
            <w:tcW w:w="3060" w:type="dxa"/>
            <w:vAlign w:val="bottom"/>
            <w:tcBorders>
              <w:bottom w:val="single" w:sz="8" w:color="FAFAFA"/>
            </w:tcBorders>
            <w:gridSpan w:val="3"/>
            <w:shd w:val="clear" w:color="auto" w:fill="FAFAFA"/>
          </w:tcPr>
          <w:p>
            <w:pPr>
              <w:spacing w:after="0"/>
              <w:rPr>
                <w:sz w:val="24"/>
                <w:szCs w:val="24"/>
                <w:color w:val="auto"/>
              </w:rPr>
            </w:pPr>
          </w:p>
        </w:tc>
        <w:tc>
          <w:tcPr>
            <w:tcW w:w="560" w:type="dxa"/>
            <w:vAlign w:val="bottom"/>
            <w:tcBorders>
              <w:bottom w:val="single" w:sz="8" w:color="FAFAFA"/>
            </w:tcBorders>
            <w:gridSpan w:val="4"/>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24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42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52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FAFAFA"/>
            </w:tcBorders>
            <w:shd w:val="clear" w:color="auto" w:fill="FAFAFA"/>
          </w:tcPr>
          <w:p>
            <w:pPr>
              <w:spacing w:after="0"/>
              <w:rPr>
                <w:sz w:val="9"/>
                <w:szCs w:val="9"/>
                <w:color w:val="auto"/>
              </w:rPr>
            </w:pPr>
          </w:p>
        </w:tc>
        <w:tc>
          <w:tcPr>
            <w:tcW w:w="240" w:type="dxa"/>
            <w:vAlign w:val="bottom"/>
            <w:tcBorders>
              <w:top w:val="single" w:sz="8" w:color="FAFAFA"/>
            </w:tcBorders>
            <w:shd w:val="clear" w:color="auto" w:fill="FAFAFA"/>
          </w:tcPr>
          <w:p>
            <w:pPr>
              <w:spacing w:after="0"/>
              <w:rPr>
                <w:sz w:val="9"/>
                <w:szCs w:val="9"/>
                <w:color w:val="auto"/>
              </w:rPr>
            </w:pPr>
          </w:p>
        </w:tc>
        <w:tc>
          <w:tcPr>
            <w:tcW w:w="2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104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380" w:type="dxa"/>
            <w:vAlign w:val="bottom"/>
            <w:tcBorders>
              <w:top w:val="single" w:sz="8" w:color="FAFAFA"/>
            </w:tcBorders>
            <w:shd w:val="clear" w:color="auto" w:fill="FAFAFA"/>
          </w:tcPr>
          <w:p>
            <w:pPr>
              <w:spacing w:after="0"/>
              <w:rPr>
                <w:sz w:val="9"/>
                <w:szCs w:val="9"/>
                <w:color w:val="auto"/>
              </w:rPr>
            </w:pPr>
          </w:p>
        </w:tc>
        <w:tc>
          <w:tcPr>
            <w:tcW w:w="700" w:type="dxa"/>
            <w:vAlign w:val="bottom"/>
            <w:tcBorders>
              <w:top w:val="single" w:sz="8" w:color="FAFAFA"/>
            </w:tcBorders>
            <w:shd w:val="clear" w:color="auto" w:fill="FAFAFA"/>
          </w:tcPr>
          <w:p>
            <w:pPr>
              <w:spacing w:after="0"/>
              <w:rPr>
                <w:sz w:val="9"/>
                <w:szCs w:val="9"/>
                <w:color w:val="auto"/>
              </w:rPr>
            </w:pPr>
          </w:p>
        </w:tc>
        <w:tc>
          <w:tcPr>
            <w:tcW w:w="1520" w:type="dxa"/>
            <w:vAlign w:val="bottom"/>
            <w:tcBorders>
              <w:top w:val="single" w:sz="8" w:color="FAFAFA"/>
            </w:tcBorders>
            <w:shd w:val="clear" w:color="auto" w:fill="FAFAFA"/>
          </w:tcPr>
          <w:p>
            <w:pPr>
              <w:spacing w:after="0"/>
              <w:rPr>
                <w:sz w:val="9"/>
                <w:szCs w:val="9"/>
                <w:color w:val="auto"/>
              </w:rPr>
            </w:pPr>
          </w:p>
        </w:tc>
        <w:tc>
          <w:tcPr>
            <w:tcW w:w="134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200" w:type="dxa"/>
            <w:vAlign w:val="bottom"/>
            <w:tcBorders>
              <w:top w:val="single" w:sz="8" w:color="FAFAFA"/>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14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20" w:type="dxa"/>
            <w:vAlign w:val="bottom"/>
            <w:tcBorders>
              <w:bottom w:val="single" w:sz="8" w:color="EBEBEB"/>
            </w:tcBorders>
            <w:shd w:val="clear" w:color="auto" w:fill="EBEBEB"/>
          </w:tcPr>
          <w:p>
            <w:pPr>
              <w:spacing w:after="0"/>
              <w:rPr>
                <w:sz w:val="24"/>
                <w:szCs w:val="24"/>
                <w:color w:val="auto"/>
              </w:rPr>
            </w:pPr>
          </w:p>
        </w:tc>
        <w:tc>
          <w:tcPr>
            <w:tcW w:w="160" w:type="dxa"/>
            <w:vAlign w:val="bottom"/>
            <w:tcBorders>
              <w:bottom w:val="single" w:sz="8" w:color="EBEBEB"/>
            </w:tcBorders>
            <w:shd w:val="clear" w:color="auto" w:fill="EBEBEB"/>
          </w:tcPr>
          <w:p>
            <w:pPr>
              <w:spacing w:after="0"/>
              <w:rPr>
                <w:sz w:val="24"/>
                <w:szCs w:val="24"/>
                <w:color w:val="auto"/>
              </w:rPr>
            </w:pPr>
          </w:p>
        </w:tc>
        <w:tc>
          <w:tcPr>
            <w:tcW w:w="1420" w:type="dxa"/>
            <w:vAlign w:val="bottom"/>
            <w:tcBorders>
              <w:bottom w:val="single" w:sz="8" w:color="0000EE"/>
            </w:tcBorders>
            <w:gridSpan w:val="9"/>
            <w:shd w:val="clear" w:color="auto" w:fill="EBEBEB"/>
          </w:tcPr>
          <w:p>
            <w:pPr>
              <w:spacing w:after="0"/>
              <w:rPr>
                <w:sz w:val="20"/>
                <w:szCs w:val="20"/>
                <w:color w:val="auto"/>
              </w:rPr>
            </w:pPr>
            <w:r>
              <w:rPr>
                <w:rFonts w:ascii="Arial" w:cs="Arial" w:eastAsia="Arial" w:hAnsi="Arial"/>
                <w:sz w:val="14"/>
                <w:szCs w:val="14"/>
                <w:color w:val="0000EE"/>
              </w:rPr>
              <w:t>Auditor Independence</w:t>
            </w:r>
          </w:p>
        </w:tc>
        <w:tc>
          <w:tcPr>
            <w:tcW w:w="4000" w:type="dxa"/>
            <w:vAlign w:val="bottom"/>
            <w:tcBorders>
              <w:bottom w:val="single" w:sz="8" w:color="EBEBEB"/>
            </w:tcBorders>
            <w:gridSpan w:val="18"/>
            <w:shd w:val="clear" w:color="auto" w:fill="EBEBEB"/>
          </w:tcPr>
          <w:p>
            <w:pPr>
              <w:spacing w:after="0"/>
              <w:rPr>
                <w:sz w:val="24"/>
                <w:szCs w:val="24"/>
                <w:color w:val="auto"/>
              </w:rPr>
            </w:pPr>
          </w:p>
        </w:tc>
        <w:tc>
          <w:tcPr>
            <w:tcW w:w="3060" w:type="dxa"/>
            <w:vAlign w:val="bottom"/>
            <w:tcBorders>
              <w:bottom w:val="single" w:sz="8" w:color="EBEBEB"/>
            </w:tcBorders>
            <w:gridSpan w:val="3"/>
            <w:shd w:val="clear" w:color="auto" w:fill="EBEBEB"/>
          </w:tcPr>
          <w:p>
            <w:pPr>
              <w:spacing w:after="0"/>
              <w:rPr>
                <w:sz w:val="24"/>
                <w:szCs w:val="24"/>
                <w:color w:val="auto"/>
              </w:rPr>
            </w:pPr>
          </w:p>
        </w:tc>
        <w:tc>
          <w:tcPr>
            <w:tcW w:w="560" w:type="dxa"/>
            <w:vAlign w:val="bottom"/>
            <w:tcBorders>
              <w:bottom w:val="single" w:sz="8" w:color="EBEBEB"/>
            </w:tcBorders>
            <w:gridSpan w:val="4"/>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25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42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52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EBEBEB"/>
            </w:tcBorders>
            <w:shd w:val="clear" w:color="auto" w:fill="EBEBEB"/>
          </w:tcPr>
          <w:p>
            <w:pPr>
              <w:spacing w:after="0"/>
              <w:rPr>
                <w:sz w:val="9"/>
                <w:szCs w:val="9"/>
                <w:color w:val="auto"/>
              </w:rPr>
            </w:pPr>
          </w:p>
        </w:tc>
        <w:tc>
          <w:tcPr>
            <w:tcW w:w="240" w:type="dxa"/>
            <w:vAlign w:val="bottom"/>
            <w:tcBorders>
              <w:top w:val="single" w:sz="8" w:color="EBEBEB"/>
            </w:tcBorders>
            <w:shd w:val="clear" w:color="auto" w:fill="EBEBEB"/>
          </w:tcPr>
          <w:p>
            <w:pPr>
              <w:spacing w:after="0"/>
              <w:rPr>
                <w:sz w:val="9"/>
                <w:szCs w:val="9"/>
                <w:color w:val="auto"/>
              </w:rPr>
            </w:pPr>
          </w:p>
        </w:tc>
        <w:tc>
          <w:tcPr>
            <w:tcW w:w="2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104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380" w:type="dxa"/>
            <w:vAlign w:val="bottom"/>
            <w:tcBorders>
              <w:top w:val="single" w:sz="8" w:color="EBEBEB"/>
            </w:tcBorders>
            <w:shd w:val="clear" w:color="auto" w:fill="EBEBEB"/>
          </w:tcPr>
          <w:p>
            <w:pPr>
              <w:spacing w:after="0"/>
              <w:rPr>
                <w:sz w:val="9"/>
                <w:szCs w:val="9"/>
                <w:color w:val="auto"/>
              </w:rPr>
            </w:pPr>
          </w:p>
        </w:tc>
        <w:tc>
          <w:tcPr>
            <w:tcW w:w="700" w:type="dxa"/>
            <w:vAlign w:val="bottom"/>
            <w:tcBorders>
              <w:top w:val="single" w:sz="8" w:color="EBEBEB"/>
            </w:tcBorders>
            <w:shd w:val="clear" w:color="auto" w:fill="EBEBEB"/>
          </w:tcPr>
          <w:p>
            <w:pPr>
              <w:spacing w:after="0"/>
              <w:rPr>
                <w:sz w:val="9"/>
                <w:szCs w:val="9"/>
                <w:color w:val="auto"/>
              </w:rPr>
            </w:pPr>
          </w:p>
        </w:tc>
        <w:tc>
          <w:tcPr>
            <w:tcW w:w="1520" w:type="dxa"/>
            <w:vAlign w:val="bottom"/>
            <w:tcBorders>
              <w:top w:val="single" w:sz="8" w:color="EBEBEB"/>
            </w:tcBorders>
            <w:shd w:val="clear" w:color="auto" w:fill="EBEBEB"/>
          </w:tcPr>
          <w:p>
            <w:pPr>
              <w:spacing w:after="0"/>
              <w:rPr>
                <w:sz w:val="9"/>
                <w:szCs w:val="9"/>
                <w:color w:val="auto"/>
              </w:rPr>
            </w:pPr>
          </w:p>
        </w:tc>
        <w:tc>
          <w:tcPr>
            <w:tcW w:w="134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200" w:type="dxa"/>
            <w:vAlign w:val="bottom"/>
            <w:tcBorders>
              <w:top w:val="single" w:sz="8" w:color="EBEBEB"/>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14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0"/>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0" w:type="dxa"/>
            <w:vAlign w:val="bottom"/>
            <w:tcBorders>
              <w:bottom w:val="single" w:sz="8" w:color="FAFAFA"/>
            </w:tcBorders>
            <w:shd w:val="clear" w:color="auto" w:fill="FAFAFA"/>
          </w:tcPr>
          <w:p>
            <w:pPr>
              <w:spacing w:after="0"/>
              <w:rPr>
                <w:sz w:val="24"/>
                <w:szCs w:val="24"/>
                <w:color w:val="auto"/>
              </w:rPr>
            </w:pPr>
          </w:p>
        </w:tc>
        <w:tc>
          <w:tcPr>
            <w:tcW w:w="160" w:type="dxa"/>
            <w:vAlign w:val="bottom"/>
            <w:tcBorders>
              <w:bottom w:val="single" w:sz="8" w:color="FAFAFA"/>
            </w:tcBorders>
            <w:shd w:val="clear" w:color="auto" w:fill="FAFAFA"/>
          </w:tcPr>
          <w:p>
            <w:pPr>
              <w:spacing w:after="0"/>
              <w:rPr>
                <w:sz w:val="24"/>
                <w:szCs w:val="24"/>
                <w:color w:val="auto"/>
              </w:rPr>
            </w:pPr>
          </w:p>
        </w:tc>
        <w:tc>
          <w:tcPr>
            <w:tcW w:w="5420" w:type="dxa"/>
            <w:vAlign w:val="bottom"/>
            <w:tcBorders>
              <w:bottom w:val="single" w:sz="8" w:color="0000EE"/>
            </w:tcBorders>
            <w:gridSpan w:val="27"/>
            <w:shd w:val="clear" w:color="auto" w:fill="FAFAFA"/>
          </w:tcPr>
          <w:p>
            <w:pPr>
              <w:spacing w:after="0"/>
              <w:rPr>
                <w:sz w:val="20"/>
                <w:szCs w:val="20"/>
                <w:color w:val="auto"/>
              </w:rPr>
            </w:pPr>
            <w:r>
              <w:rPr>
                <w:rFonts w:ascii="Arial" w:cs="Arial" w:eastAsia="Arial" w:hAnsi="Arial"/>
                <w:sz w:val="14"/>
                <w:szCs w:val="14"/>
                <w:color w:val="0000EE"/>
              </w:rPr>
              <w:t>Audit Committee Policy on Pre-Approval of Audit and Permissible Non-Audit Services</w:t>
            </w:r>
          </w:p>
        </w:tc>
        <w:tc>
          <w:tcPr>
            <w:tcW w:w="3060" w:type="dxa"/>
            <w:vAlign w:val="bottom"/>
            <w:tcBorders>
              <w:bottom w:val="single" w:sz="8" w:color="FAFAFA"/>
            </w:tcBorders>
            <w:gridSpan w:val="3"/>
            <w:shd w:val="clear" w:color="auto" w:fill="FAFAFA"/>
          </w:tcPr>
          <w:p>
            <w:pPr>
              <w:spacing w:after="0"/>
              <w:rPr>
                <w:sz w:val="24"/>
                <w:szCs w:val="24"/>
                <w:color w:val="auto"/>
              </w:rPr>
            </w:pPr>
          </w:p>
        </w:tc>
        <w:tc>
          <w:tcPr>
            <w:tcW w:w="560" w:type="dxa"/>
            <w:vAlign w:val="bottom"/>
            <w:tcBorders>
              <w:bottom w:val="single" w:sz="8" w:color="FAFAFA"/>
            </w:tcBorders>
            <w:gridSpan w:val="4"/>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25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0" w:type="dxa"/>
            <w:vAlign w:val="bottom"/>
            <w:tcBorders>
              <w:bottom w:val="single" w:sz="8" w:color="auto"/>
            </w:tcBorders>
          </w:tcPr>
          <w:p>
            <w:pPr>
              <w:spacing w:after="0"/>
              <w:rPr>
                <w:sz w:val="15"/>
                <w:szCs w:val="15"/>
                <w:color w:val="auto"/>
              </w:rPr>
            </w:pPr>
          </w:p>
        </w:tc>
        <w:tc>
          <w:tcPr>
            <w:tcW w:w="120" w:type="dxa"/>
            <w:vAlign w:val="bottom"/>
            <w:tcBorders>
              <w:top w:val="single" w:sz="8" w:color="FAFAFA"/>
              <w:bottom w:val="single" w:sz="8" w:color="auto"/>
            </w:tcBorders>
          </w:tcPr>
          <w:p>
            <w:pPr>
              <w:spacing w:after="0"/>
              <w:rPr>
                <w:sz w:val="15"/>
                <w:szCs w:val="15"/>
                <w:color w:val="auto"/>
              </w:rPr>
            </w:pPr>
          </w:p>
        </w:tc>
        <w:tc>
          <w:tcPr>
            <w:tcW w:w="60" w:type="dxa"/>
            <w:vAlign w:val="bottom"/>
            <w:tcBorders>
              <w:top w:val="single" w:sz="8" w:color="FAFAFA"/>
              <w:bottom w:val="single" w:sz="8" w:color="auto"/>
            </w:tcBorders>
          </w:tcPr>
          <w:p>
            <w:pPr>
              <w:spacing w:after="0"/>
              <w:rPr>
                <w:sz w:val="15"/>
                <w:szCs w:val="15"/>
                <w:color w:val="auto"/>
              </w:rPr>
            </w:pPr>
          </w:p>
        </w:tc>
        <w:tc>
          <w:tcPr>
            <w:tcW w:w="20" w:type="dxa"/>
            <w:vAlign w:val="bottom"/>
            <w:tcBorders>
              <w:top w:val="single" w:sz="8" w:color="FAFAFA"/>
              <w:bottom w:val="single" w:sz="8" w:color="auto"/>
            </w:tcBorders>
          </w:tcPr>
          <w:p>
            <w:pPr>
              <w:spacing w:after="0"/>
              <w:rPr>
                <w:sz w:val="15"/>
                <w:szCs w:val="15"/>
                <w:color w:val="auto"/>
              </w:rPr>
            </w:pPr>
          </w:p>
        </w:tc>
        <w:tc>
          <w:tcPr>
            <w:tcW w:w="160" w:type="dxa"/>
            <w:vAlign w:val="bottom"/>
            <w:tcBorders>
              <w:top w:val="single" w:sz="8" w:color="FAFAFA"/>
              <w:bottom w:val="single" w:sz="8" w:color="auto"/>
            </w:tcBorders>
          </w:tcPr>
          <w:p>
            <w:pPr>
              <w:spacing w:after="0"/>
              <w:rPr>
                <w:sz w:val="15"/>
                <w:szCs w:val="15"/>
                <w:color w:val="auto"/>
              </w:rPr>
            </w:pPr>
          </w:p>
        </w:tc>
        <w:tc>
          <w:tcPr>
            <w:tcW w:w="220" w:type="dxa"/>
            <w:vAlign w:val="bottom"/>
            <w:tcBorders>
              <w:top w:val="single" w:sz="8" w:color="FAFAFA"/>
              <w:bottom w:val="single" w:sz="8" w:color="auto"/>
            </w:tcBorders>
          </w:tcPr>
          <w:p>
            <w:pPr>
              <w:spacing w:after="0"/>
              <w:rPr>
                <w:sz w:val="15"/>
                <w:szCs w:val="15"/>
                <w:color w:val="auto"/>
              </w:rPr>
            </w:pPr>
          </w:p>
        </w:tc>
        <w:tc>
          <w:tcPr>
            <w:tcW w:w="420" w:type="dxa"/>
            <w:vAlign w:val="bottom"/>
            <w:tcBorders>
              <w:top w:val="single" w:sz="8" w:color="FAFAFA"/>
              <w:bottom w:val="single" w:sz="8" w:color="auto"/>
            </w:tcBorders>
          </w:tcPr>
          <w:p>
            <w:pPr>
              <w:spacing w:after="0"/>
              <w:rPr>
                <w:sz w:val="15"/>
                <w:szCs w:val="15"/>
                <w:color w:val="auto"/>
              </w:rPr>
            </w:pPr>
          </w:p>
        </w:tc>
        <w:tc>
          <w:tcPr>
            <w:tcW w:w="260" w:type="dxa"/>
            <w:vAlign w:val="bottom"/>
            <w:tcBorders>
              <w:top w:val="single" w:sz="8" w:color="FAFAFA"/>
              <w:bottom w:val="single" w:sz="8" w:color="auto"/>
            </w:tcBorders>
          </w:tcPr>
          <w:p>
            <w:pPr>
              <w:spacing w:after="0"/>
              <w:rPr>
                <w:sz w:val="15"/>
                <w:szCs w:val="15"/>
                <w:color w:val="auto"/>
              </w:rPr>
            </w:pPr>
          </w:p>
        </w:tc>
        <w:tc>
          <w:tcPr>
            <w:tcW w:w="80" w:type="dxa"/>
            <w:vAlign w:val="bottom"/>
            <w:tcBorders>
              <w:top w:val="single" w:sz="8" w:color="FAFAFA"/>
              <w:bottom w:val="single" w:sz="8" w:color="auto"/>
            </w:tcBorders>
          </w:tcPr>
          <w:p>
            <w:pPr>
              <w:spacing w:after="0"/>
              <w:rPr>
                <w:sz w:val="15"/>
                <w:szCs w:val="15"/>
                <w:color w:val="auto"/>
              </w:rPr>
            </w:pPr>
          </w:p>
        </w:tc>
        <w:tc>
          <w:tcPr>
            <w:tcW w:w="200" w:type="dxa"/>
            <w:vAlign w:val="bottom"/>
            <w:tcBorders>
              <w:top w:val="single" w:sz="8" w:color="FAFAFA"/>
              <w:bottom w:val="single" w:sz="8" w:color="auto"/>
            </w:tcBorders>
          </w:tcPr>
          <w:p>
            <w:pPr>
              <w:spacing w:after="0"/>
              <w:rPr>
                <w:sz w:val="15"/>
                <w:szCs w:val="15"/>
                <w:color w:val="auto"/>
              </w:rPr>
            </w:pPr>
          </w:p>
        </w:tc>
        <w:tc>
          <w:tcPr>
            <w:tcW w:w="120" w:type="dxa"/>
            <w:vAlign w:val="bottom"/>
            <w:tcBorders>
              <w:top w:val="single" w:sz="8" w:color="FAFAFA"/>
              <w:bottom w:val="single" w:sz="8" w:color="auto"/>
            </w:tcBorders>
          </w:tcPr>
          <w:p>
            <w:pPr>
              <w:spacing w:after="0"/>
              <w:rPr>
                <w:sz w:val="15"/>
                <w:szCs w:val="15"/>
                <w:color w:val="auto"/>
              </w:rPr>
            </w:pPr>
          </w:p>
        </w:tc>
        <w:tc>
          <w:tcPr>
            <w:tcW w:w="80" w:type="dxa"/>
            <w:vAlign w:val="bottom"/>
            <w:tcBorders>
              <w:top w:val="single" w:sz="8" w:color="FAFAFA"/>
              <w:bottom w:val="single" w:sz="8" w:color="auto"/>
            </w:tcBorders>
          </w:tcPr>
          <w:p>
            <w:pPr>
              <w:spacing w:after="0"/>
              <w:rPr>
                <w:sz w:val="15"/>
                <w:szCs w:val="15"/>
                <w:color w:val="auto"/>
              </w:rPr>
            </w:pPr>
          </w:p>
        </w:tc>
        <w:tc>
          <w:tcPr>
            <w:tcW w:w="20" w:type="dxa"/>
            <w:vAlign w:val="bottom"/>
            <w:tcBorders>
              <w:top w:val="single" w:sz="8" w:color="FAFAFA"/>
              <w:bottom w:val="single" w:sz="8" w:color="auto"/>
            </w:tcBorders>
          </w:tcPr>
          <w:p>
            <w:pPr>
              <w:spacing w:after="0"/>
              <w:rPr>
                <w:sz w:val="15"/>
                <w:szCs w:val="15"/>
                <w:color w:val="auto"/>
              </w:rPr>
            </w:pPr>
          </w:p>
        </w:tc>
        <w:tc>
          <w:tcPr>
            <w:tcW w:w="20" w:type="dxa"/>
            <w:vAlign w:val="bottom"/>
            <w:tcBorders>
              <w:top w:val="single" w:sz="8" w:color="FAFAFA"/>
              <w:bottom w:val="single" w:sz="8" w:color="auto"/>
            </w:tcBorders>
          </w:tcPr>
          <w:p>
            <w:pPr>
              <w:spacing w:after="0"/>
              <w:rPr>
                <w:sz w:val="15"/>
                <w:szCs w:val="15"/>
                <w:color w:val="auto"/>
              </w:rPr>
            </w:pPr>
          </w:p>
        </w:tc>
        <w:tc>
          <w:tcPr>
            <w:tcW w:w="40" w:type="dxa"/>
            <w:vAlign w:val="bottom"/>
            <w:tcBorders>
              <w:top w:val="single" w:sz="8" w:color="FAFAFA"/>
              <w:bottom w:val="single" w:sz="8" w:color="auto"/>
            </w:tcBorders>
          </w:tcPr>
          <w:p>
            <w:pPr>
              <w:spacing w:after="0"/>
              <w:rPr>
                <w:sz w:val="15"/>
                <w:szCs w:val="15"/>
                <w:color w:val="auto"/>
              </w:rPr>
            </w:pPr>
          </w:p>
        </w:tc>
        <w:tc>
          <w:tcPr>
            <w:tcW w:w="20" w:type="dxa"/>
            <w:vAlign w:val="bottom"/>
            <w:tcBorders>
              <w:top w:val="single" w:sz="8" w:color="FAFAFA"/>
              <w:bottom w:val="single" w:sz="8" w:color="auto"/>
            </w:tcBorders>
          </w:tcPr>
          <w:p>
            <w:pPr>
              <w:spacing w:after="0"/>
              <w:rPr>
                <w:sz w:val="15"/>
                <w:szCs w:val="15"/>
                <w:color w:val="auto"/>
              </w:rPr>
            </w:pPr>
          </w:p>
        </w:tc>
        <w:tc>
          <w:tcPr>
            <w:tcW w:w="60" w:type="dxa"/>
            <w:vAlign w:val="bottom"/>
            <w:tcBorders>
              <w:top w:val="single" w:sz="8" w:color="FAFAFA"/>
              <w:bottom w:val="single" w:sz="8" w:color="auto"/>
            </w:tcBorders>
          </w:tcPr>
          <w:p>
            <w:pPr>
              <w:spacing w:after="0"/>
              <w:rPr>
                <w:sz w:val="15"/>
                <w:szCs w:val="15"/>
                <w:color w:val="auto"/>
              </w:rPr>
            </w:pPr>
          </w:p>
        </w:tc>
        <w:tc>
          <w:tcPr>
            <w:tcW w:w="220" w:type="dxa"/>
            <w:vAlign w:val="bottom"/>
            <w:tcBorders>
              <w:top w:val="single" w:sz="8" w:color="FAFAFA"/>
              <w:bottom w:val="single" w:sz="8" w:color="auto"/>
            </w:tcBorders>
          </w:tcPr>
          <w:p>
            <w:pPr>
              <w:spacing w:after="0"/>
              <w:rPr>
                <w:sz w:val="15"/>
                <w:szCs w:val="15"/>
                <w:color w:val="auto"/>
              </w:rPr>
            </w:pPr>
          </w:p>
        </w:tc>
        <w:tc>
          <w:tcPr>
            <w:tcW w:w="520" w:type="dxa"/>
            <w:vAlign w:val="bottom"/>
            <w:tcBorders>
              <w:top w:val="single" w:sz="8" w:color="FAFAFA"/>
              <w:bottom w:val="single" w:sz="8" w:color="auto"/>
            </w:tcBorders>
          </w:tcPr>
          <w:p>
            <w:pPr>
              <w:spacing w:after="0"/>
              <w:rPr>
                <w:sz w:val="15"/>
                <w:szCs w:val="15"/>
                <w:color w:val="auto"/>
              </w:rPr>
            </w:pPr>
          </w:p>
        </w:tc>
        <w:tc>
          <w:tcPr>
            <w:tcW w:w="120" w:type="dxa"/>
            <w:vAlign w:val="bottom"/>
            <w:tcBorders>
              <w:top w:val="single" w:sz="8" w:color="FAFAFA"/>
              <w:bottom w:val="single" w:sz="8" w:color="auto"/>
            </w:tcBorders>
          </w:tcPr>
          <w:p>
            <w:pPr>
              <w:spacing w:after="0"/>
              <w:rPr>
                <w:sz w:val="15"/>
                <w:szCs w:val="15"/>
                <w:color w:val="auto"/>
              </w:rPr>
            </w:pPr>
          </w:p>
        </w:tc>
        <w:tc>
          <w:tcPr>
            <w:tcW w:w="20" w:type="dxa"/>
            <w:vAlign w:val="bottom"/>
            <w:tcBorders>
              <w:top w:val="single" w:sz="8" w:color="FAFAFA"/>
              <w:bottom w:val="single" w:sz="8" w:color="auto"/>
            </w:tcBorders>
          </w:tcPr>
          <w:p>
            <w:pPr>
              <w:spacing w:after="0"/>
              <w:rPr>
                <w:sz w:val="15"/>
                <w:szCs w:val="15"/>
                <w:color w:val="auto"/>
              </w:rPr>
            </w:pPr>
          </w:p>
        </w:tc>
        <w:tc>
          <w:tcPr>
            <w:tcW w:w="140" w:type="dxa"/>
            <w:vAlign w:val="bottom"/>
            <w:tcBorders>
              <w:top w:val="single" w:sz="8" w:color="FAFAFA"/>
              <w:bottom w:val="single" w:sz="8" w:color="auto"/>
            </w:tcBorders>
          </w:tcPr>
          <w:p>
            <w:pPr>
              <w:spacing w:after="0"/>
              <w:rPr>
                <w:sz w:val="15"/>
                <w:szCs w:val="15"/>
                <w:color w:val="auto"/>
              </w:rPr>
            </w:pPr>
          </w:p>
        </w:tc>
        <w:tc>
          <w:tcPr>
            <w:tcW w:w="240" w:type="dxa"/>
            <w:vAlign w:val="bottom"/>
            <w:tcBorders>
              <w:top w:val="single" w:sz="8" w:color="FAFAFA"/>
              <w:bottom w:val="single" w:sz="8" w:color="auto"/>
            </w:tcBorders>
          </w:tcPr>
          <w:p>
            <w:pPr>
              <w:spacing w:after="0"/>
              <w:rPr>
                <w:sz w:val="15"/>
                <w:szCs w:val="15"/>
                <w:color w:val="auto"/>
              </w:rPr>
            </w:pPr>
          </w:p>
        </w:tc>
        <w:tc>
          <w:tcPr>
            <w:tcW w:w="220" w:type="dxa"/>
            <w:vAlign w:val="bottom"/>
            <w:tcBorders>
              <w:top w:val="single" w:sz="8" w:color="FAFAFA"/>
              <w:bottom w:val="single" w:sz="8" w:color="auto"/>
            </w:tcBorders>
          </w:tcPr>
          <w:p>
            <w:pPr>
              <w:spacing w:after="0"/>
              <w:rPr>
                <w:sz w:val="15"/>
                <w:szCs w:val="15"/>
                <w:color w:val="auto"/>
              </w:rPr>
            </w:pPr>
          </w:p>
        </w:tc>
        <w:tc>
          <w:tcPr>
            <w:tcW w:w="20" w:type="dxa"/>
            <w:vAlign w:val="bottom"/>
            <w:tcBorders>
              <w:top w:val="single" w:sz="8" w:color="FAFAFA"/>
              <w:bottom w:val="single" w:sz="8" w:color="auto"/>
            </w:tcBorders>
          </w:tcPr>
          <w:p>
            <w:pPr>
              <w:spacing w:after="0"/>
              <w:rPr>
                <w:sz w:val="15"/>
                <w:szCs w:val="15"/>
                <w:color w:val="auto"/>
              </w:rPr>
            </w:pPr>
          </w:p>
        </w:tc>
        <w:tc>
          <w:tcPr>
            <w:tcW w:w="20" w:type="dxa"/>
            <w:vAlign w:val="bottom"/>
            <w:tcBorders>
              <w:top w:val="single" w:sz="8" w:color="FAFAFA"/>
              <w:bottom w:val="single" w:sz="8" w:color="auto"/>
            </w:tcBorders>
          </w:tcPr>
          <w:p>
            <w:pPr>
              <w:spacing w:after="0"/>
              <w:rPr>
                <w:sz w:val="15"/>
                <w:szCs w:val="15"/>
                <w:color w:val="auto"/>
              </w:rPr>
            </w:pPr>
          </w:p>
        </w:tc>
        <w:tc>
          <w:tcPr>
            <w:tcW w:w="1040" w:type="dxa"/>
            <w:vAlign w:val="bottom"/>
            <w:tcBorders>
              <w:top w:val="single" w:sz="8" w:color="FAFAFA"/>
              <w:bottom w:val="single" w:sz="8" w:color="auto"/>
            </w:tcBorders>
          </w:tcPr>
          <w:p>
            <w:pPr>
              <w:spacing w:after="0"/>
              <w:rPr>
                <w:sz w:val="15"/>
                <w:szCs w:val="15"/>
                <w:color w:val="auto"/>
              </w:rPr>
            </w:pPr>
          </w:p>
        </w:tc>
        <w:tc>
          <w:tcPr>
            <w:tcW w:w="40" w:type="dxa"/>
            <w:vAlign w:val="bottom"/>
            <w:tcBorders>
              <w:top w:val="single" w:sz="8" w:color="FAFAFA"/>
              <w:bottom w:val="single" w:sz="8" w:color="auto"/>
            </w:tcBorders>
          </w:tcPr>
          <w:p>
            <w:pPr>
              <w:spacing w:after="0"/>
              <w:rPr>
                <w:sz w:val="15"/>
                <w:szCs w:val="15"/>
                <w:color w:val="auto"/>
              </w:rPr>
            </w:pPr>
          </w:p>
        </w:tc>
        <w:tc>
          <w:tcPr>
            <w:tcW w:w="120" w:type="dxa"/>
            <w:vAlign w:val="bottom"/>
            <w:tcBorders>
              <w:top w:val="single" w:sz="8" w:color="FAFAFA"/>
              <w:bottom w:val="single" w:sz="8" w:color="auto"/>
            </w:tcBorders>
          </w:tcPr>
          <w:p>
            <w:pPr>
              <w:spacing w:after="0"/>
              <w:rPr>
                <w:sz w:val="15"/>
                <w:szCs w:val="15"/>
                <w:color w:val="auto"/>
              </w:rPr>
            </w:pPr>
          </w:p>
        </w:tc>
        <w:tc>
          <w:tcPr>
            <w:tcW w:w="80" w:type="dxa"/>
            <w:vAlign w:val="bottom"/>
            <w:tcBorders>
              <w:top w:val="single" w:sz="8" w:color="FAFAFA"/>
              <w:bottom w:val="single" w:sz="8" w:color="auto"/>
            </w:tcBorders>
          </w:tcPr>
          <w:p>
            <w:pPr>
              <w:spacing w:after="0"/>
              <w:rPr>
                <w:sz w:val="15"/>
                <w:szCs w:val="15"/>
                <w:color w:val="auto"/>
              </w:rPr>
            </w:pPr>
          </w:p>
        </w:tc>
        <w:tc>
          <w:tcPr>
            <w:tcW w:w="380" w:type="dxa"/>
            <w:vAlign w:val="bottom"/>
            <w:tcBorders>
              <w:top w:val="single" w:sz="8" w:color="FAFAFA"/>
              <w:bottom w:val="single" w:sz="8" w:color="auto"/>
            </w:tcBorders>
          </w:tcPr>
          <w:p>
            <w:pPr>
              <w:spacing w:after="0"/>
              <w:rPr>
                <w:sz w:val="15"/>
                <w:szCs w:val="15"/>
                <w:color w:val="auto"/>
              </w:rPr>
            </w:pPr>
          </w:p>
        </w:tc>
        <w:tc>
          <w:tcPr>
            <w:tcW w:w="700" w:type="dxa"/>
            <w:vAlign w:val="bottom"/>
            <w:tcBorders>
              <w:top w:val="single" w:sz="8" w:color="FAFAFA"/>
              <w:bottom w:val="single" w:sz="8" w:color="auto"/>
            </w:tcBorders>
          </w:tcPr>
          <w:p>
            <w:pPr>
              <w:spacing w:after="0"/>
              <w:rPr>
                <w:sz w:val="15"/>
                <w:szCs w:val="15"/>
                <w:color w:val="auto"/>
              </w:rPr>
            </w:pPr>
          </w:p>
        </w:tc>
        <w:tc>
          <w:tcPr>
            <w:tcW w:w="1520" w:type="dxa"/>
            <w:vAlign w:val="bottom"/>
            <w:tcBorders>
              <w:top w:val="single" w:sz="8" w:color="FAFAFA"/>
              <w:bottom w:val="single" w:sz="8" w:color="auto"/>
            </w:tcBorders>
          </w:tcPr>
          <w:p>
            <w:pPr>
              <w:spacing w:after="0"/>
              <w:rPr>
                <w:sz w:val="15"/>
                <w:szCs w:val="15"/>
                <w:color w:val="auto"/>
              </w:rPr>
            </w:pPr>
          </w:p>
        </w:tc>
        <w:tc>
          <w:tcPr>
            <w:tcW w:w="1340" w:type="dxa"/>
            <w:vAlign w:val="bottom"/>
            <w:tcBorders>
              <w:top w:val="single" w:sz="8" w:color="FAFAFA"/>
              <w:bottom w:val="single" w:sz="8" w:color="auto"/>
            </w:tcBorders>
          </w:tcPr>
          <w:p>
            <w:pPr>
              <w:spacing w:after="0"/>
              <w:rPr>
                <w:sz w:val="15"/>
                <w:szCs w:val="15"/>
                <w:color w:val="auto"/>
              </w:rPr>
            </w:pPr>
          </w:p>
        </w:tc>
        <w:tc>
          <w:tcPr>
            <w:tcW w:w="200" w:type="dxa"/>
            <w:vAlign w:val="bottom"/>
            <w:tcBorders>
              <w:top w:val="single" w:sz="8" w:color="FAFAFA"/>
              <w:bottom w:val="single" w:sz="8" w:color="auto"/>
            </w:tcBorders>
          </w:tcPr>
          <w:p>
            <w:pPr>
              <w:spacing w:after="0"/>
              <w:rPr>
                <w:sz w:val="15"/>
                <w:szCs w:val="15"/>
                <w:color w:val="auto"/>
              </w:rPr>
            </w:pPr>
          </w:p>
        </w:tc>
        <w:tc>
          <w:tcPr>
            <w:tcW w:w="200" w:type="dxa"/>
            <w:vAlign w:val="bottom"/>
            <w:tcBorders>
              <w:top w:val="single" w:sz="8" w:color="FAFAFA"/>
              <w:bottom w:val="single" w:sz="8" w:color="auto"/>
            </w:tcBorders>
          </w:tcPr>
          <w:p>
            <w:pPr>
              <w:spacing w:after="0"/>
              <w:rPr>
                <w:sz w:val="15"/>
                <w:szCs w:val="15"/>
                <w:color w:val="auto"/>
              </w:rPr>
            </w:pPr>
          </w:p>
        </w:tc>
        <w:tc>
          <w:tcPr>
            <w:tcW w:w="140" w:type="dxa"/>
            <w:vAlign w:val="bottom"/>
            <w:tcBorders>
              <w:top w:val="single" w:sz="8" w:color="0000EE"/>
              <w:bottom w:val="single" w:sz="8" w:color="auto"/>
            </w:tcBorders>
          </w:tcPr>
          <w:p>
            <w:pPr>
              <w:spacing w:after="0"/>
              <w:rPr>
                <w:sz w:val="15"/>
                <w:szCs w:val="15"/>
                <w:color w:val="auto"/>
              </w:rPr>
            </w:pPr>
          </w:p>
        </w:tc>
        <w:tc>
          <w:tcPr>
            <w:tcW w:w="14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FAFAFA"/>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-7774305</wp:posOffset>
            </wp:positionV>
            <wp:extent cx="59664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-7491730</wp:posOffset>
            </wp:positionV>
            <wp:extent cx="59664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-7208520</wp:posOffset>
            </wp:positionV>
            <wp:extent cx="59664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-6925945</wp:posOffset>
            </wp:positionV>
            <wp:extent cx="59664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-6642735</wp:posOffset>
            </wp:positionV>
            <wp:extent cx="59664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-6360160</wp:posOffset>
            </wp:positionV>
            <wp:extent cx="59664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-6076950</wp:posOffset>
            </wp:positionV>
            <wp:extent cx="59664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-5794375</wp:posOffset>
            </wp:positionV>
            <wp:extent cx="59664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-5511165</wp:posOffset>
            </wp:positionV>
            <wp:extent cx="59664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-5228590</wp:posOffset>
            </wp:positionV>
            <wp:extent cx="59664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-4945380</wp:posOffset>
            </wp:positionV>
            <wp:extent cx="59664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-4662805</wp:posOffset>
            </wp:positionV>
            <wp:extent cx="59664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-4379595</wp:posOffset>
            </wp:positionV>
            <wp:extent cx="59664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-4097020</wp:posOffset>
            </wp:positionV>
            <wp:extent cx="59664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-3813810</wp:posOffset>
            </wp:positionV>
            <wp:extent cx="59664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-3531235</wp:posOffset>
            </wp:positionV>
            <wp:extent cx="59664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-3239770</wp:posOffset>
            </wp:positionV>
            <wp:extent cx="59664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-2956560</wp:posOffset>
            </wp:positionV>
            <wp:extent cx="59664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-2673985</wp:posOffset>
            </wp:positionV>
            <wp:extent cx="59664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-2390775</wp:posOffset>
            </wp:positionV>
            <wp:extent cx="59664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-2108200</wp:posOffset>
            </wp:positionV>
            <wp:extent cx="59664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-1824990</wp:posOffset>
            </wp:positionV>
            <wp:extent cx="59664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-1542415</wp:posOffset>
            </wp:positionV>
            <wp:extent cx="59664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-1259205</wp:posOffset>
            </wp:positionV>
            <wp:extent cx="59664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-942340</wp:posOffset>
            </wp:positionV>
            <wp:extent cx="59664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-659130</wp:posOffset>
            </wp:positionV>
            <wp:extent cx="59664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-376555</wp:posOffset>
            </wp:positionV>
            <wp:extent cx="59664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5966460"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6460" cy="308610"/>
                    </a:xfrm>
                    <a:prstGeom prst="rect">
                      <a:avLst/>
                    </a:prstGeom>
                    <a:noFill/>
                  </pic:spPr>
                </pic:pic>
              </a:graphicData>
            </a:graphic>
          </wp:anchor>
        </w:drawing>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5966460" cy="283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6460" cy="283210"/>
                    </a:xfrm>
                    <a:prstGeom prst="rect">
                      <a:avLst/>
                    </a:prstGeom>
                    <a:noFill/>
                  </pic:spPr>
                </pic:pic>
              </a:graphicData>
            </a:graphic>
          </wp:anchor>
        </w:drawing>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0000EE"/>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5966460" cy="436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6460" cy="436880"/>
                    </a:xfrm>
                    <a:prstGeom prst="rect">
                      <a:avLst/>
                    </a:prstGeom>
                    <a:noFill/>
                  </pic:spPr>
                </pic:pic>
              </a:graphicData>
            </a:graphic>
          </wp:anchor>
        </w:drawing>
      </w:r>
    </w:p>
    <w:p>
      <w:pPr>
        <w:spacing w:after="0" w:line="174" w:lineRule="exact"/>
        <w:rPr>
          <w:sz w:val="20"/>
          <w:szCs w:val="20"/>
          <w:color w:val="auto"/>
        </w:rPr>
      </w:pPr>
    </w:p>
    <w:p>
      <w:pPr>
        <w:ind w:left="360" w:right="100" w:hanging="161"/>
        <w:spacing w:after="0" w:line="271" w:lineRule="auto"/>
        <w:rPr>
          <w:sz w:val="20"/>
          <w:szCs w:val="20"/>
          <w:color w:val="auto"/>
        </w:rPr>
      </w:pPr>
      <w:r>
        <w:rPr>
          <w:rFonts w:ascii="Arial" w:cs="Arial" w:eastAsia="Arial" w:hAnsi="Arial"/>
          <w:sz w:val="16"/>
          <w:szCs w:val="16"/>
          <w:b w:val="1"/>
          <w:bCs w:val="1"/>
          <w:u w:val="single" w:color="auto"/>
          <w:color w:val="0000EE"/>
        </w:rPr>
        <w:t>PROPOSAL NO. 3: APPROVAL OF PROPOSED AMENDMENTS TO OUR AMENDED AND RESTATED CERTIFICATE OF INCORPORATION TO EFFECT A REVERSE STOCK SPLIT AND REDUCE THE TOTAL NUMBER OF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966460" cy="283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6460" cy="283210"/>
                    </a:xfrm>
                    <a:prstGeom prst="rect">
                      <a:avLst/>
                    </a:prstGeom>
                    <a:noFill/>
                  </pic:spPr>
                </pic:pic>
              </a:graphicData>
            </a:graphic>
          </wp:anchor>
        </w:drawing>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Proposed Amendments to the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91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6460" cy="291465"/>
                    </a:xfrm>
                    <a:prstGeom prst="rect">
                      <a:avLst/>
                    </a:prstGeom>
                    <a:noFill/>
                  </pic:spPr>
                </pic:pic>
              </a:graphicData>
            </a:graphic>
          </wp:anchor>
        </w:drawing>
      </w:r>
    </w:p>
    <w:p>
      <w:pPr>
        <w:spacing w:after="0" w:line="30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Reasons for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5966460" cy="282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Reasons for the Reduction in the Authorized 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3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6460" cy="283210"/>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Certain Risks Associated with a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9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6460" cy="291465"/>
                    </a:xfrm>
                    <a:prstGeom prst="rect">
                      <a:avLst/>
                    </a:prstGeom>
                    <a:noFill/>
                  </pic:spPr>
                </pic:pic>
              </a:graphicData>
            </a:graphic>
          </wp:anchor>
        </w:drawing>
      </w:r>
    </w:p>
    <w:p>
      <w:pPr>
        <w:spacing w:after="0" w:line="30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Principal Effects of the Reverse Stock Split and the Authorized Share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5966460" cy="283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6460" cy="283210"/>
                    </a:xfrm>
                    <a:prstGeom prst="rect">
                      <a:avLst/>
                    </a:prstGeom>
                    <a:noFill/>
                  </pic:spPr>
                </pic:pic>
              </a:graphicData>
            </a:graphic>
          </wp:anchor>
        </w:drawing>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Effect On Equity Compensation Plans, Outstanding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3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6460" cy="283210"/>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Accounting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Mechanics of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3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6460" cy="283210"/>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Procedure for Implementing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No Appraisal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Material U.S. Federal Income Tax Considerations of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0000EE"/>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5966460" cy="282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60"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0000E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5966460" cy="282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60"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Processes and Procedures for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3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6460" cy="283210"/>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2023-2024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Outstanding Equity Awards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Executive Employment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Change in Control and Severance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3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6460" cy="283210"/>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82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Executive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2311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6460" cy="231140"/>
                    </a:xfrm>
                    <a:prstGeom prst="rect">
                      <a:avLst/>
                    </a:prstGeom>
                    <a:noFill/>
                  </pic:spPr>
                </pic:pic>
              </a:graphicData>
            </a:graphic>
          </wp:anchor>
        </w:drawing>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EE"/>
        </w:rPr>
        <w:t>Equity Granting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169545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26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27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27</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27</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28</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29</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30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31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31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31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32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33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33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35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35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36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36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39</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39</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39</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40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41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42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43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45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46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46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47</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u w:val="single" w:color="auto"/>
          <w:color w:val="0000EE"/>
        </w:rPr>
        <w:t>48</w:t>
      </w:r>
    </w:p>
    <w:p>
      <w:pPr>
        <w:sectPr>
          <w:pgSz w:w="11900" w:h="16838" w:orient="portrait"/>
          <w:cols w:equalWidth="0" w:num="2">
            <w:col w:w="8300" w:space="720"/>
            <w:col w:w="280"/>
          </w:cols>
          <w:pgMar w:left="1240" w:top="114" w:right="1359" w:bottom="1440" w:gutter="0" w:footer="0" w:header="0"/>
        </w:sectPr>
      </w:pPr>
    </w:p>
    <w:bookmarkStart w:id="7" w:name="page8"/>
    <w:bookmarkEnd w:id="7"/>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vMerge w:val="restart"/>
            <w:shd w:val="clear" w:color="auto" w:fill="FAFAFA"/>
          </w:tcPr>
          <w:p>
            <w:pPr>
              <w:spacing w:after="0"/>
              <w:rPr>
                <w:sz w:val="24"/>
                <w:szCs w:val="24"/>
                <w:color w:val="auto"/>
              </w:rPr>
            </w:pPr>
          </w:p>
        </w:tc>
        <w:tc>
          <w:tcPr>
            <w:tcW w:w="6300" w:type="dxa"/>
            <w:vAlign w:val="bottom"/>
            <w:tcBorders>
              <w:bottom w:val="single" w:sz="8" w:color="0000EE"/>
            </w:tcBorders>
            <w:gridSpan w:val="10"/>
            <w:shd w:val="clear" w:color="auto" w:fill="FAFAFA"/>
          </w:tcPr>
          <w:p>
            <w:pPr>
              <w:spacing w:after="0"/>
              <w:rPr>
                <w:sz w:val="20"/>
                <w:szCs w:val="20"/>
                <w:color w:val="auto"/>
              </w:rPr>
            </w:pPr>
            <w:r>
              <w:rPr>
                <w:rFonts w:ascii="Arial" w:cs="Arial" w:eastAsia="Arial" w:hAnsi="Arial"/>
                <w:sz w:val="16"/>
                <w:szCs w:val="16"/>
                <w:b w:val="1"/>
                <w:bCs w:val="1"/>
                <w:color w:val="0000EE"/>
              </w:rPr>
              <w:t>SECURITY OWNERSHIP OF CERTAIN BENEFICIAL OWNERS AND MANAGEMENT</w:t>
            </w:r>
          </w:p>
        </w:tc>
        <w:tc>
          <w:tcPr>
            <w:tcW w:w="260" w:type="dxa"/>
            <w:vAlign w:val="bottom"/>
            <w:tcBorders>
              <w:bottom w:val="single" w:sz="8" w:color="FAFAFA"/>
            </w:tcBorders>
            <w:vMerge w:val="restart"/>
            <w:shd w:val="clear" w:color="auto" w:fill="FAFAFA"/>
          </w:tcPr>
          <w:p>
            <w:pPr>
              <w:spacing w:after="0"/>
              <w:rPr>
                <w:sz w:val="24"/>
                <w:szCs w:val="24"/>
                <w:color w:val="auto"/>
              </w:rPr>
            </w:pPr>
          </w:p>
        </w:tc>
        <w:tc>
          <w:tcPr>
            <w:tcW w:w="2140" w:type="dxa"/>
            <w:vAlign w:val="bottom"/>
            <w:tcBorders>
              <w:bottom w:val="single" w:sz="8" w:color="FAFAFA"/>
            </w:tcBorders>
            <w:vMerge w:val="restart"/>
            <w:shd w:val="clear" w:color="auto" w:fill="FAFAFA"/>
          </w:tcPr>
          <w:p>
            <w:pPr>
              <w:spacing w:after="0"/>
              <w:rPr>
                <w:sz w:val="24"/>
                <w:szCs w:val="24"/>
                <w:color w:val="auto"/>
              </w:rPr>
            </w:pPr>
          </w:p>
        </w:tc>
        <w:tc>
          <w:tcPr>
            <w:tcW w:w="520" w:type="dxa"/>
            <w:vAlign w:val="bottom"/>
            <w:tcBorders>
              <w:bottom w:val="single" w:sz="8" w:color="FAFAFA"/>
            </w:tcBorders>
            <w:gridSpan w:val="3"/>
            <w:vMerge w:val="restart"/>
            <w:shd w:val="clear" w:color="auto" w:fill="FAFAFA"/>
          </w:tcPr>
          <w:p>
            <w:pPr>
              <w:jc w:val="right"/>
              <w:ind w:right="80"/>
              <w:spacing w:after="0"/>
              <w:rPr>
                <w:sz w:val="20"/>
                <w:szCs w:val="20"/>
                <w:color w:val="auto"/>
              </w:rPr>
            </w:pPr>
            <w:r>
              <w:rPr>
                <w:rFonts w:ascii="Times New Roman" w:cs="Times New Roman" w:eastAsia="Times New Roman" w:hAnsi="Times New Roman"/>
                <w:sz w:val="29"/>
                <w:szCs w:val="29"/>
                <w:color w:val="0000EE"/>
              </w:rPr>
              <w:t>50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120" w:type="dxa"/>
            <w:vAlign w:val="bottom"/>
            <w:shd w:val="clear" w:color="auto" w:fill="FAFAFA"/>
          </w:tcPr>
          <w:p>
            <w:pPr>
              <w:spacing w:after="0"/>
              <w:rPr>
                <w:sz w:val="3"/>
                <w:szCs w:val="3"/>
                <w:color w:val="auto"/>
              </w:rPr>
            </w:pPr>
          </w:p>
        </w:tc>
        <w:tc>
          <w:tcPr>
            <w:tcW w:w="60" w:type="dxa"/>
            <w:vAlign w:val="bottom"/>
            <w:vMerge w:val="continue"/>
            <w:shd w:val="clear" w:color="auto" w:fill="FAFAFA"/>
          </w:tcPr>
          <w:p>
            <w:pPr>
              <w:spacing w:after="0"/>
              <w:rPr>
                <w:sz w:val="3"/>
                <w:szCs w:val="3"/>
                <w:color w:val="auto"/>
              </w:rPr>
            </w:pPr>
          </w:p>
        </w:tc>
        <w:tc>
          <w:tcPr>
            <w:tcW w:w="180" w:type="dxa"/>
            <w:vAlign w:val="bottom"/>
            <w:shd w:val="clear" w:color="auto" w:fill="FAFAFA"/>
          </w:tcPr>
          <w:p>
            <w:pPr>
              <w:spacing w:after="0"/>
              <w:rPr>
                <w:sz w:val="3"/>
                <w:szCs w:val="3"/>
                <w:color w:val="auto"/>
              </w:rPr>
            </w:pPr>
          </w:p>
        </w:tc>
        <w:tc>
          <w:tcPr>
            <w:tcW w:w="540" w:type="dxa"/>
            <w:vAlign w:val="bottom"/>
            <w:shd w:val="clear" w:color="auto" w:fill="FAFAFA"/>
          </w:tcPr>
          <w:p>
            <w:pPr>
              <w:spacing w:after="0"/>
              <w:rPr>
                <w:sz w:val="3"/>
                <w:szCs w:val="3"/>
                <w:color w:val="auto"/>
              </w:rPr>
            </w:pPr>
          </w:p>
        </w:tc>
        <w:tc>
          <w:tcPr>
            <w:tcW w:w="660" w:type="dxa"/>
            <w:vAlign w:val="bottom"/>
            <w:shd w:val="clear" w:color="auto" w:fill="FAFAFA"/>
          </w:tcPr>
          <w:p>
            <w:pPr>
              <w:spacing w:after="0"/>
              <w:rPr>
                <w:sz w:val="3"/>
                <w:szCs w:val="3"/>
                <w:color w:val="auto"/>
              </w:rPr>
            </w:pPr>
          </w:p>
        </w:tc>
        <w:tc>
          <w:tcPr>
            <w:tcW w:w="20" w:type="dxa"/>
            <w:vAlign w:val="bottom"/>
            <w:shd w:val="clear" w:color="auto" w:fill="FAFAFA"/>
          </w:tcPr>
          <w:p>
            <w:pPr>
              <w:spacing w:after="0"/>
              <w:rPr>
                <w:sz w:val="3"/>
                <w:szCs w:val="3"/>
                <w:color w:val="auto"/>
              </w:rPr>
            </w:pPr>
          </w:p>
        </w:tc>
        <w:tc>
          <w:tcPr>
            <w:tcW w:w="60" w:type="dxa"/>
            <w:vAlign w:val="bottom"/>
            <w:shd w:val="clear" w:color="auto" w:fill="FAFAFA"/>
          </w:tcPr>
          <w:p>
            <w:pPr>
              <w:spacing w:after="0"/>
              <w:rPr>
                <w:sz w:val="3"/>
                <w:szCs w:val="3"/>
                <w:color w:val="auto"/>
              </w:rPr>
            </w:pPr>
          </w:p>
        </w:tc>
        <w:tc>
          <w:tcPr>
            <w:tcW w:w="40" w:type="dxa"/>
            <w:vAlign w:val="bottom"/>
            <w:shd w:val="clear" w:color="auto" w:fill="FAFAFA"/>
          </w:tcPr>
          <w:p>
            <w:pPr>
              <w:spacing w:after="0"/>
              <w:rPr>
                <w:sz w:val="3"/>
                <w:szCs w:val="3"/>
                <w:color w:val="auto"/>
              </w:rPr>
            </w:pPr>
          </w:p>
        </w:tc>
        <w:tc>
          <w:tcPr>
            <w:tcW w:w="480" w:type="dxa"/>
            <w:vAlign w:val="bottom"/>
            <w:shd w:val="clear" w:color="auto" w:fill="FAFAFA"/>
          </w:tcPr>
          <w:p>
            <w:pPr>
              <w:spacing w:after="0"/>
              <w:rPr>
                <w:sz w:val="3"/>
                <w:szCs w:val="3"/>
                <w:color w:val="auto"/>
              </w:rPr>
            </w:pPr>
          </w:p>
        </w:tc>
        <w:tc>
          <w:tcPr>
            <w:tcW w:w="480" w:type="dxa"/>
            <w:vAlign w:val="bottom"/>
            <w:shd w:val="clear" w:color="auto" w:fill="FAFAFA"/>
          </w:tcPr>
          <w:p>
            <w:pPr>
              <w:spacing w:after="0"/>
              <w:rPr>
                <w:sz w:val="3"/>
                <w:szCs w:val="3"/>
                <w:color w:val="auto"/>
              </w:rPr>
            </w:pPr>
          </w:p>
        </w:tc>
        <w:tc>
          <w:tcPr>
            <w:tcW w:w="360" w:type="dxa"/>
            <w:vAlign w:val="bottom"/>
            <w:shd w:val="clear" w:color="auto" w:fill="FAFAFA"/>
          </w:tcPr>
          <w:p>
            <w:pPr>
              <w:spacing w:after="0"/>
              <w:rPr>
                <w:sz w:val="3"/>
                <w:szCs w:val="3"/>
                <w:color w:val="auto"/>
              </w:rPr>
            </w:pPr>
          </w:p>
        </w:tc>
        <w:tc>
          <w:tcPr>
            <w:tcW w:w="3480" w:type="dxa"/>
            <w:vAlign w:val="bottom"/>
            <w:shd w:val="clear" w:color="auto" w:fill="FAFAFA"/>
          </w:tcPr>
          <w:p>
            <w:pPr>
              <w:spacing w:after="0"/>
              <w:rPr>
                <w:sz w:val="3"/>
                <w:szCs w:val="3"/>
                <w:color w:val="auto"/>
              </w:rPr>
            </w:pPr>
          </w:p>
        </w:tc>
        <w:tc>
          <w:tcPr>
            <w:tcW w:w="260" w:type="dxa"/>
            <w:vAlign w:val="bottom"/>
            <w:vMerge w:val="continue"/>
            <w:shd w:val="clear" w:color="auto" w:fill="FAFAFA"/>
          </w:tcPr>
          <w:p>
            <w:pPr>
              <w:spacing w:after="0"/>
              <w:rPr>
                <w:sz w:val="3"/>
                <w:szCs w:val="3"/>
                <w:color w:val="auto"/>
              </w:rPr>
            </w:pPr>
          </w:p>
        </w:tc>
        <w:tc>
          <w:tcPr>
            <w:tcW w:w="2140" w:type="dxa"/>
            <w:vAlign w:val="bottom"/>
            <w:vMerge w:val="continue"/>
            <w:shd w:val="clear" w:color="auto" w:fill="FAFAFA"/>
          </w:tcPr>
          <w:p>
            <w:pPr>
              <w:spacing w:after="0"/>
              <w:rPr>
                <w:sz w:val="3"/>
                <w:szCs w:val="3"/>
                <w:color w:val="auto"/>
              </w:rPr>
            </w:pPr>
          </w:p>
        </w:tc>
        <w:tc>
          <w:tcPr>
            <w:tcW w:w="520" w:type="dxa"/>
            <w:vAlign w:val="bottom"/>
            <w:gridSpan w:val="3"/>
            <w:vMerge w:val="continue"/>
            <w:shd w:val="clear" w:color="auto" w:fill="FAFAFA"/>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180" w:type="dxa"/>
            <w:vAlign w:val="bottom"/>
            <w:tcBorders>
              <w:top w:val="single" w:sz="8" w:color="FAFAFA"/>
            </w:tcBorders>
            <w:shd w:val="clear" w:color="auto" w:fill="FAFAFA"/>
          </w:tcPr>
          <w:p>
            <w:pPr>
              <w:spacing w:after="0"/>
              <w:rPr>
                <w:sz w:val="9"/>
                <w:szCs w:val="9"/>
                <w:color w:val="auto"/>
              </w:rPr>
            </w:pPr>
          </w:p>
        </w:tc>
        <w:tc>
          <w:tcPr>
            <w:tcW w:w="540" w:type="dxa"/>
            <w:vAlign w:val="bottom"/>
            <w:tcBorders>
              <w:top w:val="single" w:sz="8" w:color="FAFAFA"/>
            </w:tcBorders>
            <w:shd w:val="clear" w:color="auto" w:fill="FAFAFA"/>
          </w:tcPr>
          <w:p>
            <w:pPr>
              <w:spacing w:after="0"/>
              <w:rPr>
                <w:sz w:val="9"/>
                <w:szCs w:val="9"/>
                <w:color w:val="auto"/>
              </w:rPr>
            </w:pPr>
          </w:p>
        </w:tc>
        <w:tc>
          <w:tcPr>
            <w:tcW w:w="6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480" w:type="dxa"/>
            <w:vAlign w:val="bottom"/>
            <w:tcBorders>
              <w:top w:val="single" w:sz="8" w:color="FAFAFA"/>
            </w:tcBorders>
            <w:shd w:val="clear" w:color="auto" w:fill="FAFAFA"/>
          </w:tcPr>
          <w:p>
            <w:pPr>
              <w:spacing w:after="0"/>
              <w:rPr>
                <w:sz w:val="9"/>
                <w:szCs w:val="9"/>
                <w:color w:val="auto"/>
              </w:rPr>
            </w:pPr>
          </w:p>
        </w:tc>
        <w:tc>
          <w:tcPr>
            <w:tcW w:w="480" w:type="dxa"/>
            <w:vAlign w:val="bottom"/>
            <w:tcBorders>
              <w:top w:val="single" w:sz="8" w:color="FAFAFA"/>
            </w:tcBorders>
            <w:shd w:val="clear" w:color="auto" w:fill="FAFAFA"/>
          </w:tcPr>
          <w:p>
            <w:pPr>
              <w:spacing w:after="0"/>
              <w:rPr>
                <w:sz w:val="9"/>
                <w:szCs w:val="9"/>
                <w:color w:val="auto"/>
              </w:rPr>
            </w:pPr>
          </w:p>
        </w:tc>
        <w:tc>
          <w:tcPr>
            <w:tcW w:w="360" w:type="dxa"/>
            <w:vAlign w:val="bottom"/>
            <w:tcBorders>
              <w:top w:val="single" w:sz="8" w:color="FAFAFA"/>
            </w:tcBorders>
            <w:shd w:val="clear" w:color="auto" w:fill="FAFAFA"/>
          </w:tcPr>
          <w:p>
            <w:pPr>
              <w:spacing w:after="0"/>
              <w:rPr>
                <w:sz w:val="9"/>
                <w:szCs w:val="9"/>
                <w:color w:val="auto"/>
              </w:rPr>
            </w:pPr>
          </w:p>
        </w:tc>
        <w:tc>
          <w:tcPr>
            <w:tcW w:w="348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214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8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6560" w:type="dxa"/>
            <w:vAlign w:val="bottom"/>
            <w:tcBorders>
              <w:bottom w:val="single" w:sz="8" w:color="0000EE"/>
            </w:tcBorders>
            <w:gridSpan w:val="11"/>
            <w:shd w:val="clear" w:color="auto" w:fill="EBEBEB"/>
          </w:tcPr>
          <w:p>
            <w:pPr>
              <w:spacing w:after="0"/>
              <w:rPr>
                <w:sz w:val="20"/>
                <w:szCs w:val="20"/>
                <w:color w:val="auto"/>
              </w:rPr>
            </w:pPr>
            <w:r>
              <w:rPr>
                <w:rFonts w:ascii="Arial" w:cs="Arial" w:eastAsia="Arial" w:hAnsi="Arial"/>
                <w:sz w:val="16"/>
                <w:szCs w:val="16"/>
                <w:b w:val="1"/>
                <w:bCs w:val="1"/>
                <w:color w:val="0000EE"/>
              </w:rPr>
              <w:t>SECURITIES AUTHORIZED FOR ISSUANCE UNDER EQUITY COMPENSATION PLANS</w:t>
            </w:r>
          </w:p>
        </w:tc>
        <w:tc>
          <w:tcPr>
            <w:tcW w:w="2140" w:type="dxa"/>
            <w:vAlign w:val="bottom"/>
            <w:tcBorders>
              <w:bottom w:val="single" w:sz="8" w:color="EBEBEB"/>
            </w:tcBorders>
            <w:shd w:val="clear" w:color="auto" w:fill="EBEBEB"/>
          </w:tcPr>
          <w:p>
            <w:pPr>
              <w:spacing w:after="0"/>
              <w:rPr>
                <w:sz w:val="24"/>
                <w:szCs w:val="24"/>
                <w:color w:val="auto"/>
              </w:rPr>
            </w:pPr>
          </w:p>
        </w:tc>
        <w:tc>
          <w:tcPr>
            <w:tcW w:w="520" w:type="dxa"/>
            <w:vAlign w:val="bottom"/>
            <w:tcBorders>
              <w:bottom w:val="single" w:sz="8" w:color="EBEBEB"/>
            </w:tcBorders>
            <w:gridSpan w:val="3"/>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53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180" w:type="dxa"/>
            <w:vAlign w:val="bottom"/>
            <w:tcBorders>
              <w:top w:val="single" w:sz="8" w:color="EBEBEB"/>
            </w:tcBorders>
            <w:shd w:val="clear" w:color="auto" w:fill="EBEBEB"/>
          </w:tcPr>
          <w:p>
            <w:pPr>
              <w:spacing w:after="0"/>
              <w:rPr>
                <w:sz w:val="9"/>
                <w:szCs w:val="9"/>
                <w:color w:val="auto"/>
              </w:rPr>
            </w:pPr>
          </w:p>
        </w:tc>
        <w:tc>
          <w:tcPr>
            <w:tcW w:w="540" w:type="dxa"/>
            <w:vAlign w:val="bottom"/>
            <w:tcBorders>
              <w:top w:val="single" w:sz="8" w:color="EBEBEB"/>
            </w:tcBorders>
            <w:shd w:val="clear" w:color="auto" w:fill="EBEBEB"/>
          </w:tcPr>
          <w:p>
            <w:pPr>
              <w:spacing w:after="0"/>
              <w:rPr>
                <w:sz w:val="9"/>
                <w:szCs w:val="9"/>
                <w:color w:val="auto"/>
              </w:rPr>
            </w:pPr>
          </w:p>
        </w:tc>
        <w:tc>
          <w:tcPr>
            <w:tcW w:w="6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480" w:type="dxa"/>
            <w:vAlign w:val="bottom"/>
            <w:tcBorders>
              <w:top w:val="single" w:sz="8" w:color="EBEBEB"/>
            </w:tcBorders>
            <w:shd w:val="clear" w:color="auto" w:fill="EBEBEB"/>
          </w:tcPr>
          <w:p>
            <w:pPr>
              <w:spacing w:after="0"/>
              <w:rPr>
                <w:sz w:val="9"/>
                <w:szCs w:val="9"/>
                <w:color w:val="auto"/>
              </w:rPr>
            </w:pPr>
          </w:p>
        </w:tc>
        <w:tc>
          <w:tcPr>
            <w:tcW w:w="480" w:type="dxa"/>
            <w:vAlign w:val="bottom"/>
            <w:tcBorders>
              <w:top w:val="single" w:sz="8" w:color="EBEBEB"/>
            </w:tcBorders>
            <w:shd w:val="clear" w:color="auto" w:fill="EBEBEB"/>
          </w:tcPr>
          <w:p>
            <w:pPr>
              <w:spacing w:after="0"/>
              <w:rPr>
                <w:sz w:val="9"/>
                <w:szCs w:val="9"/>
                <w:color w:val="auto"/>
              </w:rPr>
            </w:pPr>
          </w:p>
        </w:tc>
        <w:tc>
          <w:tcPr>
            <w:tcW w:w="360" w:type="dxa"/>
            <w:vAlign w:val="bottom"/>
            <w:tcBorders>
              <w:top w:val="single" w:sz="8" w:color="EBEBEB"/>
            </w:tcBorders>
            <w:shd w:val="clear" w:color="auto" w:fill="EBEBEB"/>
          </w:tcPr>
          <w:p>
            <w:pPr>
              <w:spacing w:after="0"/>
              <w:rPr>
                <w:sz w:val="9"/>
                <w:szCs w:val="9"/>
                <w:color w:val="auto"/>
              </w:rPr>
            </w:pPr>
          </w:p>
        </w:tc>
        <w:tc>
          <w:tcPr>
            <w:tcW w:w="348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214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8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2820" w:type="dxa"/>
            <w:vAlign w:val="bottom"/>
            <w:tcBorders>
              <w:bottom w:val="single" w:sz="8" w:color="0000EE"/>
            </w:tcBorders>
            <w:gridSpan w:val="9"/>
            <w:shd w:val="clear" w:color="auto" w:fill="FAFAFA"/>
          </w:tcPr>
          <w:p>
            <w:pPr>
              <w:spacing w:after="0"/>
              <w:rPr>
                <w:sz w:val="20"/>
                <w:szCs w:val="20"/>
                <w:color w:val="auto"/>
              </w:rPr>
            </w:pPr>
            <w:r>
              <w:rPr>
                <w:rFonts w:ascii="Arial" w:cs="Arial" w:eastAsia="Arial" w:hAnsi="Arial"/>
                <w:sz w:val="16"/>
                <w:szCs w:val="16"/>
                <w:b w:val="1"/>
                <w:bCs w:val="1"/>
                <w:color w:val="0000EE"/>
              </w:rPr>
              <w:t>RELATED PERSON TRANSACTIONS</w:t>
            </w:r>
          </w:p>
        </w:tc>
        <w:tc>
          <w:tcPr>
            <w:tcW w:w="5880" w:type="dxa"/>
            <w:vAlign w:val="bottom"/>
            <w:tcBorders>
              <w:bottom w:val="single" w:sz="8" w:color="FAFAFA"/>
            </w:tcBorders>
            <w:gridSpan w:val="3"/>
            <w:shd w:val="clear" w:color="auto" w:fill="FAFAFA"/>
          </w:tcPr>
          <w:p>
            <w:pPr>
              <w:spacing w:after="0"/>
              <w:rPr>
                <w:sz w:val="24"/>
                <w:szCs w:val="24"/>
                <w:color w:val="auto"/>
              </w:rPr>
            </w:pPr>
          </w:p>
        </w:tc>
        <w:tc>
          <w:tcPr>
            <w:tcW w:w="520" w:type="dxa"/>
            <w:vAlign w:val="bottom"/>
            <w:tcBorders>
              <w:bottom w:val="single" w:sz="8" w:color="FAFAFA"/>
            </w:tcBorders>
            <w:gridSpan w:val="3"/>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54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180" w:type="dxa"/>
            <w:vAlign w:val="bottom"/>
            <w:tcBorders>
              <w:top w:val="single" w:sz="8" w:color="FAFAFA"/>
            </w:tcBorders>
            <w:shd w:val="clear" w:color="auto" w:fill="FAFAFA"/>
          </w:tcPr>
          <w:p>
            <w:pPr>
              <w:spacing w:after="0"/>
              <w:rPr>
                <w:sz w:val="9"/>
                <w:szCs w:val="9"/>
                <w:color w:val="auto"/>
              </w:rPr>
            </w:pPr>
          </w:p>
        </w:tc>
        <w:tc>
          <w:tcPr>
            <w:tcW w:w="540" w:type="dxa"/>
            <w:vAlign w:val="bottom"/>
            <w:tcBorders>
              <w:top w:val="single" w:sz="8" w:color="FAFAFA"/>
            </w:tcBorders>
            <w:shd w:val="clear" w:color="auto" w:fill="FAFAFA"/>
          </w:tcPr>
          <w:p>
            <w:pPr>
              <w:spacing w:after="0"/>
              <w:rPr>
                <w:sz w:val="9"/>
                <w:szCs w:val="9"/>
                <w:color w:val="auto"/>
              </w:rPr>
            </w:pPr>
          </w:p>
        </w:tc>
        <w:tc>
          <w:tcPr>
            <w:tcW w:w="6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480" w:type="dxa"/>
            <w:vAlign w:val="bottom"/>
            <w:tcBorders>
              <w:top w:val="single" w:sz="8" w:color="FAFAFA"/>
            </w:tcBorders>
            <w:shd w:val="clear" w:color="auto" w:fill="FAFAFA"/>
          </w:tcPr>
          <w:p>
            <w:pPr>
              <w:spacing w:after="0"/>
              <w:rPr>
                <w:sz w:val="9"/>
                <w:szCs w:val="9"/>
                <w:color w:val="auto"/>
              </w:rPr>
            </w:pPr>
          </w:p>
        </w:tc>
        <w:tc>
          <w:tcPr>
            <w:tcW w:w="480" w:type="dxa"/>
            <w:vAlign w:val="bottom"/>
            <w:tcBorders>
              <w:top w:val="single" w:sz="8" w:color="FAFAFA"/>
            </w:tcBorders>
            <w:shd w:val="clear" w:color="auto" w:fill="FAFAFA"/>
          </w:tcPr>
          <w:p>
            <w:pPr>
              <w:spacing w:after="0"/>
              <w:rPr>
                <w:sz w:val="9"/>
                <w:szCs w:val="9"/>
                <w:color w:val="auto"/>
              </w:rPr>
            </w:pPr>
          </w:p>
        </w:tc>
        <w:tc>
          <w:tcPr>
            <w:tcW w:w="360" w:type="dxa"/>
            <w:vAlign w:val="bottom"/>
            <w:tcBorders>
              <w:top w:val="single" w:sz="8" w:color="FAFAFA"/>
            </w:tcBorders>
            <w:shd w:val="clear" w:color="auto" w:fill="FAFAFA"/>
          </w:tcPr>
          <w:p>
            <w:pPr>
              <w:spacing w:after="0"/>
              <w:rPr>
                <w:sz w:val="9"/>
                <w:szCs w:val="9"/>
                <w:color w:val="auto"/>
              </w:rPr>
            </w:pPr>
          </w:p>
        </w:tc>
        <w:tc>
          <w:tcPr>
            <w:tcW w:w="348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214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8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180" w:type="dxa"/>
            <w:vAlign w:val="bottom"/>
            <w:tcBorders>
              <w:bottom w:val="single" w:sz="8" w:color="EBEBEB"/>
            </w:tcBorders>
            <w:shd w:val="clear" w:color="auto" w:fill="EBEBEB"/>
          </w:tcPr>
          <w:p>
            <w:pPr>
              <w:spacing w:after="0"/>
              <w:rPr>
                <w:sz w:val="24"/>
                <w:szCs w:val="24"/>
                <w:color w:val="auto"/>
              </w:rPr>
            </w:pPr>
          </w:p>
        </w:tc>
        <w:tc>
          <w:tcPr>
            <w:tcW w:w="2280" w:type="dxa"/>
            <w:vAlign w:val="bottom"/>
            <w:tcBorders>
              <w:bottom w:val="single" w:sz="8" w:color="0000EE"/>
            </w:tcBorders>
            <w:gridSpan w:val="7"/>
            <w:shd w:val="clear" w:color="auto" w:fill="EBEBEB"/>
          </w:tcPr>
          <w:p>
            <w:pPr>
              <w:spacing w:after="0"/>
              <w:rPr>
                <w:sz w:val="20"/>
                <w:szCs w:val="20"/>
                <w:color w:val="auto"/>
              </w:rPr>
            </w:pPr>
            <w:r>
              <w:rPr>
                <w:rFonts w:ascii="Arial" w:cs="Arial" w:eastAsia="Arial" w:hAnsi="Arial"/>
                <w:sz w:val="14"/>
                <w:szCs w:val="14"/>
                <w:color w:val="0000EE"/>
              </w:rPr>
              <w:t>Related-Person Transactions Policy</w:t>
            </w:r>
          </w:p>
        </w:tc>
        <w:tc>
          <w:tcPr>
            <w:tcW w:w="6240" w:type="dxa"/>
            <w:vAlign w:val="bottom"/>
            <w:tcBorders>
              <w:bottom w:val="single" w:sz="8" w:color="EBEBEB"/>
            </w:tcBorders>
            <w:gridSpan w:val="4"/>
            <w:shd w:val="clear" w:color="auto" w:fill="EBEBEB"/>
          </w:tcPr>
          <w:p>
            <w:pPr>
              <w:spacing w:after="0"/>
              <w:rPr>
                <w:sz w:val="24"/>
                <w:szCs w:val="24"/>
                <w:color w:val="auto"/>
              </w:rPr>
            </w:pPr>
          </w:p>
        </w:tc>
        <w:tc>
          <w:tcPr>
            <w:tcW w:w="520" w:type="dxa"/>
            <w:vAlign w:val="bottom"/>
            <w:tcBorders>
              <w:bottom w:val="single" w:sz="8" w:color="EBEBEB"/>
            </w:tcBorders>
            <w:gridSpan w:val="3"/>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54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180" w:type="dxa"/>
            <w:vAlign w:val="bottom"/>
            <w:tcBorders>
              <w:top w:val="single" w:sz="8" w:color="EBEBEB"/>
            </w:tcBorders>
            <w:shd w:val="clear" w:color="auto" w:fill="EBEBEB"/>
          </w:tcPr>
          <w:p>
            <w:pPr>
              <w:spacing w:after="0"/>
              <w:rPr>
                <w:sz w:val="9"/>
                <w:szCs w:val="9"/>
                <w:color w:val="auto"/>
              </w:rPr>
            </w:pPr>
          </w:p>
        </w:tc>
        <w:tc>
          <w:tcPr>
            <w:tcW w:w="540" w:type="dxa"/>
            <w:vAlign w:val="bottom"/>
            <w:tcBorders>
              <w:top w:val="single" w:sz="8" w:color="EBEBEB"/>
            </w:tcBorders>
            <w:shd w:val="clear" w:color="auto" w:fill="EBEBEB"/>
          </w:tcPr>
          <w:p>
            <w:pPr>
              <w:spacing w:after="0"/>
              <w:rPr>
                <w:sz w:val="9"/>
                <w:szCs w:val="9"/>
                <w:color w:val="auto"/>
              </w:rPr>
            </w:pPr>
          </w:p>
        </w:tc>
        <w:tc>
          <w:tcPr>
            <w:tcW w:w="6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480" w:type="dxa"/>
            <w:vAlign w:val="bottom"/>
            <w:tcBorders>
              <w:top w:val="single" w:sz="8" w:color="EBEBEB"/>
            </w:tcBorders>
            <w:shd w:val="clear" w:color="auto" w:fill="EBEBEB"/>
          </w:tcPr>
          <w:p>
            <w:pPr>
              <w:spacing w:after="0"/>
              <w:rPr>
                <w:sz w:val="9"/>
                <w:szCs w:val="9"/>
                <w:color w:val="auto"/>
              </w:rPr>
            </w:pPr>
          </w:p>
        </w:tc>
        <w:tc>
          <w:tcPr>
            <w:tcW w:w="480" w:type="dxa"/>
            <w:vAlign w:val="bottom"/>
            <w:tcBorders>
              <w:top w:val="single" w:sz="8" w:color="EBEBEB"/>
            </w:tcBorders>
            <w:shd w:val="clear" w:color="auto" w:fill="EBEBEB"/>
          </w:tcPr>
          <w:p>
            <w:pPr>
              <w:spacing w:after="0"/>
              <w:rPr>
                <w:sz w:val="9"/>
                <w:szCs w:val="9"/>
                <w:color w:val="auto"/>
              </w:rPr>
            </w:pPr>
          </w:p>
        </w:tc>
        <w:tc>
          <w:tcPr>
            <w:tcW w:w="360" w:type="dxa"/>
            <w:vAlign w:val="bottom"/>
            <w:tcBorders>
              <w:top w:val="single" w:sz="8" w:color="EBEBEB"/>
            </w:tcBorders>
            <w:shd w:val="clear" w:color="auto" w:fill="EBEBEB"/>
          </w:tcPr>
          <w:p>
            <w:pPr>
              <w:spacing w:after="0"/>
              <w:rPr>
                <w:sz w:val="9"/>
                <w:szCs w:val="9"/>
                <w:color w:val="auto"/>
              </w:rPr>
            </w:pPr>
          </w:p>
        </w:tc>
        <w:tc>
          <w:tcPr>
            <w:tcW w:w="348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214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8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180" w:type="dxa"/>
            <w:vAlign w:val="bottom"/>
            <w:tcBorders>
              <w:bottom w:val="single" w:sz="8" w:color="FAFAFA"/>
            </w:tcBorders>
            <w:shd w:val="clear" w:color="auto" w:fill="FAFAFA"/>
          </w:tcPr>
          <w:p>
            <w:pPr>
              <w:spacing w:after="0"/>
              <w:rPr>
                <w:sz w:val="24"/>
                <w:szCs w:val="24"/>
                <w:color w:val="auto"/>
              </w:rPr>
            </w:pPr>
          </w:p>
        </w:tc>
        <w:tc>
          <w:tcPr>
            <w:tcW w:w="1800" w:type="dxa"/>
            <w:vAlign w:val="bottom"/>
            <w:tcBorders>
              <w:bottom w:val="single" w:sz="8" w:color="0000EE"/>
            </w:tcBorders>
            <w:gridSpan w:val="6"/>
            <w:shd w:val="clear" w:color="auto" w:fill="FAFAFA"/>
          </w:tcPr>
          <w:p>
            <w:pPr>
              <w:spacing w:after="0"/>
              <w:rPr>
                <w:sz w:val="20"/>
                <w:szCs w:val="20"/>
                <w:color w:val="auto"/>
              </w:rPr>
            </w:pPr>
            <w:r>
              <w:rPr>
                <w:rFonts w:ascii="Arial" w:cs="Arial" w:eastAsia="Arial" w:hAnsi="Arial"/>
                <w:sz w:val="14"/>
                <w:szCs w:val="14"/>
                <w:color w:val="0000EE"/>
              </w:rPr>
              <w:t>Investors’ Rights Agreement</w:t>
            </w:r>
          </w:p>
        </w:tc>
        <w:tc>
          <w:tcPr>
            <w:tcW w:w="6720" w:type="dxa"/>
            <w:vAlign w:val="bottom"/>
            <w:tcBorders>
              <w:bottom w:val="single" w:sz="8" w:color="FAFAFA"/>
            </w:tcBorders>
            <w:gridSpan w:val="5"/>
            <w:shd w:val="clear" w:color="auto" w:fill="FAFAFA"/>
          </w:tcPr>
          <w:p>
            <w:pPr>
              <w:spacing w:after="0"/>
              <w:rPr>
                <w:sz w:val="24"/>
                <w:szCs w:val="24"/>
                <w:color w:val="auto"/>
              </w:rPr>
            </w:pPr>
          </w:p>
        </w:tc>
        <w:tc>
          <w:tcPr>
            <w:tcW w:w="520" w:type="dxa"/>
            <w:vAlign w:val="bottom"/>
            <w:tcBorders>
              <w:bottom w:val="single" w:sz="8" w:color="FAFAFA"/>
            </w:tcBorders>
            <w:gridSpan w:val="3"/>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54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180" w:type="dxa"/>
            <w:vAlign w:val="bottom"/>
            <w:tcBorders>
              <w:top w:val="single" w:sz="8" w:color="FAFAFA"/>
            </w:tcBorders>
            <w:shd w:val="clear" w:color="auto" w:fill="FAFAFA"/>
          </w:tcPr>
          <w:p>
            <w:pPr>
              <w:spacing w:after="0"/>
              <w:rPr>
                <w:sz w:val="9"/>
                <w:szCs w:val="9"/>
                <w:color w:val="auto"/>
              </w:rPr>
            </w:pPr>
          </w:p>
        </w:tc>
        <w:tc>
          <w:tcPr>
            <w:tcW w:w="540" w:type="dxa"/>
            <w:vAlign w:val="bottom"/>
            <w:tcBorders>
              <w:top w:val="single" w:sz="8" w:color="FAFAFA"/>
            </w:tcBorders>
            <w:shd w:val="clear" w:color="auto" w:fill="FAFAFA"/>
          </w:tcPr>
          <w:p>
            <w:pPr>
              <w:spacing w:after="0"/>
              <w:rPr>
                <w:sz w:val="9"/>
                <w:szCs w:val="9"/>
                <w:color w:val="auto"/>
              </w:rPr>
            </w:pPr>
          </w:p>
        </w:tc>
        <w:tc>
          <w:tcPr>
            <w:tcW w:w="6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480" w:type="dxa"/>
            <w:vAlign w:val="bottom"/>
            <w:tcBorders>
              <w:top w:val="single" w:sz="8" w:color="FAFAFA"/>
            </w:tcBorders>
            <w:shd w:val="clear" w:color="auto" w:fill="FAFAFA"/>
          </w:tcPr>
          <w:p>
            <w:pPr>
              <w:spacing w:after="0"/>
              <w:rPr>
                <w:sz w:val="9"/>
                <w:szCs w:val="9"/>
                <w:color w:val="auto"/>
              </w:rPr>
            </w:pPr>
          </w:p>
        </w:tc>
        <w:tc>
          <w:tcPr>
            <w:tcW w:w="480" w:type="dxa"/>
            <w:vAlign w:val="bottom"/>
            <w:tcBorders>
              <w:top w:val="single" w:sz="8" w:color="FAFAFA"/>
            </w:tcBorders>
            <w:shd w:val="clear" w:color="auto" w:fill="FAFAFA"/>
          </w:tcPr>
          <w:p>
            <w:pPr>
              <w:spacing w:after="0"/>
              <w:rPr>
                <w:sz w:val="9"/>
                <w:szCs w:val="9"/>
                <w:color w:val="auto"/>
              </w:rPr>
            </w:pPr>
          </w:p>
        </w:tc>
        <w:tc>
          <w:tcPr>
            <w:tcW w:w="360" w:type="dxa"/>
            <w:vAlign w:val="bottom"/>
            <w:tcBorders>
              <w:top w:val="single" w:sz="8" w:color="FAFAFA"/>
            </w:tcBorders>
            <w:shd w:val="clear" w:color="auto" w:fill="FAFAFA"/>
          </w:tcPr>
          <w:p>
            <w:pPr>
              <w:spacing w:after="0"/>
              <w:rPr>
                <w:sz w:val="9"/>
                <w:szCs w:val="9"/>
                <w:color w:val="auto"/>
              </w:rPr>
            </w:pPr>
          </w:p>
        </w:tc>
        <w:tc>
          <w:tcPr>
            <w:tcW w:w="348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214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8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180" w:type="dxa"/>
            <w:vAlign w:val="bottom"/>
            <w:tcBorders>
              <w:bottom w:val="single" w:sz="8" w:color="EBEBEB"/>
            </w:tcBorders>
            <w:shd w:val="clear" w:color="auto" w:fill="EBEBEB"/>
          </w:tcPr>
          <w:p>
            <w:pPr>
              <w:spacing w:after="0"/>
              <w:rPr>
                <w:sz w:val="24"/>
                <w:szCs w:val="24"/>
                <w:color w:val="auto"/>
              </w:rPr>
            </w:pPr>
          </w:p>
        </w:tc>
        <w:tc>
          <w:tcPr>
            <w:tcW w:w="1220" w:type="dxa"/>
            <w:vAlign w:val="bottom"/>
            <w:tcBorders>
              <w:bottom w:val="single" w:sz="8" w:color="0000EE"/>
            </w:tcBorders>
            <w:gridSpan w:val="3"/>
            <w:shd w:val="clear" w:color="auto" w:fill="EBEBEB"/>
          </w:tcPr>
          <w:p>
            <w:pPr>
              <w:spacing w:after="0"/>
              <w:rPr>
                <w:sz w:val="20"/>
                <w:szCs w:val="20"/>
                <w:color w:val="auto"/>
              </w:rPr>
            </w:pPr>
            <w:r>
              <w:rPr>
                <w:rFonts w:ascii="Arial" w:cs="Arial" w:eastAsia="Arial" w:hAnsi="Arial"/>
                <w:sz w:val="14"/>
                <w:szCs w:val="14"/>
                <w:color w:val="0000EE"/>
              </w:rPr>
              <w:t>Other Transactions</w:t>
            </w:r>
          </w:p>
        </w:tc>
        <w:tc>
          <w:tcPr>
            <w:tcW w:w="60" w:type="dxa"/>
            <w:vAlign w:val="bottom"/>
            <w:tcBorders>
              <w:bottom w:val="single" w:sz="8" w:color="EBEBEB"/>
            </w:tcBorders>
            <w:shd w:val="clear" w:color="auto" w:fill="EBEBEB"/>
          </w:tcPr>
          <w:p>
            <w:pPr>
              <w:spacing w:after="0"/>
              <w:rPr>
                <w:sz w:val="24"/>
                <w:szCs w:val="24"/>
                <w:color w:val="auto"/>
              </w:rPr>
            </w:pPr>
          </w:p>
        </w:tc>
        <w:tc>
          <w:tcPr>
            <w:tcW w:w="40" w:type="dxa"/>
            <w:vAlign w:val="bottom"/>
            <w:tcBorders>
              <w:bottom w:val="single" w:sz="8" w:color="EBEBEB"/>
            </w:tcBorders>
            <w:shd w:val="clear" w:color="auto" w:fill="EBEBEB"/>
          </w:tcPr>
          <w:p>
            <w:pPr>
              <w:spacing w:after="0"/>
              <w:rPr>
                <w:sz w:val="24"/>
                <w:szCs w:val="24"/>
                <w:color w:val="auto"/>
              </w:rPr>
            </w:pPr>
          </w:p>
        </w:tc>
        <w:tc>
          <w:tcPr>
            <w:tcW w:w="7200" w:type="dxa"/>
            <w:vAlign w:val="bottom"/>
            <w:tcBorders>
              <w:bottom w:val="single" w:sz="8" w:color="EBEBEB"/>
            </w:tcBorders>
            <w:gridSpan w:val="6"/>
            <w:shd w:val="clear" w:color="auto" w:fill="EBEBEB"/>
          </w:tcPr>
          <w:p>
            <w:pPr>
              <w:spacing w:after="0"/>
              <w:rPr>
                <w:sz w:val="24"/>
                <w:szCs w:val="24"/>
                <w:color w:val="auto"/>
              </w:rPr>
            </w:pPr>
          </w:p>
        </w:tc>
        <w:tc>
          <w:tcPr>
            <w:tcW w:w="520" w:type="dxa"/>
            <w:vAlign w:val="bottom"/>
            <w:tcBorders>
              <w:bottom w:val="single" w:sz="8" w:color="EBEBEB"/>
            </w:tcBorders>
            <w:gridSpan w:val="3"/>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55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180" w:type="dxa"/>
            <w:vAlign w:val="bottom"/>
            <w:tcBorders>
              <w:top w:val="single" w:sz="8" w:color="EBEBEB"/>
            </w:tcBorders>
            <w:shd w:val="clear" w:color="auto" w:fill="EBEBEB"/>
          </w:tcPr>
          <w:p>
            <w:pPr>
              <w:spacing w:after="0"/>
              <w:rPr>
                <w:sz w:val="9"/>
                <w:szCs w:val="9"/>
                <w:color w:val="auto"/>
              </w:rPr>
            </w:pPr>
          </w:p>
        </w:tc>
        <w:tc>
          <w:tcPr>
            <w:tcW w:w="540" w:type="dxa"/>
            <w:vAlign w:val="bottom"/>
            <w:tcBorders>
              <w:top w:val="single" w:sz="8" w:color="EBEBEB"/>
            </w:tcBorders>
            <w:shd w:val="clear" w:color="auto" w:fill="EBEBEB"/>
          </w:tcPr>
          <w:p>
            <w:pPr>
              <w:spacing w:after="0"/>
              <w:rPr>
                <w:sz w:val="9"/>
                <w:szCs w:val="9"/>
                <w:color w:val="auto"/>
              </w:rPr>
            </w:pPr>
          </w:p>
        </w:tc>
        <w:tc>
          <w:tcPr>
            <w:tcW w:w="6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480" w:type="dxa"/>
            <w:vAlign w:val="bottom"/>
            <w:tcBorders>
              <w:top w:val="single" w:sz="8" w:color="EBEBEB"/>
            </w:tcBorders>
            <w:shd w:val="clear" w:color="auto" w:fill="EBEBEB"/>
          </w:tcPr>
          <w:p>
            <w:pPr>
              <w:spacing w:after="0"/>
              <w:rPr>
                <w:sz w:val="9"/>
                <w:szCs w:val="9"/>
                <w:color w:val="auto"/>
              </w:rPr>
            </w:pPr>
          </w:p>
        </w:tc>
        <w:tc>
          <w:tcPr>
            <w:tcW w:w="480" w:type="dxa"/>
            <w:vAlign w:val="bottom"/>
            <w:tcBorders>
              <w:top w:val="single" w:sz="8" w:color="EBEBEB"/>
            </w:tcBorders>
            <w:shd w:val="clear" w:color="auto" w:fill="EBEBEB"/>
          </w:tcPr>
          <w:p>
            <w:pPr>
              <w:spacing w:after="0"/>
              <w:rPr>
                <w:sz w:val="9"/>
                <w:szCs w:val="9"/>
                <w:color w:val="auto"/>
              </w:rPr>
            </w:pPr>
          </w:p>
        </w:tc>
        <w:tc>
          <w:tcPr>
            <w:tcW w:w="360" w:type="dxa"/>
            <w:vAlign w:val="bottom"/>
            <w:tcBorders>
              <w:top w:val="single" w:sz="8" w:color="EBEBEB"/>
            </w:tcBorders>
            <w:shd w:val="clear" w:color="auto" w:fill="EBEBEB"/>
          </w:tcPr>
          <w:p>
            <w:pPr>
              <w:spacing w:after="0"/>
              <w:rPr>
                <w:sz w:val="9"/>
                <w:szCs w:val="9"/>
                <w:color w:val="auto"/>
              </w:rPr>
            </w:pPr>
          </w:p>
        </w:tc>
        <w:tc>
          <w:tcPr>
            <w:tcW w:w="348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214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8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1380" w:type="dxa"/>
            <w:vAlign w:val="bottom"/>
            <w:tcBorders>
              <w:bottom w:val="single" w:sz="8" w:color="0000EE"/>
            </w:tcBorders>
            <w:gridSpan w:val="3"/>
            <w:shd w:val="clear" w:color="auto" w:fill="FAFAFA"/>
          </w:tcPr>
          <w:p>
            <w:pPr>
              <w:spacing w:after="0"/>
              <w:rPr>
                <w:sz w:val="20"/>
                <w:szCs w:val="20"/>
                <w:color w:val="auto"/>
              </w:rPr>
            </w:pPr>
            <w:r>
              <w:rPr>
                <w:rFonts w:ascii="Arial" w:cs="Arial" w:eastAsia="Arial" w:hAnsi="Arial"/>
                <w:sz w:val="16"/>
                <w:szCs w:val="16"/>
                <w:b w:val="1"/>
                <w:bCs w:val="1"/>
                <w:color w:val="0000EE"/>
                <w:w w:val="98"/>
              </w:rPr>
              <w:t>OTHER MATTERS</w:t>
            </w:r>
          </w:p>
        </w:tc>
        <w:tc>
          <w:tcPr>
            <w:tcW w:w="80" w:type="dxa"/>
            <w:vAlign w:val="bottom"/>
            <w:tcBorders>
              <w:bottom w:val="single" w:sz="8" w:color="FAFAFA"/>
            </w:tcBorders>
            <w:gridSpan w:val="2"/>
            <w:shd w:val="clear" w:color="auto" w:fill="FAFAFA"/>
          </w:tcPr>
          <w:p>
            <w:pPr>
              <w:spacing w:after="0"/>
              <w:rPr>
                <w:sz w:val="24"/>
                <w:szCs w:val="24"/>
                <w:color w:val="auto"/>
              </w:rPr>
            </w:pPr>
          </w:p>
        </w:tc>
        <w:tc>
          <w:tcPr>
            <w:tcW w:w="40" w:type="dxa"/>
            <w:vAlign w:val="bottom"/>
            <w:tcBorders>
              <w:bottom w:val="single" w:sz="8" w:color="FAFAFA"/>
            </w:tcBorders>
            <w:shd w:val="clear" w:color="auto" w:fill="FAFAFA"/>
          </w:tcPr>
          <w:p>
            <w:pPr>
              <w:spacing w:after="0"/>
              <w:rPr>
                <w:sz w:val="24"/>
                <w:szCs w:val="24"/>
                <w:color w:val="auto"/>
              </w:rPr>
            </w:pPr>
          </w:p>
        </w:tc>
        <w:tc>
          <w:tcPr>
            <w:tcW w:w="7200" w:type="dxa"/>
            <w:vAlign w:val="bottom"/>
            <w:tcBorders>
              <w:bottom w:val="single" w:sz="8" w:color="FAFAFA"/>
            </w:tcBorders>
            <w:gridSpan w:val="6"/>
            <w:shd w:val="clear" w:color="auto" w:fill="FAFAFA"/>
          </w:tcPr>
          <w:p>
            <w:pPr>
              <w:spacing w:after="0"/>
              <w:rPr>
                <w:sz w:val="24"/>
                <w:szCs w:val="24"/>
                <w:color w:val="auto"/>
              </w:rPr>
            </w:pPr>
          </w:p>
        </w:tc>
        <w:tc>
          <w:tcPr>
            <w:tcW w:w="520" w:type="dxa"/>
            <w:vAlign w:val="bottom"/>
            <w:tcBorders>
              <w:bottom w:val="single" w:sz="8" w:color="FAFAFA"/>
            </w:tcBorders>
            <w:gridSpan w:val="3"/>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56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180" w:type="dxa"/>
            <w:vAlign w:val="bottom"/>
            <w:tcBorders>
              <w:top w:val="single" w:sz="8" w:color="FAFAFA"/>
            </w:tcBorders>
            <w:shd w:val="clear" w:color="auto" w:fill="FAFAFA"/>
          </w:tcPr>
          <w:p>
            <w:pPr>
              <w:spacing w:after="0"/>
              <w:rPr>
                <w:sz w:val="9"/>
                <w:szCs w:val="9"/>
                <w:color w:val="auto"/>
              </w:rPr>
            </w:pPr>
          </w:p>
        </w:tc>
        <w:tc>
          <w:tcPr>
            <w:tcW w:w="540" w:type="dxa"/>
            <w:vAlign w:val="bottom"/>
            <w:tcBorders>
              <w:top w:val="single" w:sz="8" w:color="FAFAFA"/>
            </w:tcBorders>
            <w:shd w:val="clear" w:color="auto" w:fill="FAFAFA"/>
          </w:tcPr>
          <w:p>
            <w:pPr>
              <w:spacing w:after="0"/>
              <w:rPr>
                <w:sz w:val="9"/>
                <w:szCs w:val="9"/>
                <w:color w:val="auto"/>
              </w:rPr>
            </w:pPr>
          </w:p>
        </w:tc>
        <w:tc>
          <w:tcPr>
            <w:tcW w:w="6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480" w:type="dxa"/>
            <w:vAlign w:val="bottom"/>
            <w:tcBorders>
              <w:top w:val="single" w:sz="8" w:color="FAFAFA"/>
            </w:tcBorders>
            <w:shd w:val="clear" w:color="auto" w:fill="FAFAFA"/>
          </w:tcPr>
          <w:p>
            <w:pPr>
              <w:spacing w:after="0"/>
              <w:rPr>
                <w:sz w:val="9"/>
                <w:szCs w:val="9"/>
                <w:color w:val="auto"/>
              </w:rPr>
            </w:pPr>
          </w:p>
        </w:tc>
        <w:tc>
          <w:tcPr>
            <w:tcW w:w="480" w:type="dxa"/>
            <w:vAlign w:val="bottom"/>
            <w:tcBorders>
              <w:top w:val="single" w:sz="8" w:color="FAFAFA"/>
            </w:tcBorders>
            <w:shd w:val="clear" w:color="auto" w:fill="FAFAFA"/>
          </w:tcPr>
          <w:p>
            <w:pPr>
              <w:spacing w:after="0"/>
              <w:rPr>
                <w:sz w:val="9"/>
                <w:szCs w:val="9"/>
                <w:color w:val="auto"/>
              </w:rPr>
            </w:pPr>
          </w:p>
        </w:tc>
        <w:tc>
          <w:tcPr>
            <w:tcW w:w="360" w:type="dxa"/>
            <w:vAlign w:val="bottom"/>
            <w:tcBorders>
              <w:top w:val="single" w:sz="8" w:color="FAFAFA"/>
            </w:tcBorders>
            <w:shd w:val="clear" w:color="auto" w:fill="FAFAFA"/>
          </w:tcPr>
          <w:p>
            <w:pPr>
              <w:spacing w:after="0"/>
              <w:rPr>
                <w:sz w:val="9"/>
                <w:szCs w:val="9"/>
                <w:color w:val="auto"/>
              </w:rPr>
            </w:pPr>
          </w:p>
        </w:tc>
        <w:tc>
          <w:tcPr>
            <w:tcW w:w="348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214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8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180" w:type="dxa"/>
            <w:vAlign w:val="bottom"/>
            <w:tcBorders>
              <w:bottom w:val="single" w:sz="8" w:color="EBEBEB"/>
            </w:tcBorders>
            <w:shd w:val="clear" w:color="auto" w:fill="EBEBEB"/>
          </w:tcPr>
          <w:p>
            <w:pPr>
              <w:spacing w:after="0"/>
              <w:rPr>
                <w:sz w:val="24"/>
                <w:szCs w:val="24"/>
                <w:color w:val="auto"/>
              </w:rPr>
            </w:pPr>
          </w:p>
        </w:tc>
        <w:tc>
          <w:tcPr>
            <w:tcW w:w="1320" w:type="dxa"/>
            <w:vAlign w:val="bottom"/>
            <w:tcBorders>
              <w:bottom w:val="single" w:sz="8" w:color="0000EE"/>
            </w:tcBorders>
            <w:gridSpan w:val="5"/>
            <w:shd w:val="clear" w:color="auto" w:fill="EBEBEB"/>
          </w:tcPr>
          <w:p>
            <w:pPr>
              <w:spacing w:after="0"/>
              <w:rPr>
                <w:sz w:val="20"/>
                <w:szCs w:val="20"/>
                <w:color w:val="auto"/>
              </w:rPr>
            </w:pPr>
            <w:r>
              <w:rPr>
                <w:rFonts w:ascii="Arial" w:cs="Arial" w:eastAsia="Arial" w:hAnsi="Arial"/>
                <w:sz w:val="14"/>
                <w:szCs w:val="14"/>
                <w:color w:val="0000EE"/>
              </w:rPr>
              <w:t>Availability of Bylaws</w:t>
            </w:r>
          </w:p>
        </w:tc>
        <w:tc>
          <w:tcPr>
            <w:tcW w:w="7200" w:type="dxa"/>
            <w:vAlign w:val="bottom"/>
            <w:tcBorders>
              <w:bottom w:val="single" w:sz="8" w:color="EBEBEB"/>
            </w:tcBorders>
            <w:gridSpan w:val="6"/>
            <w:shd w:val="clear" w:color="auto" w:fill="EBEBEB"/>
          </w:tcPr>
          <w:p>
            <w:pPr>
              <w:spacing w:after="0"/>
              <w:rPr>
                <w:sz w:val="24"/>
                <w:szCs w:val="24"/>
                <w:color w:val="auto"/>
              </w:rPr>
            </w:pPr>
          </w:p>
        </w:tc>
        <w:tc>
          <w:tcPr>
            <w:tcW w:w="520" w:type="dxa"/>
            <w:vAlign w:val="bottom"/>
            <w:tcBorders>
              <w:bottom w:val="single" w:sz="8" w:color="EBEBEB"/>
            </w:tcBorders>
            <w:gridSpan w:val="3"/>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56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180" w:type="dxa"/>
            <w:vAlign w:val="bottom"/>
            <w:tcBorders>
              <w:top w:val="single" w:sz="8" w:color="EBEBEB"/>
            </w:tcBorders>
            <w:shd w:val="clear" w:color="auto" w:fill="EBEBEB"/>
          </w:tcPr>
          <w:p>
            <w:pPr>
              <w:spacing w:after="0"/>
              <w:rPr>
                <w:sz w:val="9"/>
                <w:szCs w:val="9"/>
                <w:color w:val="auto"/>
              </w:rPr>
            </w:pPr>
          </w:p>
        </w:tc>
        <w:tc>
          <w:tcPr>
            <w:tcW w:w="540" w:type="dxa"/>
            <w:vAlign w:val="bottom"/>
            <w:tcBorders>
              <w:top w:val="single" w:sz="8" w:color="EBEBEB"/>
            </w:tcBorders>
            <w:shd w:val="clear" w:color="auto" w:fill="EBEBEB"/>
          </w:tcPr>
          <w:p>
            <w:pPr>
              <w:spacing w:after="0"/>
              <w:rPr>
                <w:sz w:val="9"/>
                <w:szCs w:val="9"/>
                <w:color w:val="auto"/>
              </w:rPr>
            </w:pPr>
          </w:p>
        </w:tc>
        <w:tc>
          <w:tcPr>
            <w:tcW w:w="6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480" w:type="dxa"/>
            <w:vAlign w:val="bottom"/>
            <w:tcBorders>
              <w:top w:val="single" w:sz="8" w:color="EBEBEB"/>
            </w:tcBorders>
            <w:shd w:val="clear" w:color="auto" w:fill="EBEBEB"/>
          </w:tcPr>
          <w:p>
            <w:pPr>
              <w:spacing w:after="0"/>
              <w:rPr>
                <w:sz w:val="9"/>
                <w:szCs w:val="9"/>
                <w:color w:val="auto"/>
              </w:rPr>
            </w:pPr>
          </w:p>
        </w:tc>
        <w:tc>
          <w:tcPr>
            <w:tcW w:w="480" w:type="dxa"/>
            <w:vAlign w:val="bottom"/>
            <w:tcBorders>
              <w:top w:val="single" w:sz="8" w:color="EBEBEB"/>
            </w:tcBorders>
            <w:shd w:val="clear" w:color="auto" w:fill="EBEBEB"/>
          </w:tcPr>
          <w:p>
            <w:pPr>
              <w:spacing w:after="0"/>
              <w:rPr>
                <w:sz w:val="9"/>
                <w:szCs w:val="9"/>
                <w:color w:val="auto"/>
              </w:rPr>
            </w:pPr>
          </w:p>
        </w:tc>
        <w:tc>
          <w:tcPr>
            <w:tcW w:w="360" w:type="dxa"/>
            <w:vAlign w:val="bottom"/>
            <w:tcBorders>
              <w:top w:val="single" w:sz="8" w:color="EBEBEB"/>
            </w:tcBorders>
            <w:shd w:val="clear" w:color="auto" w:fill="EBEBEB"/>
          </w:tcPr>
          <w:p>
            <w:pPr>
              <w:spacing w:after="0"/>
              <w:rPr>
                <w:sz w:val="9"/>
                <w:szCs w:val="9"/>
                <w:color w:val="auto"/>
              </w:rPr>
            </w:pPr>
          </w:p>
        </w:tc>
        <w:tc>
          <w:tcPr>
            <w:tcW w:w="348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214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EBEBEB"/>
            </w:tcBorders>
            <w:shd w:val="clear" w:color="auto" w:fill="EBEBEB"/>
          </w:tcPr>
          <w:p>
            <w:pPr>
              <w:spacing w:after="0"/>
              <w:rPr>
                <w:sz w:val="9"/>
                <w:szCs w:val="9"/>
                <w:color w:val="auto"/>
              </w:rPr>
            </w:pPr>
          </w:p>
        </w:tc>
        <w:tc>
          <w:tcPr>
            <w:tcW w:w="28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180" w:type="dxa"/>
            <w:vAlign w:val="bottom"/>
            <w:tcBorders>
              <w:bottom w:val="single" w:sz="8" w:color="FAFAFA"/>
            </w:tcBorders>
            <w:shd w:val="clear" w:color="auto" w:fill="FAFAFA"/>
          </w:tcPr>
          <w:p>
            <w:pPr>
              <w:spacing w:after="0"/>
              <w:rPr>
                <w:sz w:val="24"/>
                <w:szCs w:val="24"/>
                <w:color w:val="auto"/>
              </w:rPr>
            </w:pPr>
          </w:p>
        </w:tc>
        <w:tc>
          <w:tcPr>
            <w:tcW w:w="1280" w:type="dxa"/>
            <w:vAlign w:val="bottom"/>
            <w:tcBorders>
              <w:bottom w:val="single" w:sz="8" w:color="0000EE"/>
            </w:tcBorders>
            <w:gridSpan w:val="4"/>
            <w:shd w:val="clear" w:color="auto" w:fill="FAFAFA"/>
          </w:tcPr>
          <w:p>
            <w:pPr>
              <w:spacing w:after="0"/>
              <w:rPr>
                <w:sz w:val="20"/>
                <w:szCs w:val="20"/>
                <w:color w:val="auto"/>
              </w:rPr>
            </w:pPr>
            <w:r>
              <w:rPr>
                <w:rFonts w:ascii="Arial" w:cs="Arial" w:eastAsia="Arial" w:hAnsi="Arial"/>
                <w:sz w:val="14"/>
                <w:szCs w:val="14"/>
                <w:color w:val="0000EE"/>
              </w:rPr>
              <w:t>2024 Annual Report</w:t>
            </w:r>
          </w:p>
        </w:tc>
        <w:tc>
          <w:tcPr>
            <w:tcW w:w="7240" w:type="dxa"/>
            <w:vAlign w:val="bottom"/>
            <w:tcBorders>
              <w:bottom w:val="single" w:sz="8" w:color="FAFAFA"/>
            </w:tcBorders>
            <w:gridSpan w:val="7"/>
            <w:shd w:val="clear" w:color="auto" w:fill="FAFAFA"/>
          </w:tcPr>
          <w:p>
            <w:pPr>
              <w:spacing w:after="0"/>
              <w:rPr>
                <w:sz w:val="24"/>
                <w:szCs w:val="24"/>
                <w:color w:val="auto"/>
              </w:rPr>
            </w:pPr>
          </w:p>
        </w:tc>
        <w:tc>
          <w:tcPr>
            <w:tcW w:w="520" w:type="dxa"/>
            <w:vAlign w:val="bottom"/>
            <w:tcBorders>
              <w:bottom w:val="single" w:sz="8" w:color="FAFAFA"/>
            </w:tcBorders>
            <w:gridSpan w:val="3"/>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rPr>
              <w:t>56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180" w:type="dxa"/>
            <w:vAlign w:val="bottom"/>
            <w:tcBorders>
              <w:top w:val="single" w:sz="8" w:color="FAFAFA"/>
            </w:tcBorders>
            <w:shd w:val="clear" w:color="auto" w:fill="FAFAFA"/>
          </w:tcPr>
          <w:p>
            <w:pPr>
              <w:spacing w:after="0"/>
              <w:rPr>
                <w:sz w:val="9"/>
                <w:szCs w:val="9"/>
                <w:color w:val="auto"/>
              </w:rPr>
            </w:pPr>
          </w:p>
        </w:tc>
        <w:tc>
          <w:tcPr>
            <w:tcW w:w="540" w:type="dxa"/>
            <w:vAlign w:val="bottom"/>
            <w:tcBorders>
              <w:top w:val="single" w:sz="8" w:color="FAFAFA"/>
            </w:tcBorders>
            <w:shd w:val="clear" w:color="auto" w:fill="FAFAFA"/>
          </w:tcPr>
          <w:p>
            <w:pPr>
              <w:spacing w:after="0"/>
              <w:rPr>
                <w:sz w:val="9"/>
                <w:szCs w:val="9"/>
                <w:color w:val="auto"/>
              </w:rPr>
            </w:pPr>
          </w:p>
        </w:tc>
        <w:tc>
          <w:tcPr>
            <w:tcW w:w="6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480" w:type="dxa"/>
            <w:vAlign w:val="bottom"/>
            <w:tcBorders>
              <w:top w:val="single" w:sz="8" w:color="FAFAFA"/>
            </w:tcBorders>
            <w:shd w:val="clear" w:color="auto" w:fill="FAFAFA"/>
          </w:tcPr>
          <w:p>
            <w:pPr>
              <w:spacing w:after="0"/>
              <w:rPr>
                <w:sz w:val="9"/>
                <w:szCs w:val="9"/>
                <w:color w:val="auto"/>
              </w:rPr>
            </w:pPr>
          </w:p>
        </w:tc>
        <w:tc>
          <w:tcPr>
            <w:tcW w:w="480" w:type="dxa"/>
            <w:vAlign w:val="bottom"/>
            <w:tcBorders>
              <w:top w:val="single" w:sz="8" w:color="FAFAFA"/>
            </w:tcBorders>
            <w:shd w:val="clear" w:color="auto" w:fill="FAFAFA"/>
          </w:tcPr>
          <w:p>
            <w:pPr>
              <w:spacing w:after="0"/>
              <w:rPr>
                <w:sz w:val="9"/>
                <w:szCs w:val="9"/>
                <w:color w:val="auto"/>
              </w:rPr>
            </w:pPr>
          </w:p>
        </w:tc>
        <w:tc>
          <w:tcPr>
            <w:tcW w:w="360" w:type="dxa"/>
            <w:vAlign w:val="bottom"/>
            <w:tcBorders>
              <w:top w:val="single" w:sz="8" w:color="FAFAFA"/>
            </w:tcBorders>
            <w:shd w:val="clear" w:color="auto" w:fill="FAFAFA"/>
          </w:tcPr>
          <w:p>
            <w:pPr>
              <w:spacing w:after="0"/>
              <w:rPr>
                <w:sz w:val="9"/>
                <w:szCs w:val="9"/>
                <w:color w:val="auto"/>
              </w:rPr>
            </w:pPr>
          </w:p>
        </w:tc>
        <w:tc>
          <w:tcPr>
            <w:tcW w:w="348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214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FAFAFA"/>
            </w:tcBorders>
            <w:shd w:val="clear" w:color="auto" w:fill="FAFAFA"/>
          </w:tcPr>
          <w:p>
            <w:pPr>
              <w:spacing w:after="0"/>
              <w:rPr>
                <w:sz w:val="9"/>
                <w:szCs w:val="9"/>
                <w:color w:val="auto"/>
              </w:rPr>
            </w:pPr>
          </w:p>
        </w:tc>
        <w:tc>
          <w:tcPr>
            <w:tcW w:w="28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720" w:type="dxa"/>
            <w:vAlign w:val="bottom"/>
            <w:tcBorders>
              <w:bottom w:val="single" w:sz="8" w:color="0000EE"/>
            </w:tcBorders>
            <w:gridSpan w:val="2"/>
            <w:shd w:val="clear" w:color="auto" w:fill="EBEBEB"/>
          </w:tcPr>
          <w:p>
            <w:pPr>
              <w:spacing w:after="0"/>
              <w:rPr>
                <w:sz w:val="20"/>
                <w:szCs w:val="20"/>
                <w:color w:val="auto"/>
              </w:rPr>
            </w:pPr>
            <w:r>
              <w:rPr>
                <w:rFonts w:ascii="Arial" w:cs="Arial" w:eastAsia="Arial" w:hAnsi="Arial"/>
                <w:sz w:val="16"/>
                <w:szCs w:val="16"/>
                <w:b w:val="1"/>
                <w:bCs w:val="1"/>
                <w:color w:val="0000EE"/>
                <w:w w:val="97"/>
              </w:rPr>
              <w:t>ANNEX A</w:t>
            </w:r>
          </w:p>
        </w:tc>
        <w:tc>
          <w:tcPr>
            <w:tcW w:w="7980" w:type="dxa"/>
            <w:vAlign w:val="bottom"/>
            <w:tcBorders>
              <w:bottom w:val="single" w:sz="8" w:color="EBEBEB"/>
            </w:tcBorders>
            <w:gridSpan w:val="10"/>
            <w:shd w:val="clear" w:color="auto" w:fill="EBEBEB"/>
          </w:tcPr>
          <w:p>
            <w:pPr>
              <w:spacing w:after="0"/>
              <w:rPr>
                <w:sz w:val="24"/>
                <w:szCs w:val="24"/>
                <w:color w:val="auto"/>
              </w:rPr>
            </w:pPr>
          </w:p>
        </w:tc>
        <w:tc>
          <w:tcPr>
            <w:tcW w:w="520" w:type="dxa"/>
            <w:vAlign w:val="bottom"/>
            <w:tcBorders>
              <w:bottom w:val="single" w:sz="8" w:color="EBEBEB"/>
            </w:tcBorders>
            <w:gridSpan w:val="3"/>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w w:val="93"/>
              </w:rPr>
              <w:t>A-1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180" w:type="dxa"/>
            <w:vAlign w:val="bottom"/>
            <w:tcBorders>
              <w:top w:val="single" w:sz="8" w:color="EBEBEB"/>
            </w:tcBorders>
            <w:shd w:val="clear" w:color="auto" w:fill="EBEBEB"/>
          </w:tcPr>
          <w:p>
            <w:pPr>
              <w:spacing w:after="0"/>
              <w:rPr>
                <w:sz w:val="9"/>
                <w:szCs w:val="9"/>
                <w:color w:val="auto"/>
              </w:rPr>
            </w:pPr>
          </w:p>
        </w:tc>
        <w:tc>
          <w:tcPr>
            <w:tcW w:w="540" w:type="dxa"/>
            <w:vAlign w:val="bottom"/>
            <w:tcBorders>
              <w:top w:val="single" w:sz="8" w:color="EBEBEB"/>
            </w:tcBorders>
            <w:shd w:val="clear" w:color="auto" w:fill="EBEBEB"/>
          </w:tcPr>
          <w:p>
            <w:pPr>
              <w:spacing w:after="0"/>
              <w:rPr>
                <w:sz w:val="9"/>
                <w:szCs w:val="9"/>
                <w:color w:val="auto"/>
              </w:rPr>
            </w:pPr>
          </w:p>
        </w:tc>
        <w:tc>
          <w:tcPr>
            <w:tcW w:w="6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480" w:type="dxa"/>
            <w:vAlign w:val="bottom"/>
            <w:tcBorders>
              <w:top w:val="single" w:sz="8" w:color="EBEBEB"/>
            </w:tcBorders>
            <w:shd w:val="clear" w:color="auto" w:fill="EBEBEB"/>
          </w:tcPr>
          <w:p>
            <w:pPr>
              <w:spacing w:after="0"/>
              <w:rPr>
                <w:sz w:val="9"/>
                <w:szCs w:val="9"/>
                <w:color w:val="auto"/>
              </w:rPr>
            </w:pPr>
          </w:p>
        </w:tc>
        <w:tc>
          <w:tcPr>
            <w:tcW w:w="480" w:type="dxa"/>
            <w:vAlign w:val="bottom"/>
            <w:tcBorders>
              <w:top w:val="single" w:sz="8" w:color="EBEBEB"/>
            </w:tcBorders>
            <w:shd w:val="clear" w:color="auto" w:fill="EBEBEB"/>
          </w:tcPr>
          <w:p>
            <w:pPr>
              <w:spacing w:after="0"/>
              <w:rPr>
                <w:sz w:val="9"/>
                <w:szCs w:val="9"/>
                <w:color w:val="auto"/>
              </w:rPr>
            </w:pPr>
          </w:p>
        </w:tc>
        <w:tc>
          <w:tcPr>
            <w:tcW w:w="360" w:type="dxa"/>
            <w:vAlign w:val="bottom"/>
            <w:tcBorders>
              <w:top w:val="single" w:sz="8" w:color="EBEBEB"/>
            </w:tcBorders>
            <w:shd w:val="clear" w:color="auto" w:fill="EBEBEB"/>
          </w:tcPr>
          <w:p>
            <w:pPr>
              <w:spacing w:after="0"/>
              <w:rPr>
                <w:sz w:val="9"/>
                <w:szCs w:val="9"/>
                <w:color w:val="auto"/>
              </w:rPr>
            </w:pPr>
          </w:p>
        </w:tc>
        <w:tc>
          <w:tcPr>
            <w:tcW w:w="348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214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0000EE"/>
            </w:tcBorders>
            <w:shd w:val="clear" w:color="auto" w:fill="EBEBEB"/>
          </w:tcPr>
          <w:p>
            <w:pPr>
              <w:spacing w:after="0"/>
              <w:rPr>
                <w:sz w:val="9"/>
                <w:szCs w:val="9"/>
                <w:color w:val="auto"/>
              </w:rPr>
            </w:pPr>
          </w:p>
        </w:tc>
        <w:tc>
          <w:tcPr>
            <w:tcW w:w="28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720" w:type="dxa"/>
            <w:vAlign w:val="bottom"/>
            <w:tcBorders>
              <w:bottom w:val="single" w:sz="8" w:color="0000EE"/>
            </w:tcBorders>
            <w:gridSpan w:val="2"/>
            <w:shd w:val="clear" w:color="auto" w:fill="FAFAFA"/>
          </w:tcPr>
          <w:p>
            <w:pPr>
              <w:spacing w:after="0"/>
              <w:rPr>
                <w:sz w:val="20"/>
                <w:szCs w:val="20"/>
                <w:color w:val="auto"/>
              </w:rPr>
            </w:pPr>
            <w:r>
              <w:rPr>
                <w:rFonts w:ascii="Arial" w:cs="Arial" w:eastAsia="Arial" w:hAnsi="Arial"/>
                <w:sz w:val="16"/>
                <w:szCs w:val="16"/>
                <w:b w:val="1"/>
                <w:bCs w:val="1"/>
                <w:color w:val="0000EE"/>
                <w:w w:val="97"/>
              </w:rPr>
              <w:t>ANNEX B</w:t>
            </w:r>
          </w:p>
        </w:tc>
        <w:tc>
          <w:tcPr>
            <w:tcW w:w="7980" w:type="dxa"/>
            <w:vAlign w:val="bottom"/>
            <w:tcBorders>
              <w:bottom w:val="single" w:sz="8" w:color="FAFAFA"/>
            </w:tcBorders>
            <w:gridSpan w:val="10"/>
            <w:shd w:val="clear" w:color="auto" w:fill="FAFAFA"/>
          </w:tcPr>
          <w:p>
            <w:pPr>
              <w:spacing w:after="0"/>
              <w:rPr>
                <w:sz w:val="24"/>
                <w:szCs w:val="24"/>
                <w:color w:val="auto"/>
              </w:rPr>
            </w:pPr>
          </w:p>
        </w:tc>
        <w:tc>
          <w:tcPr>
            <w:tcW w:w="520" w:type="dxa"/>
            <w:vAlign w:val="bottom"/>
            <w:tcBorders>
              <w:bottom w:val="single" w:sz="8" w:color="FAFAFA"/>
            </w:tcBorders>
            <w:gridSpan w:val="3"/>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w w:val="96"/>
              </w:rPr>
              <w:t>B-1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180" w:type="dxa"/>
            <w:vAlign w:val="bottom"/>
            <w:tcBorders>
              <w:top w:val="single" w:sz="8" w:color="FAFAFA"/>
            </w:tcBorders>
            <w:shd w:val="clear" w:color="auto" w:fill="FAFAFA"/>
          </w:tcPr>
          <w:p>
            <w:pPr>
              <w:spacing w:after="0"/>
              <w:rPr>
                <w:sz w:val="9"/>
                <w:szCs w:val="9"/>
                <w:color w:val="auto"/>
              </w:rPr>
            </w:pPr>
          </w:p>
        </w:tc>
        <w:tc>
          <w:tcPr>
            <w:tcW w:w="540" w:type="dxa"/>
            <w:vAlign w:val="bottom"/>
            <w:tcBorders>
              <w:top w:val="single" w:sz="8" w:color="FAFAFA"/>
            </w:tcBorders>
            <w:shd w:val="clear" w:color="auto" w:fill="FAFAFA"/>
          </w:tcPr>
          <w:p>
            <w:pPr>
              <w:spacing w:after="0"/>
              <w:rPr>
                <w:sz w:val="9"/>
                <w:szCs w:val="9"/>
                <w:color w:val="auto"/>
              </w:rPr>
            </w:pPr>
          </w:p>
        </w:tc>
        <w:tc>
          <w:tcPr>
            <w:tcW w:w="660" w:type="dxa"/>
            <w:vAlign w:val="bottom"/>
            <w:tcBorders>
              <w:top w:val="single" w:sz="8" w:color="FAFAFA"/>
            </w:tcBorders>
            <w:shd w:val="clear" w:color="auto" w:fill="FAFAFA"/>
          </w:tcPr>
          <w:p>
            <w:pPr>
              <w:spacing w:after="0"/>
              <w:rPr>
                <w:sz w:val="9"/>
                <w:szCs w:val="9"/>
                <w:color w:val="auto"/>
              </w:rPr>
            </w:pPr>
          </w:p>
        </w:tc>
        <w:tc>
          <w:tcPr>
            <w:tcW w:w="20" w:type="dxa"/>
            <w:vAlign w:val="bottom"/>
            <w:tcBorders>
              <w:top w:val="single" w:sz="8" w:color="FAFAFA"/>
            </w:tcBorders>
            <w:shd w:val="clear" w:color="auto" w:fill="FAFAFA"/>
          </w:tcPr>
          <w:p>
            <w:pPr>
              <w:spacing w:after="0"/>
              <w:rPr>
                <w:sz w:val="9"/>
                <w:szCs w:val="9"/>
                <w:color w:val="auto"/>
              </w:rPr>
            </w:pPr>
          </w:p>
        </w:tc>
        <w:tc>
          <w:tcPr>
            <w:tcW w:w="60" w:type="dxa"/>
            <w:vAlign w:val="bottom"/>
            <w:tcBorders>
              <w:top w:val="single" w:sz="8" w:color="FAFAFA"/>
            </w:tcBorders>
            <w:shd w:val="clear" w:color="auto" w:fill="FAFAFA"/>
          </w:tcPr>
          <w:p>
            <w:pPr>
              <w:spacing w:after="0"/>
              <w:rPr>
                <w:sz w:val="9"/>
                <w:szCs w:val="9"/>
                <w:color w:val="auto"/>
              </w:rPr>
            </w:pPr>
          </w:p>
        </w:tc>
        <w:tc>
          <w:tcPr>
            <w:tcW w:w="40" w:type="dxa"/>
            <w:vAlign w:val="bottom"/>
            <w:tcBorders>
              <w:top w:val="single" w:sz="8" w:color="FAFAFA"/>
            </w:tcBorders>
            <w:shd w:val="clear" w:color="auto" w:fill="FAFAFA"/>
          </w:tcPr>
          <w:p>
            <w:pPr>
              <w:spacing w:after="0"/>
              <w:rPr>
                <w:sz w:val="9"/>
                <w:szCs w:val="9"/>
                <w:color w:val="auto"/>
              </w:rPr>
            </w:pPr>
          </w:p>
        </w:tc>
        <w:tc>
          <w:tcPr>
            <w:tcW w:w="480" w:type="dxa"/>
            <w:vAlign w:val="bottom"/>
            <w:tcBorders>
              <w:top w:val="single" w:sz="8" w:color="FAFAFA"/>
            </w:tcBorders>
            <w:shd w:val="clear" w:color="auto" w:fill="FAFAFA"/>
          </w:tcPr>
          <w:p>
            <w:pPr>
              <w:spacing w:after="0"/>
              <w:rPr>
                <w:sz w:val="9"/>
                <w:szCs w:val="9"/>
                <w:color w:val="auto"/>
              </w:rPr>
            </w:pPr>
          </w:p>
        </w:tc>
        <w:tc>
          <w:tcPr>
            <w:tcW w:w="480" w:type="dxa"/>
            <w:vAlign w:val="bottom"/>
            <w:tcBorders>
              <w:top w:val="single" w:sz="8" w:color="FAFAFA"/>
            </w:tcBorders>
            <w:shd w:val="clear" w:color="auto" w:fill="FAFAFA"/>
          </w:tcPr>
          <w:p>
            <w:pPr>
              <w:spacing w:after="0"/>
              <w:rPr>
                <w:sz w:val="9"/>
                <w:szCs w:val="9"/>
                <w:color w:val="auto"/>
              </w:rPr>
            </w:pPr>
          </w:p>
        </w:tc>
        <w:tc>
          <w:tcPr>
            <w:tcW w:w="360" w:type="dxa"/>
            <w:vAlign w:val="bottom"/>
            <w:tcBorders>
              <w:top w:val="single" w:sz="8" w:color="FAFAFA"/>
            </w:tcBorders>
            <w:shd w:val="clear" w:color="auto" w:fill="FAFAFA"/>
          </w:tcPr>
          <w:p>
            <w:pPr>
              <w:spacing w:after="0"/>
              <w:rPr>
                <w:sz w:val="9"/>
                <w:szCs w:val="9"/>
                <w:color w:val="auto"/>
              </w:rPr>
            </w:pPr>
          </w:p>
        </w:tc>
        <w:tc>
          <w:tcPr>
            <w:tcW w:w="3480" w:type="dxa"/>
            <w:vAlign w:val="bottom"/>
            <w:tcBorders>
              <w:top w:val="single" w:sz="8" w:color="FAFAFA"/>
            </w:tcBorders>
            <w:shd w:val="clear" w:color="auto" w:fill="FAFAFA"/>
          </w:tcPr>
          <w:p>
            <w:pPr>
              <w:spacing w:after="0"/>
              <w:rPr>
                <w:sz w:val="9"/>
                <w:szCs w:val="9"/>
                <w:color w:val="auto"/>
              </w:rPr>
            </w:pPr>
          </w:p>
        </w:tc>
        <w:tc>
          <w:tcPr>
            <w:tcW w:w="260" w:type="dxa"/>
            <w:vAlign w:val="bottom"/>
            <w:tcBorders>
              <w:top w:val="single" w:sz="8" w:color="FAFAFA"/>
            </w:tcBorders>
            <w:shd w:val="clear" w:color="auto" w:fill="FAFAFA"/>
          </w:tcPr>
          <w:p>
            <w:pPr>
              <w:spacing w:after="0"/>
              <w:rPr>
                <w:sz w:val="9"/>
                <w:szCs w:val="9"/>
                <w:color w:val="auto"/>
              </w:rPr>
            </w:pPr>
          </w:p>
        </w:tc>
        <w:tc>
          <w:tcPr>
            <w:tcW w:w="2140" w:type="dxa"/>
            <w:vAlign w:val="bottom"/>
            <w:tcBorders>
              <w:top w:val="single" w:sz="8" w:color="FAFAFA"/>
            </w:tcBorders>
            <w:shd w:val="clear" w:color="auto" w:fill="FAFAFA"/>
          </w:tcPr>
          <w:p>
            <w:pPr>
              <w:spacing w:after="0"/>
              <w:rPr>
                <w:sz w:val="9"/>
                <w:szCs w:val="9"/>
                <w:color w:val="auto"/>
              </w:rPr>
            </w:pPr>
          </w:p>
        </w:tc>
        <w:tc>
          <w:tcPr>
            <w:tcW w:w="160" w:type="dxa"/>
            <w:vAlign w:val="bottom"/>
            <w:tcBorders>
              <w:top w:val="single" w:sz="8" w:color="0000EE"/>
            </w:tcBorders>
            <w:shd w:val="clear" w:color="auto" w:fill="FAFAFA"/>
          </w:tcPr>
          <w:p>
            <w:pPr>
              <w:spacing w:after="0"/>
              <w:rPr>
                <w:sz w:val="9"/>
                <w:szCs w:val="9"/>
                <w:color w:val="auto"/>
              </w:rPr>
            </w:pPr>
          </w:p>
        </w:tc>
        <w:tc>
          <w:tcPr>
            <w:tcW w:w="280" w:type="dxa"/>
            <w:vAlign w:val="bottom"/>
            <w:tcBorders>
              <w:top w:val="single" w:sz="8" w:color="0000EE"/>
            </w:tcBorders>
            <w:shd w:val="clear" w:color="auto" w:fill="FAFAFA"/>
          </w:tcPr>
          <w:p>
            <w:pPr>
              <w:spacing w:after="0"/>
              <w:rPr>
                <w:sz w:val="9"/>
                <w:szCs w:val="9"/>
                <w:color w:val="auto"/>
              </w:rPr>
            </w:pPr>
          </w:p>
        </w:tc>
        <w:tc>
          <w:tcPr>
            <w:tcW w:w="80" w:type="dxa"/>
            <w:vAlign w:val="bottom"/>
            <w:tcBorders>
              <w:top w:val="single" w:sz="8" w:color="FAFAFA"/>
            </w:tcBorders>
            <w:shd w:val="clear" w:color="auto" w:fill="FAFAFA"/>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20" w:type="dxa"/>
            <w:vAlign w:val="bottom"/>
            <w:tcBorders>
              <w:bottom w:val="single" w:sz="8" w:color="EBEBEB"/>
            </w:tcBorders>
            <w:shd w:val="clear" w:color="auto" w:fill="EBEBEB"/>
          </w:tcPr>
          <w:p>
            <w:pPr>
              <w:spacing w:after="0"/>
              <w:rPr>
                <w:sz w:val="24"/>
                <w:szCs w:val="24"/>
                <w:color w:val="auto"/>
              </w:rPr>
            </w:pPr>
          </w:p>
        </w:tc>
        <w:tc>
          <w:tcPr>
            <w:tcW w:w="60" w:type="dxa"/>
            <w:vAlign w:val="bottom"/>
            <w:tcBorders>
              <w:bottom w:val="single" w:sz="8" w:color="EBEBEB"/>
            </w:tcBorders>
            <w:shd w:val="clear" w:color="auto" w:fill="EBEBEB"/>
          </w:tcPr>
          <w:p>
            <w:pPr>
              <w:spacing w:after="0"/>
              <w:rPr>
                <w:sz w:val="24"/>
                <w:szCs w:val="24"/>
                <w:color w:val="auto"/>
              </w:rPr>
            </w:pPr>
          </w:p>
        </w:tc>
        <w:tc>
          <w:tcPr>
            <w:tcW w:w="720" w:type="dxa"/>
            <w:vAlign w:val="bottom"/>
            <w:tcBorders>
              <w:bottom w:val="single" w:sz="8" w:color="0000EE"/>
            </w:tcBorders>
            <w:gridSpan w:val="2"/>
            <w:shd w:val="clear" w:color="auto" w:fill="EBEBEB"/>
          </w:tcPr>
          <w:p>
            <w:pPr>
              <w:spacing w:after="0"/>
              <w:rPr>
                <w:sz w:val="20"/>
                <w:szCs w:val="20"/>
                <w:color w:val="auto"/>
              </w:rPr>
            </w:pPr>
            <w:r>
              <w:rPr>
                <w:rFonts w:ascii="Arial" w:cs="Arial" w:eastAsia="Arial" w:hAnsi="Arial"/>
                <w:sz w:val="16"/>
                <w:szCs w:val="16"/>
                <w:b w:val="1"/>
                <w:bCs w:val="1"/>
                <w:color w:val="0000EE"/>
                <w:w w:val="97"/>
              </w:rPr>
              <w:t>ANNEX C</w:t>
            </w:r>
          </w:p>
        </w:tc>
        <w:tc>
          <w:tcPr>
            <w:tcW w:w="7980" w:type="dxa"/>
            <w:vAlign w:val="bottom"/>
            <w:tcBorders>
              <w:bottom w:val="single" w:sz="8" w:color="EBEBEB"/>
            </w:tcBorders>
            <w:gridSpan w:val="10"/>
            <w:shd w:val="clear" w:color="auto" w:fill="EBEBEB"/>
          </w:tcPr>
          <w:p>
            <w:pPr>
              <w:spacing w:after="0"/>
              <w:rPr>
                <w:sz w:val="24"/>
                <w:szCs w:val="24"/>
                <w:color w:val="auto"/>
              </w:rPr>
            </w:pPr>
          </w:p>
        </w:tc>
        <w:tc>
          <w:tcPr>
            <w:tcW w:w="520" w:type="dxa"/>
            <w:vAlign w:val="bottom"/>
            <w:tcBorders>
              <w:bottom w:val="single" w:sz="8" w:color="EBEBEB"/>
            </w:tcBorders>
            <w:gridSpan w:val="3"/>
            <w:shd w:val="clear" w:color="auto" w:fill="EBEBEB"/>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w w:val="96"/>
              </w:rPr>
              <w:t>C-1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180" w:type="dxa"/>
            <w:vAlign w:val="bottom"/>
            <w:tcBorders>
              <w:top w:val="single" w:sz="8" w:color="EBEBEB"/>
            </w:tcBorders>
            <w:shd w:val="clear" w:color="auto" w:fill="EBEBEB"/>
          </w:tcPr>
          <w:p>
            <w:pPr>
              <w:spacing w:after="0"/>
              <w:rPr>
                <w:sz w:val="9"/>
                <w:szCs w:val="9"/>
                <w:color w:val="auto"/>
              </w:rPr>
            </w:pPr>
          </w:p>
        </w:tc>
        <w:tc>
          <w:tcPr>
            <w:tcW w:w="540" w:type="dxa"/>
            <w:vAlign w:val="bottom"/>
            <w:tcBorders>
              <w:top w:val="single" w:sz="8" w:color="EBEBEB"/>
            </w:tcBorders>
            <w:shd w:val="clear" w:color="auto" w:fill="EBEBEB"/>
          </w:tcPr>
          <w:p>
            <w:pPr>
              <w:spacing w:after="0"/>
              <w:rPr>
                <w:sz w:val="9"/>
                <w:szCs w:val="9"/>
                <w:color w:val="auto"/>
              </w:rPr>
            </w:pPr>
          </w:p>
        </w:tc>
        <w:tc>
          <w:tcPr>
            <w:tcW w:w="660" w:type="dxa"/>
            <w:vAlign w:val="bottom"/>
            <w:tcBorders>
              <w:top w:val="single" w:sz="8" w:color="EBEBEB"/>
            </w:tcBorders>
            <w:shd w:val="clear" w:color="auto" w:fill="EBEBEB"/>
          </w:tcPr>
          <w:p>
            <w:pPr>
              <w:spacing w:after="0"/>
              <w:rPr>
                <w:sz w:val="9"/>
                <w:szCs w:val="9"/>
                <w:color w:val="auto"/>
              </w:rPr>
            </w:pPr>
          </w:p>
        </w:tc>
        <w:tc>
          <w:tcPr>
            <w:tcW w:w="20" w:type="dxa"/>
            <w:vAlign w:val="bottom"/>
            <w:tcBorders>
              <w:top w:val="single" w:sz="8" w:color="EBEBEB"/>
            </w:tcBorders>
            <w:shd w:val="clear" w:color="auto" w:fill="EBEBEB"/>
          </w:tcPr>
          <w:p>
            <w:pPr>
              <w:spacing w:after="0"/>
              <w:rPr>
                <w:sz w:val="9"/>
                <w:szCs w:val="9"/>
                <w:color w:val="auto"/>
              </w:rPr>
            </w:pPr>
          </w:p>
        </w:tc>
        <w:tc>
          <w:tcPr>
            <w:tcW w:w="60" w:type="dxa"/>
            <w:vAlign w:val="bottom"/>
            <w:tcBorders>
              <w:top w:val="single" w:sz="8" w:color="EBEBEB"/>
            </w:tcBorders>
            <w:shd w:val="clear" w:color="auto" w:fill="EBEBEB"/>
          </w:tcPr>
          <w:p>
            <w:pPr>
              <w:spacing w:after="0"/>
              <w:rPr>
                <w:sz w:val="9"/>
                <w:szCs w:val="9"/>
                <w:color w:val="auto"/>
              </w:rPr>
            </w:pPr>
          </w:p>
        </w:tc>
        <w:tc>
          <w:tcPr>
            <w:tcW w:w="40" w:type="dxa"/>
            <w:vAlign w:val="bottom"/>
            <w:tcBorders>
              <w:top w:val="single" w:sz="8" w:color="EBEBEB"/>
            </w:tcBorders>
            <w:shd w:val="clear" w:color="auto" w:fill="EBEBEB"/>
          </w:tcPr>
          <w:p>
            <w:pPr>
              <w:spacing w:after="0"/>
              <w:rPr>
                <w:sz w:val="9"/>
                <w:szCs w:val="9"/>
                <w:color w:val="auto"/>
              </w:rPr>
            </w:pPr>
          </w:p>
        </w:tc>
        <w:tc>
          <w:tcPr>
            <w:tcW w:w="480" w:type="dxa"/>
            <w:vAlign w:val="bottom"/>
            <w:tcBorders>
              <w:top w:val="single" w:sz="8" w:color="EBEBEB"/>
            </w:tcBorders>
            <w:shd w:val="clear" w:color="auto" w:fill="EBEBEB"/>
          </w:tcPr>
          <w:p>
            <w:pPr>
              <w:spacing w:after="0"/>
              <w:rPr>
                <w:sz w:val="9"/>
                <w:szCs w:val="9"/>
                <w:color w:val="auto"/>
              </w:rPr>
            </w:pPr>
          </w:p>
        </w:tc>
        <w:tc>
          <w:tcPr>
            <w:tcW w:w="480" w:type="dxa"/>
            <w:vAlign w:val="bottom"/>
            <w:tcBorders>
              <w:top w:val="single" w:sz="8" w:color="EBEBEB"/>
            </w:tcBorders>
            <w:shd w:val="clear" w:color="auto" w:fill="EBEBEB"/>
          </w:tcPr>
          <w:p>
            <w:pPr>
              <w:spacing w:after="0"/>
              <w:rPr>
                <w:sz w:val="9"/>
                <w:szCs w:val="9"/>
                <w:color w:val="auto"/>
              </w:rPr>
            </w:pPr>
          </w:p>
        </w:tc>
        <w:tc>
          <w:tcPr>
            <w:tcW w:w="360" w:type="dxa"/>
            <w:vAlign w:val="bottom"/>
            <w:tcBorders>
              <w:top w:val="single" w:sz="8" w:color="EBEBEB"/>
            </w:tcBorders>
            <w:shd w:val="clear" w:color="auto" w:fill="EBEBEB"/>
          </w:tcPr>
          <w:p>
            <w:pPr>
              <w:spacing w:after="0"/>
              <w:rPr>
                <w:sz w:val="9"/>
                <w:szCs w:val="9"/>
                <w:color w:val="auto"/>
              </w:rPr>
            </w:pPr>
          </w:p>
        </w:tc>
        <w:tc>
          <w:tcPr>
            <w:tcW w:w="3480" w:type="dxa"/>
            <w:vAlign w:val="bottom"/>
            <w:tcBorders>
              <w:top w:val="single" w:sz="8" w:color="EBEBEB"/>
            </w:tcBorders>
            <w:shd w:val="clear" w:color="auto" w:fill="EBEBEB"/>
          </w:tcPr>
          <w:p>
            <w:pPr>
              <w:spacing w:after="0"/>
              <w:rPr>
                <w:sz w:val="9"/>
                <w:szCs w:val="9"/>
                <w:color w:val="auto"/>
              </w:rPr>
            </w:pPr>
          </w:p>
        </w:tc>
        <w:tc>
          <w:tcPr>
            <w:tcW w:w="260" w:type="dxa"/>
            <w:vAlign w:val="bottom"/>
            <w:tcBorders>
              <w:top w:val="single" w:sz="8" w:color="EBEBEB"/>
            </w:tcBorders>
            <w:shd w:val="clear" w:color="auto" w:fill="EBEBEB"/>
          </w:tcPr>
          <w:p>
            <w:pPr>
              <w:spacing w:after="0"/>
              <w:rPr>
                <w:sz w:val="9"/>
                <w:szCs w:val="9"/>
                <w:color w:val="auto"/>
              </w:rPr>
            </w:pPr>
          </w:p>
        </w:tc>
        <w:tc>
          <w:tcPr>
            <w:tcW w:w="2140" w:type="dxa"/>
            <w:vAlign w:val="bottom"/>
            <w:tcBorders>
              <w:top w:val="single" w:sz="8" w:color="EBEBEB"/>
            </w:tcBorders>
            <w:shd w:val="clear" w:color="auto" w:fill="EBEBEB"/>
          </w:tcPr>
          <w:p>
            <w:pPr>
              <w:spacing w:after="0"/>
              <w:rPr>
                <w:sz w:val="9"/>
                <w:szCs w:val="9"/>
                <w:color w:val="auto"/>
              </w:rPr>
            </w:pPr>
          </w:p>
        </w:tc>
        <w:tc>
          <w:tcPr>
            <w:tcW w:w="160" w:type="dxa"/>
            <w:vAlign w:val="bottom"/>
            <w:tcBorders>
              <w:top w:val="single" w:sz="8" w:color="0000EE"/>
            </w:tcBorders>
            <w:shd w:val="clear" w:color="auto" w:fill="EBEBEB"/>
          </w:tcPr>
          <w:p>
            <w:pPr>
              <w:spacing w:after="0"/>
              <w:rPr>
                <w:sz w:val="9"/>
                <w:szCs w:val="9"/>
                <w:color w:val="auto"/>
              </w:rPr>
            </w:pPr>
          </w:p>
        </w:tc>
        <w:tc>
          <w:tcPr>
            <w:tcW w:w="280" w:type="dxa"/>
            <w:vAlign w:val="bottom"/>
            <w:tcBorders>
              <w:top w:val="single" w:sz="8" w:color="0000EE"/>
            </w:tcBorders>
            <w:shd w:val="clear" w:color="auto" w:fill="EBEBEB"/>
          </w:tcPr>
          <w:p>
            <w:pPr>
              <w:spacing w:after="0"/>
              <w:rPr>
                <w:sz w:val="9"/>
                <w:szCs w:val="9"/>
                <w:color w:val="auto"/>
              </w:rPr>
            </w:pPr>
          </w:p>
        </w:tc>
        <w:tc>
          <w:tcPr>
            <w:tcW w:w="80" w:type="dxa"/>
            <w:vAlign w:val="bottom"/>
            <w:tcBorders>
              <w:top w:val="single" w:sz="8" w:color="EBEBEB"/>
            </w:tcBorders>
            <w:shd w:val="clear" w:color="auto" w:fill="EBEBEB"/>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0"/>
        </w:trPr>
        <w:tc>
          <w:tcPr>
            <w:tcW w:w="800" w:type="dxa"/>
            <w:vAlign w:val="bottom"/>
          </w:tcPr>
          <w:p>
            <w:pPr>
              <w:spacing w:after="0"/>
              <w:rPr>
                <w:sz w:val="24"/>
                <w:szCs w:val="24"/>
                <w:color w:val="auto"/>
              </w:rPr>
            </w:pPr>
          </w:p>
        </w:tc>
        <w:tc>
          <w:tcPr>
            <w:tcW w:w="120" w:type="dxa"/>
            <w:vAlign w:val="bottom"/>
            <w:tcBorders>
              <w:bottom w:val="single" w:sz="8" w:color="FAFAFA"/>
            </w:tcBorders>
            <w:shd w:val="clear" w:color="auto" w:fill="FAFAFA"/>
          </w:tcPr>
          <w:p>
            <w:pPr>
              <w:spacing w:after="0"/>
              <w:rPr>
                <w:sz w:val="24"/>
                <w:szCs w:val="24"/>
                <w:color w:val="auto"/>
              </w:rPr>
            </w:pPr>
          </w:p>
        </w:tc>
        <w:tc>
          <w:tcPr>
            <w:tcW w:w="60" w:type="dxa"/>
            <w:vAlign w:val="bottom"/>
            <w:tcBorders>
              <w:bottom w:val="single" w:sz="8" w:color="FAFAFA"/>
            </w:tcBorders>
            <w:shd w:val="clear" w:color="auto" w:fill="FAFAFA"/>
          </w:tcPr>
          <w:p>
            <w:pPr>
              <w:spacing w:after="0"/>
              <w:rPr>
                <w:sz w:val="24"/>
                <w:szCs w:val="24"/>
                <w:color w:val="auto"/>
              </w:rPr>
            </w:pPr>
          </w:p>
        </w:tc>
        <w:tc>
          <w:tcPr>
            <w:tcW w:w="720" w:type="dxa"/>
            <w:vAlign w:val="bottom"/>
            <w:tcBorders>
              <w:bottom w:val="single" w:sz="8" w:color="0000EE"/>
            </w:tcBorders>
            <w:gridSpan w:val="2"/>
            <w:shd w:val="clear" w:color="auto" w:fill="FAFAFA"/>
          </w:tcPr>
          <w:p>
            <w:pPr>
              <w:spacing w:after="0"/>
              <w:rPr>
                <w:sz w:val="20"/>
                <w:szCs w:val="20"/>
                <w:color w:val="auto"/>
              </w:rPr>
            </w:pPr>
            <w:r>
              <w:rPr>
                <w:rFonts w:ascii="Arial" w:cs="Arial" w:eastAsia="Arial" w:hAnsi="Arial"/>
                <w:sz w:val="16"/>
                <w:szCs w:val="16"/>
                <w:b w:val="1"/>
                <w:bCs w:val="1"/>
                <w:color w:val="0000EE"/>
                <w:w w:val="97"/>
              </w:rPr>
              <w:t>ANNEX D</w:t>
            </w:r>
          </w:p>
        </w:tc>
        <w:tc>
          <w:tcPr>
            <w:tcW w:w="7980" w:type="dxa"/>
            <w:vAlign w:val="bottom"/>
            <w:tcBorders>
              <w:bottom w:val="single" w:sz="8" w:color="FAFAFA"/>
            </w:tcBorders>
            <w:gridSpan w:val="10"/>
            <w:shd w:val="clear" w:color="auto" w:fill="FAFAFA"/>
          </w:tcPr>
          <w:p>
            <w:pPr>
              <w:spacing w:after="0"/>
              <w:rPr>
                <w:sz w:val="24"/>
                <w:szCs w:val="24"/>
                <w:color w:val="auto"/>
              </w:rPr>
            </w:pPr>
          </w:p>
        </w:tc>
        <w:tc>
          <w:tcPr>
            <w:tcW w:w="520" w:type="dxa"/>
            <w:vAlign w:val="bottom"/>
            <w:tcBorders>
              <w:bottom w:val="single" w:sz="8" w:color="FAFAFA"/>
            </w:tcBorders>
            <w:gridSpan w:val="3"/>
            <w:shd w:val="clear" w:color="auto" w:fill="FAFAFA"/>
          </w:tcPr>
          <w:p>
            <w:pPr>
              <w:jc w:val="right"/>
              <w:ind w:right="80"/>
              <w:spacing w:after="0" w:line="263" w:lineRule="exact"/>
              <w:rPr>
                <w:sz w:val="20"/>
                <w:szCs w:val="20"/>
                <w:color w:val="auto"/>
              </w:rPr>
            </w:pPr>
            <w:r>
              <w:rPr>
                <w:rFonts w:ascii="Times New Roman" w:cs="Times New Roman" w:eastAsia="Times New Roman" w:hAnsi="Times New Roman"/>
                <w:sz w:val="29"/>
                <w:szCs w:val="29"/>
                <w:color w:val="0000EE"/>
                <w:w w:val="93"/>
              </w:rPr>
              <w:t>D-1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0" w:type="dxa"/>
            <w:vAlign w:val="bottom"/>
            <w:tcBorders>
              <w:bottom w:val="single" w:sz="8" w:color="auto"/>
            </w:tcBorders>
          </w:tcPr>
          <w:p>
            <w:pPr>
              <w:spacing w:after="0"/>
              <w:rPr>
                <w:sz w:val="15"/>
                <w:szCs w:val="15"/>
                <w:color w:val="auto"/>
              </w:rPr>
            </w:pPr>
          </w:p>
        </w:tc>
        <w:tc>
          <w:tcPr>
            <w:tcW w:w="120" w:type="dxa"/>
            <w:vAlign w:val="bottom"/>
            <w:tcBorders>
              <w:top w:val="single" w:sz="8" w:color="FAFAFA"/>
              <w:bottom w:val="single" w:sz="8" w:color="auto"/>
            </w:tcBorders>
          </w:tcPr>
          <w:p>
            <w:pPr>
              <w:spacing w:after="0"/>
              <w:rPr>
                <w:sz w:val="15"/>
                <w:szCs w:val="15"/>
                <w:color w:val="auto"/>
              </w:rPr>
            </w:pPr>
          </w:p>
        </w:tc>
        <w:tc>
          <w:tcPr>
            <w:tcW w:w="60" w:type="dxa"/>
            <w:vAlign w:val="bottom"/>
            <w:tcBorders>
              <w:top w:val="single" w:sz="8" w:color="FAFAFA"/>
              <w:bottom w:val="single" w:sz="8" w:color="auto"/>
            </w:tcBorders>
          </w:tcPr>
          <w:p>
            <w:pPr>
              <w:spacing w:after="0"/>
              <w:rPr>
                <w:sz w:val="15"/>
                <w:szCs w:val="15"/>
                <w:color w:val="auto"/>
              </w:rPr>
            </w:pPr>
          </w:p>
        </w:tc>
        <w:tc>
          <w:tcPr>
            <w:tcW w:w="180" w:type="dxa"/>
            <w:vAlign w:val="bottom"/>
            <w:tcBorders>
              <w:top w:val="single" w:sz="8" w:color="FAFAFA"/>
              <w:bottom w:val="single" w:sz="8" w:color="auto"/>
            </w:tcBorders>
          </w:tcPr>
          <w:p>
            <w:pPr>
              <w:spacing w:after="0"/>
              <w:rPr>
                <w:sz w:val="15"/>
                <w:szCs w:val="15"/>
                <w:color w:val="auto"/>
              </w:rPr>
            </w:pPr>
          </w:p>
        </w:tc>
        <w:tc>
          <w:tcPr>
            <w:tcW w:w="540" w:type="dxa"/>
            <w:vAlign w:val="bottom"/>
            <w:tcBorders>
              <w:top w:val="single" w:sz="8" w:color="FAFAFA"/>
              <w:bottom w:val="single" w:sz="8" w:color="auto"/>
            </w:tcBorders>
          </w:tcPr>
          <w:p>
            <w:pPr>
              <w:spacing w:after="0"/>
              <w:rPr>
                <w:sz w:val="15"/>
                <w:szCs w:val="15"/>
                <w:color w:val="auto"/>
              </w:rPr>
            </w:pPr>
          </w:p>
        </w:tc>
        <w:tc>
          <w:tcPr>
            <w:tcW w:w="660" w:type="dxa"/>
            <w:vAlign w:val="bottom"/>
            <w:tcBorders>
              <w:top w:val="single" w:sz="8" w:color="FAFAFA"/>
              <w:bottom w:val="single" w:sz="8" w:color="auto"/>
            </w:tcBorders>
          </w:tcPr>
          <w:p>
            <w:pPr>
              <w:spacing w:after="0"/>
              <w:rPr>
                <w:sz w:val="15"/>
                <w:szCs w:val="15"/>
                <w:color w:val="auto"/>
              </w:rPr>
            </w:pPr>
          </w:p>
        </w:tc>
        <w:tc>
          <w:tcPr>
            <w:tcW w:w="20" w:type="dxa"/>
            <w:vAlign w:val="bottom"/>
            <w:tcBorders>
              <w:top w:val="single" w:sz="8" w:color="FAFAFA"/>
              <w:bottom w:val="single" w:sz="8" w:color="auto"/>
            </w:tcBorders>
          </w:tcPr>
          <w:p>
            <w:pPr>
              <w:spacing w:after="0"/>
              <w:rPr>
                <w:sz w:val="15"/>
                <w:szCs w:val="15"/>
                <w:color w:val="auto"/>
              </w:rPr>
            </w:pPr>
          </w:p>
        </w:tc>
        <w:tc>
          <w:tcPr>
            <w:tcW w:w="60" w:type="dxa"/>
            <w:vAlign w:val="bottom"/>
            <w:tcBorders>
              <w:top w:val="single" w:sz="8" w:color="FAFAFA"/>
              <w:bottom w:val="single" w:sz="8" w:color="auto"/>
            </w:tcBorders>
          </w:tcPr>
          <w:p>
            <w:pPr>
              <w:spacing w:after="0"/>
              <w:rPr>
                <w:sz w:val="15"/>
                <w:szCs w:val="15"/>
                <w:color w:val="auto"/>
              </w:rPr>
            </w:pPr>
          </w:p>
        </w:tc>
        <w:tc>
          <w:tcPr>
            <w:tcW w:w="40" w:type="dxa"/>
            <w:vAlign w:val="bottom"/>
            <w:tcBorders>
              <w:top w:val="single" w:sz="8" w:color="FAFAFA"/>
              <w:bottom w:val="single" w:sz="8" w:color="auto"/>
            </w:tcBorders>
          </w:tcPr>
          <w:p>
            <w:pPr>
              <w:spacing w:after="0"/>
              <w:rPr>
                <w:sz w:val="15"/>
                <w:szCs w:val="15"/>
                <w:color w:val="auto"/>
              </w:rPr>
            </w:pPr>
          </w:p>
        </w:tc>
        <w:tc>
          <w:tcPr>
            <w:tcW w:w="480" w:type="dxa"/>
            <w:vAlign w:val="bottom"/>
            <w:tcBorders>
              <w:top w:val="single" w:sz="8" w:color="FAFAFA"/>
              <w:bottom w:val="single" w:sz="8" w:color="auto"/>
            </w:tcBorders>
          </w:tcPr>
          <w:p>
            <w:pPr>
              <w:spacing w:after="0"/>
              <w:rPr>
                <w:sz w:val="15"/>
                <w:szCs w:val="15"/>
                <w:color w:val="auto"/>
              </w:rPr>
            </w:pPr>
          </w:p>
        </w:tc>
        <w:tc>
          <w:tcPr>
            <w:tcW w:w="480" w:type="dxa"/>
            <w:vAlign w:val="bottom"/>
            <w:tcBorders>
              <w:top w:val="single" w:sz="8" w:color="FAFAFA"/>
              <w:bottom w:val="single" w:sz="8" w:color="auto"/>
            </w:tcBorders>
          </w:tcPr>
          <w:p>
            <w:pPr>
              <w:spacing w:after="0"/>
              <w:rPr>
                <w:sz w:val="15"/>
                <w:szCs w:val="15"/>
                <w:color w:val="auto"/>
              </w:rPr>
            </w:pPr>
          </w:p>
        </w:tc>
        <w:tc>
          <w:tcPr>
            <w:tcW w:w="360" w:type="dxa"/>
            <w:vAlign w:val="bottom"/>
            <w:tcBorders>
              <w:top w:val="single" w:sz="8" w:color="FAFAFA"/>
              <w:bottom w:val="single" w:sz="8" w:color="auto"/>
            </w:tcBorders>
          </w:tcPr>
          <w:p>
            <w:pPr>
              <w:spacing w:after="0"/>
              <w:rPr>
                <w:sz w:val="15"/>
                <w:szCs w:val="15"/>
                <w:color w:val="auto"/>
              </w:rPr>
            </w:pPr>
          </w:p>
        </w:tc>
        <w:tc>
          <w:tcPr>
            <w:tcW w:w="3480" w:type="dxa"/>
            <w:vAlign w:val="bottom"/>
            <w:tcBorders>
              <w:top w:val="single" w:sz="8" w:color="FAFAFA"/>
              <w:bottom w:val="single" w:sz="8" w:color="auto"/>
            </w:tcBorders>
          </w:tcPr>
          <w:p>
            <w:pPr>
              <w:spacing w:after="0"/>
              <w:rPr>
                <w:sz w:val="15"/>
                <w:szCs w:val="15"/>
                <w:color w:val="auto"/>
              </w:rPr>
            </w:pPr>
          </w:p>
        </w:tc>
        <w:tc>
          <w:tcPr>
            <w:tcW w:w="260" w:type="dxa"/>
            <w:vAlign w:val="bottom"/>
            <w:tcBorders>
              <w:top w:val="single" w:sz="8" w:color="FAFAFA"/>
              <w:bottom w:val="single" w:sz="8" w:color="auto"/>
            </w:tcBorders>
          </w:tcPr>
          <w:p>
            <w:pPr>
              <w:spacing w:after="0"/>
              <w:rPr>
                <w:sz w:val="15"/>
                <w:szCs w:val="15"/>
                <w:color w:val="auto"/>
              </w:rPr>
            </w:pPr>
          </w:p>
        </w:tc>
        <w:tc>
          <w:tcPr>
            <w:tcW w:w="2140" w:type="dxa"/>
            <w:vAlign w:val="bottom"/>
            <w:tcBorders>
              <w:top w:val="single" w:sz="8" w:color="FAFAFA"/>
              <w:bottom w:val="single" w:sz="8" w:color="auto"/>
            </w:tcBorders>
          </w:tcPr>
          <w:p>
            <w:pPr>
              <w:spacing w:after="0"/>
              <w:rPr>
                <w:sz w:val="15"/>
                <w:szCs w:val="15"/>
                <w:color w:val="auto"/>
              </w:rPr>
            </w:pPr>
          </w:p>
        </w:tc>
        <w:tc>
          <w:tcPr>
            <w:tcW w:w="160" w:type="dxa"/>
            <w:vAlign w:val="bottom"/>
            <w:tcBorders>
              <w:top w:val="single" w:sz="8" w:color="0000EE"/>
              <w:bottom w:val="single" w:sz="8" w:color="auto"/>
            </w:tcBorders>
          </w:tcPr>
          <w:p>
            <w:pPr>
              <w:spacing w:after="0"/>
              <w:rPr>
                <w:sz w:val="15"/>
                <w:szCs w:val="15"/>
                <w:color w:val="auto"/>
              </w:rPr>
            </w:pPr>
          </w:p>
        </w:tc>
        <w:tc>
          <w:tcPr>
            <w:tcW w:w="28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FAFAFA"/>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-3488055</wp:posOffset>
            </wp:positionV>
            <wp:extent cx="59664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-3205480</wp:posOffset>
            </wp:positionV>
            <wp:extent cx="59664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-2922270</wp:posOffset>
            </wp:positionV>
            <wp:extent cx="59664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-2639695</wp:posOffset>
            </wp:positionV>
            <wp:extent cx="59664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-2357120</wp:posOffset>
            </wp:positionV>
            <wp:extent cx="59664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-2073910</wp:posOffset>
            </wp:positionV>
            <wp:extent cx="59664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-1791335</wp:posOffset>
            </wp:positionV>
            <wp:extent cx="59664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-1508125</wp:posOffset>
            </wp:positionV>
            <wp:extent cx="59664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-1225550</wp:posOffset>
            </wp:positionV>
            <wp:extent cx="59664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-942340</wp:posOffset>
            </wp:positionV>
            <wp:extent cx="59664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-659765</wp:posOffset>
            </wp:positionV>
            <wp:extent cx="59664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-376555</wp:posOffset>
            </wp:positionV>
            <wp:extent cx="59664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0000"/>
        </w:rPr>
        <w:t>PRELIMINARY PROXY MATERIALS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187960</wp:posOffset>
            </wp:positionV>
            <wp:extent cx="1405890" cy="651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0589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FOR 2025 ANNUAL MEETING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Proxy Statement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Summary</w:t>
      </w:r>
    </w:p>
    <w:p>
      <w:pPr>
        <w:sectPr>
          <w:pgSz w:w="11900" w:h="16838" w:orient="portrait"/>
          <w:cols w:equalWidth="0" w:num="1">
            <w:col w:w="9400"/>
          </w:cols>
          <w:pgMar w:left="1240" w:top="114" w:right="1259" w:bottom="1440" w:gutter="0" w:footer="0" w:header="0"/>
        </w:sect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6426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192405</wp:posOffset>
            </wp:positionV>
            <wp:extent cx="299720" cy="283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May 29,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Meeting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6515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192405</wp:posOffset>
            </wp:positionV>
            <wp:extent cx="265430" cy="300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54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8:00 a.m.,</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Pacific Time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Meeting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8147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158115</wp:posOffset>
            </wp:positionV>
            <wp:extent cx="205740" cy="2997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574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77"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The Annual Meeting will be conducted virtually via live audio webcast. You will be able to attend the Annual Meeting virtually by visiting www.virtualshareholder meeting.com/ ATHA2025, where you will be able to listen to the meeting live, submit questions and vote online during the meeting.</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VOTING MATTERS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080" w:type="dxa"/>
            <w:vAlign w:val="bottom"/>
            <w:shd w:val="clear" w:color="auto" w:fill="255993"/>
          </w:tcPr>
          <w:p>
            <w:pPr>
              <w:spacing w:after="0"/>
              <w:rPr>
                <w:sz w:val="24"/>
                <w:szCs w:val="24"/>
                <w:color w:val="auto"/>
              </w:rPr>
            </w:pPr>
          </w:p>
        </w:tc>
        <w:tc>
          <w:tcPr>
            <w:tcW w:w="3320" w:type="dxa"/>
            <w:vAlign w:val="bottom"/>
            <w:shd w:val="clear" w:color="auto" w:fill="255993"/>
          </w:tcPr>
          <w:p>
            <w:pPr>
              <w:spacing w:after="0"/>
              <w:rPr>
                <w:sz w:val="24"/>
                <w:szCs w:val="24"/>
                <w:color w:val="auto"/>
              </w:rPr>
            </w:pPr>
          </w:p>
        </w:tc>
        <w:tc>
          <w:tcPr>
            <w:tcW w:w="2040" w:type="dxa"/>
            <w:vAlign w:val="bottom"/>
            <w:shd w:val="clear" w:color="auto" w:fill="255993"/>
          </w:tcPr>
          <w:p>
            <w:pPr>
              <w:ind w:left="140"/>
              <w:spacing w:after="0"/>
              <w:rPr>
                <w:sz w:val="20"/>
                <w:szCs w:val="20"/>
                <w:color w:val="auto"/>
              </w:rPr>
            </w:pPr>
            <w:r>
              <w:rPr>
                <w:rFonts w:ascii="Arial" w:cs="Arial" w:eastAsia="Arial" w:hAnsi="Arial"/>
                <w:sz w:val="16"/>
                <w:szCs w:val="16"/>
                <w:b w:val="1"/>
                <w:bCs w:val="1"/>
                <w:color w:val="FFFFFF"/>
              </w:rPr>
              <w:t>Board</w:t>
            </w:r>
          </w:p>
        </w:tc>
        <w:tc>
          <w:tcPr>
            <w:tcW w:w="1220" w:type="dxa"/>
            <w:vAlign w:val="bottom"/>
            <w:gridSpan w:val="3"/>
            <w:shd w:val="clear" w:color="auto" w:fill="255993"/>
          </w:tcPr>
          <w:p>
            <w:pPr>
              <w:jc w:val="center"/>
              <w:ind w:right="100"/>
              <w:spacing w:after="0"/>
              <w:rPr>
                <w:sz w:val="20"/>
                <w:szCs w:val="20"/>
                <w:color w:val="auto"/>
              </w:rPr>
            </w:pPr>
            <w:r>
              <w:rPr>
                <w:rFonts w:ascii="Arial" w:cs="Arial" w:eastAsia="Arial" w:hAnsi="Arial"/>
                <w:sz w:val="16"/>
                <w:szCs w:val="16"/>
                <w:b w:val="1"/>
                <w:bCs w:val="1"/>
                <w:color w:val="FFFFFF"/>
              </w:rPr>
              <w:t>Page</w:t>
            </w:r>
          </w:p>
        </w:tc>
        <w:tc>
          <w:tcPr>
            <w:tcW w:w="0" w:type="dxa"/>
            <w:vAlign w:val="bottom"/>
          </w:tcPr>
          <w:p>
            <w:pPr>
              <w:spacing w:after="0"/>
              <w:rPr>
                <w:sz w:val="1"/>
                <w:szCs w:val="1"/>
                <w:color w:val="auto"/>
              </w:rPr>
            </w:pPr>
          </w:p>
        </w:tc>
      </w:tr>
      <w:tr>
        <w:trPr>
          <w:trHeight w:val="223"/>
        </w:trPr>
        <w:tc>
          <w:tcPr>
            <w:tcW w:w="108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Proposal</w:t>
            </w:r>
          </w:p>
        </w:tc>
        <w:tc>
          <w:tcPr>
            <w:tcW w:w="3320" w:type="dxa"/>
            <w:vAlign w:val="bottom"/>
            <w:shd w:val="clear" w:color="auto" w:fill="255993"/>
          </w:tcPr>
          <w:p>
            <w:pPr>
              <w:spacing w:after="0"/>
              <w:rPr>
                <w:sz w:val="19"/>
                <w:szCs w:val="19"/>
                <w:color w:val="auto"/>
              </w:rPr>
            </w:pPr>
          </w:p>
        </w:tc>
        <w:tc>
          <w:tcPr>
            <w:tcW w:w="2040" w:type="dxa"/>
            <w:vAlign w:val="bottom"/>
            <w:shd w:val="clear" w:color="auto" w:fill="255993"/>
          </w:tcPr>
          <w:p>
            <w:pPr>
              <w:ind w:left="140"/>
              <w:spacing w:after="0"/>
              <w:rPr>
                <w:sz w:val="20"/>
                <w:szCs w:val="20"/>
                <w:color w:val="auto"/>
              </w:rPr>
            </w:pPr>
            <w:r>
              <w:rPr>
                <w:rFonts w:ascii="Arial" w:cs="Arial" w:eastAsia="Arial" w:hAnsi="Arial"/>
                <w:sz w:val="16"/>
                <w:szCs w:val="16"/>
                <w:b w:val="1"/>
                <w:bCs w:val="1"/>
                <w:color w:val="FFFFFF"/>
              </w:rPr>
              <w:t>Recommendation</w:t>
            </w:r>
          </w:p>
        </w:tc>
        <w:tc>
          <w:tcPr>
            <w:tcW w:w="1220" w:type="dxa"/>
            <w:vAlign w:val="bottom"/>
            <w:gridSpan w:val="3"/>
            <w:shd w:val="clear" w:color="auto" w:fill="255993"/>
          </w:tcPr>
          <w:p>
            <w:pPr>
              <w:jc w:val="center"/>
              <w:ind w:right="100"/>
              <w:spacing w:after="0"/>
              <w:rPr>
                <w:sz w:val="20"/>
                <w:szCs w:val="20"/>
                <w:color w:val="auto"/>
              </w:rPr>
            </w:pPr>
            <w:r>
              <w:rPr>
                <w:rFonts w:ascii="Arial" w:cs="Arial" w:eastAsia="Arial" w:hAnsi="Arial"/>
                <w:sz w:val="16"/>
                <w:szCs w:val="16"/>
                <w:b w:val="1"/>
                <w:bCs w:val="1"/>
                <w:color w:val="FFFFFF"/>
              </w:rPr>
              <w:t>Reference</w:t>
            </w:r>
          </w:p>
        </w:tc>
        <w:tc>
          <w:tcPr>
            <w:tcW w:w="0" w:type="dxa"/>
            <w:vAlign w:val="bottom"/>
          </w:tcPr>
          <w:p>
            <w:pPr>
              <w:spacing w:after="0"/>
              <w:rPr>
                <w:sz w:val="1"/>
                <w:szCs w:val="1"/>
                <w:color w:val="auto"/>
              </w:rPr>
            </w:pPr>
          </w:p>
        </w:tc>
      </w:tr>
      <w:tr>
        <w:trPr>
          <w:trHeight w:val="129"/>
        </w:trPr>
        <w:tc>
          <w:tcPr>
            <w:tcW w:w="1080" w:type="dxa"/>
            <w:vAlign w:val="bottom"/>
            <w:shd w:val="clear" w:color="auto" w:fill="255993"/>
          </w:tcPr>
          <w:p>
            <w:pPr>
              <w:spacing w:after="0"/>
              <w:rPr>
                <w:sz w:val="11"/>
                <w:szCs w:val="11"/>
                <w:color w:val="auto"/>
              </w:rPr>
            </w:pPr>
          </w:p>
        </w:tc>
        <w:tc>
          <w:tcPr>
            <w:tcW w:w="3320" w:type="dxa"/>
            <w:vAlign w:val="bottom"/>
            <w:shd w:val="clear" w:color="auto" w:fill="255993"/>
          </w:tcPr>
          <w:p>
            <w:pPr>
              <w:spacing w:after="0"/>
              <w:rPr>
                <w:sz w:val="11"/>
                <w:szCs w:val="11"/>
                <w:color w:val="auto"/>
              </w:rPr>
            </w:pPr>
          </w:p>
        </w:tc>
        <w:tc>
          <w:tcPr>
            <w:tcW w:w="2040" w:type="dxa"/>
            <w:vAlign w:val="bottom"/>
            <w:shd w:val="clear" w:color="auto" w:fill="255993"/>
          </w:tcPr>
          <w:p>
            <w:pPr>
              <w:spacing w:after="0"/>
              <w:rPr>
                <w:sz w:val="11"/>
                <w:szCs w:val="11"/>
                <w:color w:val="auto"/>
              </w:rPr>
            </w:pPr>
          </w:p>
        </w:tc>
        <w:tc>
          <w:tcPr>
            <w:tcW w:w="480" w:type="dxa"/>
            <w:vAlign w:val="bottom"/>
            <w:shd w:val="clear" w:color="auto" w:fill="255993"/>
          </w:tcPr>
          <w:p>
            <w:pPr>
              <w:spacing w:after="0"/>
              <w:rPr>
                <w:sz w:val="11"/>
                <w:szCs w:val="11"/>
                <w:color w:val="auto"/>
              </w:rPr>
            </w:pPr>
          </w:p>
        </w:tc>
        <w:tc>
          <w:tcPr>
            <w:tcW w:w="160" w:type="dxa"/>
            <w:vAlign w:val="bottom"/>
            <w:shd w:val="clear" w:color="auto" w:fill="255993"/>
          </w:tcPr>
          <w:p>
            <w:pPr>
              <w:spacing w:after="0"/>
              <w:rPr>
                <w:sz w:val="11"/>
                <w:szCs w:val="11"/>
                <w:color w:val="auto"/>
              </w:rPr>
            </w:pPr>
          </w:p>
        </w:tc>
        <w:tc>
          <w:tcPr>
            <w:tcW w:w="580" w:type="dxa"/>
            <w:vAlign w:val="bottom"/>
            <w:shd w:val="clear" w:color="auto" w:fill="255993"/>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080" w:type="dxa"/>
            <w:vAlign w:val="bottom"/>
            <w:vMerge w:val="restart"/>
            <w:shd w:val="clear" w:color="auto" w:fill="EBEBEB"/>
          </w:tcPr>
          <w:p>
            <w:pPr>
              <w:jc w:val="center"/>
              <w:spacing w:after="0"/>
              <w:rPr>
                <w:sz w:val="20"/>
                <w:szCs w:val="20"/>
                <w:color w:val="auto"/>
              </w:rPr>
            </w:pPr>
            <w:r>
              <w:rPr>
                <w:rFonts w:ascii="Times New Roman" w:cs="Times New Roman" w:eastAsia="Times New Roman" w:hAnsi="Times New Roman"/>
                <w:sz w:val="58"/>
                <w:szCs w:val="58"/>
                <w:color w:val="255993"/>
                <w:w w:val="96"/>
              </w:rPr>
              <w:t>1</w:t>
            </w:r>
          </w:p>
        </w:tc>
        <w:tc>
          <w:tcPr>
            <w:tcW w:w="3320" w:type="dxa"/>
            <w:vAlign w:val="bottom"/>
            <w:shd w:val="clear" w:color="auto" w:fill="EBEBEB"/>
          </w:tcPr>
          <w:p>
            <w:pPr>
              <w:ind w:left="40"/>
              <w:spacing w:after="0"/>
              <w:rPr>
                <w:sz w:val="20"/>
                <w:szCs w:val="20"/>
                <w:color w:val="auto"/>
              </w:rPr>
            </w:pPr>
            <w:r>
              <w:rPr>
                <w:rFonts w:ascii="Arial" w:cs="Arial" w:eastAsia="Arial" w:hAnsi="Arial"/>
                <w:sz w:val="14"/>
                <w:szCs w:val="14"/>
                <w:color w:val="auto"/>
              </w:rPr>
              <w:t>To elect three Class II directors of the Company,</w:t>
            </w:r>
          </w:p>
        </w:tc>
        <w:tc>
          <w:tcPr>
            <w:tcW w:w="2040" w:type="dxa"/>
            <w:vAlign w:val="bottom"/>
            <w:vMerge w:val="restart"/>
            <w:shd w:val="clear" w:color="auto" w:fill="EBEBEB"/>
          </w:tcPr>
          <w:p>
            <w:pPr>
              <w:ind w:left="140"/>
              <w:spacing w:after="0"/>
              <w:rPr>
                <w:sz w:val="20"/>
                <w:szCs w:val="20"/>
                <w:color w:val="auto"/>
              </w:rPr>
            </w:pPr>
            <w:r>
              <w:rPr>
                <w:rFonts w:ascii="Arial" w:cs="Arial" w:eastAsia="Arial" w:hAnsi="Arial"/>
                <w:sz w:val="14"/>
                <w:szCs w:val="14"/>
                <w:b w:val="1"/>
                <w:bCs w:val="1"/>
                <w:color w:val="255993"/>
              </w:rPr>
              <w:t xml:space="preserve">“FOR” </w:t>
            </w:r>
            <w:r>
              <w:rPr>
                <w:rFonts w:ascii="Arial" w:cs="Arial" w:eastAsia="Arial" w:hAnsi="Arial"/>
                <w:sz w:val="14"/>
                <w:szCs w:val="14"/>
                <w:color w:val="000000"/>
              </w:rPr>
              <w:t>the election of each</w:t>
            </w:r>
          </w:p>
        </w:tc>
        <w:tc>
          <w:tcPr>
            <w:tcW w:w="480" w:type="dxa"/>
            <w:vAlign w:val="bottom"/>
            <w:shd w:val="clear" w:color="auto" w:fill="EBEBEB"/>
          </w:tcPr>
          <w:p>
            <w:pPr>
              <w:spacing w:after="0"/>
              <w:rPr>
                <w:sz w:val="24"/>
                <w:szCs w:val="24"/>
                <w:color w:val="auto"/>
              </w:rPr>
            </w:pPr>
          </w:p>
        </w:tc>
        <w:tc>
          <w:tcPr>
            <w:tcW w:w="160" w:type="dxa"/>
            <w:vAlign w:val="bottom"/>
            <w:shd w:val="clear" w:color="auto" w:fill="EBEBEB"/>
          </w:tcPr>
          <w:p>
            <w:pPr>
              <w:spacing w:after="0"/>
              <w:rPr>
                <w:sz w:val="24"/>
                <w:szCs w:val="24"/>
                <w:color w:val="auto"/>
              </w:rPr>
            </w:pPr>
          </w:p>
        </w:tc>
        <w:tc>
          <w:tcPr>
            <w:tcW w:w="580" w:type="dxa"/>
            <w:vAlign w:val="bottom"/>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80" w:type="dxa"/>
            <w:vAlign w:val="bottom"/>
            <w:vMerge w:val="continue"/>
            <w:shd w:val="clear" w:color="auto" w:fill="EBEBEB"/>
          </w:tcPr>
          <w:p>
            <w:pPr>
              <w:spacing w:after="0"/>
              <w:rPr>
                <w:sz w:val="7"/>
                <w:szCs w:val="7"/>
                <w:color w:val="auto"/>
              </w:rPr>
            </w:pPr>
          </w:p>
        </w:tc>
        <w:tc>
          <w:tcPr>
            <w:tcW w:w="3320" w:type="dxa"/>
            <w:vAlign w:val="bottom"/>
            <w:vMerge w:val="restart"/>
            <w:shd w:val="clear" w:color="auto" w:fill="EBEBEB"/>
          </w:tcPr>
          <w:p>
            <w:pPr>
              <w:ind w:left="40"/>
              <w:spacing w:after="0"/>
              <w:rPr>
                <w:sz w:val="20"/>
                <w:szCs w:val="20"/>
                <w:color w:val="auto"/>
              </w:rPr>
            </w:pPr>
            <w:r>
              <w:rPr>
                <w:rFonts w:ascii="Arial" w:cs="Arial" w:eastAsia="Arial" w:hAnsi="Arial"/>
                <w:sz w:val="14"/>
                <w:szCs w:val="14"/>
                <w:color w:val="auto"/>
              </w:rPr>
              <w:t>each to serve for a term of three years and until</w:t>
            </w:r>
          </w:p>
        </w:tc>
        <w:tc>
          <w:tcPr>
            <w:tcW w:w="2040" w:type="dxa"/>
            <w:vAlign w:val="bottom"/>
            <w:vMerge w:val="continue"/>
            <w:shd w:val="clear" w:color="auto" w:fill="EBEBEB"/>
          </w:tcPr>
          <w:p>
            <w:pPr>
              <w:spacing w:after="0"/>
              <w:rPr>
                <w:sz w:val="7"/>
                <w:szCs w:val="7"/>
                <w:color w:val="auto"/>
              </w:rPr>
            </w:pPr>
          </w:p>
        </w:tc>
        <w:tc>
          <w:tcPr>
            <w:tcW w:w="480" w:type="dxa"/>
            <w:vAlign w:val="bottom"/>
            <w:shd w:val="clear" w:color="auto" w:fill="EBEBEB"/>
          </w:tcPr>
          <w:p>
            <w:pPr>
              <w:spacing w:after="0"/>
              <w:rPr>
                <w:sz w:val="7"/>
                <w:szCs w:val="7"/>
                <w:color w:val="auto"/>
              </w:rPr>
            </w:pPr>
          </w:p>
        </w:tc>
        <w:tc>
          <w:tcPr>
            <w:tcW w:w="160" w:type="dxa"/>
            <w:vAlign w:val="bottom"/>
            <w:shd w:val="clear" w:color="auto" w:fill="EBEBEB"/>
          </w:tcPr>
          <w:p>
            <w:pPr>
              <w:spacing w:after="0"/>
              <w:rPr>
                <w:sz w:val="7"/>
                <w:szCs w:val="7"/>
                <w:color w:val="auto"/>
              </w:rPr>
            </w:pPr>
          </w:p>
        </w:tc>
        <w:tc>
          <w:tcPr>
            <w:tcW w:w="580" w:type="dxa"/>
            <w:vAlign w:val="bottom"/>
            <w:shd w:val="clear" w:color="auto" w:fill="EBEBEB"/>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vMerge w:val="continue"/>
            <w:shd w:val="clear" w:color="auto" w:fill="EBEBEB"/>
          </w:tcPr>
          <w:p>
            <w:pPr>
              <w:spacing w:after="0"/>
              <w:rPr>
                <w:sz w:val="7"/>
                <w:szCs w:val="7"/>
                <w:color w:val="auto"/>
              </w:rPr>
            </w:pPr>
          </w:p>
        </w:tc>
        <w:tc>
          <w:tcPr>
            <w:tcW w:w="3320" w:type="dxa"/>
            <w:vAlign w:val="bottom"/>
            <w:vMerge w:val="continue"/>
            <w:shd w:val="clear" w:color="auto" w:fill="EBEBEB"/>
          </w:tcPr>
          <w:p>
            <w:pPr>
              <w:spacing w:after="0"/>
              <w:rPr>
                <w:sz w:val="7"/>
                <w:szCs w:val="7"/>
                <w:color w:val="auto"/>
              </w:rPr>
            </w:pPr>
          </w:p>
        </w:tc>
        <w:tc>
          <w:tcPr>
            <w:tcW w:w="2040" w:type="dxa"/>
            <w:vAlign w:val="bottom"/>
            <w:vMerge w:val="restart"/>
            <w:shd w:val="clear" w:color="auto" w:fill="EBEBEB"/>
          </w:tcPr>
          <w:p>
            <w:pPr>
              <w:ind w:left="140"/>
              <w:spacing w:after="0" w:line="158" w:lineRule="exact"/>
              <w:rPr>
                <w:sz w:val="20"/>
                <w:szCs w:val="20"/>
                <w:color w:val="auto"/>
              </w:rPr>
            </w:pPr>
            <w:r>
              <w:rPr>
                <w:rFonts w:ascii="Arial" w:cs="Arial" w:eastAsia="Arial" w:hAnsi="Arial"/>
                <w:sz w:val="14"/>
                <w:szCs w:val="14"/>
                <w:color w:val="auto"/>
              </w:rPr>
              <w:t>Class II director nominee</w:t>
            </w:r>
          </w:p>
        </w:tc>
        <w:tc>
          <w:tcPr>
            <w:tcW w:w="1220" w:type="dxa"/>
            <w:vAlign w:val="bottom"/>
            <w:gridSpan w:val="3"/>
            <w:vMerge w:val="restart"/>
            <w:shd w:val="clear" w:color="auto" w:fill="EBEBEB"/>
          </w:tcPr>
          <w:p>
            <w:pPr>
              <w:jc w:val="center"/>
              <w:ind w:right="100"/>
              <w:spacing w:after="0" w:line="158" w:lineRule="exact"/>
              <w:rPr>
                <w:sz w:val="20"/>
                <w:szCs w:val="20"/>
                <w:color w:val="auto"/>
              </w:rPr>
            </w:pPr>
            <w:r>
              <w:rPr>
                <w:rFonts w:ascii="Arial" w:cs="Arial" w:eastAsia="Arial" w:hAnsi="Arial"/>
                <w:sz w:val="14"/>
                <w:szCs w:val="14"/>
                <w:color w:val="0000EE"/>
              </w:rPr>
              <w:t>23</w:t>
            </w:r>
          </w:p>
        </w:tc>
        <w:tc>
          <w:tcPr>
            <w:tcW w:w="0" w:type="dxa"/>
            <w:vAlign w:val="bottom"/>
          </w:tcPr>
          <w:p>
            <w:pPr>
              <w:spacing w:after="0"/>
              <w:rPr>
                <w:sz w:val="1"/>
                <w:szCs w:val="1"/>
                <w:color w:val="auto"/>
              </w:rPr>
            </w:pPr>
          </w:p>
        </w:tc>
      </w:tr>
      <w:tr>
        <w:trPr>
          <w:trHeight w:val="77"/>
        </w:trPr>
        <w:tc>
          <w:tcPr>
            <w:tcW w:w="1080" w:type="dxa"/>
            <w:vAlign w:val="bottom"/>
            <w:vMerge w:val="continue"/>
            <w:shd w:val="clear" w:color="auto" w:fill="EBEBEB"/>
          </w:tcPr>
          <w:p>
            <w:pPr>
              <w:spacing w:after="0"/>
              <w:rPr>
                <w:sz w:val="6"/>
                <w:szCs w:val="6"/>
                <w:color w:val="auto"/>
              </w:rPr>
            </w:pPr>
          </w:p>
        </w:tc>
        <w:tc>
          <w:tcPr>
            <w:tcW w:w="3320" w:type="dxa"/>
            <w:vAlign w:val="bottom"/>
            <w:vMerge w:val="restart"/>
            <w:shd w:val="clear" w:color="auto" w:fill="EBEBEB"/>
          </w:tcPr>
          <w:p>
            <w:pPr>
              <w:ind w:left="40"/>
              <w:spacing w:after="0"/>
              <w:rPr>
                <w:sz w:val="20"/>
                <w:szCs w:val="20"/>
                <w:color w:val="auto"/>
              </w:rPr>
            </w:pPr>
            <w:r>
              <w:rPr>
                <w:rFonts w:ascii="Arial" w:cs="Arial" w:eastAsia="Arial" w:hAnsi="Arial"/>
                <w:sz w:val="14"/>
                <w:szCs w:val="14"/>
                <w:color w:val="auto"/>
              </w:rPr>
              <w:t>his respective successor is elected and qualified,</w:t>
            </w:r>
          </w:p>
        </w:tc>
        <w:tc>
          <w:tcPr>
            <w:tcW w:w="2040" w:type="dxa"/>
            <w:vAlign w:val="bottom"/>
            <w:vMerge w:val="continue"/>
            <w:shd w:val="clear" w:color="auto" w:fill="EBEBEB"/>
          </w:tcPr>
          <w:p>
            <w:pPr>
              <w:spacing w:after="0"/>
              <w:rPr>
                <w:sz w:val="6"/>
                <w:szCs w:val="6"/>
                <w:color w:val="auto"/>
              </w:rPr>
            </w:pPr>
          </w:p>
        </w:tc>
        <w:tc>
          <w:tcPr>
            <w:tcW w:w="1220" w:type="dxa"/>
            <w:vAlign w:val="bottom"/>
            <w:gridSpan w:val="3"/>
            <w:vMerge w:val="continue"/>
            <w:shd w:val="clear" w:color="auto" w:fill="EBEBEB"/>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080" w:type="dxa"/>
            <w:vAlign w:val="bottom"/>
            <w:tcBorders>
              <w:top w:val="single" w:sz="8" w:color="EBEBEB"/>
            </w:tcBorders>
            <w:vMerge w:val="continue"/>
            <w:shd w:val="clear" w:color="auto" w:fill="EBEBEB"/>
          </w:tcPr>
          <w:p>
            <w:pPr>
              <w:spacing w:after="0"/>
              <w:rPr>
                <w:sz w:val="5"/>
                <w:szCs w:val="5"/>
                <w:color w:val="auto"/>
              </w:rPr>
            </w:pPr>
          </w:p>
        </w:tc>
        <w:tc>
          <w:tcPr>
            <w:tcW w:w="3320" w:type="dxa"/>
            <w:vAlign w:val="bottom"/>
            <w:tcBorders>
              <w:top w:val="single" w:sz="8" w:color="EBEBEB"/>
            </w:tcBorders>
            <w:vMerge w:val="continue"/>
            <w:shd w:val="clear" w:color="auto" w:fill="EBEBEB"/>
          </w:tcPr>
          <w:p>
            <w:pPr>
              <w:spacing w:after="0"/>
              <w:rPr>
                <w:sz w:val="5"/>
                <w:szCs w:val="5"/>
                <w:color w:val="auto"/>
              </w:rPr>
            </w:pPr>
          </w:p>
        </w:tc>
        <w:tc>
          <w:tcPr>
            <w:tcW w:w="2040" w:type="dxa"/>
            <w:vAlign w:val="bottom"/>
            <w:tcBorders>
              <w:top w:val="single" w:sz="8" w:color="EBEBEB"/>
            </w:tcBorders>
            <w:vMerge w:val="restart"/>
            <w:shd w:val="clear" w:color="auto" w:fill="EBEBEB"/>
          </w:tcPr>
          <w:p>
            <w:pPr>
              <w:ind w:left="140"/>
              <w:spacing w:after="0"/>
              <w:rPr>
                <w:sz w:val="20"/>
                <w:szCs w:val="20"/>
                <w:color w:val="auto"/>
              </w:rPr>
            </w:pPr>
            <w:r>
              <w:rPr>
                <w:rFonts w:ascii="Arial" w:cs="Arial" w:eastAsia="Arial" w:hAnsi="Arial"/>
                <w:sz w:val="14"/>
                <w:szCs w:val="14"/>
                <w:color w:val="auto"/>
              </w:rPr>
              <w:t>named</w:t>
            </w:r>
          </w:p>
        </w:tc>
        <w:tc>
          <w:tcPr>
            <w:tcW w:w="480" w:type="dxa"/>
            <w:vAlign w:val="bottom"/>
            <w:tcBorders>
              <w:top w:val="single" w:sz="8" w:color="EBEBEB"/>
            </w:tcBorders>
            <w:shd w:val="clear" w:color="auto" w:fill="EBEBEB"/>
          </w:tcPr>
          <w:p>
            <w:pPr>
              <w:spacing w:after="0"/>
              <w:rPr>
                <w:sz w:val="5"/>
                <w:szCs w:val="5"/>
                <w:color w:val="auto"/>
              </w:rPr>
            </w:pPr>
          </w:p>
        </w:tc>
        <w:tc>
          <w:tcPr>
            <w:tcW w:w="160" w:type="dxa"/>
            <w:vAlign w:val="bottom"/>
            <w:tcBorders>
              <w:top w:val="single" w:sz="8" w:color="0000EE"/>
            </w:tcBorders>
            <w:shd w:val="clear" w:color="auto" w:fill="EBEBEB"/>
          </w:tcPr>
          <w:p>
            <w:pPr>
              <w:spacing w:after="0"/>
              <w:rPr>
                <w:sz w:val="5"/>
                <w:szCs w:val="5"/>
                <w:color w:val="auto"/>
              </w:rPr>
            </w:pPr>
          </w:p>
        </w:tc>
        <w:tc>
          <w:tcPr>
            <w:tcW w:w="580" w:type="dxa"/>
            <w:vAlign w:val="bottom"/>
            <w:tcBorders>
              <w:top w:val="single" w:sz="8" w:color="EBEBEB"/>
            </w:tcBorders>
            <w:shd w:val="clear" w:color="auto" w:fill="EBEBEB"/>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1080" w:type="dxa"/>
            <w:vAlign w:val="bottom"/>
            <w:vMerge w:val="continue"/>
            <w:shd w:val="clear" w:color="auto" w:fill="EBEBEB"/>
          </w:tcPr>
          <w:p>
            <w:pPr>
              <w:spacing w:after="0"/>
              <w:rPr>
                <w:sz w:val="9"/>
                <w:szCs w:val="9"/>
                <w:color w:val="auto"/>
              </w:rPr>
            </w:pPr>
          </w:p>
        </w:tc>
        <w:tc>
          <w:tcPr>
            <w:tcW w:w="3320" w:type="dxa"/>
            <w:vAlign w:val="bottom"/>
            <w:vMerge w:val="restart"/>
            <w:shd w:val="clear" w:color="auto" w:fill="EBEBEB"/>
          </w:tcPr>
          <w:p>
            <w:pPr>
              <w:ind w:left="40"/>
              <w:spacing w:after="0"/>
              <w:rPr>
                <w:sz w:val="20"/>
                <w:szCs w:val="20"/>
                <w:color w:val="auto"/>
              </w:rPr>
            </w:pPr>
            <w:r>
              <w:rPr>
                <w:rFonts w:ascii="Arial" w:cs="Arial" w:eastAsia="Arial" w:hAnsi="Arial"/>
                <w:sz w:val="14"/>
                <w:szCs w:val="14"/>
                <w:color w:val="auto"/>
              </w:rPr>
              <w:t>or until his earlier death, resignation or removal.</w:t>
            </w:r>
          </w:p>
        </w:tc>
        <w:tc>
          <w:tcPr>
            <w:tcW w:w="2040" w:type="dxa"/>
            <w:vAlign w:val="bottom"/>
            <w:vMerge w:val="continue"/>
            <w:shd w:val="clear" w:color="auto" w:fill="EBEBEB"/>
          </w:tcPr>
          <w:p>
            <w:pPr>
              <w:spacing w:after="0"/>
              <w:rPr>
                <w:sz w:val="9"/>
                <w:szCs w:val="9"/>
                <w:color w:val="auto"/>
              </w:rPr>
            </w:pPr>
          </w:p>
        </w:tc>
        <w:tc>
          <w:tcPr>
            <w:tcW w:w="480" w:type="dxa"/>
            <w:vAlign w:val="bottom"/>
            <w:shd w:val="clear" w:color="auto" w:fill="EBEBEB"/>
          </w:tcPr>
          <w:p>
            <w:pPr>
              <w:spacing w:after="0"/>
              <w:rPr>
                <w:sz w:val="9"/>
                <w:szCs w:val="9"/>
                <w:color w:val="auto"/>
              </w:rPr>
            </w:pPr>
          </w:p>
        </w:tc>
        <w:tc>
          <w:tcPr>
            <w:tcW w:w="160" w:type="dxa"/>
            <w:vAlign w:val="bottom"/>
            <w:shd w:val="clear" w:color="auto" w:fill="EBEBEB"/>
          </w:tcPr>
          <w:p>
            <w:pPr>
              <w:spacing w:after="0"/>
              <w:rPr>
                <w:sz w:val="9"/>
                <w:szCs w:val="9"/>
                <w:color w:val="auto"/>
              </w:rPr>
            </w:pPr>
          </w:p>
        </w:tc>
        <w:tc>
          <w:tcPr>
            <w:tcW w:w="580" w:type="dxa"/>
            <w:vAlign w:val="bottom"/>
            <w:shd w:val="clear" w:color="auto" w:fill="EBEBEB"/>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080" w:type="dxa"/>
            <w:vAlign w:val="bottom"/>
            <w:vMerge w:val="continue"/>
            <w:shd w:val="clear" w:color="auto" w:fill="EBEBEB"/>
          </w:tcPr>
          <w:p>
            <w:pPr>
              <w:spacing w:after="0"/>
              <w:rPr>
                <w:sz w:val="13"/>
                <w:szCs w:val="13"/>
                <w:color w:val="auto"/>
              </w:rPr>
            </w:pPr>
          </w:p>
        </w:tc>
        <w:tc>
          <w:tcPr>
            <w:tcW w:w="3320" w:type="dxa"/>
            <w:vAlign w:val="bottom"/>
            <w:vMerge w:val="continue"/>
            <w:shd w:val="clear" w:color="auto" w:fill="EBEBEB"/>
          </w:tcPr>
          <w:p>
            <w:pPr>
              <w:spacing w:after="0"/>
              <w:rPr>
                <w:sz w:val="13"/>
                <w:szCs w:val="13"/>
                <w:color w:val="auto"/>
              </w:rPr>
            </w:pPr>
          </w:p>
        </w:tc>
        <w:tc>
          <w:tcPr>
            <w:tcW w:w="2040" w:type="dxa"/>
            <w:vAlign w:val="bottom"/>
            <w:shd w:val="clear" w:color="auto" w:fill="EBEBEB"/>
          </w:tcPr>
          <w:p>
            <w:pPr>
              <w:spacing w:after="0"/>
              <w:rPr>
                <w:sz w:val="13"/>
                <w:szCs w:val="13"/>
                <w:color w:val="auto"/>
              </w:rPr>
            </w:pPr>
          </w:p>
        </w:tc>
        <w:tc>
          <w:tcPr>
            <w:tcW w:w="480" w:type="dxa"/>
            <w:vAlign w:val="bottom"/>
            <w:shd w:val="clear" w:color="auto" w:fill="EBEBEB"/>
          </w:tcPr>
          <w:p>
            <w:pPr>
              <w:spacing w:after="0"/>
              <w:rPr>
                <w:sz w:val="13"/>
                <w:szCs w:val="13"/>
                <w:color w:val="auto"/>
              </w:rPr>
            </w:pPr>
          </w:p>
        </w:tc>
        <w:tc>
          <w:tcPr>
            <w:tcW w:w="160" w:type="dxa"/>
            <w:vAlign w:val="bottom"/>
            <w:shd w:val="clear" w:color="auto" w:fill="EBEBEB"/>
          </w:tcPr>
          <w:p>
            <w:pPr>
              <w:spacing w:after="0"/>
              <w:rPr>
                <w:sz w:val="13"/>
                <w:szCs w:val="13"/>
                <w:color w:val="auto"/>
              </w:rPr>
            </w:pPr>
          </w:p>
        </w:tc>
        <w:tc>
          <w:tcPr>
            <w:tcW w:w="580" w:type="dxa"/>
            <w:vAlign w:val="bottom"/>
            <w:shd w:val="clear" w:color="auto" w:fill="EBEBEB"/>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080" w:type="dxa"/>
            <w:vAlign w:val="bottom"/>
            <w:shd w:val="clear" w:color="auto" w:fill="EBEBEB"/>
          </w:tcPr>
          <w:p>
            <w:pPr>
              <w:spacing w:after="0"/>
              <w:rPr>
                <w:sz w:val="9"/>
                <w:szCs w:val="9"/>
                <w:color w:val="auto"/>
              </w:rPr>
            </w:pPr>
          </w:p>
        </w:tc>
        <w:tc>
          <w:tcPr>
            <w:tcW w:w="3320" w:type="dxa"/>
            <w:vAlign w:val="bottom"/>
            <w:shd w:val="clear" w:color="auto" w:fill="EBEBEB"/>
          </w:tcPr>
          <w:p>
            <w:pPr>
              <w:spacing w:after="0"/>
              <w:rPr>
                <w:sz w:val="9"/>
                <w:szCs w:val="9"/>
                <w:color w:val="auto"/>
              </w:rPr>
            </w:pPr>
          </w:p>
        </w:tc>
        <w:tc>
          <w:tcPr>
            <w:tcW w:w="2040" w:type="dxa"/>
            <w:vAlign w:val="bottom"/>
            <w:shd w:val="clear" w:color="auto" w:fill="EBEBEB"/>
          </w:tcPr>
          <w:p>
            <w:pPr>
              <w:spacing w:after="0"/>
              <w:rPr>
                <w:sz w:val="9"/>
                <w:szCs w:val="9"/>
                <w:color w:val="auto"/>
              </w:rPr>
            </w:pPr>
          </w:p>
        </w:tc>
        <w:tc>
          <w:tcPr>
            <w:tcW w:w="480" w:type="dxa"/>
            <w:vAlign w:val="bottom"/>
            <w:shd w:val="clear" w:color="auto" w:fill="EBEBEB"/>
          </w:tcPr>
          <w:p>
            <w:pPr>
              <w:spacing w:after="0"/>
              <w:rPr>
                <w:sz w:val="9"/>
                <w:szCs w:val="9"/>
                <w:color w:val="auto"/>
              </w:rPr>
            </w:pPr>
          </w:p>
        </w:tc>
        <w:tc>
          <w:tcPr>
            <w:tcW w:w="160" w:type="dxa"/>
            <w:vAlign w:val="bottom"/>
            <w:shd w:val="clear" w:color="auto" w:fill="EBEBEB"/>
          </w:tcPr>
          <w:p>
            <w:pPr>
              <w:spacing w:after="0"/>
              <w:rPr>
                <w:sz w:val="9"/>
                <w:szCs w:val="9"/>
                <w:color w:val="auto"/>
              </w:rPr>
            </w:pPr>
          </w:p>
        </w:tc>
        <w:tc>
          <w:tcPr>
            <w:tcW w:w="580" w:type="dxa"/>
            <w:vAlign w:val="bottom"/>
            <w:shd w:val="clear" w:color="auto" w:fill="EBEBEB"/>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1080" w:type="dxa"/>
            <w:vAlign w:val="bottom"/>
            <w:shd w:val="clear" w:color="auto" w:fill="FAFAFA"/>
          </w:tcPr>
          <w:p>
            <w:pPr>
              <w:spacing w:after="0"/>
              <w:rPr>
                <w:sz w:val="21"/>
                <w:szCs w:val="21"/>
                <w:color w:val="auto"/>
              </w:rPr>
            </w:pPr>
          </w:p>
        </w:tc>
        <w:tc>
          <w:tcPr>
            <w:tcW w:w="3320" w:type="dxa"/>
            <w:vAlign w:val="bottom"/>
            <w:shd w:val="clear" w:color="auto" w:fill="FAFAFA"/>
          </w:tcPr>
          <w:p>
            <w:pPr>
              <w:spacing w:after="0"/>
              <w:rPr>
                <w:sz w:val="21"/>
                <w:szCs w:val="21"/>
                <w:color w:val="auto"/>
              </w:rPr>
            </w:pPr>
          </w:p>
        </w:tc>
        <w:tc>
          <w:tcPr>
            <w:tcW w:w="2040" w:type="dxa"/>
            <w:vAlign w:val="bottom"/>
            <w:shd w:val="clear" w:color="auto" w:fill="FAFAFA"/>
          </w:tcPr>
          <w:p>
            <w:pPr>
              <w:ind w:left="140"/>
              <w:spacing w:after="0"/>
              <w:rPr>
                <w:sz w:val="20"/>
                <w:szCs w:val="20"/>
                <w:color w:val="auto"/>
              </w:rPr>
            </w:pPr>
            <w:r>
              <w:rPr>
                <w:rFonts w:ascii="Arial" w:cs="Arial" w:eastAsia="Arial" w:hAnsi="Arial"/>
                <w:sz w:val="14"/>
                <w:szCs w:val="14"/>
                <w:b w:val="1"/>
                <w:bCs w:val="1"/>
                <w:color w:val="255993"/>
              </w:rPr>
              <w:t xml:space="preserve">“FOR” </w:t>
            </w:r>
            <w:r>
              <w:rPr>
                <w:rFonts w:ascii="Arial" w:cs="Arial" w:eastAsia="Arial" w:hAnsi="Arial"/>
                <w:sz w:val="14"/>
                <w:szCs w:val="14"/>
                <w:color w:val="000000"/>
              </w:rPr>
              <w:t>the ratification of</w:t>
            </w:r>
          </w:p>
        </w:tc>
        <w:tc>
          <w:tcPr>
            <w:tcW w:w="480" w:type="dxa"/>
            <w:vAlign w:val="bottom"/>
            <w:shd w:val="clear" w:color="auto" w:fill="FAFAFA"/>
          </w:tcPr>
          <w:p>
            <w:pPr>
              <w:spacing w:after="0"/>
              <w:rPr>
                <w:sz w:val="21"/>
                <w:szCs w:val="21"/>
                <w:color w:val="auto"/>
              </w:rPr>
            </w:pPr>
          </w:p>
        </w:tc>
        <w:tc>
          <w:tcPr>
            <w:tcW w:w="160" w:type="dxa"/>
            <w:vAlign w:val="bottom"/>
            <w:shd w:val="clear" w:color="auto" w:fill="FAFAFA"/>
          </w:tcPr>
          <w:p>
            <w:pPr>
              <w:spacing w:after="0"/>
              <w:rPr>
                <w:sz w:val="21"/>
                <w:szCs w:val="21"/>
                <w:color w:val="auto"/>
              </w:rPr>
            </w:pPr>
          </w:p>
        </w:tc>
        <w:tc>
          <w:tcPr>
            <w:tcW w:w="580" w:type="dxa"/>
            <w:vAlign w:val="bottom"/>
            <w:shd w:val="clear" w:color="auto" w:fill="FAFAFA"/>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080" w:type="dxa"/>
            <w:vAlign w:val="bottom"/>
            <w:vMerge w:val="restart"/>
            <w:shd w:val="clear" w:color="auto" w:fill="FAFAFA"/>
          </w:tcPr>
          <w:p>
            <w:pPr>
              <w:jc w:val="center"/>
              <w:spacing w:after="0"/>
              <w:rPr>
                <w:sz w:val="20"/>
                <w:szCs w:val="20"/>
                <w:color w:val="auto"/>
              </w:rPr>
            </w:pPr>
            <w:r>
              <w:rPr>
                <w:rFonts w:ascii="Times New Roman" w:cs="Times New Roman" w:eastAsia="Times New Roman" w:hAnsi="Times New Roman"/>
                <w:sz w:val="58"/>
                <w:szCs w:val="58"/>
                <w:color w:val="F8991D"/>
                <w:w w:val="96"/>
              </w:rPr>
              <w:t>2</w:t>
            </w:r>
          </w:p>
        </w:tc>
        <w:tc>
          <w:tcPr>
            <w:tcW w:w="3320" w:type="dxa"/>
            <w:vAlign w:val="bottom"/>
            <w:vMerge w:val="restart"/>
            <w:shd w:val="clear" w:color="auto" w:fill="FAFAFA"/>
          </w:tcPr>
          <w:p>
            <w:pPr>
              <w:ind w:left="40"/>
              <w:spacing w:after="0"/>
              <w:rPr>
                <w:sz w:val="20"/>
                <w:szCs w:val="20"/>
                <w:color w:val="auto"/>
              </w:rPr>
            </w:pPr>
            <w:r>
              <w:rPr>
                <w:rFonts w:ascii="Arial" w:cs="Arial" w:eastAsia="Arial" w:hAnsi="Arial"/>
                <w:sz w:val="14"/>
                <w:szCs w:val="14"/>
                <w:color w:val="auto"/>
              </w:rPr>
              <w:t>To ratify the appointment of Ernst &amp; Young LLP</w:t>
            </w:r>
          </w:p>
        </w:tc>
        <w:tc>
          <w:tcPr>
            <w:tcW w:w="2040" w:type="dxa"/>
            <w:vAlign w:val="bottom"/>
            <w:shd w:val="clear" w:color="auto" w:fill="FAFAFA"/>
          </w:tcPr>
          <w:p>
            <w:pPr>
              <w:ind w:left="140"/>
              <w:spacing w:after="0"/>
              <w:rPr>
                <w:sz w:val="20"/>
                <w:szCs w:val="20"/>
                <w:color w:val="auto"/>
              </w:rPr>
            </w:pPr>
            <w:r>
              <w:rPr>
                <w:rFonts w:ascii="Arial" w:cs="Arial" w:eastAsia="Arial" w:hAnsi="Arial"/>
                <w:sz w:val="14"/>
                <w:szCs w:val="14"/>
                <w:color w:val="auto"/>
              </w:rPr>
              <w:t>the appointment of Ernst &amp;</w:t>
            </w:r>
          </w:p>
        </w:tc>
        <w:tc>
          <w:tcPr>
            <w:tcW w:w="480" w:type="dxa"/>
            <w:vAlign w:val="bottom"/>
            <w:shd w:val="clear" w:color="auto" w:fill="FAFAFA"/>
          </w:tcPr>
          <w:p>
            <w:pPr>
              <w:spacing w:after="0"/>
              <w:rPr>
                <w:sz w:val="14"/>
                <w:szCs w:val="14"/>
                <w:color w:val="auto"/>
              </w:rPr>
            </w:pPr>
          </w:p>
        </w:tc>
        <w:tc>
          <w:tcPr>
            <w:tcW w:w="160" w:type="dxa"/>
            <w:vAlign w:val="bottom"/>
            <w:shd w:val="clear" w:color="auto" w:fill="FAFAFA"/>
          </w:tcPr>
          <w:p>
            <w:pPr>
              <w:spacing w:after="0"/>
              <w:rPr>
                <w:sz w:val="14"/>
                <w:szCs w:val="14"/>
                <w:color w:val="auto"/>
              </w:rPr>
            </w:pPr>
          </w:p>
        </w:tc>
        <w:tc>
          <w:tcPr>
            <w:tcW w:w="580" w:type="dxa"/>
            <w:vAlign w:val="bottom"/>
            <w:shd w:val="clear" w:color="auto" w:fill="FAFAFA"/>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080" w:type="dxa"/>
            <w:vAlign w:val="bottom"/>
            <w:vMerge w:val="continue"/>
            <w:shd w:val="clear" w:color="auto" w:fill="FAFAFA"/>
          </w:tcPr>
          <w:p>
            <w:pPr>
              <w:spacing w:after="0"/>
              <w:rPr>
                <w:sz w:val="7"/>
                <w:szCs w:val="7"/>
                <w:color w:val="auto"/>
              </w:rPr>
            </w:pPr>
          </w:p>
        </w:tc>
        <w:tc>
          <w:tcPr>
            <w:tcW w:w="3320" w:type="dxa"/>
            <w:vAlign w:val="bottom"/>
            <w:vMerge w:val="continue"/>
            <w:shd w:val="clear" w:color="auto" w:fill="FAFAFA"/>
          </w:tcPr>
          <w:p>
            <w:pPr>
              <w:spacing w:after="0"/>
              <w:rPr>
                <w:sz w:val="7"/>
                <w:szCs w:val="7"/>
                <w:color w:val="auto"/>
              </w:rPr>
            </w:pPr>
          </w:p>
        </w:tc>
        <w:tc>
          <w:tcPr>
            <w:tcW w:w="2040" w:type="dxa"/>
            <w:vAlign w:val="bottom"/>
            <w:vMerge w:val="restart"/>
            <w:shd w:val="clear" w:color="auto" w:fill="FAFAFA"/>
          </w:tcPr>
          <w:p>
            <w:pPr>
              <w:ind w:left="140"/>
              <w:spacing w:after="0"/>
              <w:rPr>
                <w:sz w:val="20"/>
                <w:szCs w:val="20"/>
                <w:color w:val="auto"/>
              </w:rPr>
            </w:pPr>
            <w:r>
              <w:rPr>
                <w:rFonts w:ascii="Arial" w:cs="Arial" w:eastAsia="Arial" w:hAnsi="Arial"/>
                <w:sz w:val="14"/>
                <w:szCs w:val="14"/>
                <w:color w:val="auto"/>
              </w:rPr>
              <w:t>Young LLP as our</w:t>
            </w:r>
          </w:p>
        </w:tc>
        <w:tc>
          <w:tcPr>
            <w:tcW w:w="480" w:type="dxa"/>
            <w:vAlign w:val="bottom"/>
            <w:shd w:val="clear" w:color="auto" w:fill="FAFAFA"/>
          </w:tcPr>
          <w:p>
            <w:pPr>
              <w:spacing w:after="0"/>
              <w:rPr>
                <w:sz w:val="7"/>
                <w:szCs w:val="7"/>
                <w:color w:val="auto"/>
              </w:rPr>
            </w:pPr>
          </w:p>
        </w:tc>
        <w:tc>
          <w:tcPr>
            <w:tcW w:w="160" w:type="dxa"/>
            <w:vAlign w:val="bottom"/>
            <w:shd w:val="clear" w:color="auto" w:fill="FAFAFA"/>
          </w:tcPr>
          <w:p>
            <w:pPr>
              <w:spacing w:after="0"/>
              <w:rPr>
                <w:sz w:val="7"/>
                <w:szCs w:val="7"/>
                <w:color w:val="auto"/>
              </w:rPr>
            </w:pPr>
          </w:p>
        </w:tc>
        <w:tc>
          <w:tcPr>
            <w:tcW w:w="580" w:type="dxa"/>
            <w:vAlign w:val="bottom"/>
            <w:shd w:val="clear" w:color="auto" w:fill="FAFAFA"/>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vMerge w:val="continue"/>
            <w:shd w:val="clear" w:color="auto" w:fill="FAFAFA"/>
          </w:tcPr>
          <w:p>
            <w:pPr>
              <w:spacing w:after="0"/>
              <w:rPr>
                <w:sz w:val="7"/>
                <w:szCs w:val="7"/>
                <w:color w:val="auto"/>
              </w:rPr>
            </w:pPr>
          </w:p>
        </w:tc>
        <w:tc>
          <w:tcPr>
            <w:tcW w:w="3320" w:type="dxa"/>
            <w:vAlign w:val="bottom"/>
            <w:vMerge w:val="restart"/>
            <w:shd w:val="clear" w:color="auto" w:fill="FAFAFA"/>
          </w:tcPr>
          <w:p>
            <w:pPr>
              <w:ind w:left="40"/>
              <w:spacing w:after="0"/>
              <w:rPr>
                <w:sz w:val="20"/>
                <w:szCs w:val="20"/>
                <w:color w:val="auto"/>
              </w:rPr>
            </w:pPr>
            <w:r>
              <w:rPr>
                <w:rFonts w:ascii="Arial" w:cs="Arial" w:eastAsia="Arial" w:hAnsi="Arial"/>
                <w:sz w:val="14"/>
                <w:szCs w:val="14"/>
                <w:color w:val="auto"/>
              </w:rPr>
              <w:t>as the Company’s independent registered public</w:t>
            </w:r>
          </w:p>
        </w:tc>
        <w:tc>
          <w:tcPr>
            <w:tcW w:w="2040" w:type="dxa"/>
            <w:vAlign w:val="bottom"/>
            <w:vMerge w:val="continue"/>
            <w:shd w:val="clear" w:color="auto" w:fill="FAFAFA"/>
          </w:tcPr>
          <w:p>
            <w:pPr>
              <w:spacing w:after="0"/>
              <w:rPr>
                <w:sz w:val="7"/>
                <w:szCs w:val="7"/>
                <w:color w:val="auto"/>
              </w:rPr>
            </w:pPr>
          </w:p>
        </w:tc>
        <w:tc>
          <w:tcPr>
            <w:tcW w:w="480" w:type="dxa"/>
            <w:vAlign w:val="bottom"/>
            <w:shd w:val="clear" w:color="auto" w:fill="FAFAFA"/>
          </w:tcPr>
          <w:p>
            <w:pPr>
              <w:spacing w:after="0"/>
              <w:rPr>
                <w:sz w:val="7"/>
                <w:szCs w:val="7"/>
                <w:color w:val="auto"/>
              </w:rPr>
            </w:pPr>
          </w:p>
        </w:tc>
        <w:tc>
          <w:tcPr>
            <w:tcW w:w="160" w:type="dxa"/>
            <w:vAlign w:val="bottom"/>
            <w:shd w:val="clear" w:color="auto" w:fill="FAFAFA"/>
          </w:tcPr>
          <w:p>
            <w:pPr>
              <w:spacing w:after="0"/>
              <w:rPr>
                <w:sz w:val="7"/>
                <w:szCs w:val="7"/>
                <w:color w:val="auto"/>
              </w:rPr>
            </w:pPr>
          </w:p>
        </w:tc>
        <w:tc>
          <w:tcPr>
            <w:tcW w:w="580" w:type="dxa"/>
            <w:vAlign w:val="bottom"/>
            <w:shd w:val="clear" w:color="auto" w:fill="FAFAFA"/>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vMerge w:val="continue"/>
            <w:shd w:val="clear" w:color="auto" w:fill="FAFAFA"/>
          </w:tcPr>
          <w:p>
            <w:pPr>
              <w:spacing w:after="0"/>
              <w:rPr>
                <w:sz w:val="7"/>
                <w:szCs w:val="7"/>
                <w:color w:val="auto"/>
              </w:rPr>
            </w:pPr>
          </w:p>
        </w:tc>
        <w:tc>
          <w:tcPr>
            <w:tcW w:w="3320" w:type="dxa"/>
            <w:vAlign w:val="bottom"/>
            <w:vMerge w:val="continue"/>
            <w:shd w:val="clear" w:color="auto" w:fill="FAFAFA"/>
          </w:tcPr>
          <w:p>
            <w:pPr>
              <w:spacing w:after="0"/>
              <w:rPr>
                <w:sz w:val="7"/>
                <w:szCs w:val="7"/>
                <w:color w:val="auto"/>
              </w:rPr>
            </w:pPr>
          </w:p>
        </w:tc>
        <w:tc>
          <w:tcPr>
            <w:tcW w:w="2040" w:type="dxa"/>
            <w:vAlign w:val="bottom"/>
            <w:vMerge w:val="restart"/>
            <w:shd w:val="clear" w:color="auto" w:fill="FAFAFA"/>
          </w:tcPr>
          <w:p>
            <w:pPr>
              <w:ind w:left="140"/>
              <w:spacing w:after="0" w:line="158" w:lineRule="exact"/>
              <w:rPr>
                <w:sz w:val="20"/>
                <w:szCs w:val="20"/>
                <w:color w:val="auto"/>
              </w:rPr>
            </w:pPr>
            <w:r>
              <w:rPr>
                <w:rFonts w:ascii="Arial" w:cs="Arial" w:eastAsia="Arial" w:hAnsi="Arial"/>
                <w:sz w:val="14"/>
                <w:szCs w:val="14"/>
                <w:color w:val="auto"/>
              </w:rPr>
              <w:t>independent registered</w:t>
            </w:r>
          </w:p>
        </w:tc>
        <w:tc>
          <w:tcPr>
            <w:tcW w:w="1220" w:type="dxa"/>
            <w:vAlign w:val="bottom"/>
            <w:gridSpan w:val="3"/>
            <w:vMerge w:val="restart"/>
            <w:shd w:val="clear" w:color="auto" w:fill="FAFAFA"/>
          </w:tcPr>
          <w:p>
            <w:pPr>
              <w:jc w:val="center"/>
              <w:ind w:right="100"/>
              <w:spacing w:after="0" w:line="158" w:lineRule="exact"/>
              <w:rPr>
                <w:sz w:val="20"/>
                <w:szCs w:val="20"/>
                <w:color w:val="auto"/>
              </w:rPr>
            </w:pPr>
            <w:r>
              <w:rPr>
                <w:rFonts w:ascii="Arial" w:cs="Arial" w:eastAsia="Arial" w:hAnsi="Arial"/>
                <w:sz w:val="14"/>
                <w:szCs w:val="14"/>
                <w:color w:val="0000EE"/>
              </w:rPr>
              <w:t>24</w:t>
            </w:r>
          </w:p>
        </w:tc>
        <w:tc>
          <w:tcPr>
            <w:tcW w:w="0" w:type="dxa"/>
            <w:vAlign w:val="bottom"/>
          </w:tcPr>
          <w:p>
            <w:pPr>
              <w:spacing w:after="0"/>
              <w:rPr>
                <w:sz w:val="1"/>
                <w:szCs w:val="1"/>
                <w:color w:val="auto"/>
              </w:rPr>
            </w:pPr>
          </w:p>
        </w:tc>
      </w:tr>
      <w:tr>
        <w:trPr>
          <w:trHeight w:val="77"/>
        </w:trPr>
        <w:tc>
          <w:tcPr>
            <w:tcW w:w="1080" w:type="dxa"/>
            <w:vAlign w:val="bottom"/>
            <w:vMerge w:val="continue"/>
            <w:shd w:val="clear" w:color="auto" w:fill="FAFAFA"/>
          </w:tcPr>
          <w:p>
            <w:pPr>
              <w:spacing w:after="0"/>
              <w:rPr>
                <w:sz w:val="6"/>
                <w:szCs w:val="6"/>
                <w:color w:val="auto"/>
              </w:rPr>
            </w:pPr>
          </w:p>
        </w:tc>
        <w:tc>
          <w:tcPr>
            <w:tcW w:w="3320" w:type="dxa"/>
            <w:vAlign w:val="bottom"/>
            <w:vMerge w:val="restart"/>
            <w:shd w:val="clear" w:color="auto" w:fill="FAFAFA"/>
          </w:tcPr>
          <w:p>
            <w:pPr>
              <w:ind w:left="40"/>
              <w:spacing w:after="0"/>
              <w:rPr>
                <w:sz w:val="20"/>
                <w:szCs w:val="20"/>
                <w:color w:val="auto"/>
              </w:rPr>
            </w:pPr>
            <w:r>
              <w:rPr>
                <w:rFonts w:ascii="Arial" w:cs="Arial" w:eastAsia="Arial" w:hAnsi="Arial"/>
                <w:sz w:val="14"/>
                <w:szCs w:val="14"/>
                <w:color w:val="auto"/>
              </w:rPr>
              <w:t>accounting firm for its fiscal year ending</w:t>
            </w:r>
          </w:p>
        </w:tc>
        <w:tc>
          <w:tcPr>
            <w:tcW w:w="2040" w:type="dxa"/>
            <w:vAlign w:val="bottom"/>
            <w:vMerge w:val="continue"/>
            <w:shd w:val="clear" w:color="auto" w:fill="FAFAFA"/>
          </w:tcPr>
          <w:p>
            <w:pPr>
              <w:spacing w:after="0"/>
              <w:rPr>
                <w:sz w:val="6"/>
                <w:szCs w:val="6"/>
                <w:color w:val="auto"/>
              </w:rPr>
            </w:pPr>
          </w:p>
        </w:tc>
        <w:tc>
          <w:tcPr>
            <w:tcW w:w="1220" w:type="dxa"/>
            <w:vAlign w:val="bottom"/>
            <w:gridSpan w:val="3"/>
            <w:vMerge w:val="continue"/>
            <w:shd w:val="clear" w:color="auto" w:fill="FAFAFA"/>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080" w:type="dxa"/>
            <w:vAlign w:val="bottom"/>
            <w:tcBorders>
              <w:top w:val="single" w:sz="8" w:color="FAFAFA"/>
            </w:tcBorders>
            <w:vMerge w:val="continue"/>
            <w:shd w:val="clear" w:color="auto" w:fill="FAFAFA"/>
          </w:tcPr>
          <w:p>
            <w:pPr>
              <w:spacing w:after="0"/>
              <w:rPr>
                <w:sz w:val="5"/>
                <w:szCs w:val="5"/>
                <w:color w:val="auto"/>
              </w:rPr>
            </w:pPr>
          </w:p>
        </w:tc>
        <w:tc>
          <w:tcPr>
            <w:tcW w:w="3320" w:type="dxa"/>
            <w:vAlign w:val="bottom"/>
            <w:tcBorders>
              <w:top w:val="single" w:sz="8" w:color="FAFAFA"/>
            </w:tcBorders>
            <w:vMerge w:val="continue"/>
            <w:shd w:val="clear" w:color="auto" w:fill="FAFAFA"/>
          </w:tcPr>
          <w:p>
            <w:pPr>
              <w:spacing w:after="0"/>
              <w:rPr>
                <w:sz w:val="5"/>
                <w:szCs w:val="5"/>
                <w:color w:val="auto"/>
              </w:rPr>
            </w:pPr>
          </w:p>
        </w:tc>
        <w:tc>
          <w:tcPr>
            <w:tcW w:w="2040" w:type="dxa"/>
            <w:vAlign w:val="bottom"/>
            <w:tcBorders>
              <w:top w:val="single" w:sz="8" w:color="FAFAFA"/>
            </w:tcBorders>
            <w:vMerge w:val="restart"/>
            <w:shd w:val="clear" w:color="auto" w:fill="FAFAFA"/>
          </w:tcPr>
          <w:p>
            <w:pPr>
              <w:ind w:left="140"/>
              <w:spacing w:after="0" w:line="147" w:lineRule="exact"/>
              <w:rPr>
                <w:sz w:val="20"/>
                <w:szCs w:val="20"/>
                <w:color w:val="auto"/>
              </w:rPr>
            </w:pPr>
            <w:r>
              <w:rPr>
                <w:rFonts w:ascii="Arial" w:cs="Arial" w:eastAsia="Arial" w:hAnsi="Arial"/>
                <w:sz w:val="14"/>
                <w:szCs w:val="14"/>
                <w:color w:val="auto"/>
              </w:rPr>
              <w:t>public accounting firm for</w:t>
            </w:r>
          </w:p>
        </w:tc>
        <w:tc>
          <w:tcPr>
            <w:tcW w:w="480" w:type="dxa"/>
            <w:vAlign w:val="bottom"/>
            <w:tcBorders>
              <w:top w:val="single" w:sz="8" w:color="FAFAFA"/>
            </w:tcBorders>
            <w:shd w:val="clear" w:color="auto" w:fill="FAFAFA"/>
          </w:tcPr>
          <w:p>
            <w:pPr>
              <w:spacing w:after="0"/>
              <w:rPr>
                <w:sz w:val="5"/>
                <w:szCs w:val="5"/>
                <w:color w:val="auto"/>
              </w:rPr>
            </w:pPr>
          </w:p>
        </w:tc>
        <w:tc>
          <w:tcPr>
            <w:tcW w:w="160" w:type="dxa"/>
            <w:vAlign w:val="bottom"/>
            <w:tcBorders>
              <w:top w:val="single" w:sz="8" w:color="0000EE"/>
            </w:tcBorders>
            <w:shd w:val="clear" w:color="auto" w:fill="FAFAFA"/>
          </w:tcPr>
          <w:p>
            <w:pPr>
              <w:spacing w:after="0"/>
              <w:rPr>
                <w:sz w:val="5"/>
                <w:szCs w:val="5"/>
                <w:color w:val="auto"/>
              </w:rPr>
            </w:pPr>
          </w:p>
        </w:tc>
        <w:tc>
          <w:tcPr>
            <w:tcW w:w="580" w:type="dxa"/>
            <w:vAlign w:val="bottom"/>
            <w:tcBorders>
              <w:top w:val="single" w:sz="8" w:color="FAFAFA"/>
            </w:tcBorders>
            <w:shd w:val="clear" w:color="auto" w:fill="FAFAFA"/>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80" w:type="dxa"/>
            <w:vAlign w:val="bottom"/>
            <w:vMerge w:val="continue"/>
            <w:shd w:val="clear" w:color="auto" w:fill="FAFAFA"/>
          </w:tcPr>
          <w:p>
            <w:pPr>
              <w:spacing w:after="0"/>
              <w:rPr>
                <w:sz w:val="7"/>
                <w:szCs w:val="7"/>
                <w:color w:val="auto"/>
              </w:rPr>
            </w:pPr>
          </w:p>
        </w:tc>
        <w:tc>
          <w:tcPr>
            <w:tcW w:w="3320" w:type="dxa"/>
            <w:vAlign w:val="bottom"/>
            <w:vMerge w:val="restart"/>
            <w:shd w:val="clear" w:color="auto" w:fill="FAFAFA"/>
          </w:tcPr>
          <w:p>
            <w:pPr>
              <w:ind w:left="40"/>
              <w:spacing w:after="0"/>
              <w:rPr>
                <w:sz w:val="20"/>
                <w:szCs w:val="20"/>
                <w:color w:val="auto"/>
              </w:rPr>
            </w:pPr>
            <w:r>
              <w:rPr>
                <w:rFonts w:ascii="Arial" w:cs="Arial" w:eastAsia="Arial" w:hAnsi="Arial"/>
                <w:sz w:val="14"/>
                <w:szCs w:val="14"/>
                <w:color w:val="auto"/>
              </w:rPr>
              <w:t>December 31, 2025.</w:t>
            </w:r>
          </w:p>
        </w:tc>
        <w:tc>
          <w:tcPr>
            <w:tcW w:w="2040" w:type="dxa"/>
            <w:vAlign w:val="bottom"/>
            <w:vMerge w:val="continue"/>
            <w:shd w:val="clear" w:color="auto" w:fill="FAFAFA"/>
          </w:tcPr>
          <w:p>
            <w:pPr>
              <w:spacing w:after="0"/>
              <w:rPr>
                <w:sz w:val="7"/>
                <w:szCs w:val="7"/>
                <w:color w:val="auto"/>
              </w:rPr>
            </w:pPr>
          </w:p>
        </w:tc>
        <w:tc>
          <w:tcPr>
            <w:tcW w:w="480" w:type="dxa"/>
            <w:vAlign w:val="bottom"/>
            <w:shd w:val="clear" w:color="auto" w:fill="FAFAFA"/>
          </w:tcPr>
          <w:p>
            <w:pPr>
              <w:spacing w:after="0"/>
              <w:rPr>
                <w:sz w:val="7"/>
                <w:szCs w:val="7"/>
                <w:color w:val="auto"/>
              </w:rPr>
            </w:pPr>
          </w:p>
        </w:tc>
        <w:tc>
          <w:tcPr>
            <w:tcW w:w="160" w:type="dxa"/>
            <w:vAlign w:val="bottom"/>
            <w:shd w:val="clear" w:color="auto" w:fill="FAFAFA"/>
          </w:tcPr>
          <w:p>
            <w:pPr>
              <w:spacing w:after="0"/>
              <w:rPr>
                <w:sz w:val="7"/>
                <w:szCs w:val="7"/>
                <w:color w:val="auto"/>
              </w:rPr>
            </w:pPr>
          </w:p>
        </w:tc>
        <w:tc>
          <w:tcPr>
            <w:tcW w:w="580" w:type="dxa"/>
            <w:vAlign w:val="bottom"/>
            <w:shd w:val="clear" w:color="auto" w:fill="FAFAFA"/>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80" w:type="dxa"/>
            <w:vAlign w:val="bottom"/>
            <w:vMerge w:val="continue"/>
            <w:shd w:val="clear" w:color="auto" w:fill="FAFAFA"/>
          </w:tcPr>
          <w:p>
            <w:pPr>
              <w:spacing w:after="0"/>
              <w:rPr>
                <w:sz w:val="14"/>
                <w:szCs w:val="14"/>
                <w:color w:val="auto"/>
              </w:rPr>
            </w:pPr>
          </w:p>
        </w:tc>
        <w:tc>
          <w:tcPr>
            <w:tcW w:w="3320" w:type="dxa"/>
            <w:vAlign w:val="bottom"/>
            <w:vMerge w:val="continue"/>
            <w:shd w:val="clear" w:color="auto" w:fill="FAFAFA"/>
          </w:tcPr>
          <w:p>
            <w:pPr>
              <w:spacing w:after="0"/>
              <w:rPr>
                <w:sz w:val="14"/>
                <w:szCs w:val="14"/>
                <w:color w:val="auto"/>
              </w:rPr>
            </w:pPr>
          </w:p>
        </w:tc>
        <w:tc>
          <w:tcPr>
            <w:tcW w:w="2040" w:type="dxa"/>
            <w:vAlign w:val="bottom"/>
            <w:shd w:val="clear" w:color="auto" w:fill="FAFAFA"/>
          </w:tcPr>
          <w:p>
            <w:pPr>
              <w:ind w:left="140"/>
              <w:spacing w:after="0"/>
              <w:rPr>
                <w:sz w:val="20"/>
                <w:szCs w:val="20"/>
                <w:color w:val="auto"/>
              </w:rPr>
            </w:pPr>
            <w:r>
              <w:rPr>
                <w:rFonts w:ascii="Arial" w:cs="Arial" w:eastAsia="Arial" w:hAnsi="Arial"/>
                <w:sz w:val="14"/>
                <w:szCs w:val="14"/>
                <w:color w:val="auto"/>
              </w:rPr>
              <w:t>our fiscal year ending</w:t>
            </w:r>
          </w:p>
        </w:tc>
        <w:tc>
          <w:tcPr>
            <w:tcW w:w="480" w:type="dxa"/>
            <w:vAlign w:val="bottom"/>
            <w:shd w:val="clear" w:color="auto" w:fill="FAFAFA"/>
          </w:tcPr>
          <w:p>
            <w:pPr>
              <w:spacing w:after="0"/>
              <w:rPr>
                <w:sz w:val="14"/>
                <w:szCs w:val="14"/>
                <w:color w:val="auto"/>
              </w:rPr>
            </w:pPr>
          </w:p>
        </w:tc>
        <w:tc>
          <w:tcPr>
            <w:tcW w:w="160" w:type="dxa"/>
            <w:vAlign w:val="bottom"/>
            <w:shd w:val="clear" w:color="auto" w:fill="FAFAFA"/>
          </w:tcPr>
          <w:p>
            <w:pPr>
              <w:spacing w:after="0"/>
              <w:rPr>
                <w:sz w:val="14"/>
                <w:szCs w:val="14"/>
                <w:color w:val="auto"/>
              </w:rPr>
            </w:pPr>
          </w:p>
        </w:tc>
        <w:tc>
          <w:tcPr>
            <w:tcW w:w="580" w:type="dxa"/>
            <w:vAlign w:val="bottom"/>
            <w:shd w:val="clear" w:color="auto" w:fill="FAFAFA"/>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80" w:type="dxa"/>
            <w:vAlign w:val="bottom"/>
            <w:shd w:val="clear" w:color="auto" w:fill="FAFAFA"/>
          </w:tcPr>
          <w:p>
            <w:pPr>
              <w:spacing w:after="0"/>
              <w:rPr>
                <w:sz w:val="16"/>
                <w:szCs w:val="16"/>
                <w:color w:val="auto"/>
              </w:rPr>
            </w:pPr>
          </w:p>
        </w:tc>
        <w:tc>
          <w:tcPr>
            <w:tcW w:w="3320" w:type="dxa"/>
            <w:vAlign w:val="bottom"/>
            <w:shd w:val="clear" w:color="auto" w:fill="FAFAFA"/>
          </w:tcPr>
          <w:p>
            <w:pPr>
              <w:spacing w:after="0"/>
              <w:rPr>
                <w:sz w:val="16"/>
                <w:szCs w:val="16"/>
                <w:color w:val="auto"/>
              </w:rPr>
            </w:pPr>
          </w:p>
        </w:tc>
        <w:tc>
          <w:tcPr>
            <w:tcW w:w="2040" w:type="dxa"/>
            <w:vAlign w:val="bottom"/>
            <w:shd w:val="clear" w:color="auto" w:fill="FAFAFA"/>
          </w:tcPr>
          <w:p>
            <w:pPr>
              <w:ind w:left="140"/>
              <w:spacing w:after="0"/>
              <w:rPr>
                <w:sz w:val="20"/>
                <w:szCs w:val="20"/>
                <w:color w:val="auto"/>
              </w:rPr>
            </w:pPr>
            <w:r>
              <w:rPr>
                <w:rFonts w:ascii="Arial" w:cs="Arial" w:eastAsia="Arial" w:hAnsi="Arial"/>
                <w:sz w:val="14"/>
                <w:szCs w:val="14"/>
                <w:color w:val="auto"/>
              </w:rPr>
              <w:t>December 31, 2025</w:t>
            </w:r>
          </w:p>
        </w:tc>
        <w:tc>
          <w:tcPr>
            <w:tcW w:w="480" w:type="dxa"/>
            <w:vAlign w:val="bottom"/>
            <w:shd w:val="clear" w:color="auto" w:fill="FAFAFA"/>
          </w:tcPr>
          <w:p>
            <w:pPr>
              <w:spacing w:after="0"/>
              <w:rPr>
                <w:sz w:val="16"/>
                <w:szCs w:val="16"/>
                <w:color w:val="auto"/>
              </w:rPr>
            </w:pPr>
          </w:p>
        </w:tc>
        <w:tc>
          <w:tcPr>
            <w:tcW w:w="160" w:type="dxa"/>
            <w:vAlign w:val="bottom"/>
            <w:shd w:val="clear" w:color="auto" w:fill="FAFAFA"/>
          </w:tcPr>
          <w:p>
            <w:pPr>
              <w:spacing w:after="0"/>
              <w:rPr>
                <w:sz w:val="16"/>
                <w:szCs w:val="16"/>
                <w:color w:val="auto"/>
              </w:rPr>
            </w:pPr>
          </w:p>
        </w:tc>
        <w:tc>
          <w:tcPr>
            <w:tcW w:w="580" w:type="dxa"/>
            <w:vAlign w:val="bottom"/>
            <w:shd w:val="clear" w:color="auto" w:fill="FAFAFA"/>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80" w:type="dxa"/>
            <w:vAlign w:val="bottom"/>
            <w:shd w:val="clear" w:color="auto" w:fill="FAFAFA"/>
          </w:tcPr>
          <w:p>
            <w:pPr>
              <w:spacing w:after="0"/>
              <w:rPr>
                <w:sz w:val="11"/>
                <w:szCs w:val="11"/>
                <w:color w:val="auto"/>
              </w:rPr>
            </w:pPr>
          </w:p>
        </w:tc>
        <w:tc>
          <w:tcPr>
            <w:tcW w:w="3320" w:type="dxa"/>
            <w:vAlign w:val="bottom"/>
            <w:shd w:val="clear" w:color="auto" w:fill="FAFAFA"/>
          </w:tcPr>
          <w:p>
            <w:pPr>
              <w:spacing w:after="0"/>
              <w:rPr>
                <w:sz w:val="11"/>
                <w:szCs w:val="11"/>
                <w:color w:val="auto"/>
              </w:rPr>
            </w:pPr>
          </w:p>
        </w:tc>
        <w:tc>
          <w:tcPr>
            <w:tcW w:w="2040" w:type="dxa"/>
            <w:vAlign w:val="bottom"/>
            <w:shd w:val="clear" w:color="auto" w:fill="FAFAFA"/>
          </w:tcPr>
          <w:p>
            <w:pPr>
              <w:spacing w:after="0"/>
              <w:rPr>
                <w:sz w:val="11"/>
                <w:szCs w:val="11"/>
                <w:color w:val="auto"/>
              </w:rPr>
            </w:pPr>
          </w:p>
        </w:tc>
        <w:tc>
          <w:tcPr>
            <w:tcW w:w="480" w:type="dxa"/>
            <w:vAlign w:val="bottom"/>
            <w:shd w:val="clear" w:color="auto" w:fill="FAFAFA"/>
          </w:tcPr>
          <w:p>
            <w:pPr>
              <w:spacing w:after="0"/>
              <w:rPr>
                <w:sz w:val="11"/>
                <w:szCs w:val="11"/>
                <w:color w:val="auto"/>
              </w:rPr>
            </w:pPr>
          </w:p>
        </w:tc>
        <w:tc>
          <w:tcPr>
            <w:tcW w:w="160" w:type="dxa"/>
            <w:vAlign w:val="bottom"/>
            <w:shd w:val="clear" w:color="auto" w:fill="FAFAFA"/>
          </w:tcPr>
          <w:p>
            <w:pPr>
              <w:spacing w:after="0"/>
              <w:rPr>
                <w:sz w:val="11"/>
                <w:szCs w:val="11"/>
                <w:color w:val="auto"/>
              </w:rPr>
            </w:pPr>
          </w:p>
        </w:tc>
        <w:tc>
          <w:tcPr>
            <w:tcW w:w="580" w:type="dxa"/>
            <w:vAlign w:val="bottom"/>
            <w:shd w:val="clear" w:color="auto" w:fill="FAFAFA"/>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1080" w:type="dxa"/>
            <w:vAlign w:val="bottom"/>
            <w:shd w:val="clear" w:color="auto" w:fill="EBEBEB"/>
          </w:tcPr>
          <w:p>
            <w:pPr>
              <w:spacing w:after="0"/>
              <w:rPr>
                <w:sz w:val="21"/>
                <w:szCs w:val="21"/>
                <w:color w:val="auto"/>
              </w:rPr>
            </w:pPr>
          </w:p>
        </w:tc>
        <w:tc>
          <w:tcPr>
            <w:tcW w:w="3320" w:type="dxa"/>
            <w:vAlign w:val="bottom"/>
            <w:shd w:val="clear" w:color="auto" w:fill="EBEBEB"/>
          </w:tcPr>
          <w:p>
            <w:pPr>
              <w:spacing w:after="0"/>
              <w:rPr>
                <w:sz w:val="21"/>
                <w:szCs w:val="21"/>
                <w:color w:val="auto"/>
              </w:rPr>
            </w:pPr>
          </w:p>
        </w:tc>
        <w:tc>
          <w:tcPr>
            <w:tcW w:w="2040" w:type="dxa"/>
            <w:vAlign w:val="bottom"/>
            <w:shd w:val="clear" w:color="auto" w:fill="EBEBEB"/>
          </w:tcPr>
          <w:p>
            <w:pPr>
              <w:ind w:left="140"/>
              <w:spacing w:after="0"/>
              <w:rPr>
                <w:sz w:val="20"/>
                <w:szCs w:val="20"/>
                <w:color w:val="auto"/>
              </w:rPr>
            </w:pPr>
            <w:r>
              <w:rPr>
                <w:rFonts w:ascii="Arial" w:cs="Arial" w:eastAsia="Arial" w:hAnsi="Arial"/>
                <w:sz w:val="14"/>
                <w:szCs w:val="14"/>
                <w:b w:val="1"/>
                <w:bCs w:val="1"/>
                <w:color w:val="255993"/>
              </w:rPr>
              <w:t xml:space="preserve">“FOR” </w:t>
            </w:r>
            <w:r>
              <w:rPr>
                <w:rFonts w:ascii="Arial" w:cs="Arial" w:eastAsia="Arial" w:hAnsi="Arial"/>
                <w:sz w:val="14"/>
                <w:szCs w:val="14"/>
                <w:color w:val="000000"/>
              </w:rPr>
              <w:t>the approval of</w:t>
            </w:r>
          </w:p>
        </w:tc>
        <w:tc>
          <w:tcPr>
            <w:tcW w:w="480" w:type="dxa"/>
            <w:vAlign w:val="bottom"/>
            <w:shd w:val="clear" w:color="auto" w:fill="EBEBEB"/>
          </w:tcPr>
          <w:p>
            <w:pPr>
              <w:spacing w:after="0"/>
              <w:rPr>
                <w:sz w:val="21"/>
                <w:szCs w:val="21"/>
                <w:color w:val="auto"/>
              </w:rPr>
            </w:pPr>
          </w:p>
        </w:tc>
        <w:tc>
          <w:tcPr>
            <w:tcW w:w="160" w:type="dxa"/>
            <w:vAlign w:val="bottom"/>
            <w:shd w:val="clear" w:color="auto" w:fill="EBEBEB"/>
          </w:tcPr>
          <w:p>
            <w:pPr>
              <w:spacing w:after="0"/>
              <w:rPr>
                <w:sz w:val="21"/>
                <w:szCs w:val="21"/>
                <w:color w:val="auto"/>
              </w:rPr>
            </w:pPr>
          </w:p>
        </w:tc>
        <w:tc>
          <w:tcPr>
            <w:tcW w:w="580" w:type="dxa"/>
            <w:vAlign w:val="bottom"/>
            <w:shd w:val="clear" w:color="auto" w:fill="EBEBEB"/>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080" w:type="dxa"/>
            <w:vAlign w:val="bottom"/>
            <w:vMerge w:val="restart"/>
            <w:shd w:val="clear" w:color="auto" w:fill="EBEBEB"/>
          </w:tcPr>
          <w:p>
            <w:pPr>
              <w:jc w:val="center"/>
              <w:spacing w:after="0"/>
              <w:rPr>
                <w:sz w:val="20"/>
                <w:szCs w:val="20"/>
                <w:color w:val="auto"/>
              </w:rPr>
            </w:pPr>
            <w:r>
              <w:rPr>
                <w:rFonts w:ascii="Times New Roman" w:cs="Times New Roman" w:eastAsia="Times New Roman" w:hAnsi="Times New Roman"/>
                <w:sz w:val="58"/>
                <w:szCs w:val="58"/>
                <w:color w:val="6CCAD0"/>
                <w:w w:val="96"/>
              </w:rPr>
              <w:t>3</w:t>
            </w:r>
          </w:p>
        </w:tc>
        <w:tc>
          <w:tcPr>
            <w:tcW w:w="3320" w:type="dxa"/>
            <w:vAlign w:val="bottom"/>
            <w:shd w:val="clear" w:color="auto" w:fill="EBEBEB"/>
          </w:tcPr>
          <w:p>
            <w:pPr>
              <w:spacing w:after="0"/>
              <w:rPr>
                <w:sz w:val="14"/>
                <w:szCs w:val="14"/>
                <w:color w:val="auto"/>
              </w:rPr>
            </w:pPr>
          </w:p>
        </w:tc>
        <w:tc>
          <w:tcPr>
            <w:tcW w:w="2040" w:type="dxa"/>
            <w:vAlign w:val="bottom"/>
            <w:shd w:val="clear" w:color="auto" w:fill="EBEBEB"/>
          </w:tcPr>
          <w:p>
            <w:pPr>
              <w:ind w:left="140"/>
              <w:spacing w:after="0"/>
              <w:rPr>
                <w:sz w:val="20"/>
                <w:szCs w:val="20"/>
                <w:color w:val="auto"/>
              </w:rPr>
            </w:pPr>
            <w:r>
              <w:rPr>
                <w:rFonts w:ascii="Arial" w:cs="Arial" w:eastAsia="Arial" w:hAnsi="Arial"/>
                <w:sz w:val="14"/>
                <w:szCs w:val="14"/>
                <w:color w:val="auto"/>
              </w:rPr>
              <w:t>proposed amendments to</w:t>
            </w:r>
          </w:p>
        </w:tc>
        <w:tc>
          <w:tcPr>
            <w:tcW w:w="480" w:type="dxa"/>
            <w:vAlign w:val="bottom"/>
            <w:shd w:val="clear" w:color="auto" w:fill="EBEBEB"/>
          </w:tcPr>
          <w:p>
            <w:pPr>
              <w:spacing w:after="0"/>
              <w:rPr>
                <w:sz w:val="14"/>
                <w:szCs w:val="14"/>
                <w:color w:val="auto"/>
              </w:rPr>
            </w:pPr>
          </w:p>
        </w:tc>
        <w:tc>
          <w:tcPr>
            <w:tcW w:w="160" w:type="dxa"/>
            <w:vAlign w:val="bottom"/>
            <w:shd w:val="clear" w:color="auto" w:fill="EBEBEB"/>
          </w:tcPr>
          <w:p>
            <w:pPr>
              <w:spacing w:after="0"/>
              <w:rPr>
                <w:sz w:val="14"/>
                <w:szCs w:val="14"/>
                <w:color w:val="auto"/>
              </w:rPr>
            </w:pPr>
          </w:p>
        </w:tc>
        <w:tc>
          <w:tcPr>
            <w:tcW w:w="58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vMerge w:val="continue"/>
            <w:shd w:val="clear" w:color="auto" w:fill="EBEBEB"/>
          </w:tcPr>
          <w:p>
            <w:pPr>
              <w:spacing w:after="0"/>
              <w:rPr>
                <w:sz w:val="14"/>
                <w:szCs w:val="14"/>
                <w:color w:val="auto"/>
              </w:rPr>
            </w:pPr>
          </w:p>
        </w:tc>
        <w:tc>
          <w:tcPr>
            <w:tcW w:w="3320" w:type="dxa"/>
            <w:vAlign w:val="bottom"/>
            <w:shd w:val="clear" w:color="auto" w:fill="EBEBEB"/>
          </w:tcPr>
          <w:p>
            <w:pPr>
              <w:ind w:left="40"/>
              <w:spacing w:after="0"/>
              <w:rPr>
                <w:sz w:val="20"/>
                <w:szCs w:val="20"/>
                <w:color w:val="auto"/>
              </w:rPr>
            </w:pPr>
            <w:r>
              <w:rPr>
                <w:rFonts w:ascii="Arial" w:cs="Arial" w:eastAsia="Arial" w:hAnsi="Arial"/>
                <w:sz w:val="14"/>
                <w:szCs w:val="14"/>
                <w:color w:val="auto"/>
              </w:rPr>
              <w:t>To approve proposed amendments to our</w:t>
            </w:r>
          </w:p>
        </w:tc>
        <w:tc>
          <w:tcPr>
            <w:tcW w:w="2040" w:type="dxa"/>
            <w:vAlign w:val="bottom"/>
            <w:shd w:val="clear" w:color="auto" w:fill="EBEBEB"/>
          </w:tcPr>
          <w:p>
            <w:pPr>
              <w:ind w:left="140"/>
              <w:spacing w:after="0"/>
              <w:rPr>
                <w:sz w:val="20"/>
                <w:szCs w:val="20"/>
                <w:color w:val="auto"/>
              </w:rPr>
            </w:pPr>
            <w:r>
              <w:rPr>
                <w:rFonts w:ascii="Arial" w:cs="Arial" w:eastAsia="Arial" w:hAnsi="Arial"/>
                <w:sz w:val="14"/>
                <w:szCs w:val="14"/>
                <w:color w:val="auto"/>
              </w:rPr>
              <w:t>our amended and restated</w:t>
            </w:r>
          </w:p>
        </w:tc>
        <w:tc>
          <w:tcPr>
            <w:tcW w:w="480" w:type="dxa"/>
            <w:vAlign w:val="bottom"/>
            <w:shd w:val="clear" w:color="auto" w:fill="EBEBEB"/>
          </w:tcPr>
          <w:p>
            <w:pPr>
              <w:spacing w:after="0"/>
              <w:rPr>
                <w:sz w:val="14"/>
                <w:szCs w:val="14"/>
                <w:color w:val="auto"/>
              </w:rPr>
            </w:pPr>
          </w:p>
        </w:tc>
        <w:tc>
          <w:tcPr>
            <w:tcW w:w="160" w:type="dxa"/>
            <w:vAlign w:val="bottom"/>
            <w:shd w:val="clear" w:color="auto" w:fill="EBEBEB"/>
          </w:tcPr>
          <w:p>
            <w:pPr>
              <w:spacing w:after="0"/>
              <w:rPr>
                <w:sz w:val="14"/>
                <w:szCs w:val="14"/>
                <w:color w:val="auto"/>
              </w:rPr>
            </w:pPr>
          </w:p>
        </w:tc>
        <w:tc>
          <w:tcPr>
            <w:tcW w:w="58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vMerge w:val="continue"/>
            <w:shd w:val="clear" w:color="auto" w:fill="EBEBEB"/>
          </w:tcPr>
          <w:p>
            <w:pPr>
              <w:spacing w:after="0"/>
              <w:rPr>
                <w:sz w:val="14"/>
                <w:szCs w:val="14"/>
                <w:color w:val="auto"/>
              </w:rPr>
            </w:pPr>
          </w:p>
        </w:tc>
        <w:tc>
          <w:tcPr>
            <w:tcW w:w="3320" w:type="dxa"/>
            <w:vAlign w:val="bottom"/>
            <w:shd w:val="clear" w:color="auto" w:fill="EBEBEB"/>
          </w:tcPr>
          <w:p>
            <w:pPr>
              <w:ind w:left="40"/>
              <w:spacing w:after="0"/>
              <w:rPr>
                <w:sz w:val="20"/>
                <w:szCs w:val="20"/>
                <w:color w:val="auto"/>
              </w:rPr>
            </w:pPr>
            <w:r>
              <w:rPr>
                <w:rFonts w:ascii="Arial" w:cs="Arial" w:eastAsia="Arial" w:hAnsi="Arial"/>
                <w:sz w:val="14"/>
                <w:szCs w:val="14"/>
                <w:color w:val="auto"/>
              </w:rPr>
              <w:t>amended and restated certificate of incorporation</w:t>
            </w:r>
          </w:p>
        </w:tc>
        <w:tc>
          <w:tcPr>
            <w:tcW w:w="2040" w:type="dxa"/>
            <w:vAlign w:val="bottom"/>
            <w:shd w:val="clear" w:color="auto" w:fill="EBEBEB"/>
          </w:tcPr>
          <w:p>
            <w:pPr>
              <w:ind w:left="140"/>
              <w:spacing w:after="0"/>
              <w:rPr>
                <w:sz w:val="20"/>
                <w:szCs w:val="20"/>
                <w:color w:val="auto"/>
              </w:rPr>
            </w:pPr>
            <w:r>
              <w:rPr>
                <w:rFonts w:ascii="Arial" w:cs="Arial" w:eastAsia="Arial" w:hAnsi="Arial"/>
                <w:sz w:val="14"/>
                <w:szCs w:val="14"/>
                <w:color w:val="auto"/>
              </w:rPr>
              <w:t>certificate of incorporation</w:t>
            </w:r>
          </w:p>
        </w:tc>
        <w:tc>
          <w:tcPr>
            <w:tcW w:w="1220" w:type="dxa"/>
            <w:vAlign w:val="bottom"/>
            <w:gridSpan w:val="3"/>
            <w:vMerge w:val="restart"/>
            <w:shd w:val="clear" w:color="auto" w:fill="EBEBEB"/>
          </w:tcPr>
          <w:p>
            <w:pPr>
              <w:jc w:val="center"/>
              <w:ind w:right="100"/>
              <w:spacing w:after="0"/>
              <w:rPr>
                <w:sz w:val="20"/>
                <w:szCs w:val="20"/>
                <w:color w:val="auto"/>
              </w:rPr>
            </w:pPr>
            <w:r>
              <w:rPr>
                <w:rFonts w:ascii="Arial" w:cs="Arial" w:eastAsia="Arial" w:hAnsi="Arial"/>
                <w:sz w:val="14"/>
                <w:szCs w:val="14"/>
                <w:color w:val="0000EE"/>
              </w:rPr>
              <w:t>27</w:t>
            </w:r>
          </w:p>
        </w:tc>
        <w:tc>
          <w:tcPr>
            <w:tcW w:w="0" w:type="dxa"/>
            <w:vAlign w:val="bottom"/>
          </w:tcPr>
          <w:p>
            <w:pPr>
              <w:spacing w:after="0"/>
              <w:rPr>
                <w:sz w:val="1"/>
                <w:szCs w:val="1"/>
                <w:color w:val="auto"/>
              </w:rPr>
            </w:pPr>
          </w:p>
        </w:tc>
      </w:tr>
      <w:tr>
        <w:trPr>
          <w:trHeight w:val="77"/>
        </w:trPr>
        <w:tc>
          <w:tcPr>
            <w:tcW w:w="1080" w:type="dxa"/>
            <w:vAlign w:val="bottom"/>
            <w:vMerge w:val="continue"/>
            <w:shd w:val="clear" w:color="auto" w:fill="EBEBEB"/>
          </w:tcPr>
          <w:p>
            <w:pPr>
              <w:spacing w:after="0"/>
              <w:rPr>
                <w:sz w:val="6"/>
                <w:szCs w:val="6"/>
                <w:color w:val="auto"/>
              </w:rPr>
            </w:pPr>
          </w:p>
        </w:tc>
        <w:tc>
          <w:tcPr>
            <w:tcW w:w="3320" w:type="dxa"/>
            <w:vAlign w:val="bottom"/>
            <w:vMerge w:val="restart"/>
            <w:shd w:val="clear" w:color="auto" w:fill="EBEBEB"/>
          </w:tcPr>
          <w:p>
            <w:pPr>
              <w:ind w:left="40"/>
              <w:spacing w:after="0"/>
              <w:rPr>
                <w:sz w:val="20"/>
                <w:szCs w:val="20"/>
                <w:color w:val="auto"/>
              </w:rPr>
            </w:pPr>
            <w:r>
              <w:rPr>
                <w:rFonts w:ascii="Arial" w:cs="Arial" w:eastAsia="Arial" w:hAnsi="Arial"/>
                <w:sz w:val="14"/>
                <w:szCs w:val="14"/>
                <w:color w:val="auto"/>
              </w:rPr>
              <w:t>to effect a reverse stock split and reduce the total</w:t>
            </w:r>
          </w:p>
        </w:tc>
        <w:tc>
          <w:tcPr>
            <w:tcW w:w="2040" w:type="dxa"/>
            <w:vAlign w:val="bottom"/>
            <w:vMerge w:val="restart"/>
            <w:shd w:val="clear" w:color="auto" w:fill="EBEBEB"/>
          </w:tcPr>
          <w:p>
            <w:pPr>
              <w:ind w:left="140"/>
              <w:spacing w:after="0"/>
              <w:rPr>
                <w:sz w:val="20"/>
                <w:szCs w:val="20"/>
                <w:color w:val="auto"/>
              </w:rPr>
            </w:pPr>
            <w:r>
              <w:rPr>
                <w:rFonts w:ascii="Arial" w:cs="Arial" w:eastAsia="Arial" w:hAnsi="Arial"/>
                <w:sz w:val="14"/>
                <w:szCs w:val="14"/>
                <w:color w:val="auto"/>
              </w:rPr>
              <w:t>to effect a reverse stock</w:t>
            </w:r>
          </w:p>
        </w:tc>
        <w:tc>
          <w:tcPr>
            <w:tcW w:w="1220" w:type="dxa"/>
            <w:vAlign w:val="bottom"/>
            <w:gridSpan w:val="3"/>
            <w:vMerge w:val="continue"/>
            <w:shd w:val="clear" w:color="auto" w:fill="EBEBEB"/>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080" w:type="dxa"/>
            <w:vAlign w:val="bottom"/>
            <w:tcBorders>
              <w:top w:val="single" w:sz="8" w:color="EBEBEB"/>
            </w:tcBorders>
            <w:vMerge w:val="continue"/>
            <w:shd w:val="clear" w:color="auto" w:fill="EBEBEB"/>
          </w:tcPr>
          <w:p>
            <w:pPr>
              <w:spacing w:after="0"/>
              <w:rPr>
                <w:sz w:val="5"/>
                <w:szCs w:val="5"/>
                <w:color w:val="auto"/>
              </w:rPr>
            </w:pPr>
          </w:p>
        </w:tc>
        <w:tc>
          <w:tcPr>
            <w:tcW w:w="3320" w:type="dxa"/>
            <w:vAlign w:val="bottom"/>
            <w:tcBorders>
              <w:top w:val="single" w:sz="8" w:color="EBEBEB"/>
            </w:tcBorders>
            <w:vMerge w:val="continue"/>
            <w:shd w:val="clear" w:color="auto" w:fill="EBEBEB"/>
          </w:tcPr>
          <w:p>
            <w:pPr>
              <w:spacing w:after="0"/>
              <w:rPr>
                <w:sz w:val="5"/>
                <w:szCs w:val="5"/>
                <w:color w:val="auto"/>
              </w:rPr>
            </w:pPr>
          </w:p>
        </w:tc>
        <w:tc>
          <w:tcPr>
            <w:tcW w:w="2040" w:type="dxa"/>
            <w:vAlign w:val="bottom"/>
            <w:tcBorders>
              <w:top w:val="single" w:sz="8" w:color="EBEBEB"/>
            </w:tcBorders>
            <w:vMerge w:val="continue"/>
            <w:shd w:val="clear" w:color="auto" w:fill="EBEBEB"/>
          </w:tcPr>
          <w:p>
            <w:pPr>
              <w:spacing w:after="0"/>
              <w:rPr>
                <w:sz w:val="5"/>
                <w:szCs w:val="5"/>
                <w:color w:val="auto"/>
              </w:rPr>
            </w:pPr>
          </w:p>
        </w:tc>
        <w:tc>
          <w:tcPr>
            <w:tcW w:w="480" w:type="dxa"/>
            <w:vAlign w:val="bottom"/>
            <w:tcBorders>
              <w:top w:val="single" w:sz="8" w:color="EBEBEB"/>
            </w:tcBorders>
            <w:shd w:val="clear" w:color="auto" w:fill="EBEBEB"/>
          </w:tcPr>
          <w:p>
            <w:pPr>
              <w:spacing w:after="0"/>
              <w:rPr>
                <w:sz w:val="5"/>
                <w:szCs w:val="5"/>
                <w:color w:val="auto"/>
              </w:rPr>
            </w:pPr>
          </w:p>
        </w:tc>
        <w:tc>
          <w:tcPr>
            <w:tcW w:w="160" w:type="dxa"/>
            <w:vAlign w:val="bottom"/>
            <w:tcBorders>
              <w:top w:val="single" w:sz="8" w:color="0000EE"/>
            </w:tcBorders>
            <w:shd w:val="clear" w:color="auto" w:fill="EBEBEB"/>
          </w:tcPr>
          <w:p>
            <w:pPr>
              <w:spacing w:after="0"/>
              <w:rPr>
                <w:sz w:val="5"/>
                <w:szCs w:val="5"/>
                <w:color w:val="auto"/>
              </w:rPr>
            </w:pPr>
          </w:p>
        </w:tc>
        <w:tc>
          <w:tcPr>
            <w:tcW w:w="580" w:type="dxa"/>
            <w:vAlign w:val="bottom"/>
            <w:tcBorders>
              <w:top w:val="single" w:sz="8" w:color="EBEBEB"/>
            </w:tcBorders>
            <w:shd w:val="clear" w:color="auto" w:fill="EBEBEB"/>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080" w:type="dxa"/>
            <w:vAlign w:val="bottom"/>
            <w:vMerge w:val="continue"/>
            <w:shd w:val="clear" w:color="auto" w:fill="EBEBEB"/>
          </w:tcPr>
          <w:p>
            <w:pPr>
              <w:spacing w:after="0"/>
              <w:rPr>
                <w:sz w:val="14"/>
                <w:szCs w:val="14"/>
                <w:color w:val="auto"/>
              </w:rPr>
            </w:pPr>
          </w:p>
        </w:tc>
        <w:tc>
          <w:tcPr>
            <w:tcW w:w="3320" w:type="dxa"/>
            <w:vAlign w:val="bottom"/>
            <w:shd w:val="clear" w:color="auto" w:fill="EBEBEB"/>
          </w:tcPr>
          <w:p>
            <w:pPr>
              <w:ind w:left="40"/>
              <w:spacing w:after="0"/>
              <w:rPr>
                <w:sz w:val="20"/>
                <w:szCs w:val="20"/>
                <w:color w:val="auto"/>
              </w:rPr>
            </w:pPr>
            <w:r>
              <w:rPr>
                <w:rFonts w:ascii="Arial" w:cs="Arial" w:eastAsia="Arial" w:hAnsi="Arial"/>
                <w:sz w:val="14"/>
                <w:szCs w:val="14"/>
                <w:color w:val="auto"/>
              </w:rPr>
              <w:t>number of authorized shares of common stock.</w:t>
            </w:r>
          </w:p>
        </w:tc>
        <w:tc>
          <w:tcPr>
            <w:tcW w:w="2040" w:type="dxa"/>
            <w:vAlign w:val="bottom"/>
            <w:shd w:val="clear" w:color="auto" w:fill="EBEBEB"/>
          </w:tcPr>
          <w:p>
            <w:pPr>
              <w:ind w:left="140"/>
              <w:spacing w:after="0"/>
              <w:rPr>
                <w:sz w:val="20"/>
                <w:szCs w:val="20"/>
                <w:color w:val="auto"/>
              </w:rPr>
            </w:pPr>
            <w:r>
              <w:rPr>
                <w:rFonts w:ascii="Arial" w:cs="Arial" w:eastAsia="Arial" w:hAnsi="Arial"/>
                <w:sz w:val="14"/>
                <w:szCs w:val="14"/>
                <w:color w:val="auto"/>
              </w:rPr>
              <w:t>split and reduce the total</w:t>
            </w:r>
          </w:p>
        </w:tc>
        <w:tc>
          <w:tcPr>
            <w:tcW w:w="480" w:type="dxa"/>
            <w:vAlign w:val="bottom"/>
            <w:shd w:val="clear" w:color="auto" w:fill="EBEBEB"/>
          </w:tcPr>
          <w:p>
            <w:pPr>
              <w:spacing w:after="0"/>
              <w:rPr>
                <w:sz w:val="14"/>
                <w:szCs w:val="14"/>
                <w:color w:val="auto"/>
              </w:rPr>
            </w:pPr>
          </w:p>
        </w:tc>
        <w:tc>
          <w:tcPr>
            <w:tcW w:w="160" w:type="dxa"/>
            <w:vAlign w:val="bottom"/>
            <w:shd w:val="clear" w:color="auto" w:fill="EBEBEB"/>
          </w:tcPr>
          <w:p>
            <w:pPr>
              <w:spacing w:after="0"/>
              <w:rPr>
                <w:sz w:val="14"/>
                <w:szCs w:val="14"/>
                <w:color w:val="auto"/>
              </w:rPr>
            </w:pPr>
          </w:p>
        </w:tc>
        <w:tc>
          <w:tcPr>
            <w:tcW w:w="58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EBEBEB"/>
          </w:tcPr>
          <w:p>
            <w:pPr>
              <w:spacing w:after="0"/>
              <w:rPr>
                <w:sz w:val="14"/>
                <w:szCs w:val="14"/>
                <w:color w:val="auto"/>
              </w:rPr>
            </w:pPr>
          </w:p>
        </w:tc>
        <w:tc>
          <w:tcPr>
            <w:tcW w:w="3320" w:type="dxa"/>
            <w:vAlign w:val="bottom"/>
            <w:shd w:val="clear" w:color="auto" w:fill="EBEBEB"/>
          </w:tcPr>
          <w:p>
            <w:pPr>
              <w:spacing w:after="0"/>
              <w:rPr>
                <w:sz w:val="14"/>
                <w:szCs w:val="14"/>
                <w:color w:val="auto"/>
              </w:rPr>
            </w:pPr>
          </w:p>
        </w:tc>
        <w:tc>
          <w:tcPr>
            <w:tcW w:w="2040" w:type="dxa"/>
            <w:vAlign w:val="bottom"/>
            <w:shd w:val="clear" w:color="auto" w:fill="EBEBEB"/>
          </w:tcPr>
          <w:p>
            <w:pPr>
              <w:ind w:left="140"/>
              <w:spacing w:after="0"/>
              <w:rPr>
                <w:sz w:val="20"/>
                <w:szCs w:val="20"/>
                <w:color w:val="auto"/>
              </w:rPr>
            </w:pPr>
            <w:r>
              <w:rPr>
                <w:rFonts w:ascii="Arial" w:cs="Arial" w:eastAsia="Arial" w:hAnsi="Arial"/>
                <w:sz w:val="14"/>
                <w:szCs w:val="14"/>
                <w:color w:val="auto"/>
              </w:rPr>
              <w:t>number of authorized</w:t>
            </w:r>
          </w:p>
        </w:tc>
        <w:tc>
          <w:tcPr>
            <w:tcW w:w="480" w:type="dxa"/>
            <w:vAlign w:val="bottom"/>
            <w:shd w:val="clear" w:color="auto" w:fill="EBEBEB"/>
          </w:tcPr>
          <w:p>
            <w:pPr>
              <w:spacing w:after="0"/>
              <w:rPr>
                <w:sz w:val="14"/>
                <w:szCs w:val="14"/>
                <w:color w:val="auto"/>
              </w:rPr>
            </w:pPr>
          </w:p>
        </w:tc>
        <w:tc>
          <w:tcPr>
            <w:tcW w:w="160" w:type="dxa"/>
            <w:vAlign w:val="bottom"/>
            <w:shd w:val="clear" w:color="auto" w:fill="EBEBEB"/>
          </w:tcPr>
          <w:p>
            <w:pPr>
              <w:spacing w:after="0"/>
              <w:rPr>
                <w:sz w:val="14"/>
                <w:szCs w:val="14"/>
                <w:color w:val="auto"/>
              </w:rPr>
            </w:pPr>
          </w:p>
        </w:tc>
        <w:tc>
          <w:tcPr>
            <w:tcW w:w="58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80" w:type="dxa"/>
            <w:vAlign w:val="bottom"/>
            <w:shd w:val="clear" w:color="auto" w:fill="EBEBEB"/>
          </w:tcPr>
          <w:p>
            <w:pPr>
              <w:spacing w:after="0"/>
              <w:rPr>
                <w:sz w:val="16"/>
                <w:szCs w:val="16"/>
                <w:color w:val="auto"/>
              </w:rPr>
            </w:pPr>
          </w:p>
        </w:tc>
        <w:tc>
          <w:tcPr>
            <w:tcW w:w="3320" w:type="dxa"/>
            <w:vAlign w:val="bottom"/>
            <w:shd w:val="clear" w:color="auto" w:fill="EBEBEB"/>
          </w:tcPr>
          <w:p>
            <w:pPr>
              <w:spacing w:after="0"/>
              <w:rPr>
                <w:sz w:val="16"/>
                <w:szCs w:val="16"/>
                <w:color w:val="auto"/>
              </w:rPr>
            </w:pPr>
          </w:p>
        </w:tc>
        <w:tc>
          <w:tcPr>
            <w:tcW w:w="2040" w:type="dxa"/>
            <w:vAlign w:val="bottom"/>
            <w:shd w:val="clear" w:color="auto" w:fill="EBEBEB"/>
          </w:tcPr>
          <w:p>
            <w:pPr>
              <w:ind w:left="140"/>
              <w:spacing w:after="0"/>
              <w:rPr>
                <w:sz w:val="20"/>
                <w:szCs w:val="20"/>
                <w:color w:val="auto"/>
              </w:rPr>
            </w:pPr>
            <w:r>
              <w:rPr>
                <w:rFonts w:ascii="Arial" w:cs="Arial" w:eastAsia="Arial" w:hAnsi="Arial"/>
                <w:sz w:val="14"/>
                <w:szCs w:val="14"/>
                <w:color w:val="auto"/>
              </w:rPr>
              <w:t>shares of common stock</w:t>
            </w:r>
          </w:p>
        </w:tc>
        <w:tc>
          <w:tcPr>
            <w:tcW w:w="480" w:type="dxa"/>
            <w:vAlign w:val="bottom"/>
            <w:shd w:val="clear" w:color="auto" w:fill="EBEBEB"/>
          </w:tcPr>
          <w:p>
            <w:pPr>
              <w:spacing w:after="0"/>
              <w:rPr>
                <w:sz w:val="16"/>
                <w:szCs w:val="16"/>
                <w:color w:val="auto"/>
              </w:rPr>
            </w:pPr>
          </w:p>
        </w:tc>
        <w:tc>
          <w:tcPr>
            <w:tcW w:w="160" w:type="dxa"/>
            <w:vAlign w:val="bottom"/>
            <w:shd w:val="clear" w:color="auto" w:fill="EBEBEB"/>
          </w:tcPr>
          <w:p>
            <w:pPr>
              <w:spacing w:after="0"/>
              <w:rPr>
                <w:sz w:val="16"/>
                <w:szCs w:val="16"/>
                <w:color w:val="auto"/>
              </w:rPr>
            </w:pPr>
          </w:p>
        </w:tc>
        <w:tc>
          <w:tcPr>
            <w:tcW w:w="580" w:type="dxa"/>
            <w:vAlign w:val="bottom"/>
            <w:shd w:val="clear" w:color="auto" w:fill="EBEBEB"/>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080" w:type="dxa"/>
            <w:vAlign w:val="bottom"/>
            <w:shd w:val="clear" w:color="auto" w:fill="EBEBEB"/>
          </w:tcPr>
          <w:p>
            <w:pPr>
              <w:spacing w:after="0"/>
              <w:rPr>
                <w:sz w:val="7"/>
                <w:szCs w:val="7"/>
                <w:color w:val="auto"/>
              </w:rPr>
            </w:pPr>
          </w:p>
        </w:tc>
        <w:tc>
          <w:tcPr>
            <w:tcW w:w="3320" w:type="dxa"/>
            <w:vAlign w:val="bottom"/>
            <w:shd w:val="clear" w:color="auto" w:fill="EBEBEB"/>
          </w:tcPr>
          <w:p>
            <w:pPr>
              <w:spacing w:after="0"/>
              <w:rPr>
                <w:sz w:val="7"/>
                <w:szCs w:val="7"/>
                <w:color w:val="auto"/>
              </w:rPr>
            </w:pPr>
          </w:p>
        </w:tc>
        <w:tc>
          <w:tcPr>
            <w:tcW w:w="2040" w:type="dxa"/>
            <w:vAlign w:val="bottom"/>
            <w:shd w:val="clear" w:color="auto" w:fill="EBEBEB"/>
          </w:tcPr>
          <w:p>
            <w:pPr>
              <w:spacing w:after="0"/>
              <w:rPr>
                <w:sz w:val="7"/>
                <w:szCs w:val="7"/>
                <w:color w:val="auto"/>
              </w:rPr>
            </w:pPr>
          </w:p>
        </w:tc>
        <w:tc>
          <w:tcPr>
            <w:tcW w:w="480" w:type="dxa"/>
            <w:vAlign w:val="bottom"/>
            <w:shd w:val="clear" w:color="auto" w:fill="EBEBEB"/>
          </w:tcPr>
          <w:p>
            <w:pPr>
              <w:spacing w:after="0"/>
              <w:rPr>
                <w:sz w:val="7"/>
                <w:szCs w:val="7"/>
                <w:color w:val="auto"/>
              </w:rPr>
            </w:pPr>
          </w:p>
        </w:tc>
        <w:tc>
          <w:tcPr>
            <w:tcW w:w="160" w:type="dxa"/>
            <w:vAlign w:val="bottom"/>
            <w:shd w:val="clear" w:color="auto" w:fill="EBEBEB"/>
          </w:tcPr>
          <w:p>
            <w:pPr>
              <w:spacing w:after="0"/>
              <w:rPr>
                <w:sz w:val="7"/>
                <w:szCs w:val="7"/>
                <w:color w:val="auto"/>
              </w:rPr>
            </w:pPr>
          </w:p>
        </w:tc>
        <w:tc>
          <w:tcPr>
            <w:tcW w:w="580" w:type="dxa"/>
            <w:vAlign w:val="bottom"/>
            <w:shd w:val="clear" w:color="auto" w:fill="EBEBEB"/>
          </w:tcPr>
          <w:p>
            <w:pPr>
              <w:spacing w:after="0"/>
              <w:rPr>
                <w:sz w:val="7"/>
                <w:szCs w:val="7"/>
                <w:color w:val="auto"/>
              </w:rPr>
            </w:pPr>
          </w:p>
        </w:tc>
        <w:tc>
          <w:tcPr>
            <w:tcW w:w="0" w:type="dxa"/>
            <w:vAlign w:val="bottom"/>
          </w:tcPr>
          <w:p>
            <w:pPr>
              <w:spacing w:after="0"/>
              <w:rPr>
                <w:sz w:val="1"/>
                <w:szCs w:val="1"/>
                <w:color w:val="auto"/>
              </w:rPr>
            </w:pPr>
          </w:p>
        </w:tc>
      </w:tr>
      <w:tr>
        <w:trPr>
          <w:trHeight w:val="463"/>
        </w:trPr>
        <w:tc>
          <w:tcPr>
            <w:tcW w:w="1080" w:type="dxa"/>
            <w:vAlign w:val="bottom"/>
            <w:vMerge w:val="restart"/>
            <w:shd w:val="clear" w:color="auto" w:fill="FAFAFA"/>
          </w:tcPr>
          <w:p>
            <w:pPr>
              <w:jc w:val="center"/>
              <w:spacing w:after="0"/>
              <w:rPr>
                <w:sz w:val="20"/>
                <w:szCs w:val="20"/>
                <w:color w:val="auto"/>
              </w:rPr>
            </w:pPr>
            <w:r>
              <w:rPr>
                <w:rFonts w:ascii="Times New Roman" w:cs="Times New Roman" w:eastAsia="Times New Roman" w:hAnsi="Times New Roman"/>
                <w:sz w:val="58"/>
                <w:szCs w:val="58"/>
                <w:color w:val="255993"/>
                <w:w w:val="96"/>
              </w:rPr>
              <w:t>4</w:t>
            </w:r>
          </w:p>
        </w:tc>
        <w:tc>
          <w:tcPr>
            <w:tcW w:w="3320" w:type="dxa"/>
            <w:vAlign w:val="bottom"/>
            <w:shd w:val="clear" w:color="auto" w:fill="FAFAFA"/>
          </w:tcPr>
          <w:p>
            <w:pPr>
              <w:ind w:left="40"/>
              <w:spacing w:after="0"/>
              <w:rPr>
                <w:sz w:val="20"/>
                <w:szCs w:val="20"/>
                <w:color w:val="auto"/>
              </w:rPr>
            </w:pPr>
            <w:r>
              <w:rPr>
                <w:rFonts w:ascii="Arial" w:cs="Arial" w:eastAsia="Arial" w:hAnsi="Arial"/>
                <w:sz w:val="14"/>
                <w:szCs w:val="14"/>
                <w:color w:val="auto"/>
              </w:rPr>
              <w:t>To vote on any other matters that may properly</w:t>
            </w:r>
          </w:p>
        </w:tc>
        <w:tc>
          <w:tcPr>
            <w:tcW w:w="2040" w:type="dxa"/>
            <w:vAlign w:val="bottom"/>
            <w:vMerge w:val="restart"/>
            <w:shd w:val="clear" w:color="auto" w:fill="FAFAFA"/>
          </w:tcPr>
          <w:p>
            <w:pPr>
              <w:ind w:lef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FAFAFA"/>
          </w:tcPr>
          <w:p>
            <w:pPr>
              <w:spacing w:after="0"/>
              <w:rPr>
                <w:sz w:val="24"/>
                <w:szCs w:val="24"/>
                <w:color w:val="auto"/>
              </w:rPr>
            </w:pPr>
          </w:p>
        </w:tc>
        <w:tc>
          <w:tcPr>
            <w:tcW w:w="740" w:type="dxa"/>
            <w:vAlign w:val="bottom"/>
            <w:gridSpan w:val="2"/>
            <w:vMerge w:val="restart"/>
            <w:shd w:val="clear" w:color="auto" w:fill="FAFAFA"/>
          </w:tcPr>
          <w:p>
            <w:pPr>
              <w:jc w:val="center"/>
              <w:ind w:righ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080" w:type="dxa"/>
            <w:vAlign w:val="bottom"/>
            <w:vMerge w:val="continue"/>
            <w:shd w:val="clear" w:color="auto" w:fill="FAFAFA"/>
          </w:tcPr>
          <w:p>
            <w:pPr>
              <w:spacing w:after="0"/>
              <w:rPr>
                <w:sz w:val="9"/>
                <w:szCs w:val="9"/>
                <w:color w:val="auto"/>
              </w:rPr>
            </w:pPr>
          </w:p>
        </w:tc>
        <w:tc>
          <w:tcPr>
            <w:tcW w:w="3320" w:type="dxa"/>
            <w:vAlign w:val="bottom"/>
            <w:vMerge w:val="restart"/>
            <w:shd w:val="clear" w:color="auto" w:fill="FAFAFA"/>
          </w:tcPr>
          <w:p>
            <w:pPr>
              <w:ind w:left="40"/>
              <w:spacing w:after="0"/>
              <w:rPr>
                <w:sz w:val="20"/>
                <w:szCs w:val="20"/>
                <w:color w:val="auto"/>
              </w:rPr>
            </w:pPr>
            <w:r>
              <w:rPr>
                <w:rFonts w:ascii="Arial" w:cs="Arial" w:eastAsia="Arial" w:hAnsi="Arial"/>
                <w:sz w:val="14"/>
                <w:szCs w:val="14"/>
                <w:color w:val="auto"/>
              </w:rPr>
              <w:t>come before the Annual Meeting.</w:t>
            </w:r>
          </w:p>
        </w:tc>
        <w:tc>
          <w:tcPr>
            <w:tcW w:w="2040" w:type="dxa"/>
            <w:vAlign w:val="bottom"/>
            <w:vMerge w:val="continue"/>
            <w:shd w:val="clear" w:color="auto" w:fill="FAFAFA"/>
          </w:tcPr>
          <w:p>
            <w:pPr>
              <w:spacing w:after="0"/>
              <w:rPr>
                <w:sz w:val="9"/>
                <w:szCs w:val="9"/>
                <w:color w:val="auto"/>
              </w:rPr>
            </w:pPr>
          </w:p>
        </w:tc>
        <w:tc>
          <w:tcPr>
            <w:tcW w:w="480" w:type="dxa"/>
            <w:vAlign w:val="bottom"/>
            <w:shd w:val="clear" w:color="auto" w:fill="FAFAFA"/>
          </w:tcPr>
          <w:p>
            <w:pPr>
              <w:spacing w:after="0"/>
              <w:rPr>
                <w:sz w:val="9"/>
                <w:szCs w:val="9"/>
                <w:color w:val="auto"/>
              </w:rPr>
            </w:pPr>
          </w:p>
        </w:tc>
        <w:tc>
          <w:tcPr>
            <w:tcW w:w="740" w:type="dxa"/>
            <w:vAlign w:val="bottom"/>
            <w:gridSpan w:val="2"/>
            <w:vMerge w:val="continue"/>
            <w:shd w:val="clear" w:color="auto" w:fill="FAFAFA"/>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1080" w:type="dxa"/>
            <w:vAlign w:val="bottom"/>
            <w:vMerge w:val="continue"/>
            <w:shd w:val="clear" w:color="auto" w:fill="FAFAFA"/>
          </w:tcPr>
          <w:p>
            <w:pPr>
              <w:spacing w:after="0"/>
              <w:rPr>
                <w:sz w:val="24"/>
                <w:szCs w:val="24"/>
                <w:color w:val="auto"/>
              </w:rPr>
            </w:pPr>
          </w:p>
        </w:tc>
        <w:tc>
          <w:tcPr>
            <w:tcW w:w="3320" w:type="dxa"/>
            <w:vAlign w:val="bottom"/>
            <w:vMerge w:val="continue"/>
            <w:shd w:val="clear" w:color="auto" w:fill="FAFAFA"/>
          </w:tcPr>
          <w:p>
            <w:pPr>
              <w:spacing w:after="0"/>
              <w:rPr>
                <w:sz w:val="24"/>
                <w:szCs w:val="24"/>
                <w:color w:val="auto"/>
              </w:rPr>
            </w:pPr>
          </w:p>
        </w:tc>
        <w:tc>
          <w:tcPr>
            <w:tcW w:w="2040" w:type="dxa"/>
            <w:vAlign w:val="bottom"/>
            <w:shd w:val="clear" w:color="auto" w:fill="FAFAFA"/>
          </w:tcPr>
          <w:p>
            <w:pPr>
              <w:spacing w:after="0"/>
              <w:rPr>
                <w:sz w:val="24"/>
                <w:szCs w:val="24"/>
                <w:color w:val="auto"/>
              </w:rPr>
            </w:pPr>
          </w:p>
        </w:tc>
        <w:tc>
          <w:tcPr>
            <w:tcW w:w="480" w:type="dxa"/>
            <w:vAlign w:val="bottom"/>
            <w:shd w:val="clear" w:color="auto" w:fill="FAFAFA"/>
          </w:tcPr>
          <w:p>
            <w:pPr>
              <w:spacing w:after="0"/>
              <w:rPr>
                <w:sz w:val="24"/>
                <w:szCs w:val="24"/>
                <w:color w:val="auto"/>
              </w:rPr>
            </w:pPr>
          </w:p>
        </w:tc>
        <w:tc>
          <w:tcPr>
            <w:tcW w:w="160" w:type="dxa"/>
            <w:vAlign w:val="bottom"/>
            <w:shd w:val="clear" w:color="auto" w:fill="FAFAFA"/>
          </w:tcPr>
          <w:p>
            <w:pPr>
              <w:spacing w:after="0"/>
              <w:rPr>
                <w:sz w:val="24"/>
                <w:szCs w:val="24"/>
                <w:color w:val="auto"/>
              </w:rPr>
            </w:pPr>
          </w:p>
        </w:tc>
        <w:tc>
          <w:tcPr>
            <w:tcW w:w="580" w:type="dxa"/>
            <w:vAlign w:val="bottom"/>
            <w:shd w:val="clear" w:color="auto" w:fill="FAFAFA"/>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FAFAFA"/>
          </w:tcPr>
          <w:p>
            <w:pPr>
              <w:spacing w:after="0"/>
              <w:rPr>
                <w:sz w:val="14"/>
                <w:szCs w:val="14"/>
                <w:color w:val="auto"/>
              </w:rPr>
            </w:pPr>
          </w:p>
        </w:tc>
        <w:tc>
          <w:tcPr>
            <w:tcW w:w="3320" w:type="dxa"/>
            <w:vAlign w:val="bottom"/>
            <w:shd w:val="clear" w:color="auto" w:fill="FAFAFA"/>
          </w:tcPr>
          <w:p>
            <w:pPr>
              <w:spacing w:after="0"/>
              <w:rPr>
                <w:sz w:val="14"/>
                <w:szCs w:val="14"/>
                <w:color w:val="auto"/>
              </w:rPr>
            </w:pPr>
          </w:p>
        </w:tc>
        <w:tc>
          <w:tcPr>
            <w:tcW w:w="2040" w:type="dxa"/>
            <w:vAlign w:val="bottom"/>
            <w:shd w:val="clear" w:color="auto" w:fill="FAFAFA"/>
          </w:tcPr>
          <w:p>
            <w:pPr>
              <w:spacing w:after="0"/>
              <w:rPr>
                <w:sz w:val="14"/>
                <w:szCs w:val="14"/>
                <w:color w:val="auto"/>
              </w:rPr>
            </w:pPr>
          </w:p>
        </w:tc>
        <w:tc>
          <w:tcPr>
            <w:tcW w:w="480" w:type="dxa"/>
            <w:vAlign w:val="bottom"/>
            <w:shd w:val="clear" w:color="auto" w:fill="FAFAFA"/>
          </w:tcPr>
          <w:p>
            <w:pPr>
              <w:spacing w:after="0"/>
              <w:rPr>
                <w:sz w:val="14"/>
                <w:szCs w:val="14"/>
                <w:color w:val="auto"/>
              </w:rPr>
            </w:pPr>
          </w:p>
        </w:tc>
        <w:tc>
          <w:tcPr>
            <w:tcW w:w="160" w:type="dxa"/>
            <w:vAlign w:val="bottom"/>
            <w:shd w:val="clear" w:color="auto" w:fill="FAFAFA"/>
          </w:tcPr>
          <w:p>
            <w:pPr>
              <w:spacing w:after="0"/>
              <w:rPr>
                <w:sz w:val="14"/>
                <w:szCs w:val="14"/>
                <w:color w:val="auto"/>
              </w:rPr>
            </w:pPr>
          </w:p>
        </w:tc>
        <w:tc>
          <w:tcPr>
            <w:tcW w:w="580" w:type="dxa"/>
            <w:vAlign w:val="bottom"/>
            <w:shd w:val="clear" w:color="auto" w:fill="FAFAFA"/>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-3119755</wp:posOffset>
            </wp:positionV>
            <wp:extent cx="48691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6918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-2485390</wp:posOffset>
            </wp:positionV>
            <wp:extent cx="48691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6918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-1610995</wp:posOffset>
            </wp:positionV>
            <wp:extent cx="48691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69180" cy="17145"/>
                    </a:xfrm>
                    <a:prstGeom prst="rect">
                      <a:avLst/>
                    </a:prstGeom>
                    <a:noFill/>
                  </pic:spPr>
                </pic:pic>
              </a:graphicData>
            </a:graphic>
          </wp:anchor>
        </w:drawing>
      </w:r>
    </w:p>
    <w:p>
      <w:pPr>
        <w:spacing w:after="0" w:line="11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Notice of Internet Availability of Proxy Materials (the “Notice of Internet Availability”) containing instructions on how to access this proxy statement, the accompanying notice of annual meeting and form of proxy, and our annual report, is first being sent or given on or about April [•], 2025 to all stockholders of record as of April 4, 2025.</w:t>
      </w:r>
    </w:p>
    <w:p>
      <w:pPr>
        <w:spacing w:after="0" w:line="623" w:lineRule="exact"/>
        <w:rPr>
          <w:sz w:val="20"/>
          <w:szCs w:val="20"/>
          <w:color w:val="auto"/>
        </w:rPr>
      </w:pPr>
    </w:p>
    <w:p>
      <w:pPr>
        <w:sectPr>
          <w:pgSz w:w="11900" w:h="16838" w:orient="portrait"/>
          <w:cols w:equalWidth="0" w:num="2">
            <w:col w:w="1520" w:space="220"/>
            <w:col w:w="7660"/>
          </w:cols>
          <w:pgMar w:left="1240" w:top="114" w:right="1259" w:bottom="1440" w:gutter="0" w:footer="0" w:header="0"/>
          <w:type w:val="continuous"/>
        </w:sectPr>
      </w:pPr>
    </w:p>
    <w:p>
      <w:pPr>
        <w:spacing w:after="0" w:line="58"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102870</wp:posOffset>
            </wp:positionV>
            <wp:extent cx="1405890" cy="651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0589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PROXY STATEMENT</w:t>
      </w:r>
    </w:p>
    <w:p>
      <w:pPr>
        <w:spacing w:after="0" w:line="47" w:lineRule="exact"/>
        <w:rPr>
          <w:sz w:val="20"/>
          <w:szCs w:val="20"/>
          <w:color w:val="auto"/>
        </w:rPr>
      </w:pPr>
    </w:p>
    <w:p>
      <w:pPr>
        <w:ind w:right="2780"/>
        <w:spacing w:after="0" w:line="269" w:lineRule="auto"/>
        <w:rPr>
          <w:sz w:val="20"/>
          <w:szCs w:val="20"/>
          <w:color w:val="auto"/>
        </w:rPr>
      </w:pPr>
      <w:r>
        <w:rPr>
          <w:rFonts w:ascii="Times New Roman" w:cs="Times New Roman" w:eastAsia="Times New Roman" w:hAnsi="Times New Roman"/>
          <w:sz w:val="58"/>
          <w:szCs w:val="58"/>
          <w:color w:val="255993"/>
        </w:rPr>
        <w:t>For 2025 Annual Meeting of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be Held at 8:00 a.m., Pacific Time, on May 29, 2025</w:t>
      </w:r>
    </w:p>
    <w:p>
      <w:pPr>
        <w:spacing w:after="0" w:line="154" w:lineRule="exact"/>
        <w:rPr>
          <w:sz w:val="20"/>
          <w:szCs w:val="20"/>
          <w:color w:val="auto"/>
        </w:rPr>
      </w:pPr>
    </w:p>
    <w:p>
      <w:pPr>
        <w:ind w:right="340"/>
        <w:spacing w:after="0" w:line="254" w:lineRule="auto"/>
        <w:rPr>
          <w:sz w:val="20"/>
          <w:szCs w:val="20"/>
          <w:color w:val="auto"/>
        </w:rPr>
      </w:pPr>
      <w:r>
        <w:rPr>
          <w:rFonts w:ascii="Arial" w:cs="Arial" w:eastAsia="Arial" w:hAnsi="Arial"/>
          <w:sz w:val="16"/>
          <w:szCs w:val="16"/>
          <w:color w:val="auto"/>
        </w:rPr>
        <w:t>The board of directors of Athira Pharma, Inc., a Delaware corporation (“we,” “us,” “our,” the “Company” or “Athira”), is soliciting proxies to be used at our 2025 annual meeting of stockholders (together with any postponement, adjournment or continuation thereof, the “Annual Meeting”). The Annual Meeting will be held on May 29, 2025, at 8:00 a.m., Pacific Time. The Annual Meeting will be conducted virtually via live audio webcast. You will be able to attend the Annual Meeting virtually by visiting www.virtualshareholdermeeting.com/ATHA2025, where you will be able to listen to the meeting live, submit questions and vote online during the meeting.</w:t>
      </w:r>
    </w:p>
    <w:p>
      <w:pPr>
        <w:spacing w:after="0" w:line="10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Notice of Internet Availability of Proxy Materials (the “Notice of Internet Availability”), containing instructions on how to access this proxy statement, the accompanying notice of annual meeting and form of proxy, and our annual report, is first being sent or given on or about April [•], 2025 to all stockholders of record as of April 4, 2025. The proxy materials and our annual report can be accessed as of April [•], 2025 by visiting www.proxyvote.com.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11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QUESTIONS AND ANSWERS ABOUT THE PROXY MATERIALS AND OUR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WHY AM I RECEIVING THESE MATERIALS?</w:t>
      </w:r>
    </w:p>
    <w:p>
      <w:pPr>
        <w:spacing w:after="0" w:line="11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This proxy statement and the accompanying proxy card are furnished in connection with the solicitation of proxies by our board of directors for use at the Annual Meeting.</w:t>
      </w:r>
    </w:p>
    <w:p>
      <w:pPr>
        <w:spacing w:after="0" w:line="8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255993"/>
        </w:rPr>
        <w:t xml:space="preserve">Your vote is very important. </w:t>
      </w:r>
      <w:r>
        <w:rPr>
          <w:rFonts w:ascii="Arial" w:cs="Arial" w:eastAsia="Arial" w:hAnsi="Arial"/>
          <w:sz w:val="16"/>
          <w:szCs w:val="16"/>
          <w:color w:val="000000"/>
        </w:rPr>
        <w:t>Whether or not you attend the virtual Annual Meeting, it is important that your shares be represented</w:t>
      </w:r>
      <w:r>
        <w:rPr>
          <w:rFonts w:ascii="Arial" w:cs="Arial" w:eastAsia="Arial" w:hAnsi="Arial"/>
          <w:sz w:val="16"/>
          <w:szCs w:val="16"/>
          <w:b w:val="1"/>
          <w:bCs w:val="1"/>
          <w:color w:val="255993"/>
        </w:rPr>
        <w:t xml:space="preserve"> </w:t>
      </w:r>
      <w:r>
        <w:rPr>
          <w:rFonts w:ascii="Arial" w:cs="Arial" w:eastAsia="Arial" w:hAnsi="Arial"/>
          <w:sz w:val="16"/>
          <w:szCs w:val="16"/>
          <w:color w:val="000000"/>
        </w:rPr>
        <w:t>and voted at the Annual Meeting. Therefore, we urge you to vote and submit your proxy promptly via the internet, telephone or mail. Voting your shares by proxy ensures that if you are unable to attend the Annual Meeting, your shares will be voted at the Annual Meeting. Voting now will not limit your right to change your vote or to attend the Annual Meeting.</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PROPOSALS WILL BE VOTED ON AT THE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proposals will be voted on at the Annual Meeting:</w:t>
      </w:r>
    </w:p>
    <w:p>
      <w:pPr>
        <w:spacing w:after="0" w:line="167" w:lineRule="exact"/>
        <w:rPr>
          <w:sz w:val="20"/>
          <w:szCs w:val="20"/>
          <w:color w:val="auto"/>
        </w:rPr>
      </w:pPr>
    </w:p>
    <w:p>
      <w:pPr>
        <w:ind w:left="140" w:right="40" w:hanging="134"/>
        <w:spacing w:after="0" w:line="281" w:lineRule="auto"/>
        <w:tabs>
          <w:tab w:leader="none" w:pos="140" w:val="left"/>
        </w:tabs>
        <w:numPr>
          <w:ilvl w:val="0"/>
          <w:numId w:val="4"/>
        </w:numPr>
        <w:rPr>
          <w:rFonts w:ascii="Arial" w:cs="Arial" w:eastAsia="Arial" w:hAnsi="Arial"/>
          <w:sz w:val="16"/>
          <w:szCs w:val="16"/>
          <w:color w:val="255993"/>
        </w:rPr>
      </w:pPr>
      <w:r>
        <w:rPr>
          <w:rFonts w:ascii="Arial" w:cs="Arial" w:eastAsia="Arial" w:hAnsi="Arial"/>
          <w:sz w:val="16"/>
          <w:szCs w:val="16"/>
          <w:b w:val="1"/>
          <w:bCs w:val="1"/>
          <w:color w:val="255993"/>
        </w:rPr>
        <w:t>Proposal No. 1</w:t>
      </w:r>
      <w:r>
        <w:rPr>
          <w:rFonts w:ascii="Arial" w:cs="Arial" w:eastAsia="Arial" w:hAnsi="Arial"/>
          <w:sz w:val="16"/>
          <w:szCs w:val="16"/>
          <w:color w:val="000000"/>
        </w:rPr>
        <w:t>: the election of three nominees as Class II directors of the Company, each to hold office for a term of three years</w:t>
      </w:r>
      <w:r>
        <w:rPr>
          <w:rFonts w:ascii="Arial" w:cs="Arial" w:eastAsia="Arial" w:hAnsi="Arial"/>
          <w:sz w:val="16"/>
          <w:szCs w:val="16"/>
          <w:b w:val="1"/>
          <w:bCs w:val="1"/>
          <w:color w:val="255993"/>
        </w:rPr>
        <w:t xml:space="preserve"> </w:t>
      </w:r>
      <w:r>
        <w:rPr>
          <w:rFonts w:ascii="Arial" w:cs="Arial" w:eastAsia="Arial" w:hAnsi="Arial"/>
          <w:sz w:val="16"/>
          <w:szCs w:val="16"/>
          <w:color w:val="000000"/>
        </w:rPr>
        <w:t>and until his respective successor is elected and qualified, or until his earlier death, resignation or removal.</w:t>
      </w:r>
    </w:p>
    <w:p>
      <w:pPr>
        <w:spacing w:after="0" w:line="1" w:lineRule="exact"/>
        <w:rPr>
          <w:rFonts w:ascii="Arial" w:cs="Arial" w:eastAsia="Arial" w:hAnsi="Arial"/>
          <w:sz w:val="16"/>
          <w:szCs w:val="16"/>
          <w:color w:val="255993"/>
        </w:rPr>
      </w:pPr>
    </w:p>
    <w:p>
      <w:pPr>
        <w:ind w:left="140" w:right="540" w:hanging="134"/>
        <w:spacing w:after="0" w:line="281" w:lineRule="auto"/>
        <w:tabs>
          <w:tab w:leader="none" w:pos="140" w:val="left"/>
        </w:tabs>
        <w:numPr>
          <w:ilvl w:val="0"/>
          <w:numId w:val="4"/>
        </w:numPr>
        <w:rPr>
          <w:rFonts w:ascii="Arial" w:cs="Arial" w:eastAsia="Arial" w:hAnsi="Arial"/>
          <w:sz w:val="16"/>
          <w:szCs w:val="16"/>
          <w:color w:val="255993"/>
        </w:rPr>
      </w:pPr>
      <w:r>
        <w:rPr>
          <w:rFonts w:ascii="Arial" w:cs="Arial" w:eastAsia="Arial" w:hAnsi="Arial"/>
          <w:sz w:val="16"/>
          <w:szCs w:val="16"/>
          <w:b w:val="1"/>
          <w:bCs w:val="1"/>
          <w:color w:val="255993"/>
        </w:rPr>
        <w:t>Proposal No. 2</w:t>
      </w:r>
      <w:r>
        <w:rPr>
          <w:rFonts w:ascii="Arial" w:cs="Arial" w:eastAsia="Arial" w:hAnsi="Arial"/>
          <w:sz w:val="16"/>
          <w:szCs w:val="16"/>
          <w:color w:val="000000"/>
        </w:rPr>
        <w:t>: the ratification of the appointment of Ernst &amp; Young LLP as the Company’s independent registered public</w:t>
      </w:r>
      <w:r>
        <w:rPr>
          <w:rFonts w:ascii="Arial" w:cs="Arial" w:eastAsia="Arial" w:hAnsi="Arial"/>
          <w:sz w:val="16"/>
          <w:szCs w:val="16"/>
          <w:b w:val="1"/>
          <w:bCs w:val="1"/>
          <w:color w:val="255993"/>
        </w:rPr>
        <w:t xml:space="preserve"> </w:t>
      </w:r>
      <w:r>
        <w:rPr>
          <w:rFonts w:ascii="Arial" w:cs="Arial" w:eastAsia="Arial" w:hAnsi="Arial"/>
          <w:sz w:val="16"/>
          <w:szCs w:val="16"/>
          <w:color w:val="000000"/>
        </w:rPr>
        <w:t>accounting firm for its fiscal year ending December 31, 2025.</w:t>
      </w:r>
    </w:p>
    <w:p>
      <w:pPr>
        <w:spacing w:after="0" w:line="1" w:lineRule="exact"/>
        <w:rPr>
          <w:rFonts w:ascii="Arial" w:cs="Arial" w:eastAsia="Arial" w:hAnsi="Arial"/>
          <w:sz w:val="16"/>
          <w:szCs w:val="16"/>
          <w:color w:val="255993"/>
        </w:rPr>
      </w:pPr>
    </w:p>
    <w:p>
      <w:pPr>
        <w:ind w:left="140" w:right="480" w:hanging="134"/>
        <w:spacing w:after="0" w:line="281" w:lineRule="auto"/>
        <w:tabs>
          <w:tab w:leader="none" w:pos="140" w:val="left"/>
        </w:tabs>
        <w:numPr>
          <w:ilvl w:val="0"/>
          <w:numId w:val="4"/>
        </w:numPr>
        <w:rPr>
          <w:rFonts w:ascii="Arial" w:cs="Arial" w:eastAsia="Arial" w:hAnsi="Arial"/>
          <w:sz w:val="16"/>
          <w:szCs w:val="16"/>
          <w:color w:val="255993"/>
        </w:rPr>
      </w:pPr>
      <w:r>
        <w:rPr>
          <w:rFonts w:ascii="Arial" w:cs="Arial" w:eastAsia="Arial" w:hAnsi="Arial"/>
          <w:sz w:val="16"/>
          <w:szCs w:val="16"/>
          <w:b w:val="1"/>
          <w:bCs w:val="1"/>
          <w:color w:val="255993"/>
        </w:rPr>
        <w:t>Proposal No. 3</w:t>
      </w:r>
      <w:r>
        <w:rPr>
          <w:rFonts w:ascii="Arial" w:cs="Arial" w:eastAsia="Arial" w:hAnsi="Arial"/>
          <w:sz w:val="16"/>
          <w:szCs w:val="16"/>
          <w:color w:val="000000"/>
        </w:rPr>
        <w:t>: the approval of proposed amendments to our amended and restated certificate of incorporation to effect a</w:t>
      </w:r>
      <w:r>
        <w:rPr>
          <w:rFonts w:ascii="Arial" w:cs="Arial" w:eastAsia="Arial" w:hAnsi="Arial"/>
          <w:sz w:val="16"/>
          <w:szCs w:val="16"/>
          <w:b w:val="1"/>
          <w:bCs w:val="1"/>
          <w:color w:val="255993"/>
        </w:rPr>
        <w:t xml:space="preserve"> </w:t>
      </w:r>
      <w:r>
        <w:rPr>
          <w:rFonts w:ascii="Arial" w:cs="Arial" w:eastAsia="Arial" w:hAnsi="Arial"/>
          <w:sz w:val="16"/>
          <w:szCs w:val="16"/>
          <w:color w:val="000000"/>
        </w:rPr>
        <w:t>reverse stock split and reduce the total number of authorized shares of common stock.</w:t>
      </w:r>
    </w:p>
    <w:p>
      <w:pPr>
        <w:spacing w:after="0" w:line="1" w:lineRule="exact"/>
        <w:rPr>
          <w:rFonts w:ascii="Arial" w:cs="Arial" w:eastAsia="Arial" w:hAnsi="Arial"/>
          <w:sz w:val="16"/>
          <w:szCs w:val="16"/>
          <w:color w:val="255993"/>
        </w:rPr>
      </w:pPr>
    </w:p>
    <w:p>
      <w:pPr>
        <w:ind w:left="140" w:right="120" w:hanging="134"/>
        <w:spacing w:after="0" w:line="286" w:lineRule="auto"/>
        <w:tabs>
          <w:tab w:leader="none" w:pos="140" w:val="left"/>
        </w:tabs>
        <w:numPr>
          <w:ilvl w:val="0"/>
          <w:numId w:val="4"/>
        </w:numPr>
        <w:rPr>
          <w:rFonts w:ascii="Arial" w:cs="Arial" w:eastAsia="Arial" w:hAnsi="Arial"/>
          <w:sz w:val="16"/>
          <w:szCs w:val="16"/>
          <w:color w:val="255993"/>
        </w:rPr>
      </w:pPr>
      <w:r>
        <w:rPr>
          <w:rFonts w:ascii="Arial" w:cs="Arial" w:eastAsia="Arial" w:hAnsi="Arial"/>
          <w:sz w:val="16"/>
          <w:szCs w:val="16"/>
          <w:b w:val="1"/>
          <w:bCs w:val="1"/>
          <w:color w:val="255993"/>
        </w:rPr>
        <w:t>Proposal No. 4</w:t>
      </w:r>
      <w:r>
        <w:rPr>
          <w:rFonts w:ascii="Arial" w:cs="Arial" w:eastAsia="Arial" w:hAnsi="Arial"/>
          <w:sz w:val="16"/>
          <w:szCs w:val="16"/>
          <w:color w:val="000000"/>
        </w:rPr>
        <w:t>: any other business that may properly come before the Annual Meeting or any adjournments or postponements</w:t>
      </w:r>
      <w:r>
        <w:rPr>
          <w:rFonts w:ascii="Arial" w:cs="Arial" w:eastAsia="Arial" w:hAnsi="Arial"/>
          <w:sz w:val="16"/>
          <w:szCs w:val="16"/>
          <w:b w:val="1"/>
          <w:bCs w:val="1"/>
          <w:color w:val="255993"/>
        </w:rPr>
        <w:t xml:space="preserve"> </w:t>
      </w:r>
      <w:r>
        <w:rPr>
          <w:rFonts w:ascii="Arial" w:cs="Arial" w:eastAsia="Arial" w:hAnsi="Arial"/>
          <w:sz w:val="16"/>
          <w:szCs w:val="16"/>
          <w:color w:val="000000"/>
        </w:rPr>
        <w:t>thereof.</w:t>
      </w:r>
    </w:p>
    <w:p>
      <w:pPr>
        <w:spacing w:after="0" w:line="160"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For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As of the date of this proxy statement, our management and board of directors were not aware of any other matters to be presented at the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DOES THE BOARD OF DIRECTORS RECOMMEND THAT I VOTE ON THESE PROPOSALS?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recommends that you vote your shares:</w:t>
      </w:r>
    </w:p>
    <w:p>
      <w:pPr>
        <w:spacing w:after="0" w:line="167" w:lineRule="exact"/>
        <w:rPr>
          <w:sz w:val="20"/>
          <w:szCs w:val="20"/>
          <w:color w:val="auto"/>
        </w:rPr>
      </w:pPr>
    </w:p>
    <w:p>
      <w:pPr>
        <w:ind w:left="140" w:right="500" w:hanging="134"/>
        <w:spacing w:after="0" w:line="281" w:lineRule="auto"/>
        <w:tabs>
          <w:tab w:leader="none" w:pos="140" w:val="left"/>
        </w:tabs>
        <w:numPr>
          <w:ilvl w:val="0"/>
          <w:numId w:val="5"/>
        </w:numPr>
        <w:rPr>
          <w:rFonts w:ascii="Arial" w:cs="Arial" w:eastAsia="Arial" w:hAnsi="Arial"/>
          <w:sz w:val="16"/>
          <w:szCs w:val="16"/>
          <w:color w:val="255993"/>
        </w:rPr>
      </w:pPr>
      <w:r>
        <w:rPr>
          <w:rFonts w:ascii="Arial" w:cs="Arial" w:eastAsia="Arial" w:hAnsi="Arial"/>
          <w:sz w:val="16"/>
          <w:szCs w:val="16"/>
          <w:b w:val="1"/>
          <w:bCs w:val="1"/>
          <w:color w:val="255993"/>
        </w:rPr>
        <w:t xml:space="preserve">“FOR” </w:t>
      </w:r>
      <w:r>
        <w:rPr>
          <w:rFonts w:ascii="Arial" w:cs="Arial" w:eastAsia="Arial" w:hAnsi="Arial"/>
          <w:sz w:val="16"/>
          <w:szCs w:val="16"/>
          <w:color w:val="000000"/>
        </w:rPr>
        <w:t>the election of each Class II director nominee named in this proxy statement (Proposal No. 1) (which nominees are</w:t>
      </w:r>
      <w:r>
        <w:rPr>
          <w:rFonts w:ascii="Arial" w:cs="Arial" w:eastAsia="Arial" w:hAnsi="Arial"/>
          <w:sz w:val="16"/>
          <w:szCs w:val="16"/>
          <w:b w:val="1"/>
          <w:bCs w:val="1"/>
          <w:color w:val="255993"/>
        </w:rPr>
        <w:t xml:space="preserve"> </w:t>
      </w:r>
      <w:r>
        <w:rPr>
          <w:rFonts w:ascii="Arial" w:cs="Arial" w:eastAsia="Arial" w:hAnsi="Arial"/>
          <w:sz w:val="16"/>
          <w:szCs w:val="16"/>
          <w:color w:val="000000"/>
        </w:rPr>
        <w:t>Joseph Edelman, John M. Fluke, Jr., and Grant Pickering).</w:t>
      </w:r>
    </w:p>
    <w:p>
      <w:pPr>
        <w:spacing w:after="0" w:line="1" w:lineRule="exact"/>
        <w:rPr>
          <w:rFonts w:ascii="Arial" w:cs="Arial" w:eastAsia="Arial" w:hAnsi="Arial"/>
          <w:sz w:val="16"/>
          <w:szCs w:val="16"/>
          <w:color w:val="255993"/>
        </w:rPr>
      </w:pPr>
    </w:p>
    <w:p>
      <w:pPr>
        <w:ind w:left="140" w:right="400" w:hanging="134"/>
        <w:spacing w:after="0" w:line="281" w:lineRule="auto"/>
        <w:tabs>
          <w:tab w:leader="none" w:pos="140" w:val="left"/>
        </w:tabs>
        <w:numPr>
          <w:ilvl w:val="0"/>
          <w:numId w:val="5"/>
        </w:numPr>
        <w:rPr>
          <w:rFonts w:ascii="Arial" w:cs="Arial" w:eastAsia="Arial" w:hAnsi="Arial"/>
          <w:sz w:val="16"/>
          <w:szCs w:val="16"/>
          <w:color w:val="255993"/>
        </w:rPr>
      </w:pPr>
      <w:r>
        <w:rPr>
          <w:rFonts w:ascii="Arial" w:cs="Arial" w:eastAsia="Arial" w:hAnsi="Arial"/>
          <w:sz w:val="16"/>
          <w:szCs w:val="16"/>
          <w:b w:val="1"/>
          <w:bCs w:val="1"/>
          <w:color w:val="255993"/>
        </w:rPr>
        <w:t xml:space="preserve">“FOR” </w:t>
      </w:r>
      <w:r>
        <w:rPr>
          <w:rFonts w:ascii="Arial" w:cs="Arial" w:eastAsia="Arial" w:hAnsi="Arial"/>
          <w:sz w:val="16"/>
          <w:szCs w:val="16"/>
          <w:color w:val="000000"/>
        </w:rPr>
        <w:t>the ratification of the appointment of Ernst &amp; Young LLP as our independent registered public accounting firm for our</w:t>
      </w:r>
      <w:r>
        <w:rPr>
          <w:rFonts w:ascii="Arial" w:cs="Arial" w:eastAsia="Arial" w:hAnsi="Arial"/>
          <w:sz w:val="16"/>
          <w:szCs w:val="16"/>
          <w:b w:val="1"/>
          <w:bCs w:val="1"/>
          <w:color w:val="255993"/>
        </w:rPr>
        <w:t xml:space="preserve"> </w:t>
      </w:r>
      <w:r>
        <w:rPr>
          <w:rFonts w:ascii="Arial" w:cs="Arial" w:eastAsia="Arial" w:hAnsi="Arial"/>
          <w:sz w:val="16"/>
          <w:szCs w:val="16"/>
          <w:color w:val="000000"/>
        </w:rPr>
        <w:t>fiscal year ending December 31, 2025 (Proposal No. 2).</w:t>
      </w:r>
    </w:p>
    <w:p>
      <w:pPr>
        <w:spacing w:after="0" w:line="1" w:lineRule="exact"/>
        <w:rPr>
          <w:rFonts w:ascii="Arial" w:cs="Arial" w:eastAsia="Arial" w:hAnsi="Arial"/>
          <w:sz w:val="16"/>
          <w:szCs w:val="16"/>
          <w:color w:val="255993"/>
        </w:rPr>
      </w:pPr>
    </w:p>
    <w:p>
      <w:pPr>
        <w:ind w:left="140" w:right="140" w:hanging="134"/>
        <w:spacing w:after="0" w:line="286" w:lineRule="auto"/>
        <w:tabs>
          <w:tab w:leader="none" w:pos="140" w:val="left"/>
        </w:tabs>
        <w:numPr>
          <w:ilvl w:val="0"/>
          <w:numId w:val="5"/>
        </w:numPr>
        <w:rPr>
          <w:rFonts w:ascii="Arial" w:cs="Arial" w:eastAsia="Arial" w:hAnsi="Arial"/>
          <w:sz w:val="16"/>
          <w:szCs w:val="16"/>
          <w:color w:val="255993"/>
        </w:rPr>
      </w:pPr>
      <w:r>
        <w:rPr>
          <w:rFonts w:ascii="Arial" w:cs="Arial" w:eastAsia="Arial" w:hAnsi="Arial"/>
          <w:sz w:val="16"/>
          <w:szCs w:val="16"/>
          <w:b w:val="1"/>
          <w:bCs w:val="1"/>
          <w:color w:val="255993"/>
        </w:rPr>
        <w:t xml:space="preserve">“FOR” </w:t>
      </w:r>
      <w:r>
        <w:rPr>
          <w:rFonts w:ascii="Arial" w:cs="Arial" w:eastAsia="Arial" w:hAnsi="Arial"/>
          <w:sz w:val="16"/>
          <w:szCs w:val="16"/>
          <w:color w:val="000000"/>
        </w:rPr>
        <w:t>the approval of proposed amendments to our amended and restated certificate of incorporation to effect a reverse stock</w:t>
      </w:r>
      <w:r>
        <w:rPr>
          <w:rFonts w:ascii="Arial" w:cs="Arial" w:eastAsia="Arial" w:hAnsi="Arial"/>
          <w:sz w:val="16"/>
          <w:szCs w:val="16"/>
          <w:b w:val="1"/>
          <w:bCs w:val="1"/>
          <w:color w:val="255993"/>
        </w:rPr>
        <w:t xml:space="preserve"> </w:t>
      </w:r>
      <w:r>
        <w:rPr>
          <w:rFonts w:ascii="Arial" w:cs="Arial" w:eastAsia="Arial" w:hAnsi="Arial"/>
          <w:sz w:val="16"/>
          <w:szCs w:val="16"/>
          <w:color w:val="000000"/>
        </w:rPr>
        <w:t>split and reduce the total number of authorized shares of common stock (Proposal No. 3).</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WHO IS ENTITLED TO VOTE AT THE ANNUAL MEETING?</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Holders of our common stock as of the close of business on April 4, 2025, the record date for the Annual Meeting, may vote at the Annual Meeting. As of the record date, there were [•] shares of our common stock outstanding. Each share of common stock is entitled to one vote on each matter properly brought before the Annual Meeting. Stockholders are not permitted to cumulate votes with respect to the election of directors. We do not have any outstanding shares of preferred stock.</w:t>
      </w:r>
    </w:p>
    <w:p>
      <w:pPr>
        <w:spacing w:after="0" w:line="9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i w:val="1"/>
          <w:iCs w:val="1"/>
          <w:color w:val="auto"/>
        </w:rPr>
        <w:t>Stockholders of Record</w:t>
      </w:r>
      <w:r>
        <w:rPr>
          <w:rFonts w:ascii="Arial" w:cs="Arial" w:eastAsia="Arial" w:hAnsi="Arial"/>
          <w:sz w:val="16"/>
          <w:szCs w:val="16"/>
          <w:color w:val="auto"/>
        </w:rPr>
        <w:t>. If your shares are registered directly in your name with our transfer agent, Computershare Inc., then you</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the stockholder of record with respect to those shares, and this Notice of Internet Availability was sent directly to you by us. As a stockholder of record, you have the right to grant your proxy directly to the individuals listed on the proxy card or to vote by ballot at the Annual Meeting. Throughout this proxy statement, we refer to these holders as “stockholders of record.” Only stockholders of record as of April 4, 2025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Athira Pharma, Inc., 18706 North Creek Parkway, Suite 104, Bothell, Washington 98011, Attention: Corporate Secretary.</w:t>
      </w:r>
    </w:p>
    <w:p>
      <w:pPr>
        <w:spacing w:after="0" w:line="11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your shares are held in a brokerage account or by a broker, bank or other nominee, then you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your shares. Beneficial owners are also invited to attend the virtual Annual Meeting. However, since a beneficial owner is not the stockholder of record, you may not vote your shares directly at the Annual Meeting unless you follow the procedures for obtaining a legal proxy from your broker, bank or other nominee. If you request a printed copy of the proxy materials by mail, your broker, bank or other nominee will provide a voting instruction card for you to use. Throughout this proxy statement, we refer to these holders as “street name stockholders.”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MANY VOTES ARE NEEDED FOR APPROVAL OF EACH PROPOSAL?</w:t>
      </w:r>
    </w:p>
    <w:p>
      <w:pPr>
        <w:spacing w:after="0" w:line="208" w:lineRule="exact"/>
        <w:rPr>
          <w:sz w:val="20"/>
          <w:szCs w:val="20"/>
          <w:color w:val="auto"/>
        </w:rPr>
      </w:pPr>
    </w:p>
    <w:p>
      <w:pPr>
        <w:ind w:left="140" w:right="140" w:hanging="134"/>
        <w:spacing w:after="0" w:line="256" w:lineRule="auto"/>
        <w:tabs>
          <w:tab w:leader="none" w:pos="140" w:val="left"/>
        </w:tabs>
        <w:numPr>
          <w:ilvl w:val="0"/>
          <w:numId w:val="6"/>
        </w:numPr>
        <w:rPr>
          <w:rFonts w:ascii="Arial" w:cs="Arial" w:eastAsia="Arial" w:hAnsi="Arial"/>
          <w:sz w:val="16"/>
          <w:szCs w:val="16"/>
          <w:color w:val="255993"/>
        </w:rPr>
      </w:pPr>
      <w:r>
        <w:rPr>
          <w:rFonts w:ascii="Arial" w:cs="Arial" w:eastAsia="Arial" w:hAnsi="Arial"/>
          <w:sz w:val="16"/>
          <w:szCs w:val="16"/>
          <w:b w:val="1"/>
          <w:bCs w:val="1"/>
          <w:color w:val="255993"/>
        </w:rPr>
        <w:t>Proposal No. 1</w:t>
      </w:r>
      <w:r>
        <w:rPr>
          <w:rFonts w:ascii="Arial" w:cs="Arial" w:eastAsia="Arial" w:hAnsi="Arial"/>
          <w:sz w:val="16"/>
          <w:szCs w:val="16"/>
          <w:color w:val="000000"/>
        </w:rPr>
        <w:t>: Each director is elected by a plurality of the voting power of the shares present or represented by proxy at the</w:t>
      </w:r>
      <w:r>
        <w:rPr>
          <w:rFonts w:ascii="Arial" w:cs="Arial" w:eastAsia="Arial" w:hAnsi="Arial"/>
          <w:sz w:val="16"/>
          <w:szCs w:val="16"/>
          <w:b w:val="1"/>
          <w:bCs w:val="1"/>
          <w:color w:val="255993"/>
        </w:rPr>
        <w:t xml:space="preserve"> </w:t>
      </w:r>
      <w:r>
        <w:rPr>
          <w:rFonts w:ascii="Arial" w:cs="Arial" w:eastAsia="Arial" w:hAnsi="Arial"/>
          <w:sz w:val="16"/>
          <w:szCs w:val="16"/>
          <w:color w:val="000000"/>
        </w:rPr>
        <w:t xml:space="preserve">Annual Meeting and entitled to vote on the election of directors. A plurality means that the nominees with the largest number of </w:t>
      </w:r>
      <w:r>
        <w:rPr>
          <w:rFonts w:ascii="Arial" w:cs="Arial" w:eastAsia="Arial" w:hAnsi="Arial"/>
          <w:sz w:val="16"/>
          <w:szCs w:val="16"/>
          <w:b w:val="1"/>
          <w:bCs w:val="1"/>
          <w:color w:val="255993"/>
        </w:rPr>
        <w:t xml:space="preserve">FOR </w:t>
      </w:r>
      <w:r>
        <w:rPr>
          <w:rFonts w:ascii="Arial" w:cs="Arial" w:eastAsia="Arial" w:hAnsi="Arial"/>
          <w:sz w:val="16"/>
          <w:szCs w:val="16"/>
          <w:color w:val="000000"/>
        </w:rPr>
        <w:t>votes are elected as directors. Because the outcome of this proposal will be determined by a plurality vote, any shares not</w:t>
      </w:r>
      <w:r>
        <w:rPr>
          <w:rFonts w:ascii="Arial" w:cs="Arial" w:eastAsia="Arial" w:hAnsi="Arial"/>
          <w:sz w:val="16"/>
          <w:szCs w:val="16"/>
          <w:b w:val="1"/>
          <w:bCs w:val="1"/>
          <w:color w:val="255993"/>
        </w:rPr>
        <w:t xml:space="preserve"> </w:t>
      </w:r>
      <w:r>
        <w:rPr>
          <w:rFonts w:ascii="Arial" w:cs="Arial" w:eastAsia="Arial" w:hAnsi="Arial"/>
          <w:sz w:val="16"/>
          <w:szCs w:val="16"/>
          <w:color w:val="000000"/>
        </w:rPr>
        <w:t xml:space="preserve">voted </w:t>
      </w:r>
      <w:r>
        <w:rPr>
          <w:rFonts w:ascii="Arial" w:cs="Arial" w:eastAsia="Arial" w:hAnsi="Arial"/>
          <w:sz w:val="16"/>
          <w:szCs w:val="16"/>
          <w:b w:val="1"/>
          <w:bCs w:val="1"/>
          <w:color w:val="255993"/>
        </w:rPr>
        <w:t>FOR</w:t>
      </w:r>
      <w:r>
        <w:rPr>
          <w:rFonts w:ascii="Arial" w:cs="Arial" w:eastAsia="Arial" w:hAnsi="Arial"/>
          <w:sz w:val="16"/>
          <w:szCs w:val="16"/>
          <w:color w:val="000000"/>
        </w:rPr>
        <w:t xml:space="preserve"> a particular nominee, whether as a result of a </w:t>
      </w:r>
      <w:r>
        <w:rPr>
          <w:rFonts w:ascii="Arial" w:cs="Arial" w:eastAsia="Arial" w:hAnsi="Arial"/>
          <w:sz w:val="16"/>
          <w:szCs w:val="16"/>
          <w:b w:val="1"/>
          <w:bCs w:val="1"/>
          <w:color w:val="255993"/>
        </w:rPr>
        <w:t>WITHHOLD</w:t>
      </w:r>
      <w:r>
        <w:rPr>
          <w:rFonts w:ascii="Arial" w:cs="Arial" w:eastAsia="Arial" w:hAnsi="Arial"/>
          <w:sz w:val="16"/>
          <w:szCs w:val="16"/>
          <w:color w:val="000000"/>
        </w:rPr>
        <w:t xml:space="preserve"> vote or a broker non-vote, will have no effect on the outcome of the election.</w:t>
      </w:r>
    </w:p>
    <w:p>
      <w:pPr>
        <w:spacing w:after="0" w:line="17" w:lineRule="exact"/>
        <w:rPr>
          <w:rFonts w:ascii="Arial" w:cs="Arial" w:eastAsia="Arial" w:hAnsi="Arial"/>
          <w:sz w:val="16"/>
          <w:szCs w:val="16"/>
          <w:color w:val="255993"/>
        </w:rPr>
      </w:pPr>
    </w:p>
    <w:p>
      <w:pPr>
        <w:ind w:left="140" w:right="180" w:hanging="134"/>
        <w:spacing w:after="0" w:line="259" w:lineRule="auto"/>
        <w:tabs>
          <w:tab w:leader="none" w:pos="140" w:val="left"/>
        </w:tabs>
        <w:numPr>
          <w:ilvl w:val="0"/>
          <w:numId w:val="6"/>
        </w:numPr>
        <w:rPr>
          <w:rFonts w:ascii="Arial" w:cs="Arial" w:eastAsia="Arial" w:hAnsi="Arial"/>
          <w:sz w:val="16"/>
          <w:szCs w:val="16"/>
          <w:color w:val="255993"/>
        </w:rPr>
      </w:pPr>
      <w:r>
        <w:rPr>
          <w:rFonts w:ascii="Arial" w:cs="Arial" w:eastAsia="Arial" w:hAnsi="Arial"/>
          <w:sz w:val="16"/>
          <w:szCs w:val="16"/>
          <w:b w:val="1"/>
          <w:bCs w:val="1"/>
          <w:color w:val="255993"/>
        </w:rPr>
        <w:t>Proposal No. 2</w:t>
      </w:r>
      <w:r>
        <w:rPr>
          <w:rFonts w:ascii="Arial" w:cs="Arial" w:eastAsia="Arial" w:hAnsi="Arial"/>
          <w:sz w:val="16"/>
          <w:szCs w:val="16"/>
          <w:color w:val="000000"/>
        </w:rPr>
        <w:t>: The ratification of the appointment of Ernst &amp; Young LLP as our independent registered public accounting firm</w:t>
      </w:r>
      <w:r>
        <w:rPr>
          <w:rFonts w:ascii="Arial" w:cs="Arial" w:eastAsia="Arial" w:hAnsi="Arial"/>
          <w:sz w:val="16"/>
          <w:szCs w:val="16"/>
          <w:b w:val="1"/>
          <w:bCs w:val="1"/>
          <w:color w:val="255993"/>
        </w:rPr>
        <w:t xml:space="preserve"> </w:t>
      </w:r>
      <w:r>
        <w:rPr>
          <w:rFonts w:ascii="Arial" w:cs="Arial" w:eastAsia="Arial" w:hAnsi="Arial"/>
          <w:sz w:val="16"/>
          <w:szCs w:val="16"/>
          <w:color w:val="000000"/>
        </w:rPr>
        <w:t xml:space="preserve">for our fiscal year ending December 31, 2025 requires the affirmative vote of a majority of the voting power of the shares cast, affirmatively or negatively. You may vote </w:t>
      </w:r>
      <w:r>
        <w:rPr>
          <w:rFonts w:ascii="Arial" w:cs="Arial" w:eastAsia="Arial" w:hAnsi="Arial"/>
          <w:sz w:val="16"/>
          <w:szCs w:val="16"/>
          <w:b w:val="1"/>
          <w:bCs w:val="1"/>
          <w:color w:val="255993"/>
        </w:rPr>
        <w:t>FOR</w:t>
      </w:r>
      <w:r>
        <w:rPr>
          <w:rFonts w:ascii="Arial" w:cs="Arial" w:eastAsia="Arial" w:hAnsi="Arial"/>
          <w:sz w:val="16"/>
          <w:szCs w:val="16"/>
          <w:color w:val="000000"/>
        </w:rPr>
        <w:t xml:space="preserve"> or </w:t>
      </w:r>
      <w:r>
        <w:rPr>
          <w:rFonts w:ascii="Arial" w:cs="Arial" w:eastAsia="Arial" w:hAnsi="Arial"/>
          <w:sz w:val="16"/>
          <w:szCs w:val="16"/>
          <w:b w:val="1"/>
          <w:bCs w:val="1"/>
          <w:color w:val="255993"/>
        </w:rPr>
        <w:t>AGAINST</w:t>
      </w:r>
      <w:r>
        <w:rPr>
          <w:rFonts w:ascii="Arial" w:cs="Arial" w:eastAsia="Arial" w:hAnsi="Arial"/>
          <w:sz w:val="16"/>
          <w:szCs w:val="16"/>
          <w:color w:val="000000"/>
        </w:rPr>
        <w:t xml:space="preserve"> this proposal, or you may indicate that you wish to </w:t>
      </w:r>
      <w:r>
        <w:rPr>
          <w:rFonts w:ascii="Arial" w:cs="Arial" w:eastAsia="Arial" w:hAnsi="Arial"/>
          <w:sz w:val="16"/>
          <w:szCs w:val="16"/>
          <w:b w:val="1"/>
          <w:bCs w:val="1"/>
          <w:color w:val="255993"/>
        </w:rPr>
        <w:t>ABSTAIN</w:t>
      </w:r>
      <w:r>
        <w:rPr>
          <w:rFonts w:ascii="Arial" w:cs="Arial" w:eastAsia="Arial" w:hAnsi="Arial"/>
          <w:sz w:val="16"/>
          <w:szCs w:val="16"/>
          <w:color w:val="000000"/>
        </w:rPr>
        <w:t xml:space="preserve"> from voting</w:t>
      </w:r>
    </w:p>
    <w:p>
      <w:pPr>
        <w:spacing w:after="0" w:line="183"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For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right="320"/>
        <w:spacing w:after="0" w:line="266" w:lineRule="auto"/>
        <w:rPr>
          <w:sz w:val="20"/>
          <w:szCs w:val="20"/>
          <w:color w:val="auto"/>
        </w:rPr>
      </w:pPr>
      <w:r>
        <w:rPr>
          <w:rFonts w:ascii="Arial" w:cs="Arial" w:eastAsia="Arial" w:hAnsi="Arial"/>
          <w:sz w:val="16"/>
          <w:szCs w:val="16"/>
          <w:color w:val="auto"/>
        </w:rPr>
        <w:t>on this proposal.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spacing w:after="0" w:line="117" w:lineRule="exact"/>
        <w:rPr>
          <w:sz w:val="20"/>
          <w:szCs w:val="20"/>
          <w:color w:val="auto"/>
        </w:rPr>
      </w:pPr>
    </w:p>
    <w:p>
      <w:pPr>
        <w:ind w:left="140" w:right="20" w:hanging="134"/>
        <w:spacing w:after="0" w:line="253" w:lineRule="auto"/>
        <w:tabs>
          <w:tab w:leader="none" w:pos="140" w:val="left"/>
        </w:tabs>
        <w:numPr>
          <w:ilvl w:val="0"/>
          <w:numId w:val="7"/>
        </w:numPr>
        <w:rPr>
          <w:rFonts w:ascii="Arial" w:cs="Arial" w:eastAsia="Arial" w:hAnsi="Arial"/>
          <w:sz w:val="16"/>
          <w:szCs w:val="16"/>
          <w:color w:val="255993"/>
        </w:rPr>
      </w:pPr>
      <w:r>
        <w:rPr>
          <w:rFonts w:ascii="Arial" w:cs="Arial" w:eastAsia="Arial" w:hAnsi="Arial"/>
          <w:sz w:val="16"/>
          <w:szCs w:val="16"/>
          <w:b w:val="1"/>
          <w:bCs w:val="1"/>
          <w:color w:val="255993"/>
        </w:rPr>
        <w:t>Proposal No. 3</w:t>
      </w:r>
      <w:r>
        <w:rPr>
          <w:rFonts w:ascii="Arial" w:cs="Arial" w:eastAsia="Arial" w:hAnsi="Arial"/>
          <w:sz w:val="16"/>
          <w:szCs w:val="16"/>
          <w:color w:val="000000"/>
        </w:rPr>
        <w:t>: The approval of proposed amendments to our amended and restated certificate of incorporation to effect a</w:t>
      </w:r>
      <w:r>
        <w:rPr>
          <w:rFonts w:ascii="Arial" w:cs="Arial" w:eastAsia="Arial" w:hAnsi="Arial"/>
          <w:sz w:val="16"/>
          <w:szCs w:val="16"/>
          <w:b w:val="1"/>
          <w:bCs w:val="1"/>
          <w:color w:val="255993"/>
        </w:rPr>
        <w:t xml:space="preserve"> </w:t>
      </w:r>
      <w:r>
        <w:rPr>
          <w:rFonts w:ascii="Arial" w:cs="Arial" w:eastAsia="Arial" w:hAnsi="Arial"/>
          <w:sz w:val="16"/>
          <w:szCs w:val="16"/>
          <w:color w:val="000000"/>
        </w:rPr>
        <w:t xml:space="preserve">reverse stock split and reduce the total number of authorized shares of common stock must receive the affirmative vote of a majority of the voting power of the shares cast, affirmatively or negatively, in accordance with Section 242(d)(2) of the Delaware General Corporation Law (the “DGCL”). You may vote </w:t>
      </w:r>
      <w:r>
        <w:rPr>
          <w:rFonts w:ascii="Arial" w:cs="Arial" w:eastAsia="Arial" w:hAnsi="Arial"/>
          <w:sz w:val="16"/>
          <w:szCs w:val="16"/>
          <w:b w:val="1"/>
          <w:bCs w:val="1"/>
          <w:color w:val="255993"/>
        </w:rPr>
        <w:t>FOR</w:t>
      </w:r>
      <w:r>
        <w:rPr>
          <w:rFonts w:ascii="Arial" w:cs="Arial" w:eastAsia="Arial" w:hAnsi="Arial"/>
          <w:sz w:val="16"/>
          <w:szCs w:val="16"/>
          <w:color w:val="000000"/>
        </w:rPr>
        <w:t xml:space="preserve"> or </w:t>
      </w:r>
      <w:r>
        <w:rPr>
          <w:rFonts w:ascii="Arial" w:cs="Arial" w:eastAsia="Arial" w:hAnsi="Arial"/>
          <w:sz w:val="16"/>
          <w:szCs w:val="16"/>
          <w:b w:val="1"/>
          <w:bCs w:val="1"/>
          <w:color w:val="255993"/>
        </w:rPr>
        <w:t>AGAINST</w:t>
      </w:r>
      <w:r>
        <w:rPr>
          <w:rFonts w:ascii="Arial" w:cs="Arial" w:eastAsia="Arial" w:hAnsi="Arial"/>
          <w:sz w:val="16"/>
          <w:szCs w:val="16"/>
          <w:color w:val="000000"/>
        </w:rPr>
        <w:t xml:space="preserve"> this proposal, or you may indicate that you wish to </w:t>
      </w:r>
      <w:r>
        <w:rPr>
          <w:rFonts w:ascii="Arial" w:cs="Arial" w:eastAsia="Arial" w:hAnsi="Arial"/>
          <w:sz w:val="16"/>
          <w:szCs w:val="16"/>
          <w:b w:val="1"/>
          <w:bCs w:val="1"/>
          <w:color w:val="255993"/>
        </w:rPr>
        <w:t xml:space="preserve">ABSTAIN </w:t>
      </w:r>
      <w:r>
        <w:rPr>
          <w:rFonts w:ascii="Arial" w:cs="Arial" w:eastAsia="Arial" w:hAnsi="Arial"/>
          <w:sz w:val="16"/>
          <w:szCs w:val="16"/>
          <w:color w:val="000000"/>
        </w:rPr>
        <w:t>from voting on this proposal. Broker non-votes and abstentions will be counted for purposes of determining the</w:t>
      </w:r>
      <w:r>
        <w:rPr>
          <w:rFonts w:ascii="Arial" w:cs="Arial" w:eastAsia="Arial" w:hAnsi="Arial"/>
          <w:sz w:val="16"/>
          <w:szCs w:val="16"/>
          <w:b w:val="1"/>
          <w:bCs w:val="1"/>
          <w:color w:val="255993"/>
        </w:rPr>
        <w:t xml:space="preserve"> </w:t>
      </w:r>
      <w:r>
        <w:rPr>
          <w:rFonts w:ascii="Arial" w:cs="Arial" w:eastAsia="Arial" w:hAnsi="Arial"/>
          <w:sz w:val="16"/>
          <w:szCs w:val="16"/>
          <w:color w:val="000000"/>
        </w:rPr>
        <w:t>presence or absence of a quorum. However, neither broker non-votes nor abstentions will be considered votes cast for or against this proposal. Accordingly, broker non-votes and abstentions will have no impact on the outcome of this proposal.</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IS THE QUORUM REQUIREMENT FOR THE ANNUAL MEETING?</w:t>
      </w:r>
    </w:p>
    <w:p>
      <w:pPr>
        <w:spacing w:after="0" w:line="113"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A quorum is the minimum number of shares required to be present or represented at the Annual Meeting for the meeting to be properly held under our amended and restated bylaws (the “Bylaws”) and Delaware law. The presence, including virtually or by proxy, of a majority of the voting power of the capital stock of the Company issued and outstanding and entitled to vote will constitute a quorum to transact business at the Annual Meeting. Abstentions, withheld votes and broker non-votes, if any, are counted as present and entitled to vote for purposes of determining a quorum. Whether or not a quorum exists, the chairperson of the meeting may adjourn the meeting to another time or place.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DO I VOTE AND WHAT ARE THE VOTING DEADLINES?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are a stockholder of record, you may vote in one of the following ways: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WAYS TO VOTE:</w:t>
      </w:r>
    </w:p>
    <w:p>
      <w:pPr>
        <w:spacing w:after="0" w:line="176" w:lineRule="exact"/>
        <w:rPr>
          <w:sz w:val="20"/>
          <w:szCs w:val="20"/>
          <w:color w:val="auto"/>
        </w:rPr>
      </w:pPr>
    </w:p>
    <w:p>
      <w:pPr>
        <w:spacing w:after="0"/>
        <w:tabs>
          <w:tab w:leader="none" w:pos="1560" w:val="left"/>
          <w:tab w:leader="none" w:pos="3180" w:val="left"/>
          <w:tab w:leader="none" w:pos="5440" w:val="left"/>
        </w:tabs>
        <w:rPr>
          <w:sz w:val="20"/>
          <w:szCs w:val="20"/>
          <w:color w:val="auto"/>
        </w:rPr>
      </w:pPr>
      <w:r>
        <w:rPr>
          <w:rFonts w:ascii="Arial" w:cs="Arial" w:eastAsia="Arial" w:hAnsi="Arial"/>
          <w:sz w:val="16"/>
          <w:szCs w:val="16"/>
          <w:color w:val="auto"/>
        </w:rPr>
        <w:t>Online</w:t>
      </w:r>
      <w:r>
        <w:rPr>
          <w:sz w:val="20"/>
          <w:szCs w:val="20"/>
          <w:color w:val="auto"/>
        </w:rPr>
        <w:tab/>
      </w:r>
      <w:r>
        <w:rPr>
          <w:rFonts w:ascii="Arial" w:cs="Arial" w:eastAsia="Arial" w:hAnsi="Arial"/>
          <w:sz w:val="16"/>
          <w:szCs w:val="16"/>
          <w:color w:val="auto"/>
        </w:rPr>
        <w:t>By Phone</w:t>
      </w:r>
      <w:r>
        <w:rPr>
          <w:sz w:val="20"/>
          <w:szCs w:val="20"/>
          <w:color w:val="auto"/>
        </w:rPr>
        <w:tab/>
      </w:r>
      <w:r>
        <w:rPr>
          <w:rFonts w:ascii="Arial" w:cs="Arial" w:eastAsia="Arial" w:hAnsi="Arial"/>
          <w:sz w:val="16"/>
          <w:szCs w:val="16"/>
          <w:color w:val="auto"/>
        </w:rPr>
        <w:t>Virtually</w:t>
      </w:r>
      <w:r>
        <w:rPr>
          <w:sz w:val="20"/>
          <w:szCs w:val="20"/>
          <w:color w:val="auto"/>
        </w:rPr>
        <w:tab/>
      </w:r>
      <w:r>
        <w:rPr>
          <w:rFonts w:ascii="Arial" w:cs="Arial" w:eastAsia="Arial" w:hAnsi="Arial"/>
          <w:sz w:val="16"/>
          <w:szCs w:val="16"/>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2997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9720" cy="889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55245</wp:posOffset>
            </wp:positionV>
            <wp:extent cx="4457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55245</wp:posOffset>
            </wp:positionV>
            <wp:extent cx="3600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55245</wp:posOffset>
            </wp:positionV>
            <wp:extent cx="3340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40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226695</wp:posOffset>
            </wp:positionV>
            <wp:extent cx="27432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226695</wp:posOffset>
            </wp:positionV>
            <wp:extent cx="274320"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226695</wp:posOffset>
            </wp:positionV>
            <wp:extent cx="282575"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2575" cy="274320"/>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226695</wp:posOffset>
            </wp:positionV>
            <wp:extent cx="308610" cy="196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8610" cy="19685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20"/>
                <w:szCs w:val="20"/>
                <w:color w:val="auto"/>
              </w:rPr>
            </w:pPr>
            <w:r>
              <w:rPr>
                <w:rFonts w:ascii="Arial" w:cs="Arial" w:eastAsia="Arial" w:hAnsi="Arial"/>
                <w:sz w:val="14"/>
                <w:szCs w:val="14"/>
                <w:color w:val="auto"/>
              </w:rPr>
              <w:t xml:space="preserve">  </w:t>
            </w:r>
          </w:p>
        </w:tc>
        <w:tc>
          <w:tcPr>
            <w:tcW w:w="1520" w:type="dxa"/>
            <w:vAlign w:val="bottom"/>
          </w:tcPr>
          <w:p>
            <w:pPr>
              <w:ind w:left="100"/>
              <w:spacing w:after="0"/>
              <w:rPr>
                <w:sz w:val="20"/>
                <w:szCs w:val="20"/>
                <w:color w:val="auto"/>
              </w:rPr>
            </w:pPr>
            <w:r>
              <w:rPr>
                <w:rFonts w:ascii="Arial" w:cs="Arial" w:eastAsia="Arial" w:hAnsi="Arial"/>
                <w:sz w:val="14"/>
                <w:szCs w:val="14"/>
                <w:color w:val="auto"/>
              </w:rPr>
              <w:t xml:space="preserve">  </w:t>
            </w:r>
          </w:p>
        </w:tc>
        <w:tc>
          <w:tcPr>
            <w:tcW w:w="2240" w:type="dxa"/>
            <w:vAlign w:val="bottom"/>
          </w:tcPr>
          <w:p>
            <w:pPr>
              <w:ind w:left="200"/>
              <w:spacing w:after="0"/>
              <w:rPr>
                <w:sz w:val="20"/>
                <w:szCs w:val="20"/>
                <w:color w:val="auto"/>
              </w:rPr>
            </w:pPr>
            <w:r>
              <w:rPr>
                <w:rFonts w:ascii="Arial" w:cs="Arial" w:eastAsia="Arial" w:hAnsi="Arial"/>
                <w:sz w:val="14"/>
                <w:szCs w:val="14"/>
                <w:color w:val="auto"/>
              </w:rPr>
              <w:t xml:space="preserve">  </w:t>
            </w:r>
          </w:p>
        </w:tc>
      </w:tr>
      <w:tr>
        <w:trPr>
          <w:trHeight w:val="215"/>
        </w:trPr>
        <w:tc>
          <w:tcPr>
            <w:tcW w:w="1480" w:type="dxa"/>
            <w:vAlign w:val="bottom"/>
          </w:tcPr>
          <w:p>
            <w:pPr>
              <w:spacing w:after="0"/>
              <w:rPr>
                <w:sz w:val="20"/>
                <w:szCs w:val="20"/>
                <w:color w:val="auto"/>
              </w:rPr>
            </w:pPr>
            <w:r>
              <w:rPr>
                <w:rFonts w:ascii="Arial" w:cs="Arial" w:eastAsia="Arial" w:hAnsi="Arial"/>
                <w:sz w:val="14"/>
                <w:szCs w:val="14"/>
                <w:color w:val="auto"/>
              </w:rPr>
              <w:t>By internet following</w:t>
            </w:r>
          </w:p>
        </w:tc>
        <w:tc>
          <w:tcPr>
            <w:tcW w:w="1520" w:type="dxa"/>
            <w:vAlign w:val="bottom"/>
          </w:tcPr>
          <w:p>
            <w:pPr>
              <w:ind w:left="100"/>
              <w:spacing w:after="0"/>
              <w:rPr>
                <w:sz w:val="20"/>
                <w:szCs w:val="20"/>
                <w:color w:val="auto"/>
              </w:rPr>
            </w:pPr>
            <w:r>
              <w:rPr>
                <w:rFonts w:ascii="Arial" w:cs="Arial" w:eastAsia="Arial" w:hAnsi="Arial"/>
                <w:sz w:val="14"/>
                <w:szCs w:val="14"/>
                <w:color w:val="auto"/>
              </w:rPr>
              <w:t>By telephone using</w:t>
            </w:r>
          </w:p>
        </w:tc>
        <w:tc>
          <w:tcPr>
            <w:tcW w:w="2240" w:type="dxa"/>
            <w:vAlign w:val="bottom"/>
          </w:tcPr>
          <w:p>
            <w:pPr>
              <w:ind w:left="200"/>
              <w:spacing w:after="0"/>
              <w:rPr>
                <w:sz w:val="20"/>
                <w:szCs w:val="20"/>
                <w:color w:val="auto"/>
              </w:rPr>
            </w:pPr>
            <w:r>
              <w:rPr>
                <w:rFonts w:ascii="Arial" w:cs="Arial" w:eastAsia="Arial" w:hAnsi="Arial"/>
                <w:sz w:val="14"/>
                <w:szCs w:val="14"/>
                <w:color w:val="auto"/>
              </w:rPr>
              <w:t>By attending the Annual</w:t>
            </w:r>
          </w:p>
        </w:tc>
      </w:tr>
      <w:tr>
        <w:trPr>
          <w:trHeight w:val="162"/>
        </w:trPr>
        <w:tc>
          <w:tcPr>
            <w:tcW w:w="1480" w:type="dxa"/>
            <w:vAlign w:val="bottom"/>
          </w:tcPr>
          <w:p>
            <w:pPr>
              <w:spacing w:after="0"/>
              <w:rPr>
                <w:sz w:val="20"/>
                <w:szCs w:val="20"/>
                <w:color w:val="auto"/>
              </w:rPr>
            </w:pPr>
            <w:r>
              <w:rPr>
                <w:rFonts w:ascii="Arial" w:cs="Arial" w:eastAsia="Arial" w:hAnsi="Arial"/>
                <w:sz w:val="14"/>
                <w:szCs w:val="14"/>
                <w:color w:val="auto"/>
              </w:rPr>
              <w:t>the instructions using</w:t>
            </w:r>
          </w:p>
        </w:tc>
        <w:tc>
          <w:tcPr>
            <w:tcW w:w="1520" w:type="dxa"/>
            <w:vAlign w:val="bottom"/>
          </w:tcPr>
          <w:p>
            <w:pPr>
              <w:ind w:left="100"/>
              <w:spacing w:after="0"/>
              <w:rPr>
                <w:sz w:val="20"/>
                <w:szCs w:val="20"/>
                <w:color w:val="auto"/>
              </w:rPr>
            </w:pPr>
            <w:r>
              <w:rPr>
                <w:rFonts w:ascii="Arial" w:cs="Arial" w:eastAsia="Arial" w:hAnsi="Arial"/>
                <w:sz w:val="14"/>
                <w:szCs w:val="14"/>
                <w:color w:val="auto"/>
              </w:rPr>
              <w:t>the numbers</w:t>
            </w:r>
          </w:p>
        </w:tc>
        <w:tc>
          <w:tcPr>
            <w:tcW w:w="2240" w:type="dxa"/>
            <w:vAlign w:val="bottom"/>
          </w:tcPr>
          <w:p>
            <w:pPr>
              <w:ind w:left="200"/>
              <w:spacing w:after="0"/>
              <w:rPr>
                <w:sz w:val="20"/>
                <w:szCs w:val="20"/>
                <w:color w:val="auto"/>
              </w:rPr>
            </w:pPr>
            <w:r>
              <w:rPr>
                <w:rFonts w:ascii="Arial" w:cs="Arial" w:eastAsia="Arial" w:hAnsi="Arial"/>
                <w:sz w:val="14"/>
                <w:szCs w:val="14"/>
                <w:color w:val="auto"/>
              </w:rPr>
              <w:t>Meeting virtually by visiting</w:t>
            </w:r>
          </w:p>
        </w:tc>
      </w:tr>
      <w:tr>
        <w:trPr>
          <w:trHeight w:val="162"/>
        </w:trPr>
        <w:tc>
          <w:tcPr>
            <w:tcW w:w="1480" w:type="dxa"/>
            <w:vAlign w:val="bottom"/>
          </w:tcPr>
          <w:p>
            <w:pPr>
              <w:spacing w:after="0"/>
              <w:rPr>
                <w:sz w:val="20"/>
                <w:szCs w:val="20"/>
                <w:color w:val="auto"/>
              </w:rPr>
            </w:pPr>
            <w:r>
              <w:rPr>
                <w:rFonts w:ascii="Arial" w:cs="Arial" w:eastAsia="Arial" w:hAnsi="Arial"/>
                <w:sz w:val="14"/>
                <w:szCs w:val="14"/>
                <w:color w:val="auto"/>
              </w:rPr>
              <w:t>the control number</w:t>
            </w:r>
          </w:p>
        </w:tc>
        <w:tc>
          <w:tcPr>
            <w:tcW w:w="1520" w:type="dxa"/>
            <w:vAlign w:val="bottom"/>
          </w:tcPr>
          <w:p>
            <w:pPr>
              <w:ind w:left="100"/>
              <w:spacing w:after="0"/>
              <w:rPr>
                <w:sz w:val="20"/>
                <w:szCs w:val="20"/>
                <w:color w:val="auto"/>
              </w:rPr>
            </w:pPr>
            <w:r>
              <w:rPr>
                <w:rFonts w:ascii="Arial" w:cs="Arial" w:eastAsia="Arial" w:hAnsi="Arial"/>
                <w:sz w:val="14"/>
                <w:szCs w:val="14"/>
                <w:color w:val="auto"/>
              </w:rPr>
              <w:t>provided on your</w:t>
            </w:r>
          </w:p>
        </w:tc>
        <w:tc>
          <w:tcPr>
            <w:tcW w:w="2240" w:type="dxa"/>
            <w:vAlign w:val="bottom"/>
          </w:tcPr>
          <w:p>
            <w:pPr>
              <w:ind w:left="200"/>
              <w:spacing w:after="0"/>
              <w:rPr>
                <w:sz w:val="20"/>
                <w:szCs w:val="20"/>
                <w:color w:val="auto"/>
              </w:rPr>
            </w:pPr>
            <w:r>
              <w:rPr>
                <w:rFonts w:ascii="Arial" w:cs="Arial" w:eastAsia="Arial" w:hAnsi="Arial"/>
                <w:sz w:val="14"/>
                <w:szCs w:val="14"/>
                <w:color w:val="auto"/>
              </w:rPr>
              <w:t>www.virtualshareholdermeeting.</w:t>
            </w:r>
          </w:p>
        </w:tc>
      </w:tr>
      <w:tr>
        <w:trPr>
          <w:trHeight w:val="162"/>
        </w:trPr>
        <w:tc>
          <w:tcPr>
            <w:tcW w:w="1480" w:type="dxa"/>
            <w:vAlign w:val="bottom"/>
          </w:tcPr>
          <w:p>
            <w:pPr>
              <w:spacing w:after="0"/>
              <w:rPr>
                <w:sz w:val="20"/>
                <w:szCs w:val="20"/>
                <w:color w:val="auto"/>
              </w:rPr>
            </w:pPr>
            <w:r>
              <w:rPr>
                <w:rFonts w:ascii="Arial" w:cs="Arial" w:eastAsia="Arial" w:hAnsi="Arial"/>
                <w:sz w:val="14"/>
                <w:szCs w:val="14"/>
                <w:color w:val="auto"/>
              </w:rPr>
              <w:t>provided on your</w:t>
            </w:r>
          </w:p>
        </w:tc>
        <w:tc>
          <w:tcPr>
            <w:tcW w:w="1520" w:type="dxa"/>
            <w:vAlign w:val="bottom"/>
          </w:tcPr>
          <w:p>
            <w:pPr>
              <w:ind w:left="100"/>
              <w:spacing w:after="0"/>
              <w:rPr>
                <w:sz w:val="20"/>
                <w:szCs w:val="20"/>
                <w:color w:val="auto"/>
              </w:rPr>
            </w:pPr>
            <w:r>
              <w:rPr>
                <w:rFonts w:ascii="Arial" w:cs="Arial" w:eastAsia="Arial" w:hAnsi="Arial"/>
                <w:sz w:val="14"/>
                <w:szCs w:val="14"/>
                <w:color w:val="auto"/>
              </w:rPr>
              <w:t>proxy card.</w:t>
            </w:r>
          </w:p>
        </w:tc>
        <w:tc>
          <w:tcPr>
            <w:tcW w:w="2240" w:type="dxa"/>
            <w:vAlign w:val="bottom"/>
          </w:tcPr>
          <w:p>
            <w:pPr>
              <w:ind w:left="200"/>
              <w:spacing w:after="0"/>
              <w:rPr>
                <w:sz w:val="20"/>
                <w:szCs w:val="20"/>
                <w:color w:val="auto"/>
              </w:rPr>
            </w:pPr>
            <w:r>
              <w:rPr>
                <w:rFonts w:ascii="Arial" w:cs="Arial" w:eastAsia="Arial" w:hAnsi="Arial"/>
                <w:sz w:val="14"/>
                <w:szCs w:val="14"/>
                <w:color w:val="auto"/>
              </w:rPr>
              <w:t>com/ATHA2025, where you can</w:t>
            </w:r>
          </w:p>
        </w:tc>
      </w:tr>
      <w:tr>
        <w:trPr>
          <w:trHeight w:val="190"/>
        </w:trPr>
        <w:tc>
          <w:tcPr>
            <w:tcW w:w="1480" w:type="dxa"/>
            <w:vAlign w:val="bottom"/>
          </w:tcPr>
          <w:p>
            <w:pPr>
              <w:spacing w:after="0"/>
              <w:rPr>
                <w:sz w:val="20"/>
                <w:szCs w:val="20"/>
                <w:color w:val="auto"/>
              </w:rPr>
            </w:pPr>
            <w:r>
              <w:rPr>
                <w:rFonts w:ascii="Arial" w:cs="Arial" w:eastAsia="Arial" w:hAnsi="Arial"/>
                <w:sz w:val="14"/>
                <w:szCs w:val="14"/>
                <w:color w:val="auto"/>
              </w:rPr>
              <w:t>proxy card.</w:t>
            </w:r>
          </w:p>
        </w:tc>
        <w:tc>
          <w:tcPr>
            <w:tcW w:w="1520" w:type="dxa"/>
            <w:vAlign w:val="bottom"/>
          </w:tcPr>
          <w:p>
            <w:pPr>
              <w:spacing w:after="0"/>
              <w:rPr>
                <w:sz w:val="16"/>
                <w:szCs w:val="16"/>
                <w:color w:val="auto"/>
              </w:rPr>
            </w:pPr>
          </w:p>
        </w:tc>
        <w:tc>
          <w:tcPr>
            <w:tcW w:w="2240" w:type="dxa"/>
            <w:vAlign w:val="bottom"/>
          </w:tcPr>
          <w:p>
            <w:pPr>
              <w:ind w:left="200"/>
              <w:spacing w:after="0"/>
              <w:rPr>
                <w:sz w:val="20"/>
                <w:szCs w:val="20"/>
                <w:color w:val="auto"/>
              </w:rPr>
            </w:pPr>
            <w:r>
              <w:rPr>
                <w:rFonts w:ascii="Arial" w:cs="Arial" w:eastAsia="Arial" w:hAnsi="Arial"/>
                <w:sz w:val="14"/>
                <w:szCs w:val="14"/>
                <w:color w:val="auto"/>
              </w:rPr>
              <w:t>vote during the meeting.</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190"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By signing, dating and returning your proxy card following the instructions on your proxy card. Your proxy card must be received prior to the Annual Meeting.</w:t>
      </w:r>
    </w:p>
    <w:p>
      <w:pPr>
        <w:spacing w:after="0" w:line="478" w:lineRule="exact"/>
        <w:rPr>
          <w:sz w:val="20"/>
          <w:szCs w:val="20"/>
          <w:color w:val="auto"/>
        </w:rPr>
      </w:pPr>
    </w:p>
    <w:p>
      <w:pPr>
        <w:sectPr>
          <w:pgSz w:w="11900" w:h="16838" w:orient="portrait"/>
          <w:cols w:equalWidth="0" w:num="2">
            <w:col w:w="5240" w:space="220"/>
            <w:col w:w="3940"/>
          </w:cols>
          <w:pgMar w:left="1240" w:top="114" w:right="1259" w:bottom="1440" w:gutter="0" w:footer="0" w:header="0"/>
          <w:type w:val="continuous"/>
        </w:sectPr>
      </w:pPr>
    </w:p>
    <w:p>
      <w:pPr>
        <w:ind w:right="40"/>
        <w:spacing w:after="0" w:line="259"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 are a street name stockholder, then you will receive voting instructions from your broker, bank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nominee. You must follow the instructions provided by your broker, bank or other nominee in order to instruct them on how to vote your shares. The availability of internet and telephone voting options will depend on the voting process of your broker, bank or other nominee. </w:t>
      </w:r>
      <w:r>
        <w:rPr>
          <w:rFonts w:ascii="Arial" w:cs="Arial" w:eastAsia="Arial" w:hAnsi="Arial"/>
          <w:sz w:val="16"/>
          <w:szCs w:val="16"/>
          <w:b w:val="1"/>
          <w:bCs w:val="1"/>
          <w:color w:val="255993"/>
        </w:rPr>
        <w:t>As discussed above, if you are a street name stockholder, then you may not vote your shares by ballot at</w:t>
      </w:r>
      <w:r>
        <w:rPr>
          <w:rFonts w:ascii="Arial" w:cs="Arial" w:eastAsia="Arial" w:hAnsi="Arial"/>
          <w:sz w:val="16"/>
          <w:szCs w:val="16"/>
          <w:color w:val="auto"/>
        </w:rPr>
        <w:t xml:space="preserve"> </w:t>
      </w:r>
      <w:r>
        <w:rPr>
          <w:rFonts w:ascii="Arial" w:cs="Arial" w:eastAsia="Arial" w:hAnsi="Arial"/>
          <w:sz w:val="16"/>
          <w:szCs w:val="16"/>
          <w:b w:val="1"/>
          <w:bCs w:val="1"/>
          <w:color w:val="255993"/>
        </w:rPr>
        <w:t>the Annual Meeting unless you obtain a “legal proxy” from your broker, bank or other nominee.</w:t>
      </w:r>
    </w:p>
    <w:p>
      <w:pPr>
        <w:spacing w:after="0" w:line="168"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b w:val="1"/>
          <w:bCs w:val="1"/>
          <w:color w:val="255993"/>
        </w:rPr>
        <w:t>WHAT IF I DO NOT SPECIFY HOW MY SHARES ARE TO BE VOTED OR FAIL TO PROVIDE TIMELY DIRECTIONS TO MY BROKER, BANK OR OTHER NOMINEE?</w:t>
      </w:r>
    </w:p>
    <w:p>
      <w:pPr>
        <w:spacing w:after="0" w:line="3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are a stockholder of record and you submit a proxy but you do not provide voting instructions, your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will be voted:</w:t>
      </w:r>
    </w:p>
    <w:p>
      <w:pPr>
        <w:spacing w:after="0" w:line="102" w:lineRule="exact"/>
        <w:rPr>
          <w:sz w:val="20"/>
          <w:szCs w:val="20"/>
          <w:color w:val="auto"/>
        </w:rPr>
      </w:pPr>
    </w:p>
    <w:p>
      <w:pPr>
        <w:ind w:left="140" w:hanging="134"/>
        <w:spacing w:after="0"/>
        <w:tabs>
          <w:tab w:leader="none" w:pos="140" w:val="left"/>
        </w:tabs>
        <w:numPr>
          <w:ilvl w:val="0"/>
          <w:numId w:val="8"/>
        </w:numPr>
        <w:rPr>
          <w:rFonts w:ascii="Arial" w:cs="Arial" w:eastAsia="Arial" w:hAnsi="Arial"/>
          <w:sz w:val="16"/>
          <w:szCs w:val="16"/>
          <w:color w:val="255993"/>
        </w:rPr>
      </w:pPr>
      <w:r>
        <w:rPr>
          <w:rFonts w:ascii="Arial" w:cs="Arial" w:eastAsia="Arial" w:hAnsi="Arial"/>
          <w:sz w:val="16"/>
          <w:szCs w:val="16"/>
          <w:color w:val="auto"/>
        </w:rPr>
        <w:t>“</w:t>
      </w:r>
      <w:r>
        <w:rPr>
          <w:rFonts w:ascii="Arial" w:cs="Arial" w:eastAsia="Arial" w:hAnsi="Arial"/>
          <w:sz w:val="16"/>
          <w:szCs w:val="16"/>
          <w:b w:val="1"/>
          <w:bCs w:val="1"/>
          <w:color w:val="255993"/>
        </w:rPr>
        <w:t>FOR</w:t>
      </w:r>
      <w:r>
        <w:rPr>
          <w:rFonts w:ascii="Arial" w:cs="Arial" w:eastAsia="Arial" w:hAnsi="Arial"/>
          <w:sz w:val="16"/>
          <w:szCs w:val="16"/>
          <w:color w:val="auto"/>
        </w:rPr>
        <w:t>” the election of each Class II director nominee named in this proxy statement;</w:t>
      </w:r>
    </w:p>
    <w:p>
      <w:pPr>
        <w:spacing w:after="0" w:line="59" w:lineRule="exact"/>
        <w:rPr>
          <w:rFonts w:ascii="Arial" w:cs="Arial" w:eastAsia="Arial" w:hAnsi="Arial"/>
          <w:sz w:val="16"/>
          <w:szCs w:val="16"/>
          <w:color w:val="255993"/>
        </w:rPr>
      </w:pPr>
    </w:p>
    <w:p>
      <w:pPr>
        <w:ind w:left="140" w:right="40" w:hanging="134"/>
        <w:spacing w:after="0" w:line="286" w:lineRule="auto"/>
        <w:tabs>
          <w:tab w:leader="none" w:pos="140" w:val="left"/>
        </w:tabs>
        <w:numPr>
          <w:ilvl w:val="0"/>
          <w:numId w:val="8"/>
        </w:numPr>
        <w:rPr>
          <w:rFonts w:ascii="Arial" w:cs="Arial" w:eastAsia="Arial" w:hAnsi="Arial"/>
          <w:sz w:val="16"/>
          <w:szCs w:val="16"/>
          <w:color w:val="255993"/>
        </w:rPr>
      </w:pPr>
      <w:r>
        <w:rPr>
          <w:rFonts w:ascii="Arial" w:cs="Arial" w:eastAsia="Arial" w:hAnsi="Arial"/>
          <w:sz w:val="16"/>
          <w:szCs w:val="16"/>
          <w:color w:val="auto"/>
        </w:rPr>
        <w:t>“</w:t>
      </w:r>
      <w:r>
        <w:rPr>
          <w:rFonts w:ascii="Arial" w:cs="Arial" w:eastAsia="Arial" w:hAnsi="Arial"/>
          <w:sz w:val="16"/>
          <w:szCs w:val="16"/>
          <w:b w:val="1"/>
          <w:bCs w:val="1"/>
          <w:color w:val="255993"/>
        </w:rPr>
        <w:t>FOR</w:t>
      </w:r>
      <w:r>
        <w:rPr>
          <w:rFonts w:ascii="Arial" w:cs="Arial" w:eastAsia="Arial" w:hAnsi="Arial"/>
          <w:sz w:val="16"/>
          <w:szCs w:val="16"/>
          <w:color w:val="auto"/>
        </w:rPr>
        <w:t>” the ratification of the appointment of Ernst &amp; Young LLP as our independent registered public accounting firm for our fiscal year ending December 31, 2025; and</w:t>
      </w:r>
    </w:p>
    <w:p>
      <w:pPr>
        <w:spacing w:after="0" w:line="160"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For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right="200" w:hanging="134"/>
        <w:spacing w:after="0" w:line="286" w:lineRule="auto"/>
        <w:tabs>
          <w:tab w:leader="none" w:pos="140" w:val="left"/>
        </w:tabs>
        <w:numPr>
          <w:ilvl w:val="0"/>
          <w:numId w:val="9"/>
        </w:numPr>
        <w:rPr>
          <w:rFonts w:ascii="Arial" w:cs="Arial" w:eastAsia="Arial" w:hAnsi="Arial"/>
          <w:sz w:val="16"/>
          <w:szCs w:val="16"/>
          <w:color w:val="255993"/>
        </w:rPr>
      </w:pPr>
      <w:r>
        <w:rPr>
          <w:rFonts w:ascii="Arial" w:cs="Arial" w:eastAsia="Arial" w:hAnsi="Arial"/>
          <w:sz w:val="16"/>
          <w:szCs w:val="16"/>
          <w:color w:val="auto"/>
        </w:rPr>
        <w:t>“</w:t>
      </w:r>
      <w:r>
        <w:rPr>
          <w:rFonts w:ascii="Arial" w:cs="Arial" w:eastAsia="Arial" w:hAnsi="Arial"/>
          <w:sz w:val="16"/>
          <w:szCs w:val="16"/>
          <w:b w:val="1"/>
          <w:bCs w:val="1"/>
          <w:color w:val="255993"/>
        </w:rPr>
        <w:t>FOR</w:t>
      </w:r>
      <w:r>
        <w:rPr>
          <w:rFonts w:ascii="Arial" w:cs="Arial" w:eastAsia="Arial" w:hAnsi="Arial"/>
          <w:sz w:val="16"/>
          <w:szCs w:val="16"/>
          <w:color w:val="auto"/>
        </w:rPr>
        <w:t>” the approval of proposed amendments to our amended and restated certificate of incorporation to effect a reverse stock split and reduce the total number of authorized shares of common stock.</w:t>
      </w:r>
    </w:p>
    <w:p>
      <w:pPr>
        <w:spacing w:after="0" w:line="8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 addition, if any other matters are properly brought before the Annual Meeting, the persons named as proxies will be authorized to vote or otherwise act on those matters in accordance with their judgment.</w:t>
      </w:r>
    </w:p>
    <w:p>
      <w:pPr>
        <w:spacing w:after="0" w:line="7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Brokers, banks and other nominees holding shares of common stock in street name for customers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required to vote such shares in the manner directed by their customers. In the absence of timely directions, your broker, bank or other nominee will have discretion to vote your shares on our routine matters: the proposal to ratify the appointment of Ernst &amp; Young LLP as our independent registered public accounting firm for our fiscal year ending December 31, 2025 and the proposal to amend our amended and restated certificate of incorporation to effect a reverse stock split and reduce the total number of authorized shares of common stock. Your broker, bank or other nominee will not have discretion to vote on any other proposals, which are considered non-routine matters, absent direction from you. In the event that your broker, bank or other nominee votes your shares on our routine matters, but is not able to vote your shares on non-routine matters, then those shares will be treated as broker non-votes with respect to non-routine proposals. Accordingly, if you own shares through a nominee, such as a broker or bank, please be sure to instruct your nominee how to vote to ensure that your shares are counted on each of the proposals.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CAN I CHANGE MY VOTE OR REVOKE MY PROXY?</w:t>
      </w:r>
    </w:p>
    <w:p>
      <w:pPr>
        <w:spacing w:after="0" w:line="154"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are a stockholder of record, you can change your vote or revoke your proxy before the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by:</w:t>
      </w:r>
    </w:p>
    <w:p>
      <w:pPr>
        <w:spacing w:after="0" w:line="102" w:lineRule="exact"/>
        <w:rPr>
          <w:sz w:val="20"/>
          <w:szCs w:val="20"/>
          <w:color w:val="auto"/>
        </w:rPr>
      </w:pPr>
    </w:p>
    <w:p>
      <w:pPr>
        <w:ind w:left="140" w:hanging="134"/>
        <w:spacing w:after="0"/>
        <w:tabs>
          <w:tab w:leader="none" w:pos="140" w:val="left"/>
        </w:tabs>
        <w:numPr>
          <w:ilvl w:val="0"/>
          <w:numId w:val="10"/>
        </w:numPr>
        <w:rPr>
          <w:rFonts w:ascii="Arial" w:cs="Arial" w:eastAsia="Arial" w:hAnsi="Arial"/>
          <w:sz w:val="16"/>
          <w:szCs w:val="16"/>
          <w:color w:val="255993"/>
        </w:rPr>
      </w:pPr>
      <w:r>
        <w:rPr>
          <w:rFonts w:ascii="Arial" w:cs="Arial" w:eastAsia="Arial" w:hAnsi="Arial"/>
          <w:sz w:val="16"/>
          <w:szCs w:val="16"/>
          <w:color w:val="auto"/>
        </w:rPr>
        <w:t>entering a new vote by internet or telephone (subject to the applicable deadlines for each method as set forth above);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10"/>
        </w:numPr>
        <w:rPr>
          <w:rFonts w:ascii="Arial" w:cs="Arial" w:eastAsia="Arial" w:hAnsi="Arial"/>
          <w:sz w:val="16"/>
          <w:szCs w:val="16"/>
          <w:color w:val="255993"/>
        </w:rPr>
      </w:pPr>
      <w:r>
        <w:rPr>
          <w:rFonts w:ascii="Arial" w:cs="Arial" w:eastAsia="Arial" w:hAnsi="Arial"/>
          <w:sz w:val="16"/>
          <w:szCs w:val="16"/>
          <w:color w:val="auto"/>
        </w:rPr>
        <w:t>completing and returning a later-dated proxy card, which must be received prior to the Annual Meeting;</w:t>
      </w:r>
    </w:p>
    <w:p>
      <w:pPr>
        <w:spacing w:after="0" w:line="59" w:lineRule="exact"/>
        <w:rPr>
          <w:rFonts w:ascii="Arial" w:cs="Arial" w:eastAsia="Arial" w:hAnsi="Arial"/>
          <w:sz w:val="16"/>
          <w:szCs w:val="16"/>
          <w:color w:val="255993"/>
        </w:rPr>
      </w:pPr>
    </w:p>
    <w:p>
      <w:pPr>
        <w:ind w:left="140" w:right="20" w:hanging="134"/>
        <w:spacing w:after="0" w:line="281" w:lineRule="auto"/>
        <w:tabs>
          <w:tab w:leader="none" w:pos="140" w:val="left"/>
        </w:tabs>
        <w:numPr>
          <w:ilvl w:val="0"/>
          <w:numId w:val="10"/>
        </w:numPr>
        <w:rPr>
          <w:rFonts w:ascii="Arial" w:cs="Arial" w:eastAsia="Arial" w:hAnsi="Arial"/>
          <w:sz w:val="16"/>
          <w:szCs w:val="16"/>
          <w:color w:val="255993"/>
        </w:rPr>
      </w:pPr>
      <w:r>
        <w:rPr>
          <w:rFonts w:ascii="Arial" w:cs="Arial" w:eastAsia="Arial" w:hAnsi="Arial"/>
          <w:sz w:val="16"/>
          <w:szCs w:val="16"/>
          <w:color w:val="auto"/>
        </w:rPr>
        <w:t>delivering a written notice of revocation to our corporate secretary at Athira Pharma, Inc., 18706 North Creek Parkway, Suite 104, Bothell, Washington 98011, Attention: Corporate Secretary, which must be received prior to the Annual Meeting; or</w:t>
      </w:r>
    </w:p>
    <w:p>
      <w:pPr>
        <w:spacing w:after="0" w:line="1" w:lineRule="exact"/>
        <w:rPr>
          <w:rFonts w:ascii="Arial" w:cs="Arial" w:eastAsia="Arial" w:hAnsi="Arial"/>
          <w:sz w:val="16"/>
          <w:szCs w:val="16"/>
          <w:color w:val="255993"/>
        </w:rPr>
      </w:pPr>
    </w:p>
    <w:p>
      <w:pPr>
        <w:ind w:left="140" w:right="500" w:hanging="134"/>
        <w:spacing w:after="0" w:line="286" w:lineRule="auto"/>
        <w:tabs>
          <w:tab w:leader="none" w:pos="140" w:val="left"/>
        </w:tabs>
        <w:numPr>
          <w:ilvl w:val="0"/>
          <w:numId w:val="10"/>
        </w:numPr>
        <w:rPr>
          <w:rFonts w:ascii="Arial" w:cs="Arial" w:eastAsia="Arial" w:hAnsi="Arial"/>
          <w:sz w:val="16"/>
          <w:szCs w:val="16"/>
          <w:color w:val="255993"/>
        </w:rPr>
      </w:pPr>
      <w:r>
        <w:rPr>
          <w:rFonts w:ascii="Arial" w:cs="Arial" w:eastAsia="Arial" w:hAnsi="Arial"/>
          <w:sz w:val="16"/>
          <w:szCs w:val="16"/>
          <w:color w:val="auto"/>
        </w:rPr>
        <w:t>attending virtually and voting at the Annual Meeting (although attendance at the Annual Meeting will not, by itself, revoke a proxy).</w:t>
      </w:r>
    </w:p>
    <w:p>
      <w:pPr>
        <w:spacing w:after="0" w:line="88"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 are a street name stockholder, then your broker, bank or other nominee can provide you with</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instructions on how to change or revoke your proxy.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DO I NEED TO DO TO ATTEND THE ANNUAL MEETING?</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will be hosting the Annual Meeting via live webcast only. You will be able to attend the Annual Meeting virtually, submit your questions during the meeting and vote your shares electronically during the meeting by visiting www.virtualshareholdermeeting.com/ATHA2025. To participate in the Annual Meeting, you will need the control number included on your proxy card. The Annual Meeting webcast will begin promptly at 8:00 a.m., Pacific Time. We encourage you to access the meeting prior to the start time. Online check-in will begin at 7:45 a.m., Pacific Time, and you should allow ample time for the check-in procedures.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CAN I GET HELP IF I HAVE TROUBLE CHECKING IN OR LISTENING TO THE ANNUAL MEETING ONLINE?</w:t>
      </w:r>
    </w:p>
    <w:p>
      <w:pPr>
        <w:spacing w:after="0" w:line="113"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If you encounter difficulties accessing the virtual meeting during the check-in or meeting time, please call the technical support number that will be posted on the virtual meeting log-in page.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IS THE EFFECT OF GIVING A PROXY?</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Proxies are being solicited by and on behalf of our board of directors. Mark Litton, our president and chief executive officer, Robert Renninger, our senior vice president, finance and accounting, and Mark Worthington, our general counsel, chief compliance officer and corporate secretary,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card is dated and signed but no specific instructions are given, then the shares will be voted in accordance with the recommendation of our board of directors. If any other matters are properly brought before the Annual Meeting, then the proxy holders will use their own judgment to determine how to vote your shares.</w:t>
      </w:r>
    </w:p>
    <w:p>
      <w:pPr>
        <w:spacing w:after="0" w:line="186"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5</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For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WHO WILL COUNT THE VOTES?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 representative of Broadridge Financial Solutions, Inc. will tabulate the votes and act as inspector of election.</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CAN I CONTACT ATHIRA’S TRANSFER AGENT?</w:t>
      </w:r>
    </w:p>
    <w:p>
      <w:pPr>
        <w:spacing w:after="0" w:line="140"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You may contact our transfer agent, Computershare Inc., by telephone at (800) 736-3001, or by writing Computershare Inc., P.O. Box 43006, Providence, RI 02940-3078. You may also access instructions with respect to certain stockholder matters (e.g., change of address) via the internet at www.computershare.com/investor.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ARE PROXIES SOLICITED FOR THE ANNUAL MEETING AND WHO IS PAYING FOR SUCH SOLICITATION?</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Our board of directors is soliciting proxies for use at the Annual Meeting by means of these proxy materials. By signing, dating and returning the proxy card, or by submitting your proxy over the internet or by telephone using the instructions found on the proxy card, you are authorizing the persons named as proxies to vote your shares at the Annual Meeting as you have instructed. Proxies will be solicited on behalf of the board of directors by the Company’s directors, director nominees, and certain executive officers and other employees of the Company.</w:t>
      </w:r>
    </w:p>
    <w:p>
      <w:pPr>
        <w:spacing w:after="0" w:line="11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Company will bear the cost of soliciting proxies and will reimburse brokerage firms and other custodians, nominees and fiduciaries for their reasonable out-of-pocket expenses for sending proxy materials to stockholders and obtaining their proxies. The Company has retained the services of Innisfree M&amp;A Incorporated to assist in soliciting proxies from the Company’s stockholders for a fee of $15,000 plus reimbursement of reasonable expenses. In addition to soliciting the proxies by mail and the internet, certain of the Company’s directors, officers and employees, without compensation, may solicit proxies personally or by telephone, facsimile and e-mail.</w:t>
      </w:r>
    </w:p>
    <w:p>
      <w:pPr>
        <w:spacing w:after="0" w:line="11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will bear the entire cost of proxy solicitation, including the preparation, assembly, printing, mailing and distribution of Athira’s proxy materials. Copies of our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WHERE CAN I FIND THE VOTING RESULTS OF THE ANNUAL MEETING?</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will disclose voting results on a Current Report on Form 8-K that we will file with the Securities and Exchange Commission (the “SEC”) within four business days after the meeting. If final voting results are not available to us in time to file a Form 8-K, then we will file a Form 8-K to publish preliminary results and will provide the final results in an amendment to the Form 8-K as soon as they become available.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WHY DID I RECEIVE A NOTICE OF INTERNET AVAILABILITY INSTEAD OF A FULL SET OF PROXY MATERIALS?</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DOES IT MEAN IF I RECEIVE MORE THAN ONE NOTICE OF INTERNET AVAILABILITY?</w:t>
      </w:r>
    </w:p>
    <w:p>
      <w:pPr>
        <w:spacing w:after="0" w:line="11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If you receive more than one Notice of Internet Availability, then your shares may be registered in more than one name and/or are registered in different accounts. Please follow the voting instructions on each Notice of Internet Availability to ensure that all of your shares are voted.</w:t>
      </w:r>
    </w:p>
    <w:p>
      <w:pPr>
        <w:spacing w:after="0" w:line="176"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6</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For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255993"/>
        </w:rPr>
        <w:t>I SHARE AN ADDRESS WITH ANOTHER STOCKHOLDER, AND WE RECEIVED ONLY ONE PAPER COPY OF THE PROXY MATERIALS. HOW MAY I OBTAIN AN ADDITIONAL COPY OF THE PROXY MATERIALS?</w:t>
      </w:r>
    </w:p>
    <w:p>
      <w:pPr>
        <w:spacing w:after="0" w:line="3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have adopted a procedure called “householding,” which the SEC has approved. Under this procedure, we can deliver a single copy of the Notice of Internet Availability to multiple stockholders who share the same address unless we received contrary instructions from one or more of the stockholders. This procedure reduces our printing costs, mailing costs and fees. Stockholders who</w:t>
      </w:r>
    </w:p>
    <w:p>
      <w:pPr>
        <w:spacing w:after="0" w:line="110"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participate in householding will continue to be able to access and receive separate proxy cards. Upon written or oral request, we will deliver promptly a separate copy of the Notice of Internet Availability to any stockholder at a shared address to which we delivered a single copy of any of these documents. To receive a separate copy, or, if a stockholder is receiving multiple copies, to request that we only send a single copy of next year’s Notice of Internet Availability or proxy statement and annual report, as applicable, stockholders may contact us at the following address and telephone number:</w:t>
      </w:r>
    </w:p>
    <w:p>
      <w:pPr>
        <w:spacing w:after="0" w:line="180"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Athira Pharma, Inc.</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Attention: Investor Relations</w:t>
      </w:r>
    </w:p>
    <w:p>
      <w:pPr>
        <w:spacing w:after="0" w:line="5"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18706 North Creek Parkway, Suite 104</w:t>
      </w:r>
    </w:p>
    <w:p>
      <w:pPr>
        <w:spacing w:after="0" w:line="5"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Bothell, Washington 98011</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Tel: (425) 620-8501</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Street name stockholders may contact their broker, bank or other nominee to request information about householding.</w:t>
      </w:r>
    </w:p>
    <w:p>
      <w:pPr>
        <w:spacing w:after="0" w:line="221" w:lineRule="exact"/>
        <w:rPr>
          <w:sz w:val="20"/>
          <w:szCs w:val="20"/>
          <w:color w:val="auto"/>
        </w:rPr>
      </w:pPr>
    </w:p>
    <w:p>
      <w:pPr>
        <w:ind w:right="660"/>
        <w:spacing w:after="0" w:line="296" w:lineRule="auto"/>
        <w:rPr>
          <w:sz w:val="20"/>
          <w:szCs w:val="20"/>
          <w:color w:val="auto"/>
        </w:rPr>
      </w:pPr>
      <w:r>
        <w:rPr>
          <w:rFonts w:ascii="Arial" w:cs="Arial" w:eastAsia="Arial" w:hAnsi="Arial"/>
          <w:sz w:val="16"/>
          <w:szCs w:val="16"/>
          <w:b w:val="1"/>
          <w:bCs w:val="1"/>
          <w:color w:val="255993"/>
        </w:rPr>
        <w:t>WHAT IS THE DEADLINE TO PROPOSE ACTIONS FOR CONSIDERATION AT NEXT YEAR’S ANNUAL MEETING OF STOCKHOLDERS OR TO NOMINATE INDIVIDUALS TO SERVE AS DIRECTORS?</w:t>
      </w:r>
    </w:p>
    <w:p>
      <w:pPr>
        <w:spacing w:after="0" w:line="3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a stockholder would like us to consider including a proposal in our proxy statement for next year’s annual meeting of stockholders pursuant to Rule 14a-8 of the Securities Exchange Act of 1934, as amended (the “Exchange Act”), then the proposal must be received by our corporate secretary at our principal executive offices on or before [•]. In addition, stockholder proposals must comply with the requirements of Rule 14a-8 regarding the inclusion of stockholder proposals in company-sponsored proxy materials. Proposals should be addressed to:</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Athira Pharma,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18706 North Creek Parkway, Suite 104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Bothell, Washington 98011</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Bylaws also establish an advance notice procedure for stockholders who wish to present a proposal or nominate a director at an annual meeting, but do not seek to include the proposal or director nominee in our proxy statement. In order to be properly brought before next year’s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the Bylaws. To be timely, a stockholder’s written notice must be received by our corporate secretary at our principal executive offices:</w:t>
      </w:r>
    </w:p>
    <w:p>
      <w:pPr>
        <w:spacing w:after="0" w:line="128" w:lineRule="exact"/>
        <w:rPr>
          <w:sz w:val="20"/>
          <w:szCs w:val="20"/>
          <w:color w:val="auto"/>
        </w:rPr>
      </w:pPr>
    </w:p>
    <w:p>
      <w:pPr>
        <w:ind w:left="140" w:hanging="134"/>
        <w:spacing w:after="0"/>
        <w:tabs>
          <w:tab w:leader="none" w:pos="140" w:val="left"/>
        </w:tabs>
        <w:numPr>
          <w:ilvl w:val="0"/>
          <w:numId w:val="11"/>
        </w:numPr>
        <w:rPr>
          <w:rFonts w:ascii="Arial" w:cs="Arial" w:eastAsia="Arial" w:hAnsi="Arial"/>
          <w:sz w:val="16"/>
          <w:szCs w:val="16"/>
          <w:color w:val="255993"/>
        </w:rPr>
      </w:pPr>
      <w:r>
        <w:rPr>
          <w:rFonts w:ascii="Arial" w:cs="Arial" w:eastAsia="Arial" w:hAnsi="Arial"/>
          <w:sz w:val="16"/>
          <w:szCs w:val="16"/>
          <w:color w:val="auto"/>
        </w:rPr>
        <w:t>no earlier than 8:00 a.m., Eastern time, on [•];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11"/>
        </w:numPr>
        <w:rPr>
          <w:rFonts w:ascii="Arial" w:cs="Arial" w:eastAsia="Arial" w:hAnsi="Arial"/>
          <w:sz w:val="16"/>
          <w:szCs w:val="16"/>
          <w:color w:val="255993"/>
        </w:rPr>
      </w:pPr>
      <w:r>
        <w:rPr>
          <w:rFonts w:ascii="Arial" w:cs="Arial" w:eastAsia="Arial" w:hAnsi="Arial"/>
          <w:sz w:val="16"/>
          <w:szCs w:val="16"/>
          <w:color w:val="auto"/>
        </w:rPr>
        <w:t>no later than 5:00 p.m., Eastern time, on [•].</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we hold our 2026 annual meeting more than 25 days before or after the one-year anniversary of this year’s Annual Meeting, then such written notice must be received by our corporate secretary at our principal executive offices:</w:t>
      </w:r>
    </w:p>
    <w:p>
      <w:pPr>
        <w:spacing w:after="0" w:line="74" w:lineRule="exact"/>
        <w:rPr>
          <w:sz w:val="20"/>
          <w:szCs w:val="20"/>
          <w:color w:val="auto"/>
        </w:rPr>
      </w:pPr>
    </w:p>
    <w:p>
      <w:pPr>
        <w:ind w:left="140" w:hanging="134"/>
        <w:spacing w:after="0"/>
        <w:tabs>
          <w:tab w:leader="none" w:pos="140" w:val="left"/>
        </w:tabs>
        <w:numPr>
          <w:ilvl w:val="0"/>
          <w:numId w:val="12"/>
        </w:numPr>
        <w:rPr>
          <w:rFonts w:ascii="Arial" w:cs="Arial" w:eastAsia="Arial" w:hAnsi="Arial"/>
          <w:sz w:val="32"/>
          <w:szCs w:val="32"/>
          <w:color w:val="255993"/>
          <w:vertAlign w:val="superscript"/>
        </w:rPr>
      </w:pPr>
      <w:r>
        <w:rPr>
          <w:rFonts w:ascii="Arial" w:cs="Arial" w:eastAsia="Arial" w:hAnsi="Arial"/>
          <w:sz w:val="16"/>
          <w:szCs w:val="16"/>
          <w:color w:val="auto"/>
        </w:rPr>
        <w:t>no earlier than 8:00 a.m., Eastern time,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day of our 2026 annual meeting, and</w:t>
      </w:r>
    </w:p>
    <w:p>
      <w:pPr>
        <w:ind w:left="140" w:right="80" w:hanging="134"/>
        <w:spacing w:after="0" w:line="181" w:lineRule="auto"/>
        <w:tabs>
          <w:tab w:leader="none" w:pos="140" w:val="left"/>
        </w:tabs>
        <w:numPr>
          <w:ilvl w:val="0"/>
          <w:numId w:val="12"/>
        </w:numPr>
        <w:rPr>
          <w:rFonts w:ascii="Arial" w:cs="Arial" w:eastAsia="Arial" w:hAnsi="Arial"/>
          <w:sz w:val="30"/>
          <w:szCs w:val="30"/>
          <w:color w:val="255993"/>
          <w:vertAlign w:val="superscript"/>
        </w:rPr>
      </w:pPr>
      <w:r>
        <w:rPr>
          <w:rFonts w:ascii="Arial" w:cs="Arial" w:eastAsia="Arial" w:hAnsi="Arial"/>
          <w:sz w:val="16"/>
          <w:szCs w:val="16"/>
          <w:color w:val="auto"/>
        </w:rPr>
        <w:t>no later than 5:00 p.m., Eastern time, on the later of the 90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day prior to the day of the 2026 annual meeting and, if the first public announcement of the date of such annual meeting is less than 100 days prior to the date of such annual meeting, the 10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day following the day on which public announcement of the date of the annual meeting is first made by us.</w:t>
      </w:r>
    </w:p>
    <w:p>
      <w:pPr>
        <w:spacing w:after="0" w:line="197"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7</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For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In addition, stockholders who intend to solicit proxies in support of director nominees other than the Company’s nominees must also comply with the additional requirements of Rule 14a-19(b) of the Exchange Act.</w:t>
      </w:r>
    </w:p>
    <w:p>
      <w:pPr>
        <w:spacing w:after="0" w:line="8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5966460" cy="128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6460" cy="1285875"/>
                    </a:xfrm>
                    <a:prstGeom prst="rect">
                      <a:avLst/>
                    </a:prstGeom>
                    <a:noFill/>
                  </pic:spPr>
                </pic:pic>
              </a:graphicData>
            </a:graphic>
          </wp:anchor>
        </w:drawing>
      </w:r>
    </w:p>
    <w:p>
      <w:pPr>
        <w:spacing w:after="0" w:line="34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Board Recommendation</w:t>
      </w:r>
    </w:p>
    <w:p>
      <w:pPr>
        <w:spacing w:after="0" w:line="239" w:lineRule="exact"/>
        <w:rPr>
          <w:sz w:val="20"/>
          <w:szCs w:val="20"/>
          <w:color w:val="auto"/>
        </w:rPr>
      </w:pPr>
    </w:p>
    <w:p>
      <w:pPr>
        <w:ind w:left="1620" w:right="340"/>
        <w:spacing w:after="0" w:line="232" w:lineRule="auto"/>
        <w:rPr>
          <w:sz w:val="20"/>
          <w:szCs w:val="20"/>
          <w:color w:val="auto"/>
        </w:rPr>
      </w:pPr>
      <w:r>
        <w:rPr>
          <w:rFonts w:ascii="Arial" w:cs="Arial" w:eastAsia="Arial" w:hAnsi="Arial"/>
          <w:sz w:val="14"/>
          <w:szCs w:val="14"/>
          <w:color w:val="255993"/>
        </w:rPr>
        <w:t xml:space="preserve">The Board of Directors unanimously recommends voting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the election of each of the Board of Directors’ nominees on Proposal No. 1 (which nominees are Joseph Edelman, John M. Fluke, Jr., and Grant Pickering),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the ratification of the appointment of Ernst &amp; Young LLP as our independent registered public accounting firm for our</w:t>
      </w:r>
    </w:p>
    <w:p>
      <w:pPr>
        <w:spacing w:after="0" w:line="1" w:lineRule="exact"/>
        <w:rPr>
          <w:sz w:val="20"/>
          <w:szCs w:val="20"/>
          <w:color w:val="auto"/>
        </w:rPr>
      </w:pPr>
    </w:p>
    <w:p>
      <w:pPr>
        <w:ind w:left="1620" w:right="440" w:hanging="1619"/>
        <w:spacing w:after="0" w:line="181" w:lineRule="auto"/>
        <w:tabs>
          <w:tab w:leader="none" w:pos="1600" w:val="left"/>
        </w:tabs>
        <w:rPr>
          <w:sz w:val="20"/>
          <w:szCs w:val="20"/>
          <w:color w:val="auto"/>
        </w:rPr>
      </w:pPr>
      <w:r>
        <w:rPr>
          <w:rFonts w:ascii="Arial" w:cs="Arial" w:eastAsia="Arial" w:hAnsi="Arial"/>
          <w:sz w:val="31"/>
          <w:szCs w:val="31"/>
          <w:b w:val="1"/>
          <w:bCs w:val="1"/>
          <w:color w:val="auto"/>
          <w:vertAlign w:val="superscript"/>
        </w:rPr>
        <w:t> </w:t>
      </w:r>
      <w:r>
        <w:rPr>
          <w:sz w:val="20"/>
          <w:szCs w:val="20"/>
          <w:color w:val="auto"/>
        </w:rPr>
        <w:tab/>
      </w:r>
      <w:r>
        <w:rPr>
          <w:rFonts w:ascii="Arial" w:cs="Arial" w:eastAsia="Arial" w:hAnsi="Arial"/>
          <w:sz w:val="14"/>
          <w:szCs w:val="14"/>
          <w:color w:val="255993"/>
        </w:rPr>
        <w:t xml:space="preserve">fiscal year ending December 31, 2025 on Proposal No. 2, and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the approval of proposed amendments to our amended and restated certificate of incorporation to effect a reverse stock split and reduce the total number of authorized shares of common stock.</w:t>
      </w:r>
    </w:p>
    <w:p>
      <w:pPr>
        <w:spacing w:after="0" w:line="200" w:lineRule="exact"/>
        <w:rPr>
          <w:sz w:val="20"/>
          <w:szCs w:val="20"/>
          <w:color w:val="auto"/>
        </w:rPr>
      </w:pPr>
    </w:p>
    <w:p>
      <w:pPr>
        <w:spacing w:after="0" w:line="305"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8</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Board of Directors and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Corporate Governance</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COMPOSITION OF THE BOARD OF DIRECTORS</w:t>
      </w:r>
    </w:p>
    <w:p>
      <w:pPr>
        <w:spacing w:after="0" w:line="14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Our board of directors currently consists of eight directors, seven of whom are independent under the listing standards of The Nasdaq Stock Market LLC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110"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following table sets forth the names, ages as of April 4, 2025, and certain other information for each of our directors and director nominees: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160" w:type="dxa"/>
            <w:vAlign w:val="bottom"/>
            <w:shd w:val="clear" w:color="auto" w:fill="255993"/>
          </w:tcPr>
          <w:p>
            <w:pPr>
              <w:spacing w:after="0"/>
              <w:rPr>
                <w:sz w:val="24"/>
                <w:szCs w:val="24"/>
                <w:color w:val="auto"/>
              </w:rPr>
            </w:pPr>
          </w:p>
        </w:tc>
        <w:tc>
          <w:tcPr>
            <w:tcW w:w="2280" w:type="dxa"/>
            <w:vAlign w:val="bottom"/>
            <w:shd w:val="clear" w:color="auto" w:fill="255993"/>
          </w:tcPr>
          <w:p>
            <w:pPr>
              <w:spacing w:after="0"/>
              <w:rPr>
                <w:sz w:val="24"/>
                <w:szCs w:val="24"/>
                <w:color w:val="auto"/>
              </w:rPr>
            </w:pPr>
          </w:p>
        </w:tc>
        <w:tc>
          <w:tcPr>
            <w:tcW w:w="900" w:type="dxa"/>
            <w:vAlign w:val="bottom"/>
            <w:shd w:val="clear" w:color="auto" w:fill="255993"/>
          </w:tcPr>
          <w:p>
            <w:pPr>
              <w:spacing w:after="0"/>
              <w:rPr>
                <w:sz w:val="24"/>
                <w:szCs w:val="24"/>
                <w:color w:val="auto"/>
              </w:rPr>
            </w:pPr>
          </w:p>
        </w:tc>
        <w:tc>
          <w:tcPr>
            <w:tcW w:w="780" w:type="dxa"/>
            <w:vAlign w:val="bottom"/>
            <w:shd w:val="clear" w:color="auto" w:fill="255993"/>
          </w:tcPr>
          <w:p>
            <w:pPr>
              <w:spacing w:after="0"/>
              <w:rPr>
                <w:sz w:val="24"/>
                <w:szCs w:val="24"/>
                <w:color w:val="auto"/>
              </w:rPr>
            </w:pPr>
          </w:p>
        </w:tc>
        <w:tc>
          <w:tcPr>
            <w:tcW w:w="1460" w:type="dxa"/>
            <w:vAlign w:val="bottom"/>
            <w:shd w:val="clear" w:color="auto" w:fill="255993"/>
          </w:tcPr>
          <w:p>
            <w:pPr>
              <w:spacing w:after="0"/>
              <w:rPr>
                <w:sz w:val="24"/>
                <w:szCs w:val="24"/>
                <w:color w:val="auto"/>
              </w:rPr>
            </w:pPr>
          </w:p>
        </w:tc>
        <w:tc>
          <w:tcPr>
            <w:tcW w:w="540" w:type="dxa"/>
            <w:vAlign w:val="bottom"/>
            <w:shd w:val="clear" w:color="auto" w:fill="255993"/>
          </w:tcPr>
          <w:p>
            <w:pPr>
              <w:spacing w:after="0"/>
              <w:rPr>
                <w:sz w:val="24"/>
                <w:szCs w:val="24"/>
                <w:color w:val="auto"/>
              </w:rPr>
            </w:pPr>
          </w:p>
        </w:tc>
        <w:tc>
          <w:tcPr>
            <w:tcW w:w="960" w:type="dxa"/>
            <w:vAlign w:val="bottom"/>
            <w:shd w:val="clear" w:color="auto" w:fill="255993"/>
          </w:tcPr>
          <w:p>
            <w:pPr>
              <w:spacing w:after="0"/>
              <w:rPr>
                <w:sz w:val="24"/>
                <w:szCs w:val="24"/>
                <w:color w:val="auto"/>
              </w:rPr>
            </w:pPr>
          </w:p>
        </w:tc>
        <w:tc>
          <w:tcPr>
            <w:tcW w:w="980" w:type="dxa"/>
            <w:vAlign w:val="bottom"/>
            <w:shd w:val="clear" w:color="auto" w:fill="255993"/>
          </w:tcPr>
          <w:p>
            <w:pPr>
              <w:spacing w:after="0"/>
              <w:rPr>
                <w:sz w:val="24"/>
                <w:szCs w:val="24"/>
                <w:color w:val="auto"/>
              </w:rPr>
            </w:pPr>
          </w:p>
        </w:tc>
        <w:tc>
          <w:tcPr>
            <w:tcW w:w="1340" w:type="dxa"/>
            <w:vAlign w:val="bottom"/>
            <w:shd w:val="clear" w:color="auto" w:fill="255993"/>
          </w:tcPr>
          <w:p>
            <w:pPr>
              <w:jc w:val="center"/>
              <w:ind w:right="25"/>
              <w:spacing w:after="0"/>
              <w:rPr>
                <w:sz w:val="20"/>
                <w:szCs w:val="20"/>
                <w:color w:val="auto"/>
              </w:rPr>
            </w:pPr>
            <w:r>
              <w:rPr>
                <w:rFonts w:ascii="Arial" w:cs="Arial" w:eastAsia="Arial" w:hAnsi="Arial"/>
                <w:sz w:val="16"/>
                <w:szCs w:val="16"/>
                <w:b w:val="1"/>
                <w:bCs w:val="1"/>
                <w:color w:val="FFFFFF"/>
              </w:rPr>
              <w:t>Expiration</w:t>
            </w:r>
          </w:p>
        </w:tc>
        <w:tc>
          <w:tcPr>
            <w:tcW w:w="0" w:type="dxa"/>
            <w:vAlign w:val="bottom"/>
          </w:tcPr>
          <w:p>
            <w:pPr>
              <w:spacing w:after="0"/>
              <w:rPr>
                <w:sz w:val="1"/>
                <w:szCs w:val="1"/>
                <w:color w:val="auto"/>
              </w:rPr>
            </w:pPr>
          </w:p>
        </w:tc>
      </w:tr>
      <w:tr>
        <w:trPr>
          <w:trHeight w:val="189"/>
        </w:trPr>
        <w:tc>
          <w:tcPr>
            <w:tcW w:w="160" w:type="dxa"/>
            <w:vAlign w:val="bottom"/>
            <w:shd w:val="clear" w:color="auto" w:fill="255993"/>
          </w:tcPr>
          <w:p>
            <w:pPr>
              <w:spacing w:after="0"/>
              <w:rPr>
                <w:sz w:val="16"/>
                <w:szCs w:val="16"/>
                <w:color w:val="auto"/>
              </w:rPr>
            </w:pPr>
          </w:p>
        </w:tc>
        <w:tc>
          <w:tcPr>
            <w:tcW w:w="2280" w:type="dxa"/>
            <w:vAlign w:val="bottom"/>
            <w:shd w:val="clear" w:color="auto" w:fill="255993"/>
          </w:tcPr>
          <w:p>
            <w:pPr>
              <w:spacing w:after="0"/>
              <w:rPr>
                <w:sz w:val="16"/>
                <w:szCs w:val="16"/>
                <w:color w:val="auto"/>
              </w:rPr>
            </w:pPr>
          </w:p>
        </w:tc>
        <w:tc>
          <w:tcPr>
            <w:tcW w:w="900" w:type="dxa"/>
            <w:vAlign w:val="bottom"/>
            <w:shd w:val="clear" w:color="auto" w:fill="255993"/>
          </w:tcPr>
          <w:p>
            <w:pPr>
              <w:spacing w:after="0"/>
              <w:rPr>
                <w:sz w:val="16"/>
                <w:szCs w:val="16"/>
                <w:color w:val="auto"/>
              </w:rPr>
            </w:pPr>
          </w:p>
        </w:tc>
        <w:tc>
          <w:tcPr>
            <w:tcW w:w="780" w:type="dxa"/>
            <w:vAlign w:val="bottom"/>
            <w:shd w:val="clear" w:color="auto" w:fill="255993"/>
          </w:tcPr>
          <w:p>
            <w:pPr>
              <w:spacing w:after="0"/>
              <w:rPr>
                <w:sz w:val="16"/>
                <w:szCs w:val="16"/>
                <w:color w:val="auto"/>
              </w:rPr>
            </w:pPr>
          </w:p>
        </w:tc>
        <w:tc>
          <w:tcPr>
            <w:tcW w:w="1460" w:type="dxa"/>
            <w:vAlign w:val="bottom"/>
            <w:shd w:val="clear" w:color="auto" w:fill="255993"/>
          </w:tcPr>
          <w:p>
            <w:pPr>
              <w:spacing w:after="0"/>
              <w:rPr>
                <w:sz w:val="16"/>
                <w:szCs w:val="16"/>
                <w:color w:val="auto"/>
              </w:rPr>
            </w:pPr>
          </w:p>
        </w:tc>
        <w:tc>
          <w:tcPr>
            <w:tcW w:w="540" w:type="dxa"/>
            <w:vAlign w:val="bottom"/>
            <w:shd w:val="clear" w:color="auto" w:fill="255993"/>
          </w:tcPr>
          <w:p>
            <w:pPr>
              <w:spacing w:after="0"/>
              <w:rPr>
                <w:sz w:val="16"/>
                <w:szCs w:val="16"/>
                <w:color w:val="auto"/>
              </w:rPr>
            </w:pPr>
          </w:p>
        </w:tc>
        <w:tc>
          <w:tcPr>
            <w:tcW w:w="960" w:type="dxa"/>
            <w:vAlign w:val="bottom"/>
            <w:shd w:val="clear" w:color="auto" w:fill="255993"/>
          </w:tcPr>
          <w:p>
            <w:pPr>
              <w:spacing w:after="0"/>
              <w:rPr>
                <w:sz w:val="16"/>
                <w:szCs w:val="16"/>
                <w:color w:val="auto"/>
              </w:rPr>
            </w:pPr>
          </w:p>
        </w:tc>
        <w:tc>
          <w:tcPr>
            <w:tcW w:w="98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Current</w:t>
            </w:r>
          </w:p>
        </w:tc>
        <w:tc>
          <w:tcPr>
            <w:tcW w:w="1340" w:type="dxa"/>
            <w:vAlign w:val="bottom"/>
            <w:shd w:val="clear" w:color="auto" w:fill="255993"/>
          </w:tcPr>
          <w:p>
            <w:pPr>
              <w:jc w:val="center"/>
              <w:ind w:right="45"/>
              <w:spacing w:after="0"/>
              <w:rPr>
                <w:sz w:val="20"/>
                <w:szCs w:val="20"/>
                <w:color w:val="auto"/>
              </w:rPr>
            </w:pPr>
            <w:r>
              <w:rPr>
                <w:rFonts w:ascii="Arial" w:cs="Arial" w:eastAsia="Arial" w:hAnsi="Arial"/>
                <w:sz w:val="16"/>
                <w:szCs w:val="16"/>
                <w:b w:val="1"/>
                <w:bCs w:val="1"/>
                <w:color w:val="FFFFFF"/>
                <w:w w:val="98"/>
              </w:rPr>
              <w:t>of Term</w:t>
            </w:r>
          </w:p>
        </w:tc>
        <w:tc>
          <w:tcPr>
            <w:tcW w:w="0" w:type="dxa"/>
            <w:vAlign w:val="bottom"/>
          </w:tcPr>
          <w:p>
            <w:pPr>
              <w:spacing w:after="0"/>
              <w:rPr>
                <w:sz w:val="1"/>
                <w:szCs w:val="1"/>
                <w:color w:val="auto"/>
              </w:rPr>
            </w:pPr>
          </w:p>
        </w:tc>
      </w:tr>
      <w:tr>
        <w:trPr>
          <w:trHeight w:val="189"/>
        </w:trPr>
        <w:tc>
          <w:tcPr>
            <w:tcW w:w="160" w:type="dxa"/>
            <w:vAlign w:val="bottom"/>
            <w:shd w:val="clear" w:color="auto" w:fill="255993"/>
          </w:tcPr>
          <w:p>
            <w:pPr>
              <w:spacing w:after="0"/>
              <w:rPr>
                <w:sz w:val="16"/>
                <w:szCs w:val="16"/>
                <w:color w:val="auto"/>
              </w:rPr>
            </w:pPr>
          </w:p>
        </w:tc>
        <w:tc>
          <w:tcPr>
            <w:tcW w:w="2280" w:type="dxa"/>
            <w:vAlign w:val="bottom"/>
            <w:shd w:val="clear" w:color="auto" w:fill="255993"/>
          </w:tcPr>
          <w:p>
            <w:pPr>
              <w:spacing w:after="0"/>
              <w:rPr>
                <w:sz w:val="16"/>
                <w:szCs w:val="16"/>
                <w:color w:val="auto"/>
              </w:rPr>
            </w:pPr>
          </w:p>
        </w:tc>
        <w:tc>
          <w:tcPr>
            <w:tcW w:w="900" w:type="dxa"/>
            <w:vAlign w:val="bottom"/>
            <w:shd w:val="clear" w:color="auto" w:fill="255993"/>
          </w:tcPr>
          <w:p>
            <w:pPr>
              <w:spacing w:after="0"/>
              <w:rPr>
                <w:sz w:val="16"/>
                <w:szCs w:val="16"/>
                <w:color w:val="auto"/>
              </w:rPr>
            </w:pPr>
          </w:p>
        </w:tc>
        <w:tc>
          <w:tcPr>
            <w:tcW w:w="780" w:type="dxa"/>
            <w:vAlign w:val="bottom"/>
            <w:shd w:val="clear" w:color="auto" w:fill="255993"/>
          </w:tcPr>
          <w:p>
            <w:pPr>
              <w:spacing w:after="0"/>
              <w:rPr>
                <w:sz w:val="16"/>
                <w:szCs w:val="16"/>
                <w:color w:val="auto"/>
              </w:rPr>
            </w:pPr>
          </w:p>
        </w:tc>
        <w:tc>
          <w:tcPr>
            <w:tcW w:w="1460" w:type="dxa"/>
            <w:vAlign w:val="bottom"/>
            <w:shd w:val="clear" w:color="auto" w:fill="255993"/>
          </w:tcPr>
          <w:p>
            <w:pPr>
              <w:spacing w:after="0"/>
              <w:rPr>
                <w:sz w:val="16"/>
                <w:szCs w:val="16"/>
                <w:color w:val="auto"/>
              </w:rPr>
            </w:pPr>
          </w:p>
        </w:tc>
        <w:tc>
          <w:tcPr>
            <w:tcW w:w="540" w:type="dxa"/>
            <w:vAlign w:val="bottom"/>
            <w:shd w:val="clear" w:color="auto" w:fill="255993"/>
          </w:tcPr>
          <w:p>
            <w:pPr>
              <w:spacing w:after="0"/>
              <w:rPr>
                <w:sz w:val="16"/>
                <w:szCs w:val="16"/>
                <w:color w:val="auto"/>
              </w:rPr>
            </w:pPr>
          </w:p>
        </w:tc>
        <w:tc>
          <w:tcPr>
            <w:tcW w:w="96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Director</w:t>
            </w:r>
          </w:p>
        </w:tc>
        <w:tc>
          <w:tcPr>
            <w:tcW w:w="980" w:type="dxa"/>
            <w:vAlign w:val="bottom"/>
            <w:shd w:val="clear" w:color="auto" w:fill="255993"/>
          </w:tcPr>
          <w:p>
            <w:pPr>
              <w:jc w:val="center"/>
              <w:ind w:right="46"/>
              <w:spacing w:after="0"/>
              <w:rPr>
                <w:sz w:val="20"/>
                <w:szCs w:val="20"/>
                <w:color w:val="auto"/>
              </w:rPr>
            </w:pPr>
            <w:r>
              <w:rPr>
                <w:rFonts w:ascii="Arial" w:cs="Arial" w:eastAsia="Arial" w:hAnsi="Arial"/>
                <w:sz w:val="16"/>
                <w:szCs w:val="16"/>
                <w:b w:val="1"/>
                <w:bCs w:val="1"/>
                <w:color w:val="FFFFFF"/>
                <w:w w:val="97"/>
              </w:rPr>
              <w:t>Term</w:t>
            </w:r>
          </w:p>
        </w:tc>
        <w:tc>
          <w:tcPr>
            <w:tcW w:w="1340" w:type="dxa"/>
            <w:vAlign w:val="bottom"/>
            <w:shd w:val="clear" w:color="auto" w:fill="255993"/>
          </w:tcPr>
          <w:p>
            <w:pPr>
              <w:jc w:val="center"/>
              <w:ind w:right="25"/>
              <w:spacing w:after="0"/>
              <w:rPr>
                <w:sz w:val="20"/>
                <w:szCs w:val="20"/>
                <w:color w:val="auto"/>
              </w:rPr>
            </w:pPr>
            <w:r>
              <w:rPr>
                <w:rFonts w:ascii="Arial" w:cs="Arial" w:eastAsia="Arial" w:hAnsi="Arial"/>
                <w:sz w:val="16"/>
                <w:szCs w:val="16"/>
                <w:b w:val="1"/>
                <w:bCs w:val="1"/>
                <w:color w:val="FFFFFF"/>
              </w:rPr>
              <w:t>for Which</w:t>
            </w:r>
          </w:p>
        </w:tc>
        <w:tc>
          <w:tcPr>
            <w:tcW w:w="0" w:type="dxa"/>
            <w:vAlign w:val="bottom"/>
          </w:tcPr>
          <w:p>
            <w:pPr>
              <w:spacing w:after="0"/>
              <w:rPr>
                <w:sz w:val="1"/>
                <w:szCs w:val="1"/>
                <w:color w:val="auto"/>
              </w:rPr>
            </w:pPr>
          </w:p>
        </w:tc>
      </w:tr>
      <w:tr>
        <w:trPr>
          <w:trHeight w:val="223"/>
        </w:trPr>
        <w:tc>
          <w:tcPr>
            <w:tcW w:w="160" w:type="dxa"/>
            <w:vAlign w:val="bottom"/>
            <w:shd w:val="clear" w:color="auto" w:fill="255993"/>
          </w:tcPr>
          <w:p>
            <w:pPr>
              <w:spacing w:after="0"/>
              <w:rPr>
                <w:sz w:val="19"/>
                <w:szCs w:val="19"/>
                <w:color w:val="auto"/>
              </w:rPr>
            </w:pPr>
          </w:p>
        </w:tc>
        <w:tc>
          <w:tcPr>
            <w:tcW w:w="2280" w:type="dxa"/>
            <w:vAlign w:val="bottom"/>
            <w:shd w:val="clear" w:color="auto" w:fill="255993"/>
          </w:tcPr>
          <w:p>
            <w:pPr>
              <w:ind w:left="80"/>
              <w:spacing w:after="0"/>
              <w:rPr>
                <w:sz w:val="20"/>
                <w:szCs w:val="20"/>
                <w:color w:val="auto"/>
              </w:rPr>
            </w:pPr>
            <w:r>
              <w:rPr>
                <w:rFonts w:ascii="Arial" w:cs="Arial" w:eastAsia="Arial" w:hAnsi="Arial"/>
                <w:sz w:val="16"/>
                <w:szCs w:val="16"/>
                <w:b w:val="1"/>
                <w:bCs w:val="1"/>
                <w:color w:val="FFFFFF"/>
              </w:rPr>
              <w:t>Name</w:t>
            </w:r>
          </w:p>
        </w:tc>
        <w:tc>
          <w:tcPr>
            <w:tcW w:w="90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Class</w:t>
            </w:r>
          </w:p>
        </w:tc>
        <w:tc>
          <w:tcPr>
            <w:tcW w:w="78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w w:val="99"/>
              </w:rPr>
              <w:t>Age</w:t>
            </w:r>
          </w:p>
        </w:tc>
        <w:tc>
          <w:tcPr>
            <w:tcW w:w="1460" w:type="dxa"/>
            <w:vAlign w:val="bottom"/>
            <w:shd w:val="clear" w:color="auto" w:fill="255993"/>
          </w:tcPr>
          <w:p>
            <w:pPr>
              <w:ind w:left="240"/>
              <w:spacing w:after="0"/>
              <w:rPr>
                <w:sz w:val="20"/>
                <w:szCs w:val="20"/>
                <w:color w:val="auto"/>
              </w:rPr>
            </w:pPr>
            <w:r>
              <w:rPr>
                <w:rFonts w:ascii="Arial" w:cs="Arial" w:eastAsia="Arial" w:hAnsi="Arial"/>
                <w:sz w:val="16"/>
                <w:szCs w:val="16"/>
                <w:b w:val="1"/>
                <w:bCs w:val="1"/>
                <w:color w:val="FFFFFF"/>
              </w:rPr>
              <w:t>Position</w:t>
            </w:r>
          </w:p>
        </w:tc>
        <w:tc>
          <w:tcPr>
            <w:tcW w:w="540" w:type="dxa"/>
            <w:vAlign w:val="bottom"/>
            <w:shd w:val="clear" w:color="auto" w:fill="255993"/>
          </w:tcPr>
          <w:p>
            <w:pPr>
              <w:spacing w:after="0"/>
              <w:rPr>
                <w:sz w:val="19"/>
                <w:szCs w:val="19"/>
                <w:color w:val="auto"/>
              </w:rPr>
            </w:pPr>
          </w:p>
        </w:tc>
        <w:tc>
          <w:tcPr>
            <w:tcW w:w="96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Since</w:t>
            </w:r>
          </w:p>
        </w:tc>
        <w:tc>
          <w:tcPr>
            <w:tcW w:w="98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Expires</w:t>
            </w:r>
          </w:p>
        </w:tc>
        <w:tc>
          <w:tcPr>
            <w:tcW w:w="134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Nominated</w:t>
            </w:r>
          </w:p>
        </w:tc>
        <w:tc>
          <w:tcPr>
            <w:tcW w:w="0" w:type="dxa"/>
            <w:vAlign w:val="bottom"/>
          </w:tcPr>
          <w:p>
            <w:pPr>
              <w:spacing w:after="0"/>
              <w:rPr>
                <w:sz w:val="1"/>
                <w:szCs w:val="1"/>
                <w:color w:val="auto"/>
              </w:rPr>
            </w:pPr>
          </w:p>
        </w:tc>
      </w:tr>
      <w:tr>
        <w:trPr>
          <w:trHeight w:val="183"/>
        </w:trPr>
        <w:tc>
          <w:tcPr>
            <w:tcW w:w="160" w:type="dxa"/>
            <w:vAlign w:val="bottom"/>
            <w:shd w:val="clear" w:color="auto" w:fill="255993"/>
          </w:tcPr>
          <w:p>
            <w:pPr>
              <w:spacing w:after="0"/>
              <w:rPr>
                <w:sz w:val="15"/>
                <w:szCs w:val="15"/>
                <w:color w:val="auto"/>
              </w:rPr>
            </w:pPr>
          </w:p>
        </w:tc>
        <w:tc>
          <w:tcPr>
            <w:tcW w:w="2280" w:type="dxa"/>
            <w:vAlign w:val="bottom"/>
            <w:shd w:val="clear" w:color="auto" w:fill="255993"/>
          </w:tcPr>
          <w:p>
            <w:pPr>
              <w:spacing w:after="0"/>
              <w:rPr>
                <w:sz w:val="15"/>
                <w:szCs w:val="15"/>
                <w:color w:val="auto"/>
              </w:rPr>
            </w:pPr>
          </w:p>
        </w:tc>
        <w:tc>
          <w:tcPr>
            <w:tcW w:w="900" w:type="dxa"/>
            <w:vAlign w:val="bottom"/>
            <w:shd w:val="clear" w:color="auto" w:fill="255993"/>
          </w:tcPr>
          <w:p>
            <w:pPr>
              <w:spacing w:after="0"/>
              <w:rPr>
                <w:sz w:val="15"/>
                <w:szCs w:val="15"/>
                <w:color w:val="auto"/>
              </w:rPr>
            </w:pPr>
          </w:p>
        </w:tc>
        <w:tc>
          <w:tcPr>
            <w:tcW w:w="780" w:type="dxa"/>
            <w:vAlign w:val="bottom"/>
            <w:shd w:val="clear" w:color="auto" w:fill="255993"/>
          </w:tcPr>
          <w:p>
            <w:pPr>
              <w:spacing w:after="0"/>
              <w:rPr>
                <w:sz w:val="15"/>
                <w:szCs w:val="15"/>
                <w:color w:val="auto"/>
              </w:rPr>
            </w:pPr>
          </w:p>
        </w:tc>
        <w:tc>
          <w:tcPr>
            <w:tcW w:w="1460" w:type="dxa"/>
            <w:vAlign w:val="bottom"/>
            <w:shd w:val="clear" w:color="auto" w:fill="255993"/>
          </w:tcPr>
          <w:p>
            <w:pPr>
              <w:spacing w:after="0"/>
              <w:rPr>
                <w:sz w:val="15"/>
                <w:szCs w:val="15"/>
                <w:color w:val="auto"/>
              </w:rPr>
            </w:pPr>
          </w:p>
        </w:tc>
        <w:tc>
          <w:tcPr>
            <w:tcW w:w="540" w:type="dxa"/>
            <w:vAlign w:val="bottom"/>
            <w:shd w:val="clear" w:color="auto" w:fill="255993"/>
          </w:tcPr>
          <w:p>
            <w:pPr>
              <w:spacing w:after="0"/>
              <w:rPr>
                <w:sz w:val="15"/>
                <w:szCs w:val="15"/>
                <w:color w:val="auto"/>
              </w:rPr>
            </w:pPr>
          </w:p>
        </w:tc>
        <w:tc>
          <w:tcPr>
            <w:tcW w:w="960" w:type="dxa"/>
            <w:vAlign w:val="bottom"/>
            <w:shd w:val="clear" w:color="auto" w:fill="255993"/>
          </w:tcPr>
          <w:p>
            <w:pPr>
              <w:spacing w:after="0"/>
              <w:rPr>
                <w:sz w:val="15"/>
                <w:szCs w:val="15"/>
                <w:color w:val="auto"/>
              </w:rPr>
            </w:pPr>
          </w:p>
        </w:tc>
        <w:tc>
          <w:tcPr>
            <w:tcW w:w="980" w:type="dxa"/>
            <w:vAlign w:val="bottom"/>
            <w:shd w:val="clear" w:color="auto" w:fill="255993"/>
          </w:tcPr>
          <w:p>
            <w:pPr>
              <w:spacing w:after="0"/>
              <w:rPr>
                <w:sz w:val="15"/>
                <w:szCs w:val="15"/>
                <w:color w:val="auto"/>
              </w:rPr>
            </w:pPr>
          </w:p>
        </w:tc>
        <w:tc>
          <w:tcPr>
            <w:tcW w:w="1340" w:type="dxa"/>
            <w:vAlign w:val="bottom"/>
            <w:shd w:val="clear" w:color="auto" w:fill="255993"/>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160" w:type="dxa"/>
            <w:vAlign w:val="bottom"/>
            <w:shd w:val="clear" w:color="auto" w:fill="F8991D"/>
          </w:tcPr>
          <w:p>
            <w:pPr>
              <w:spacing w:after="0"/>
              <w:rPr>
                <w:sz w:val="24"/>
                <w:szCs w:val="24"/>
                <w:color w:val="auto"/>
              </w:rPr>
            </w:pPr>
          </w:p>
        </w:tc>
        <w:tc>
          <w:tcPr>
            <w:tcW w:w="2280" w:type="dxa"/>
            <w:vAlign w:val="bottom"/>
            <w:shd w:val="clear" w:color="auto" w:fill="F8991D"/>
          </w:tcPr>
          <w:p>
            <w:pPr>
              <w:ind w:left="80"/>
              <w:spacing w:after="0"/>
              <w:rPr>
                <w:sz w:val="20"/>
                <w:szCs w:val="20"/>
                <w:color w:val="auto"/>
              </w:rPr>
            </w:pPr>
            <w:r>
              <w:rPr>
                <w:rFonts w:ascii="Arial" w:cs="Arial" w:eastAsia="Arial" w:hAnsi="Arial"/>
                <w:sz w:val="14"/>
                <w:szCs w:val="14"/>
                <w:b w:val="1"/>
                <w:bCs w:val="1"/>
                <w:color w:val="FFFFFF"/>
              </w:rPr>
              <w:t>NOMINEES FOR DIRECTOR</w:t>
            </w:r>
          </w:p>
        </w:tc>
        <w:tc>
          <w:tcPr>
            <w:tcW w:w="900" w:type="dxa"/>
            <w:vAlign w:val="bottom"/>
            <w:shd w:val="clear" w:color="auto" w:fill="F8991D"/>
          </w:tcPr>
          <w:p>
            <w:pPr>
              <w:spacing w:after="0"/>
              <w:rPr>
                <w:sz w:val="24"/>
                <w:szCs w:val="24"/>
                <w:color w:val="auto"/>
              </w:rPr>
            </w:pPr>
          </w:p>
        </w:tc>
        <w:tc>
          <w:tcPr>
            <w:tcW w:w="780" w:type="dxa"/>
            <w:vAlign w:val="bottom"/>
            <w:shd w:val="clear" w:color="auto" w:fill="F8991D"/>
          </w:tcPr>
          <w:p>
            <w:pPr>
              <w:spacing w:after="0"/>
              <w:rPr>
                <w:sz w:val="24"/>
                <w:szCs w:val="24"/>
                <w:color w:val="auto"/>
              </w:rPr>
            </w:pPr>
          </w:p>
        </w:tc>
        <w:tc>
          <w:tcPr>
            <w:tcW w:w="1460" w:type="dxa"/>
            <w:vAlign w:val="bottom"/>
            <w:shd w:val="clear" w:color="auto" w:fill="F8991D"/>
          </w:tcPr>
          <w:p>
            <w:pPr>
              <w:spacing w:after="0"/>
              <w:rPr>
                <w:sz w:val="24"/>
                <w:szCs w:val="24"/>
                <w:color w:val="auto"/>
              </w:rPr>
            </w:pPr>
          </w:p>
        </w:tc>
        <w:tc>
          <w:tcPr>
            <w:tcW w:w="540" w:type="dxa"/>
            <w:vAlign w:val="bottom"/>
            <w:shd w:val="clear" w:color="auto" w:fill="F8991D"/>
          </w:tcPr>
          <w:p>
            <w:pPr>
              <w:spacing w:after="0"/>
              <w:rPr>
                <w:sz w:val="24"/>
                <w:szCs w:val="24"/>
                <w:color w:val="auto"/>
              </w:rPr>
            </w:pPr>
          </w:p>
        </w:tc>
        <w:tc>
          <w:tcPr>
            <w:tcW w:w="960" w:type="dxa"/>
            <w:vAlign w:val="bottom"/>
            <w:shd w:val="clear" w:color="auto" w:fill="F8991D"/>
          </w:tcPr>
          <w:p>
            <w:pPr>
              <w:spacing w:after="0"/>
              <w:rPr>
                <w:sz w:val="24"/>
                <w:szCs w:val="24"/>
                <w:color w:val="auto"/>
              </w:rPr>
            </w:pPr>
          </w:p>
        </w:tc>
        <w:tc>
          <w:tcPr>
            <w:tcW w:w="980" w:type="dxa"/>
            <w:vAlign w:val="bottom"/>
            <w:shd w:val="clear" w:color="auto" w:fill="F8991D"/>
          </w:tcPr>
          <w:p>
            <w:pPr>
              <w:spacing w:after="0"/>
              <w:rPr>
                <w:sz w:val="24"/>
                <w:szCs w:val="24"/>
                <w:color w:val="auto"/>
              </w:rPr>
            </w:pPr>
          </w:p>
        </w:tc>
        <w:tc>
          <w:tcPr>
            <w:tcW w:w="1340" w:type="dxa"/>
            <w:vAlign w:val="bottom"/>
            <w:shd w:val="clear" w:color="auto" w:fill="F8991D"/>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60" w:type="dxa"/>
            <w:vAlign w:val="bottom"/>
            <w:shd w:val="clear" w:color="auto" w:fill="F8991D"/>
          </w:tcPr>
          <w:p>
            <w:pPr>
              <w:spacing w:after="0"/>
              <w:rPr>
                <w:sz w:val="15"/>
                <w:szCs w:val="15"/>
                <w:color w:val="auto"/>
              </w:rPr>
            </w:pPr>
          </w:p>
        </w:tc>
        <w:tc>
          <w:tcPr>
            <w:tcW w:w="2280" w:type="dxa"/>
            <w:vAlign w:val="bottom"/>
            <w:shd w:val="clear" w:color="auto" w:fill="F8991D"/>
          </w:tcPr>
          <w:p>
            <w:pPr>
              <w:spacing w:after="0"/>
              <w:rPr>
                <w:sz w:val="15"/>
                <w:szCs w:val="15"/>
                <w:color w:val="auto"/>
              </w:rPr>
            </w:pPr>
          </w:p>
        </w:tc>
        <w:tc>
          <w:tcPr>
            <w:tcW w:w="900" w:type="dxa"/>
            <w:vAlign w:val="bottom"/>
            <w:shd w:val="clear" w:color="auto" w:fill="F8991D"/>
          </w:tcPr>
          <w:p>
            <w:pPr>
              <w:spacing w:after="0"/>
              <w:rPr>
                <w:sz w:val="15"/>
                <w:szCs w:val="15"/>
                <w:color w:val="auto"/>
              </w:rPr>
            </w:pPr>
          </w:p>
        </w:tc>
        <w:tc>
          <w:tcPr>
            <w:tcW w:w="780" w:type="dxa"/>
            <w:vAlign w:val="bottom"/>
            <w:shd w:val="clear" w:color="auto" w:fill="F8991D"/>
          </w:tcPr>
          <w:p>
            <w:pPr>
              <w:spacing w:after="0"/>
              <w:rPr>
                <w:sz w:val="15"/>
                <w:szCs w:val="15"/>
                <w:color w:val="auto"/>
              </w:rPr>
            </w:pPr>
          </w:p>
        </w:tc>
        <w:tc>
          <w:tcPr>
            <w:tcW w:w="1460" w:type="dxa"/>
            <w:vAlign w:val="bottom"/>
            <w:shd w:val="clear" w:color="auto" w:fill="F8991D"/>
          </w:tcPr>
          <w:p>
            <w:pPr>
              <w:spacing w:after="0"/>
              <w:rPr>
                <w:sz w:val="15"/>
                <w:szCs w:val="15"/>
                <w:color w:val="auto"/>
              </w:rPr>
            </w:pPr>
          </w:p>
        </w:tc>
        <w:tc>
          <w:tcPr>
            <w:tcW w:w="540" w:type="dxa"/>
            <w:vAlign w:val="bottom"/>
            <w:shd w:val="clear" w:color="auto" w:fill="F8991D"/>
          </w:tcPr>
          <w:p>
            <w:pPr>
              <w:spacing w:after="0"/>
              <w:rPr>
                <w:sz w:val="15"/>
                <w:szCs w:val="15"/>
                <w:color w:val="auto"/>
              </w:rPr>
            </w:pPr>
          </w:p>
        </w:tc>
        <w:tc>
          <w:tcPr>
            <w:tcW w:w="960" w:type="dxa"/>
            <w:vAlign w:val="bottom"/>
            <w:shd w:val="clear" w:color="auto" w:fill="F8991D"/>
          </w:tcPr>
          <w:p>
            <w:pPr>
              <w:spacing w:after="0"/>
              <w:rPr>
                <w:sz w:val="15"/>
                <w:szCs w:val="15"/>
                <w:color w:val="auto"/>
              </w:rPr>
            </w:pPr>
          </w:p>
        </w:tc>
        <w:tc>
          <w:tcPr>
            <w:tcW w:w="980" w:type="dxa"/>
            <w:vAlign w:val="bottom"/>
            <w:shd w:val="clear" w:color="auto" w:fill="F8991D"/>
          </w:tcPr>
          <w:p>
            <w:pPr>
              <w:spacing w:after="0"/>
              <w:rPr>
                <w:sz w:val="15"/>
                <w:szCs w:val="15"/>
                <w:color w:val="auto"/>
              </w:rPr>
            </w:pPr>
          </w:p>
        </w:tc>
        <w:tc>
          <w:tcPr>
            <w:tcW w:w="1340" w:type="dxa"/>
            <w:vAlign w:val="bottom"/>
            <w:shd w:val="clear" w:color="auto" w:fill="F8991D"/>
          </w:tcPr>
          <w:p>
            <w:pPr>
              <w:spacing w:after="0"/>
              <w:rPr>
                <w:sz w:val="15"/>
                <w:szCs w:val="15"/>
                <w:color w:val="auto"/>
              </w:rPr>
            </w:pPr>
          </w:p>
        </w:tc>
        <w:tc>
          <w:tcPr>
            <w:tcW w:w="0" w:type="dxa"/>
            <w:vAlign w:val="bottom"/>
          </w:tcPr>
          <w:p>
            <w:pPr>
              <w:spacing w:after="0"/>
              <w:rPr>
                <w:sz w:val="1"/>
                <w:szCs w:val="1"/>
                <w:color w:val="auto"/>
              </w:rPr>
            </w:pPr>
          </w:p>
        </w:tc>
      </w:tr>
      <w:tr>
        <w:trPr>
          <w:trHeight w:val="471"/>
        </w:trPr>
        <w:tc>
          <w:tcPr>
            <w:tcW w:w="160" w:type="dxa"/>
            <w:vAlign w:val="bottom"/>
            <w:shd w:val="clear" w:color="auto" w:fill="EBEBEB"/>
          </w:tcPr>
          <w:p>
            <w:pPr>
              <w:spacing w:after="0"/>
              <w:rPr>
                <w:sz w:val="24"/>
                <w:szCs w:val="24"/>
                <w:color w:val="auto"/>
              </w:rPr>
            </w:pPr>
          </w:p>
        </w:tc>
        <w:tc>
          <w:tcPr>
            <w:tcW w:w="228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Joseph Edelman</w:t>
            </w:r>
            <w:r>
              <w:rPr>
                <w:rFonts w:ascii="Arial" w:cs="Arial" w:eastAsia="Arial" w:hAnsi="Arial"/>
                <w:sz w:val="23"/>
                <w:szCs w:val="23"/>
                <w:color w:val="auto"/>
                <w:vertAlign w:val="superscript"/>
              </w:rPr>
              <w:t>(1)</w:t>
            </w:r>
          </w:p>
        </w:tc>
        <w:tc>
          <w:tcPr>
            <w:tcW w:w="90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II</w:t>
            </w:r>
          </w:p>
        </w:tc>
        <w:tc>
          <w:tcPr>
            <w:tcW w:w="78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69</w:t>
            </w:r>
          </w:p>
        </w:tc>
        <w:tc>
          <w:tcPr>
            <w:tcW w:w="1460" w:type="dxa"/>
            <w:vAlign w:val="bottom"/>
            <w:shd w:val="clear" w:color="auto" w:fill="EBEBEB"/>
          </w:tcPr>
          <w:p>
            <w:pPr>
              <w:ind w:left="240"/>
              <w:spacing w:after="0"/>
              <w:rPr>
                <w:sz w:val="20"/>
                <w:szCs w:val="20"/>
                <w:color w:val="auto"/>
              </w:rPr>
            </w:pPr>
            <w:r>
              <w:rPr>
                <w:rFonts w:ascii="Arial" w:cs="Arial" w:eastAsia="Arial" w:hAnsi="Arial"/>
                <w:sz w:val="14"/>
                <w:szCs w:val="14"/>
                <w:color w:val="auto"/>
              </w:rPr>
              <w:t>Director</w:t>
            </w:r>
          </w:p>
        </w:tc>
        <w:tc>
          <w:tcPr>
            <w:tcW w:w="540" w:type="dxa"/>
            <w:vAlign w:val="bottom"/>
            <w:shd w:val="clear" w:color="auto" w:fill="EBEBEB"/>
          </w:tcPr>
          <w:p>
            <w:pPr>
              <w:spacing w:after="0"/>
              <w:rPr>
                <w:sz w:val="24"/>
                <w:szCs w:val="24"/>
                <w:color w:val="auto"/>
              </w:rPr>
            </w:pPr>
          </w:p>
        </w:tc>
        <w:tc>
          <w:tcPr>
            <w:tcW w:w="96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2020</w:t>
            </w:r>
          </w:p>
        </w:tc>
        <w:tc>
          <w:tcPr>
            <w:tcW w:w="98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2025</w:t>
            </w:r>
          </w:p>
        </w:tc>
        <w:tc>
          <w:tcPr>
            <w:tcW w:w="134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83"/>
        </w:trPr>
        <w:tc>
          <w:tcPr>
            <w:tcW w:w="160" w:type="dxa"/>
            <w:vAlign w:val="bottom"/>
            <w:shd w:val="clear" w:color="auto" w:fill="EBEBEB"/>
          </w:tcPr>
          <w:p>
            <w:pPr>
              <w:spacing w:after="0"/>
              <w:rPr>
                <w:sz w:val="7"/>
                <w:szCs w:val="7"/>
                <w:color w:val="auto"/>
              </w:rPr>
            </w:pPr>
          </w:p>
        </w:tc>
        <w:tc>
          <w:tcPr>
            <w:tcW w:w="2280" w:type="dxa"/>
            <w:vAlign w:val="bottom"/>
            <w:shd w:val="clear" w:color="auto" w:fill="EBEBEB"/>
          </w:tcPr>
          <w:p>
            <w:pPr>
              <w:spacing w:after="0"/>
              <w:rPr>
                <w:sz w:val="7"/>
                <w:szCs w:val="7"/>
                <w:color w:val="auto"/>
              </w:rPr>
            </w:pPr>
          </w:p>
        </w:tc>
        <w:tc>
          <w:tcPr>
            <w:tcW w:w="900" w:type="dxa"/>
            <w:vAlign w:val="bottom"/>
            <w:shd w:val="clear" w:color="auto" w:fill="EBEBEB"/>
          </w:tcPr>
          <w:p>
            <w:pPr>
              <w:spacing w:after="0"/>
              <w:rPr>
                <w:sz w:val="7"/>
                <w:szCs w:val="7"/>
                <w:color w:val="auto"/>
              </w:rPr>
            </w:pPr>
          </w:p>
        </w:tc>
        <w:tc>
          <w:tcPr>
            <w:tcW w:w="780" w:type="dxa"/>
            <w:vAlign w:val="bottom"/>
            <w:shd w:val="clear" w:color="auto" w:fill="EBEBEB"/>
          </w:tcPr>
          <w:p>
            <w:pPr>
              <w:spacing w:after="0"/>
              <w:rPr>
                <w:sz w:val="7"/>
                <w:szCs w:val="7"/>
                <w:color w:val="auto"/>
              </w:rPr>
            </w:pPr>
          </w:p>
        </w:tc>
        <w:tc>
          <w:tcPr>
            <w:tcW w:w="1460" w:type="dxa"/>
            <w:vAlign w:val="bottom"/>
            <w:shd w:val="clear" w:color="auto" w:fill="EBEBEB"/>
          </w:tcPr>
          <w:p>
            <w:pPr>
              <w:spacing w:after="0"/>
              <w:rPr>
                <w:sz w:val="7"/>
                <w:szCs w:val="7"/>
                <w:color w:val="auto"/>
              </w:rPr>
            </w:pPr>
          </w:p>
        </w:tc>
        <w:tc>
          <w:tcPr>
            <w:tcW w:w="540" w:type="dxa"/>
            <w:vAlign w:val="bottom"/>
            <w:shd w:val="clear" w:color="auto" w:fill="EBEBEB"/>
          </w:tcPr>
          <w:p>
            <w:pPr>
              <w:spacing w:after="0"/>
              <w:rPr>
                <w:sz w:val="7"/>
                <w:szCs w:val="7"/>
                <w:color w:val="auto"/>
              </w:rPr>
            </w:pPr>
          </w:p>
        </w:tc>
        <w:tc>
          <w:tcPr>
            <w:tcW w:w="960" w:type="dxa"/>
            <w:vAlign w:val="bottom"/>
            <w:shd w:val="clear" w:color="auto" w:fill="EBEBEB"/>
          </w:tcPr>
          <w:p>
            <w:pPr>
              <w:spacing w:after="0"/>
              <w:rPr>
                <w:sz w:val="7"/>
                <w:szCs w:val="7"/>
                <w:color w:val="auto"/>
              </w:rPr>
            </w:pPr>
          </w:p>
        </w:tc>
        <w:tc>
          <w:tcPr>
            <w:tcW w:w="980" w:type="dxa"/>
            <w:vAlign w:val="bottom"/>
            <w:shd w:val="clear" w:color="auto" w:fill="EBEBEB"/>
          </w:tcPr>
          <w:p>
            <w:pPr>
              <w:spacing w:after="0"/>
              <w:rPr>
                <w:sz w:val="7"/>
                <w:szCs w:val="7"/>
                <w:color w:val="auto"/>
              </w:rPr>
            </w:pPr>
          </w:p>
        </w:tc>
        <w:tc>
          <w:tcPr>
            <w:tcW w:w="1340" w:type="dxa"/>
            <w:vAlign w:val="bottom"/>
            <w:shd w:val="clear" w:color="auto" w:fill="EBEBEB"/>
          </w:tcPr>
          <w:p>
            <w:pPr>
              <w:spacing w:after="0"/>
              <w:rPr>
                <w:sz w:val="7"/>
                <w:szCs w:val="7"/>
                <w:color w:val="auto"/>
              </w:rPr>
            </w:pPr>
          </w:p>
        </w:tc>
        <w:tc>
          <w:tcPr>
            <w:tcW w:w="0" w:type="dxa"/>
            <w:vAlign w:val="bottom"/>
          </w:tcPr>
          <w:p>
            <w:pPr>
              <w:spacing w:after="0"/>
              <w:rPr>
                <w:sz w:val="1"/>
                <w:szCs w:val="1"/>
                <w:color w:val="auto"/>
              </w:rPr>
            </w:pPr>
          </w:p>
        </w:tc>
      </w:tr>
      <w:tr>
        <w:trPr>
          <w:trHeight w:val="471"/>
        </w:trPr>
        <w:tc>
          <w:tcPr>
            <w:tcW w:w="160" w:type="dxa"/>
            <w:vAlign w:val="bottom"/>
            <w:shd w:val="clear" w:color="auto" w:fill="FAFAFA"/>
          </w:tcPr>
          <w:p>
            <w:pPr>
              <w:spacing w:after="0"/>
              <w:rPr>
                <w:sz w:val="24"/>
                <w:szCs w:val="24"/>
                <w:color w:val="auto"/>
              </w:rPr>
            </w:pPr>
          </w:p>
        </w:tc>
        <w:tc>
          <w:tcPr>
            <w:tcW w:w="228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John M. Fluke, Jr.</w:t>
            </w:r>
            <w:r>
              <w:rPr>
                <w:rFonts w:ascii="Arial" w:cs="Arial" w:eastAsia="Arial" w:hAnsi="Arial"/>
                <w:sz w:val="23"/>
                <w:szCs w:val="23"/>
                <w:color w:val="auto"/>
                <w:vertAlign w:val="superscript"/>
              </w:rPr>
              <w:t>(2)</w:t>
            </w:r>
          </w:p>
        </w:tc>
        <w:tc>
          <w:tcPr>
            <w:tcW w:w="90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II</w:t>
            </w:r>
          </w:p>
        </w:tc>
        <w:tc>
          <w:tcPr>
            <w:tcW w:w="78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82</w:t>
            </w:r>
          </w:p>
        </w:tc>
        <w:tc>
          <w:tcPr>
            <w:tcW w:w="1460" w:type="dxa"/>
            <w:vAlign w:val="bottom"/>
            <w:shd w:val="clear" w:color="auto" w:fill="FAFAFA"/>
          </w:tcPr>
          <w:p>
            <w:pPr>
              <w:ind w:left="240"/>
              <w:spacing w:after="0"/>
              <w:rPr>
                <w:sz w:val="20"/>
                <w:szCs w:val="20"/>
                <w:color w:val="auto"/>
              </w:rPr>
            </w:pPr>
            <w:r>
              <w:rPr>
                <w:rFonts w:ascii="Arial" w:cs="Arial" w:eastAsia="Arial" w:hAnsi="Arial"/>
                <w:sz w:val="14"/>
                <w:szCs w:val="14"/>
                <w:color w:val="auto"/>
              </w:rPr>
              <w:t>Director</w:t>
            </w:r>
          </w:p>
        </w:tc>
        <w:tc>
          <w:tcPr>
            <w:tcW w:w="540" w:type="dxa"/>
            <w:vAlign w:val="bottom"/>
            <w:shd w:val="clear" w:color="auto" w:fill="FAFAFA"/>
          </w:tcPr>
          <w:p>
            <w:pPr>
              <w:spacing w:after="0"/>
              <w:rPr>
                <w:sz w:val="24"/>
                <w:szCs w:val="24"/>
                <w:color w:val="auto"/>
              </w:rPr>
            </w:pPr>
          </w:p>
        </w:tc>
        <w:tc>
          <w:tcPr>
            <w:tcW w:w="96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2021</w:t>
            </w:r>
          </w:p>
        </w:tc>
        <w:tc>
          <w:tcPr>
            <w:tcW w:w="98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2025</w:t>
            </w:r>
          </w:p>
        </w:tc>
        <w:tc>
          <w:tcPr>
            <w:tcW w:w="134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83"/>
        </w:trPr>
        <w:tc>
          <w:tcPr>
            <w:tcW w:w="160" w:type="dxa"/>
            <w:vAlign w:val="bottom"/>
            <w:shd w:val="clear" w:color="auto" w:fill="FAFAFA"/>
          </w:tcPr>
          <w:p>
            <w:pPr>
              <w:spacing w:after="0"/>
              <w:rPr>
                <w:sz w:val="7"/>
                <w:szCs w:val="7"/>
                <w:color w:val="auto"/>
              </w:rPr>
            </w:pPr>
          </w:p>
        </w:tc>
        <w:tc>
          <w:tcPr>
            <w:tcW w:w="2280" w:type="dxa"/>
            <w:vAlign w:val="bottom"/>
            <w:shd w:val="clear" w:color="auto" w:fill="FAFAFA"/>
          </w:tcPr>
          <w:p>
            <w:pPr>
              <w:spacing w:after="0"/>
              <w:rPr>
                <w:sz w:val="7"/>
                <w:szCs w:val="7"/>
                <w:color w:val="auto"/>
              </w:rPr>
            </w:pPr>
          </w:p>
        </w:tc>
        <w:tc>
          <w:tcPr>
            <w:tcW w:w="900" w:type="dxa"/>
            <w:vAlign w:val="bottom"/>
            <w:shd w:val="clear" w:color="auto" w:fill="FAFAFA"/>
          </w:tcPr>
          <w:p>
            <w:pPr>
              <w:spacing w:after="0"/>
              <w:rPr>
                <w:sz w:val="7"/>
                <w:szCs w:val="7"/>
                <w:color w:val="auto"/>
              </w:rPr>
            </w:pPr>
          </w:p>
        </w:tc>
        <w:tc>
          <w:tcPr>
            <w:tcW w:w="780" w:type="dxa"/>
            <w:vAlign w:val="bottom"/>
            <w:shd w:val="clear" w:color="auto" w:fill="FAFAFA"/>
          </w:tcPr>
          <w:p>
            <w:pPr>
              <w:spacing w:after="0"/>
              <w:rPr>
                <w:sz w:val="7"/>
                <w:szCs w:val="7"/>
                <w:color w:val="auto"/>
              </w:rPr>
            </w:pPr>
          </w:p>
        </w:tc>
        <w:tc>
          <w:tcPr>
            <w:tcW w:w="1460" w:type="dxa"/>
            <w:vAlign w:val="bottom"/>
            <w:shd w:val="clear" w:color="auto" w:fill="FAFAFA"/>
          </w:tcPr>
          <w:p>
            <w:pPr>
              <w:spacing w:after="0"/>
              <w:rPr>
                <w:sz w:val="7"/>
                <w:szCs w:val="7"/>
                <w:color w:val="auto"/>
              </w:rPr>
            </w:pPr>
          </w:p>
        </w:tc>
        <w:tc>
          <w:tcPr>
            <w:tcW w:w="540" w:type="dxa"/>
            <w:vAlign w:val="bottom"/>
            <w:shd w:val="clear" w:color="auto" w:fill="FAFAFA"/>
          </w:tcPr>
          <w:p>
            <w:pPr>
              <w:spacing w:after="0"/>
              <w:rPr>
                <w:sz w:val="7"/>
                <w:szCs w:val="7"/>
                <w:color w:val="auto"/>
              </w:rPr>
            </w:pPr>
          </w:p>
        </w:tc>
        <w:tc>
          <w:tcPr>
            <w:tcW w:w="960" w:type="dxa"/>
            <w:vAlign w:val="bottom"/>
            <w:shd w:val="clear" w:color="auto" w:fill="FAFAFA"/>
          </w:tcPr>
          <w:p>
            <w:pPr>
              <w:spacing w:after="0"/>
              <w:rPr>
                <w:sz w:val="7"/>
                <w:szCs w:val="7"/>
                <w:color w:val="auto"/>
              </w:rPr>
            </w:pPr>
          </w:p>
        </w:tc>
        <w:tc>
          <w:tcPr>
            <w:tcW w:w="980" w:type="dxa"/>
            <w:vAlign w:val="bottom"/>
            <w:shd w:val="clear" w:color="auto" w:fill="FAFAFA"/>
          </w:tcPr>
          <w:p>
            <w:pPr>
              <w:spacing w:after="0"/>
              <w:rPr>
                <w:sz w:val="7"/>
                <w:szCs w:val="7"/>
                <w:color w:val="auto"/>
              </w:rPr>
            </w:pPr>
          </w:p>
        </w:tc>
        <w:tc>
          <w:tcPr>
            <w:tcW w:w="1340" w:type="dxa"/>
            <w:vAlign w:val="bottom"/>
            <w:shd w:val="clear" w:color="auto" w:fill="FAFAFA"/>
          </w:tcPr>
          <w:p>
            <w:pPr>
              <w:spacing w:after="0"/>
              <w:rPr>
                <w:sz w:val="7"/>
                <w:szCs w:val="7"/>
                <w:color w:val="auto"/>
              </w:rPr>
            </w:pPr>
          </w:p>
        </w:tc>
        <w:tc>
          <w:tcPr>
            <w:tcW w:w="0" w:type="dxa"/>
            <w:vAlign w:val="bottom"/>
          </w:tcPr>
          <w:p>
            <w:pPr>
              <w:spacing w:after="0"/>
              <w:rPr>
                <w:sz w:val="1"/>
                <w:szCs w:val="1"/>
                <w:color w:val="auto"/>
              </w:rPr>
            </w:pPr>
          </w:p>
        </w:tc>
      </w:tr>
      <w:tr>
        <w:trPr>
          <w:trHeight w:val="471"/>
        </w:trPr>
        <w:tc>
          <w:tcPr>
            <w:tcW w:w="160" w:type="dxa"/>
            <w:vAlign w:val="bottom"/>
            <w:shd w:val="clear" w:color="auto" w:fill="EBEBEB"/>
          </w:tcPr>
          <w:p>
            <w:pPr>
              <w:spacing w:after="0"/>
              <w:rPr>
                <w:sz w:val="24"/>
                <w:szCs w:val="24"/>
                <w:color w:val="auto"/>
              </w:rPr>
            </w:pPr>
          </w:p>
        </w:tc>
        <w:tc>
          <w:tcPr>
            <w:tcW w:w="228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Grant Pickering</w:t>
            </w:r>
            <w:r>
              <w:rPr>
                <w:rFonts w:ascii="Arial" w:cs="Arial" w:eastAsia="Arial" w:hAnsi="Arial"/>
                <w:sz w:val="23"/>
                <w:szCs w:val="23"/>
                <w:color w:val="auto"/>
                <w:vertAlign w:val="superscript"/>
              </w:rPr>
              <w:t>(3)</w:t>
            </w:r>
          </w:p>
        </w:tc>
        <w:tc>
          <w:tcPr>
            <w:tcW w:w="90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II</w:t>
            </w:r>
          </w:p>
        </w:tc>
        <w:tc>
          <w:tcPr>
            <w:tcW w:w="78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57</w:t>
            </w:r>
          </w:p>
        </w:tc>
        <w:tc>
          <w:tcPr>
            <w:tcW w:w="1460" w:type="dxa"/>
            <w:vAlign w:val="bottom"/>
            <w:shd w:val="clear" w:color="auto" w:fill="EBEBEB"/>
          </w:tcPr>
          <w:p>
            <w:pPr>
              <w:ind w:left="240"/>
              <w:spacing w:after="0"/>
              <w:rPr>
                <w:sz w:val="20"/>
                <w:szCs w:val="20"/>
                <w:color w:val="auto"/>
              </w:rPr>
            </w:pPr>
            <w:r>
              <w:rPr>
                <w:rFonts w:ascii="Arial" w:cs="Arial" w:eastAsia="Arial" w:hAnsi="Arial"/>
                <w:sz w:val="14"/>
                <w:szCs w:val="14"/>
                <w:color w:val="auto"/>
              </w:rPr>
              <w:t>Director</w:t>
            </w:r>
          </w:p>
        </w:tc>
        <w:tc>
          <w:tcPr>
            <w:tcW w:w="540" w:type="dxa"/>
            <w:vAlign w:val="bottom"/>
            <w:shd w:val="clear" w:color="auto" w:fill="EBEBEB"/>
          </w:tcPr>
          <w:p>
            <w:pPr>
              <w:spacing w:after="0"/>
              <w:rPr>
                <w:sz w:val="24"/>
                <w:szCs w:val="24"/>
                <w:color w:val="auto"/>
              </w:rPr>
            </w:pPr>
          </w:p>
        </w:tc>
        <w:tc>
          <w:tcPr>
            <w:tcW w:w="96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2022</w:t>
            </w:r>
          </w:p>
        </w:tc>
        <w:tc>
          <w:tcPr>
            <w:tcW w:w="98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2025</w:t>
            </w:r>
          </w:p>
        </w:tc>
        <w:tc>
          <w:tcPr>
            <w:tcW w:w="134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83"/>
        </w:trPr>
        <w:tc>
          <w:tcPr>
            <w:tcW w:w="160" w:type="dxa"/>
            <w:vAlign w:val="bottom"/>
            <w:shd w:val="clear" w:color="auto" w:fill="EBEBEB"/>
          </w:tcPr>
          <w:p>
            <w:pPr>
              <w:spacing w:after="0"/>
              <w:rPr>
                <w:sz w:val="7"/>
                <w:szCs w:val="7"/>
                <w:color w:val="auto"/>
              </w:rPr>
            </w:pPr>
          </w:p>
        </w:tc>
        <w:tc>
          <w:tcPr>
            <w:tcW w:w="2280" w:type="dxa"/>
            <w:vAlign w:val="bottom"/>
            <w:shd w:val="clear" w:color="auto" w:fill="EBEBEB"/>
          </w:tcPr>
          <w:p>
            <w:pPr>
              <w:spacing w:after="0"/>
              <w:rPr>
                <w:sz w:val="7"/>
                <w:szCs w:val="7"/>
                <w:color w:val="auto"/>
              </w:rPr>
            </w:pPr>
          </w:p>
        </w:tc>
        <w:tc>
          <w:tcPr>
            <w:tcW w:w="900" w:type="dxa"/>
            <w:vAlign w:val="bottom"/>
            <w:shd w:val="clear" w:color="auto" w:fill="EBEBEB"/>
          </w:tcPr>
          <w:p>
            <w:pPr>
              <w:spacing w:after="0"/>
              <w:rPr>
                <w:sz w:val="7"/>
                <w:szCs w:val="7"/>
                <w:color w:val="auto"/>
              </w:rPr>
            </w:pPr>
          </w:p>
        </w:tc>
        <w:tc>
          <w:tcPr>
            <w:tcW w:w="780" w:type="dxa"/>
            <w:vAlign w:val="bottom"/>
            <w:shd w:val="clear" w:color="auto" w:fill="EBEBEB"/>
          </w:tcPr>
          <w:p>
            <w:pPr>
              <w:spacing w:after="0"/>
              <w:rPr>
                <w:sz w:val="7"/>
                <w:szCs w:val="7"/>
                <w:color w:val="auto"/>
              </w:rPr>
            </w:pPr>
          </w:p>
        </w:tc>
        <w:tc>
          <w:tcPr>
            <w:tcW w:w="1460" w:type="dxa"/>
            <w:vAlign w:val="bottom"/>
            <w:shd w:val="clear" w:color="auto" w:fill="EBEBEB"/>
          </w:tcPr>
          <w:p>
            <w:pPr>
              <w:spacing w:after="0"/>
              <w:rPr>
                <w:sz w:val="7"/>
                <w:szCs w:val="7"/>
                <w:color w:val="auto"/>
              </w:rPr>
            </w:pPr>
          </w:p>
        </w:tc>
        <w:tc>
          <w:tcPr>
            <w:tcW w:w="540" w:type="dxa"/>
            <w:vAlign w:val="bottom"/>
            <w:shd w:val="clear" w:color="auto" w:fill="EBEBEB"/>
          </w:tcPr>
          <w:p>
            <w:pPr>
              <w:spacing w:after="0"/>
              <w:rPr>
                <w:sz w:val="7"/>
                <w:szCs w:val="7"/>
                <w:color w:val="auto"/>
              </w:rPr>
            </w:pPr>
          </w:p>
        </w:tc>
        <w:tc>
          <w:tcPr>
            <w:tcW w:w="960" w:type="dxa"/>
            <w:vAlign w:val="bottom"/>
            <w:shd w:val="clear" w:color="auto" w:fill="EBEBEB"/>
          </w:tcPr>
          <w:p>
            <w:pPr>
              <w:spacing w:after="0"/>
              <w:rPr>
                <w:sz w:val="7"/>
                <w:szCs w:val="7"/>
                <w:color w:val="auto"/>
              </w:rPr>
            </w:pPr>
          </w:p>
        </w:tc>
        <w:tc>
          <w:tcPr>
            <w:tcW w:w="980" w:type="dxa"/>
            <w:vAlign w:val="bottom"/>
            <w:shd w:val="clear" w:color="auto" w:fill="EBEBEB"/>
          </w:tcPr>
          <w:p>
            <w:pPr>
              <w:spacing w:after="0"/>
              <w:rPr>
                <w:sz w:val="7"/>
                <w:szCs w:val="7"/>
                <w:color w:val="auto"/>
              </w:rPr>
            </w:pPr>
          </w:p>
        </w:tc>
        <w:tc>
          <w:tcPr>
            <w:tcW w:w="1340" w:type="dxa"/>
            <w:vAlign w:val="bottom"/>
            <w:shd w:val="clear" w:color="auto" w:fill="EBEBEB"/>
          </w:tcPr>
          <w:p>
            <w:pPr>
              <w:spacing w:after="0"/>
              <w:rPr>
                <w:sz w:val="7"/>
                <w:szCs w:val="7"/>
                <w:color w:val="auto"/>
              </w:rPr>
            </w:pPr>
          </w:p>
        </w:tc>
        <w:tc>
          <w:tcPr>
            <w:tcW w:w="0" w:type="dxa"/>
            <w:vAlign w:val="bottom"/>
          </w:tcPr>
          <w:p>
            <w:pPr>
              <w:spacing w:after="0"/>
              <w:rPr>
                <w:sz w:val="1"/>
                <w:szCs w:val="1"/>
                <w:color w:val="auto"/>
              </w:rPr>
            </w:pPr>
          </w:p>
        </w:tc>
      </w:tr>
      <w:tr>
        <w:trPr>
          <w:trHeight w:val="349"/>
        </w:trPr>
        <w:tc>
          <w:tcPr>
            <w:tcW w:w="160" w:type="dxa"/>
            <w:vAlign w:val="bottom"/>
            <w:shd w:val="clear" w:color="auto" w:fill="6CCAD0"/>
          </w:tcPr>
          <w:p>
            <w:pPr>
              <w:spacing w:after="0"/>
              <w:rPr>
                <w:sz w:val="24"/>
                <w:szCs w:val="24"/>
                <w:color w:val="auto"/>
              </w:rPr>
            </w:pPr>
          </w:p>
        </w:tc>
        <w:tc>
          <w:tcPr>
            <w:tcW w:w="2280" w:type="dxa"/>
            <w:vAlign w:val="bottom"/>
            <w:shd w:val="clear" w:color="auto" w:fill="6CCAD0"/>
          </w:tcPr>
          <w:p>
            <w:pPr>
              <w:ind w:left="80"/>
              <w:spacing w:after="0"/>
              <w:rPr>
                <w:sz w:val="20"/>
                <w:szCs w:val="20"/>
                <w:color w:val="auto"/>
              </w:rPr>
            </w:pPr>
            <w:r>
              <w:rPr>
                <w:rFonts w:ascii="Arial" w:cs="Arial" w:eastAsia="Arial" w:hAnsi="Arial"/>
                <w:sz w:val="14"/>
                <w:szCs w:val="14"/>
                <w:b w:val="1"/>
                <w:bCs w:val="1"/>
                <w:color w:val="FFFFFF"/>
              </w:rPr>
              <w:t>CONTINUING DIRECTORS</w:t>
            </w:r>
          </w:p>
        </w:tc>
        <w:tc>
          <w:tcPr>
            <w:tcW w:w="900" w:type="dxa"/>
            <w:vAlign w:val="bottom"/>
            <w:shd w:val="clear" w:color="auto" w:fill="6CCAD0"/>
          </w:tcPr>
          <w:p>
            <w:pPr>
              <w:spacing w:after="0"/>
              <w:rPr>
                <w:sz w:val="24"/>
                <w:szCs w:val="24"/>
                <w:color w:val="auto"/>
              </w:rPr>
            </w:pPr>
          </w:p>
        </w:tc>
        <w:tc>
          <w:tcPr>
            <w:tcW w:w="780" w:type="dxa"/>
            <w:vAlign w:val="bottom"/>
            <w:shd w:val="clear" w:color="auto" w:fill="6CCAD0"/>
          </w:tcPr>
          <w:p>
            <w:pPr>
              <w:spacing w:after="0"/>
              <w:rPr>
                <w:sz w:val="24"/>
                <w:szCs w:val="24"/>
                <w:color w:val="auto"/>
              </w:rPr>
            </w:pPr>
          </w:p>
        </w:tc>
        <w:tc>
          <w:tcPr>
            <w:tcW w:w="1460" w:type="dxa"/>
            <w:vAlign w:val="bottom"/>
            <w:shd w:val="clear" w:color="auto" w:fill="6CCAD0"/>
          </w:tcPr>
          <w:p>
            <w:pPr>
              <w:spacing w:after="0"/>
              <w:rPr>
                <w:sz w:val="24"/>
                <w:szCs w:val="24"/>
                <w:color w:val="auto"/>
              </w:rPr>
            </w:pPr>
          </w:p>
        </w:tc>
        <w:tc>
          <w:tcPr>
            <w:tcW w:w="540" w:type="dxa"/>
            <w:vAlign w:val="bottom"/>
            <w:shd w:val="clear" w:color="auto" w:fill="6CCAD0"/>
          </w:tcPr>
          <w:p>
            <w:pPr>
              <w:spacing w:after="0"/>
              <w:rPr>
                <w:sz w:val="24"/>
                <w:szCs w:val="24"/>
                <w:color w:val="auto"/>
              </w:rPr>
            </w:pPr>
          </w:p>
        </w:tc>
        <w:tc>
          <w:tcPr>
            <w:tcW w:w="960" w:type="dxa"/>
            <w:vAlign w:val="bottom"/>
            <w:shd w:val="clear" w:color="auto" w:fill="6CCAD0"/>
          </w:tcPr>
          <w:p>
            <w:pPr>
              <w:spacing w:after="0"/>
              <w:rPr>
                <w:sz w:val="24"/>
                <w:szCs w:val="24"/>
                <w:color w:val="auto"/>
              </w:rPr>
            </w:pPr>
          </w:p>
        </w:tc>
        <w:tc>
          <w:tcPr>
            <w:tcW w:w="980" w:type="dxa"/>
            <w:vAlign w:val="bottom"/>
            <w:shd w:val="clear" w:color="auto" w:fill="6CCAD0"/>
          </w:tcPr>
          <w:p>
            <w:pPr>
              <w:spacing w:after="0"/>
              <w:rPr>
                <w:sz w:val="24"/>
                <w:szCs w:val="24"/>
                <w:color w:val="auto"/>
              </w:rPr>
            </w:pPr>
          </w:p>
        </w:tc>
        <w:tc>
          <w:tcPr>
            <w:tcW w:w="1340" w:type="dxa"/>
            <w:vAlign w:val="bottom"/>
            <w:shd w:val="clear" w:color="auto" w:fill="6CCAD0"/>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60" w:type="dxa"/>
            <w:vAlign w:val="bottom"/>
            <w:shd w:val="clear" w:color="auto" w:fill="6CCAD0"/>
          </w:tcPr>
          <w:p>
            <w:pPr>
              <w:spacing w:after="0"/>
              <w:rPr>
                <w:sz w:val="15"/>
                <w:szCs w:val="15"/>
                <w:color w:val="auto"/>
              </w:rPr>
            </w:pPr>
          </w:p>
        </w:tc>
        <w:tc>
          <w:tcPr>
            <w:tcW w:w="2280" w:type="dxa"/>
            <w:vAlign w:val="bottom"/>
            <w:shd w:val="clear" w:color="auto" w:fill="6CCAD0"/>
          </w:tcPr>
          <w:p>
            <w:pPr>
              <w:spacing w:after="0"/>
              <w:rPr>
                <w:sz w:val="15"/>
                <w:szCs w:val="15"/>
                <w:color w:val="auto"/>
              </w:rPr>
            </w:pPr>
          </w:p>
        </w:tc>
        <w:tc>
          <w:tcPr>
            <w:tcW w:w="900" w:type="dxa"/>
            <w:vAlign w:val="bottom"/>
            <w:shd w:val="clear" w:color="auto" w:fill="6CCAD0"/>
          </w:tcPr>
          <w:p>
            <w:pPr>
              <w:spacing w:after="0"/>
              <w:rPr>
                <w:sz w:val="15"/>
                <w:szCs w:val="15"/>
                <w:color w:val="auto"/>
              </w:rPr>
            </w:pPr>
          </w:p>
        </w:tc>
        <w:tc>
          <w:tcPr>
            <w:tcW w:w="780" w:type="dxa"/>
            <w:vAlign w:val="bottom"/>
            <w:shd w:val="clear" w:color="auto" w:fill="6CCAD0"/>
          </w:tcPr>
          <w:p>
            <w:pPr>
              <w:spacing w:after="0"/>
              <w:rPr>
                <w:sz w:val="15"/>
                <w:szCs w:val="15"/>
                <w:color w:val="auto"/>
              </w:rPr>
            </w:pPr>
          </w:p>
        </w:tc>
        <w:tc>
          <w:tcPr>
            <w:tcW w:w="1460" w:type="dxa"/>
            <w:vAlign w:val="bottom"/>
            <w:shd w:val="clear" w:color="auto" w:fill="6CCAD0"/>
          </w:tcPr>
          <w:p>
            <w:pPr>
              <w:spacing w:after="0"/>
              <w:rPr>
                <w:sz w:val="15"/>
                <w:szCs w:val="15"/>
                <w:color w:val="auto"/>
              </w:rPr>
            </w:pPr>
          </w:p>
        </w:tc>
        <w:tc>
          <w:tcPr>
            <w:tcW w:w="540" w:type="dxa"/>
            <w:vAlign w:val="bottom"/>
            <w:shd w:val="clear" w:color="auto" w:fill="6CCAD0"/>
          </w:tcPr>
          <w:p>
            <w:pPr>
              <w:spacing w:after="0"/>
              <w:rPr>
                <w:sz w:val="15"/>
                <w:szCs w:val="15"/>
                <w:color w:val="auto"/>
              </w:rPr>
            </w:pPr>
          </w:p>
        </w:tc>
        <w:tc>
          <w:tcPr>
            <w:tcW w:w="960" w:type="dxa"/>
            <w:vAlign w:val="bottom"/>
            <w:shd w:val="clear" w:color="auto" w:fill="6CCAD0"/>
          </w:tcPr>
          <w:p>
            <w:pPr>
              <w:spacing w:after="0"/>
              <w:rPr>
                <w:sz w:val="15"/>
                <w:szCs w:val="15"/>
                <w:color w:val="auto"/>
              </w:rPr>
            </w:pPr>
          </w:p>
        </w:tc>
        <w:tc>
          <w:tcPr>
            <w:tcW w:w="980" w:type="dxa"/>
            <w:vAlign w:val="bottom"/>
            <w:shd w:val="clear" w:color="auto" w:fill="6CCAD0"/>
          </w:tcPr>
          <w:p>
            <w:pPr>
              <w:spacing w:after="0"/>
              <w:rPr>
                <w:sz w:val="15"/>
                <w:szCs w:val="15"/>
                <w:color w:val="auto"/>
              </w:rPr>
            </w:pPr>
          </w:p>
        </w:tc>
        <w:tc>
          <w:tcPr>
            <w:tcW w:w="1340" w:type="dxa"/>
            <w:vAlign w:val="bottom"/>
            <w:shd w:val="clear" w:color="auto" w:fill="6CCAD0"/>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160" w:type="dxa"/>
            <w:vAlign w:val="bottom"/>
            <w:shd w:val="clear" w:color="auto" w:fill="FAFAFA"/>
          </w:tcPr>
          <w:p>
            <w:pPr>
              <w:spacing w:after="0"/>
              <w:rPr>
                <w:sz w:val="24"/>
                <w:szCs w:val="24"/>
                <w:color w:val="auto"/>
              </w:rPr>
            </w:pPr>
          </w:p>
        </w:tc>
        <w:tc>
          <w:tcPr>
            <w:tcW w:w="2280" w:type="dxa"/>
            <w:vAlign w:val="bottom"/>
            <w:vMerge w:val="restart"/>
            <w:shd w:val="clear" w:color="auto" w:fill="FAFAFA"/>
          </w:tcPr>
          <w:p>
            <w:pPr>
              <w:ind w:left="80"/>
              <w:spacing w:after="0"/>
              <w:rPr>
                <w:sz w:val="20"/>
                <w:szCs w:val="20"/>
                <w:color w:val="auto"/>
              </w:rPr>
            </w:pPr>
            <w:r>
              <w:rPr>
                <w:rFonts w:ascii="Arial" w:cs="Arial" w:eastAsia="Arial" w:hAnsi="Arial"/>
                <w:sz w:val="14"/>
                <w:szCs w:val="14"/>
                <w:b w:val="1"/>
                <w:bCs w:val="1"/>
                <w:color w:val="auto"/>
              </w:rPr>
              <w:t>Kelly A. Romano</w:t>
            </w:r>
            <w:r>
              <w:rPr>
                <w:rFonts w:ascii="Arial" w:cs="Arial" w:eastAsia="Arial" w:hAnsi="Arial"/>
                <w:sz w:val="23"/>
                <w:szCs w:val="23"/>
                <w:color w:val="auto"/>
                <w:vertAlign w:val="superscript"/>
              </w:rPr>
              <w:t>(2)(4)</w:t>
            </w:r>
          </w:p>
        </w:tc>
        <w:tc>
          <w:tcPr>
            <w:tcW w:w="90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III</w:t>
            </w:r>
          </w:p>
        </w:tc>
        <w:tc>
          <w:tcPr>
            <w:tcW w:w="78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63</w:t>
            </w:r>
          </w:p>
        </w:tc>
        <w:tc>
          <w:tcPr>
            <w:tcW w:w="1460" w:type="dxa"/>
            <w:vAlign w:val="bottom"/>
            <w:shd w:val="clear" w:color="auto" w:fill="FAFAFA"/>
          </w:tcPr>
          <w:p>
            <w:pPr>
              <w:ind w:left="240"/>
              <w:spacing w:after="0"/>
              <w:rPr>
                <w:sz w:val="20"/>
                <w:szCs w:val="20"/>
                <w:color w:val="auto"/>
              </w:rPr>
            </w:pPr>
            <w:r>
              <w:rPr>
                <w:rFonts w:ascii="Arial" w:cs="Arial" w:eastAsia="Arial" w:hAnsi="Arial"/>
                <w:sz w:val="14"/>
                <w:szCs w:val="14"/>
                <w:color w:val="auto"/>
              </w:rPr>
              <w:t>Chairwoman   of</w:t>
            </w:r>
          </w:p>
        </w:tc>
        <w:tc>
          <w:tcPr>
            <w:tcW w:w="540" w:type="dxa"/>
            <w:vAlign w:val="bottom"/>
            <w:shd w:val="clear" w:color="auto" w:fill="FAFAFA"/>
          </w:tcPr>
          <w:p>
            <w:pPr>
              <w:jc w:val="right"/>
              <w:ind w:right="88"/>
              <w:spacing w:after="0"/>
              <w:rPr>
                <w:sz w:val="20"/>
                <w:szCs w:val="20"/>
                <w:color w:val="auto"/>
              </w:rPr>
            </w:pPr>
            <w:r>
              <w:rPr>
                <w:rFonts w:ascii="Arial" w:cs="Arial" w:eastAsia="Arial" w:hAnsi="Arial"/>
                <w:sz w:val="14"/>
                <w:szCs w:val="14"/>
                <w:color w:val="auto"/>
              </w:rPr>
              <w:t>the</w:t>
            </w:r>
          </w:p>
        </w:tc>
        <w:tc>
          <w:tcPr>
            <w:tcW w:w="96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2020</w:t>
            </w:r>
          </w:p>
        </w:tc>
        <w:tc>
          <w:tcPr>
            <w:tcW w:w="98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2026</w:t>
            </w:r>
          </w:p>
        </w:tc>
        <w:tc>
          <w:tcPr>
            <w:tcW w:w="134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160" w:type="dxa"/>
            <w:vAlign w:val="bottom"/>
            <w:shd w:val="clear" w:color="auto" w:fill="FAFAFA"/>
          </w:tcPr>
          <w:p>
            <w:pPr>
              <w:spacing w:after="0"/>
              <w:rPr>
                <w:sz w:val="12"/>
                <w:szCs w:val="12"/>
                <w:color w:val="auto"/>
              </w:rPr>
            </w:pPr>
          </w:p>
        </w:tc>
        <w:tc>
          <w:tcPr>
            <w:tcW w:w="2280" w:type="dxa"/>
            <w:vAlign w:val="bottom"/>
            <w:vMerge w:val="continue"/>
            <w:shd w:val="clear" w:color="auto" w:fill="FAFAFA"/>
          </w:tcPr>
          <w:p>
            <w:pPr>
              <w:spacing w:after="0"/>
              <w:rPr>
                <w:sz w:val="12"/>
                <w:szCs w:val="12"/>
                <w:color w:val="auto"/>
              </w:rPr>
            </w:pPr>
          </w:p>
        </w:tc>
        <w:tc>
          <w:tcPr>
            <w:tcW w:w="900" w:type="dxa"/>
            <w:vAlign w:val="bottom"/>
            <w:vMerge w:val="continue"/>
            <w:shd w:val="clear" w:color="auto" w:fill="FAFAFA"/>
          </w:tcPr>
          <w:p>
            <w:pPr>
              <w:spacing w:after="0"/>
              <w:rPr>
                <w:sz w:val="12"/>
                <w:szCs w:val="12"/>
                <w:color w:val="auto"/>
              </w:rPr>
            </w:pPr>
          </w:p>
        </w:tc>
        <w:tc>
          <w:tcPr>
            <w:tcW w:w="780" w:type="dxa"/>
            <w:vAlign w:val="bottom"/>
            <w:vMerge w:val="continue"/>
            <w:shd w:val="clear" w:color="auto" w:fill="FAFAFA"/>
          </w:tcPr>
          <w:p>
            <w:pPr>
              <w:spacing w:after="0"/>
              <w:rPr>
                <w:sz w:val="12"/>
                <w:szCs w:val="12"/>
                <w:color w:val="auto"/>
              </w:rPr>
            </w:pPr>
          </w:p>
        </w:tc>
        <w:tc>
          <w:tcPr>
            <w:tcW w:w="1460" w:type="dxa"/>
            <w:vAlign w:val="bottom"/>
            <w:vMerge w:val="restart"/>
            <w:shd w:val="clear" w:color="auto" w:fill="FAFAFA"/>
          </w:tcPr>
          <w:p>
            <w:pPr>
              <w:ind w:left="240"/>
              <w:spacing w:after="0"/>
              <w:rPr>
                <w:sz w:val="20"/>
                <w:szCs w:val="20"/>
                <w:color w:val="auto"/>
              </w:rPr>
            </w:pPr>
            <w:r>
              <w:rPr>
                <w:rFonts w:ascii="Arial" w:cs="Arial" w:eastAsia="Arial" w:hAnsi="Arial"/>
                <w:sz w:val="14"/>
                <w:szCs w:val="14"/>
                <w:color w:val="auto"/>
              </w:rPr>
              <w:t>Board of Directors</w:t>
            </w:r>
          </w:p>
        </w:tc>
        <w:tc>
          <w:tcPr>
            <w:tcW w:w="540" w:type="dxa"/>
            <w:vAlign w:val="bottom"/>
            <w:shd w:val="clear" w:color="auto" w:fill="FAFAFA"/>
          </w:tcPr>
          <w:p>
            <w:pPr>
              <w:spacing w:after="0"/>
              <w:rPr>
                <w:sz w:val="12"/>
                <w:szCs w:val="12"/>
                <w:color w:val="auto"/>
              </w:rPr>
            </w:pPr>
          </w:p>
        </w:tc>
        <w:tc>
          <w:tcPr>
            <w:tcW w:w="960" w:type="dxa"/>
            <w:vAlign w:val="bottom"/>
            <w:vMerge w:val="continue"/>
            <w:shd w:val="clear" w:color="auto" w:fill="FAFAFA"/>
          </w:tcPr>
          <w:p>
            <w:pPr>
              <w:spacing w:after="0"/>
              <w:rPr>
                <w:sz w:val="12"/>
                <w:szCs w:val="12"/>
                <w:color w:val="auto"/>
              </w:rPr>
            </w:pPr>
          </w:p>
        </w:tc>
        <w:tc>
          <w:tcPr>
            <w:tcW w:w="980" w:type="dxa"/>
            <w:vAlign w:val="bottom"/>
            <w:vMerge w:val="continue"/>
            <w:shd w:val="clear" w:color="auto" w:fill="FAFAFA"/>
          </w:tcPr>
          <w:p>
            <w:pPr>
              <w:spacing w:after="0"/>
              <w:rPr>
                <w:sz w:val="12"/>
                <w:szCs w:val="12"/>
                <w:color w:val="auto"/>
              </w:rPr>
            </w:pPr>
          </w:p>
        </w:tc>
        <w:tc>
          <w:tcPr>
            <w:tcW w:w="1340" w:type="dxa"/>
            <w:vAlign w:val="bottom"/>
            <w:vMerge w:val="continue"/>
            <w:shd w:val="clear" w:color="auto" w:fill="FAFAFA"/>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60" w:type="dxa"/>
            <w:vAlign w:val="bottom"/>
            <w:shd w:val="clear" w:color="auto" w:fill="FAFAFA"/>
          </w:tcPr>
          <w:p>
            <w:pPr>
              <w:spacing w:after="0"/>
              <w:rPr>
                <w:sz w:val="4"/>
                <w:szCs w:val="4"/>
                <w:color w:val="auto"/>
              </w:rPr>
            </w:pPr>
          </w:p>
        </w:tc>
        <w:tc>
          <w:tcPr>
            <w:tcW w:w="2280" w:type="dxa"/>
            <w:vAlign w:val="bottom"/>
            <w:shd w:val="clear" w:color="auto" w:fill="FAFAFA"/>
          </w:tcPr>
          <w:p>
            <w:pPr>
              <w:spacing w:after="0"/>
              <w:rPr>
                <w:sz w:val="4"/>
                <w:szCs w:val="4"/>
                <w:color w:val="auto"/>
              </w:rPr>
            </w:pPr>
          </w:p>
        </w:tc>
        <w:tc>
          <w:tcPr>
            <w:tcW w:w="900" w:type="dxa"/>
            <w:vAlign w:val="bottom"/>
            <w:shd w:val="clear" w:color="auto" w:fill="FAFAFA"/>
          </w:tcPr>
          <w:p>
            <w:pPr>
              <w:spacing w:after="0"/>
              <w:rPr>
                <w:sz w:val="4"/>
                <w:szCs w:val="4"/>
                <w:color w:val="auto"/>
              </w:rPr>
            </w:pPr>
          </w:p>
        </w:tc>
        <w:tc>
          <w:tcPr>
            <w:tcW w:w="780" w:type="dxa"/>
            <w:vAlign w:val="bottom"/>
            <w:shd w:val="clear" w:color="auto" w:fill="FAFAFA"/>
          </w:tcPr>
          <w:p>
            <w:pPr>
              <w:spacing w:after="0"/>
              <w:rPr>
                <w:sz w:val="4"/>
                <w:szCs w:val="4"/>
                <w:color w:val="auto"/>
              </w:rPr>
            </w:pPr>
          </w:p>
        </w:tc>
        <w:tc>
          <w:tcPr>
            <w:tcW w:w="1460" w:type="dxa"/>
            <w:vAlign w:val="bottom"/>
            <w:vMerge w:val="continue"/>
            <w:shd w:val="clear" w:color="auto" w:fill="FAFAFA"/>
          </w:tcPr>
          <w:p>
            <w:pPr>
              <w:spacing w:after="0"/>
              <w:rPr>
                <w:sz w:val="4"/>
                <w:szCs w:val="4"/>
                <w:color w:val="auto"/>
              </w:rPr>
            </w:pPr>
          </w:p>
        </w:tc>
        <w:tc>
          <w:tcPr>
            <w:tcW w:w="540" w:type="dxa"/>
            <w:vAlign w:val="bottom"/>
            <w:shd w:val="clear" w:color="auto" w:fill="FAFAFA"/>
          </w:tcPr>
          <w:p>
            <w:pPr>
              <w:spacing w:after="0"/>
              <w:rPr>
                <w:sz w:val="4"/>
                <w:szCs w:val="4"/>
                <w:color w:val="auto"/>
              </w:rPr>
            </w:pPr>
          </w:p>
        </w:tc>
        <w:tc>
          <w:tcPr>
            <w:tcW w:w="960" w:type="dxa"/>
            <w:vAlign w:val="bottom"/>
            <w:shd w:val="clear" w:color="auto" w:fill="FAFAFA"/>
          </w:tcPr>
          <w:p>
            <w:pPr>
              <w:spacing w:after="0"/>
              <w:rPr>
                <w:sz w:val="4"/>
                <w:szCs w:val="4"/>
                <w:color w:val="auto"/>
              </w:rPr>
            </w:pPr>
          </w:p>
        </w:tc>
        <w:tc>
          <w:tcPr>
            <w:tcW w:w="980" w:type="dxa"/>
            <w:vAlign w:val="bottom"/>
            <w:shd w:val="clear" w:color="auto" w:fill="FAFAFA"/>
          </w:tcPr>
          <w:p>
            <w:pPr>
              <w:spacing w:after="0"/>
              <w:rPr>
                <w:sz w:val="4"/>
                <w:szCs w:val="4"/>
                <w:color w:val="auto"/>
              </w:rPr>
            </w:pPr>
          </w:p>
        </w:tc>
        <w:tc>
          <w:tcPr>
            <w:tcW w:w="1340" w:type="dxa"/>
            <w:vAlign w:val="bottom"/>
            <w:shd w:val="clear" w:color="auto" w:fill="FAFAFA"/>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60" w:type="dxa"/>
            <w:vAlign w:val="bottom"/>
            <w:shd w:val="clear" w:color="auto" w:fill="FAFAFA"/>
          </w:tcPr>
          <w:p>
            <w:pPr>
              <w:spacing w:after="0"/>
              <w:rPr>
                <w:sz w:val="15"/>
                <w:szCs w:val="15"/>
                <w:color w:val="auto"/>
              </w:rPr>
            </w:pPr>
          </w:p>
        </w:tc>
        <w:tc>
          <w:tcPr>
            <w:tcW w:w="2280" w:type="dxa"/>
            <w:vAlign w:val="bottom"/>
            <w:shd w:val="clear" w:color="auto" w:fill="FAFAFA"/>
          </w:tcPr>
          <w:p>
            <w:pPr>
              <w:spacing w:after="0"/>
              <w:rPr>
                <w:sz w:val="15"/>
                <w:szCs w:val="15"/>
                <w:color w:val="auto"/>
              </w:rPr>
            </w:pPr>
          </w:p>
        </w:tc>
        <w:tc>
          <w:tcPr>
            <w:tcW w:w="900" w:type="dxa"/>
            <w:vAlign w:val="bottom"/>
            <w:shd w:val="clear" w:color="auto" w:fill="FAFAFA"/>
          </w:tcPr>
          <w:p>
            <w:pPr>
              <w:spacing w:after="0"/>
              <w:rPr>
                <w:sz w:val="15"/>
                <w:szCs w:val="15"/>
                <w:color w:val="auto"/>
              </w:rPr>
            </w:pPr>
          </w:p>
        </w:tc>
        <w:tc>
          <w:tcPr>
            <w:tcW w:w="780" w:type="dxa"/>
            <w:vAlign w:val="bottom"/>
            <w:shd w:val="clear" w:color="auto" w:fill="FAFAFA"/>
          </w:tcPr>
          <w:p>
            <w:pPr>
              <w:spacing w:after="0"/>
              <w:rPr>
                <w:sz w:val="15"/>
                <w:szCs w:val="15"/>
                <w:color w:val="auto"/>
              </w:rPr>
            </w:pPr>
          </w:p>
        </w:tc>
        <w:tc>
          <w:tcPr>
            <w:tcW w:w="1460" w:type="dxa"/>
            <w:vAlign w:val="bottom"/>
            <w:shd w:val="clear" w:color="auto" w:fill="FAFAFA"/>
          </w:tcPr>
          <w:p>
            <w:pPr>
              <w:spacing w:after="0"/>
              <w:rPr>
                <w:sz w:val="15"/>
                <w:szCs w:val="15"/>
                <w:color w:val="auto"/>
              </w:rPr>
            </w:pPr>
          </w:p>
        </w:tc>
        <w:tc>
          <w:tcPr>
            <w:tcW w:w="540" w:type="dxa"/>
            <w:vAlign w:val="bottom"/>
            <w:shd w:val="clear" w:color="auto" w:fill="FAFAFA"/>
          </w:tcPr>
          <w:p>
            <w:pPr>
              <w:spacing w:after="0"/>
              <w:rPr>
                <w:sz w:val="15"/>
                <w:szCs w:val="15"/>
                <w:color w:val="auto"/>
              </w:rPr>
            </w:pPr>
          </w:p>
        </w:tc>
        <w:tc>
          <w:tcPr>
            <w:tcW w:w="960" w:type="dxa"/>
            <w:vAlign w:val="bottom"/>
            <w:shd w:val="clear" w:color="auto" w:fill="FAFAFA"/>
          </w:tcPr>
          <w:p>
            <w:pPr>
              <w:spacing w:after="0"/>
              <w:rPr>
                <w:sz w:val="15"/>
                <w:szCs w:val="15"/>
                <w:color w:val="auto"/>
              </w:rPr>
            </w:pPr>
          </w:p>
        </w:tc>
        <w:tc>
          <w:tcPr>
            <w:tcW w:w="980" w:type="dxa"/>
            <w:vAlign w:val="bottom"/>
            <w:shd w:val="clear" w:color="auto" w:fill="FAFAFA"/>
          </w:tcPr>
          <w:p>
            <w:pPr>
              <w:spacing w:after="0"/>
              <w:rPr>
                <w:sz w:val="15"/>
                <w:szCs w:val="15"/>
                <w:color w:val="auto"/>
              </w:rPr>
            </w:pPr>
          </w:p>
        </w:tc>
        <w:tc>
          <w:tcPr>
            <w:tcW w:w="1340" w:type="dxa"/>
            <w:vAlign w:val="bottom"/>
            <w:shd w:val="clear" w:color="auto" w:fill="FAFAFA"/>
          </w:tcPr>
          <w:p>
            <w:pPr>
              <w:spacing w:after="0"/>
              <w:rPr>
                <w:sz w:val="15"/>
                <w:szCs w:val="15"/>
                <w:color w:val="auto"/>
              </w:rPr>
            </w:pPr>
          </w:p>
        </w:tc>
        <w:tc>
          <w:tcPr>
            <w:tcW w:w="0" w:type="dxa"/>
            <w:vAlign w:val="bottom"/>
          </w:tcPr>
          <w:p>
            <w:pPr>
              <w:spacing w:after="0"/>
              <w:rPr>
                <w:sz w:val="1"/>
                <w:szCs w:val="1"/>
                <w:color w:val="auto"/>
              </w:rPr>
            </w:pPr>
          </w:p>
        </w:tc>
      </w:tr>
      <w:tr>
        <w:trPr>
          <w:trHeight w:val="471"/>
        </w:trPr>
        <w:tc>
          <w:tcPr>
            <w:tcW w:w="160" w:type="dxa"/>
            <w:vAlign w:val="bottom"/>
            <w:shd w:val="clear" w:color="auto" w:fill="EBEBEB"/>
          </w:tcPr>
          <w:p>
            <w:pPr>
              <w:spacing w:after="0"/>
              <w:rPr>
                <w:sz w:val="24"/>
                <w:szCs w:val="24"/>
                <w:color w:val="auto"/>
              </w:rPr>
            </w:pPr>
          </w:p>
        </w:tc>
        <w:tc>
          <w:tcPr>
            <w:tcW w:w="228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James A. Johnson</w:t>
            </w:r>
            <w:r>
              <w:rPr>
                <w:rFonts w:ascii="Arial" w:cs="Arial" w:eastAsia="Arial" w:hAnsi="Arial"/>
                <w:sz w:val="23"/>
                <w:szCs w:val="23"/>
                <w:color w:val="auto"/>
                <w:vertAlign w:val="superscript"/>
              </w:rPr>
              <w:t>(3)(5)(6)</w:t>
            </w:r>
          </w:p>
        </w:tc>
        <w:tc>
          <w:tcPr>
            <w:tcW w:w="90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III</w:t>
            </w:r>
          </w:p>
        </w:tc>
        <w:tc>
          <w:tcPr>
            <w:tcW w:w="78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68</w:t>
            </w:r>
          </w:p>
        </w:tc>
        <w:tc>
          <w:tcPr>
            <w:tcW w:w="1460" w:type="dxa"/>
            <w:vAlign w:val="bottom"/>
            <w:shd w:val="clear" w:color="auto" w:fill="EBEBEB"/>
          </w:tcPr>
          <w:p>
            <w:pPr>
              <w:ind w:left="240"/>
              <w:spacing w:after="0"/>
              <w:rPr>
                <w:sz w:val="20"/>
                <w:szCs w:val="20"/>
                <w:color w:val="auto"/>
              </w:rPr>
            </w:pPr>
            <w:r>
              <w:rPr>
                <w:rFonts w:ascii="Arial" w:cs="Arial" w:eastAsia="Arial" w:hAnsi="Arial"/>
                <w:sz w:val="14"/>
                <w:szCs w:val="14"/>
                <w:color w:val="auto"/>
              </w:rPr>
              <w:t>Director</w:t>
            </w:r>
          </w:p>
        </w:tc>
        <w:tc>
          <w:tcPr>
            <w:tcW w:w="540" w:type="dxa"/>
            <w:vAlign w:val="bottom"/>
            <w:shd w:val="clear" w:color="auto" w:fill="EBEBEB"/>
          </w:tcPr>
          <w:p>
            <w:pPr>
              <w:spacing w:after="0"/>
              <w:rPr>
                <w:sz w:val="24"/>
                <w:szCs w:val="24"/>
                <w:color w:val="auto"/>
              </w:rPr>
            </w:pPr>
          </w:p>
        </w:tc>
        <w:tc>
          <w:tcPr>
            <w:tcW w:w="96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2020</w:t>
            </w:r>
          </w:p>
        </w:tc>
        <w:tc>
          <w:tcPr>
            <w:tcW w:w="98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2026</w:t>
            </w:r>
          </w:p>
        </w:tc>
        <w:tc>
          <w:tcPr>
            <w:tcW w:w="134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3"/>
        </w:trPr>
        <w:tc>
          <w:tcPr>
            <w:tcW w:w="160" w:type="dxa"/>
            <w:vAlign w:val="bottom"/>
            <w:shd w:val="clear" w:color="auto" w:fill="EBEBEB"/>
          </w:tcPr>
          <w:p>
            <w:pPr>
              <w:spacing w:after="0"/>
              <w:rPr>
                <w:sz w:val="7"/>
                <w:szCs w:val="7"/>
                <w:color w:val="auto"/>
              </w:rPr>
            </w:pPr>
          </w:p>
        </w:tc>
        <w:tc>
          <w:tcPr>
            <w:tcW w:w="2280" w:type="dxa"/>
            <w:vAlign w:val="bottom"/>
            <w:shd w:val="clear" w:color="auto" w:fill="EBEBEB"/>
          </w:tcPr>
          <w:p>
            <w:pPr>
              <w:spacing w:after="0"/>
              <w:rPr>
                <w:sz w:val="7"/>
                <w:szCs w:val="7"/>
                <w:color w:val="auto"/>
              </w:rPr>
            </w:pPr>
          </w:p>
        </w:tc>
        <w:tc>
          <w:tcPr>
            <w:tcW w:w="900" w:type="dxa"/>
            <w:vAlign w:val="bottom"/>
            <w:shd w:val="clear" w:color="auto" w:fill="EBEBEB"/>
          </w:tcPr>
          <w:p>
            <w:pPr>
              <w:spacing w:after="0"/>
              <w:rPr>
                <w:sz w:val="7"/>
                <w:szCs w:val="7"/>
                <w:color w:val="auto"/>
              </w:rPr>
            </w:pPr>
          </w:p>
        </w:tc>
        <w:tc>
          <w:tcPr>
            <w:tcW w:w="780" w:type="dxa"/>
            <w:vAlign w:val="bottom"/>
            <w:shd w:val="clear" w:color="auto" w:fill="EBEBEB"/>
          </w:tcPr>
          <w:p>
            <w:pPr>
              <w:spacing w:after="0"/>
              <w:rPr>
                <w:sz w:val="7"/>
                <w:szCs w:val="7"/>
                <w:color w:val="auto"/>
              </w:rPr>
            </w:pPr>
          </w:p>
        </w:tc>
        <w:tc>
          <w:tcPr>
            <w:tcW w:w="1460" w:type="dxa"/>
            <w:vAlign w:val="bottom"/>
            <w:shd w:val="clear" w:color="auto" w:fill="EBEBEB"/>
          </w:tcPr>
          <w:p>
            <w:pPr>
              <w:spacing w:after="0"/>
              <w:rPr>
                <w:sz w:val="7"/>
                <w:szCs w:val="7"/>
                <w:color w:val="auto"/>
              </w:rPr>
            </w:pPr>
          </w:p>
        </w:tc>
        <w:tc>
          <w:tcPr>
            <w:tcW w:w="540" w:type="dxa"/>
            <w:vAlign w:val="bottom"/>
            <w:shd w:val="clear" w:color="auto" w:fill="EBEBEB"/>
          </w:tcPr>
          <w:p>
            <w:pPr>
              <w:spacing w:after="0"/>
              <w:rPr>
                <w:sz w:val="7"/>
                <w:szCs w:val="7"/>
                <w:color w:val="auto"/>
              </w:rPr>
            </w:pPr>
          </w:p>
        </w:tc>
        <w:tc>
          <w:tcPr>
            <w:tcW w:w="960" w:type="dxa"/>
            <w:vAlign w:val="bottom"/>
            <w:shd w:val="clear" w:color="auto" w:fill="EBEBEB"/>
          </w:tcPr>
          <w:p>
            <w:pPr>
              <w:spacing w:after="0"/>
              <w:rPr>
                <w:sz w:val="7"/>
                <w:szCs w:val="7"/>
                <w:color w:val="auto"/>
              </w:rPr>
            </w:pPr>
          </w:p>
        </w:tc>
        <w:tc>
          <w:tcPr>
            <w:tcW w:w="980" w:type="dxa"/>
            <w:vAlign w:val="bottom"/>
            <w:shd w:val="clear" w:color="auto" w:fill="EBEBEB"/>
          </w:tcPr>
          <w:p>
            <w:pPr>
              <w:spacing w:after="0"/>
              <w:rPr>
                <w:sz w:val="7"/>
                <w:szCs w:val="7"/>
                <w:color w:val="auto"/>
              </w:rPr>
            </w:pPr>
          </w:p>
        </w:tc>
        <w:tc>
          <w:tcPr>
            <w:tcW w:w="1340" w:type="dxa"/>
            <w:vAlign w:val="bottom"/>
            <w:shd w:val="clear" w:color="auto" w:fill="EBEBEB"/>
          </w:tcPr>
          <w:p>
            <w:pPr>
              <w:spacing w:after="0"/>
              <w:rPr>
                <w:sz w:val="7"/>
                <w:szCs w:val="7"/>
                <w:color w:val="auto"/>
              </w:rPr>
            </w:pPr>
          </w:p>
        </w:tc>
        <w:tc>
          <w:tcPr>
            <w:tcW w:w="0" w:type="dxa"/>
            <w:vAlign w:val="bottom"/>
          </w:tcPr>
          <w:p>
            <w:pPr>
              <w:spacing w:after="0"/>
              <w:rPr>
                <w:sz w:val="1"/>
                <w:szCs w:val="1"/>
                <w:color w:val="auto"/>
              </w:rPr>
            </w:pPr>
          </w:p>
        </w:tc>
      </w:tr>
      <w:tr>
        <w:trPr>
          <w:trHeight w:val="471"/>
        </w:trPr>
        <w:tc>
          <w:tcPr>
            <w:tcW w:w="160" w:type="dxa"/>
            <w:vAlign w:val="bottom"/>
            <w:shd w:val="clear" w:color="auto" w:fill="FAFAFA"/>
          </w:tcPr>
          <w:p>
            <w:pPr>
              <w:spacing w:after="0"/>
              <w:rPr>
                <w:sz w:val="24"/>
                <w:szCs w:val="24"/>
                <w:color w:val="auto"/>
              </w:rPr>
            </w:pPr>
          </w:p>
        </w:tc>
        <w:tc>
          <w:tcPr>
            <w:tcW w:w="228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Barbara Kosacz</w:t>
            </w:r>
            <w:r>
              <w:rPr>
                <w:rFonts w:ascii="Arial" w:cs="Arial" w:eastAsia="Arial" w:hAnsi="Arial"/>
                <w:sz w:val="23"/>
                <w:szCs w:val="23"/>
                <w:color w:val="auto"/>
                <w:vertAlign w:val="superscript"/>
              </w:rPr>
              <w:t>(1)(7)</w:t>
            </w:r>
          </w:p>
        </w:tc>
        <w:tc>
          <w:tcPr>
            <w:tcW w:w="90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I</w:t>
            </w:r>
          </w:p>
        </w:tc>
        <w:tc>
          <w:tcPr>
            <w:tcW w:w="78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67</w:t>
            </w:r>
          </w:p>
        </w:tc>
        <w:tc>
          <w:tcPr>
            <w:tcW w:w="1460" w:type="dxa"/>
            <w:vAlign w:val="bottom"/>
            <w:shd w:val="clear" w:color="auto" w:fill="FAFAFA"/>
          </w:tcPr>
          <w:p>
            <w:pPr>
              <w:ind w:left="240"/>
              <w:spacing w:after="0"/>
              <w:rPr>
                <w:sz w:val="20"/>
                <w:szCs w:val="20"/>
                <w:color w:val="auto"/>
              </w:rPr>
            </w:pPr>
            <w:r>
              <w:rPr>
                <w:rFonts w:ascii="Arial" w:cs="Arial" w:eastAsia="Arial" w:hAnsi="Arial"/>
                <w:sz w:val="14"/>
                <w:szCs w:val="14"/>
                <w:color w:val="auto"/>
              </w:rPr>
              <w:t>Director</w:t>
            </w:r>
          </w:p>
        </w:tc>
        <w:tc>
          <w:tcPr>
            <w:tcW w:w="540" w:type="dxa"/>
            <w:vAlign w:val="bottom"/>
            <w:shd w:val="clear" w:color="auto" w:fill="FAFAFA"/>
          </w:tcPr>
          <w:p>
            <w:pPr>
              <w:spacing w:after="0"/>
              <w:rPr>
                <w:sz w:val="24"/>
                <w:szCs w:val="24"/>
                <w:color w:val="auto"/>
              </w:rPr>
            </w:pPr>
          </w:p>
        </w:tc>
        <w:tc>
          <w:tcPr>
            <w:tcW w:w="96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2021</w:t>
            </w:r>
          </w:p>
        </w:tc>
        <w:tc>
          <w:tcPr>
            <w:tcW w:w="98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2027</w:t>
            </w:r>
          </w:p>
        </w:tc>
        <w:tc>
          <w:tcPr>
            <w:tcW w:w="134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3"/>
        </w:trPr>
        <w:tc>
          <w:tcPr>
            <w:tcW w:w="160" w:type="dxa"/>
            <w:vAlign w:val="bottom"/>
            <w:shd w:val="clear" w:color="auto" w:fill="FAFAFA"/>
          </w:tcPr>
          <w:p>
            <w:pPr>
              <w:spacing w:after="0"/>
              <w:rPr>
                <w:sz w:val="7"/>
                <w:szCs w:val="7"/>
                <w:color w:val="auto"/>
              </w:rPr>
            </w:pPr>
          </w:p>
        </w:tc>
        <w:tc>
          <w:tcPr>
            <w:tcW w:w="2280" w:type="dxa"/>
            <w:vAlign w:val="bottom"/>
            <w:shd w:val="clear" w:color="auto" w:fill="FAFAFA"/>
          </w:tcPr>
          <w:p>
            <w:pPr>
              <w:spacing w:after="0"/>
              <w:rPr>
                <w:sz w:val="7"/>
                <w:szCs w:val="7"/>
                <w:color w:val="auto"/>
              </w:rPr>
            </w:pPr>
          </w:p>
        </w:tc>
        <w:tc>
          <w:tcPr>
            <w:tcW w:w="900" w:type="dxa"/>
            <w:vAlign w:val="bottom"/>
            <w:shd w:val="clear" w:color="auto" w:fill="FAFAFA"/>
          </w:tcPr>
          <w:p>
            <w:pPr>
              <w:spacing w:after="0"/>
              <w:rPr>
                <w:sz w:val="7"/>
                <w:szCs w:val="7"/>
                <w:color w:val="auto"/>
              </w:rPr>
            </w:pPr>
          </w:p>
        </w:tc>
        <w:tc>
          <w:tcPr>
            <w:tcW w:w="780" w:type="dxa"/>
            <w:vAlign w:val="bottom"/>
            <w:shd w:val="clear" w:color="auto" w:fill="FAFAFA"/>
          </w:tcPr>
          <w:p>
            <w:pPr>
              <w:spacing w:after="0"/>
              <w:rPr>
                <w:sz w:val="7"/>
                <w:szCs w:val="7"/>
                <w:color w:val="auto"/>
              </w:rPr>
            </w:pPr>
          </w:p>
        </w:tc>
        <w:tc>
          <w:tcPr>
            <w:tcW w:w="1460" w:type="dxa"/>
            <w:vAlign w:val="bottom"/>
            <w:shd w:val="clear" w:color="auto" w:fill="FAFAFA"/>
          </w:tcPr>
          <w:p>
            <w:pPr>
              <w:spacing w:after="0"/>
              <w:rPr>
                <w:sz w:val="7"/>
                <w:szCs w:val="7"/>
                <w:color w:val="auto"/>
              </w:rPr>
            </w:pPr>
          </w:p>
        </w:tc>
        <w:tc>
          <w:tcPr>
            <w:tcW w:w="540" w:type="dxa"/>
            <w:vAlign w:val="bottom"/>
            <w:shd w:val="clear" w:color="auto" w:fill="FAFAFA"/>
          </w:tcPr>
          <w:p>
            <w:pPr>
              <w:spacing w:after="0"/>
              <w:rPr>
                <w:sz w:val="7"/>
                <w:szCs w:val="7"/>
                <w:color w:val="auto"/>
              </w:rPr>
            </w:pPr>
          </w:p>
        </w:tc>
        <w:tc>
          <w:tcPr>
            <w:tcW w:w="960" w:type="dxa"/>
            <w:vAlign w:val="bottom"/>
            <w:shd w:val="clear" w:color="auto" w:fill="FAFAFA"/>
          </w:tcPr>
          <w:p>
            <w:pPr>
              <w:spacing w:after="0"/>
              <w:rPr>
                <w:sz w:val="7"/>
                <w:szCs w:val="7"/>
                <w:color w:val="auto"/>
              </w:rPr>
            </w:pPr>
          </w:p>
        </w:tc>
        <w:tc>
          <w:tcPr>
            <w:tcW w:w="980" w:type="dxa"/>
            <w:vAlign w:val="bottom"/>
            <w:shd w:val="clear" w:color="auto" w:fill="FAFAFA"/>
          </w:tcPr>
          <w:p>
            <w:pPr>
              <w:spacing w:after="0"/>
              <w:rPr>
                <w:sz w:val="7"/>
                <w:szCs w:val="7"/>
                <w:color w:val="auto"/>
              </w:rPr>
            </w:pPr>
          </w:p>
        </w:tc>
        <w:tc>
          <w:tcPr>
            <w:tcW w:w="1340" w:type="dxa"/>
            <w:vAlign w:val="bottom"/>
            <w:shd w:val="clear" w:color="auto" w:fill="FAFAFA"/>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160" w:type="dxa"/>
            <w:vAlign w:val="bottom"/>
            <w:shd w:val="clear" w:color="auto" w:fill="EBEBEB"/>
          </w:tcPr>
          <w:p>
            <w:pPr>
              <w:spacing w:after="0"/>
              <w:rPr>
                <w:sz w:val="24"/>
                <w:szCs w:val="24"/>
                <w:color w:val="auto"/>
              </w:rPr>
            </w:pPr>
          </w:p>
        </w:tc>
        <w:tc>
          <w:tcPr>
            <w:tcW w:w="2280" w:type="dxa"/>
            <w:vAlign w:val="bottom"/>
            <w:shd w:val="clear" w:color="auto" w:fill="EBEBEB"/>
          </w:tcPr>
          <w:p>
            <w:pPr>
              <w:spacing w:after="0"/>
              <w:rPr>
                <w:sz w:val="24"/>
                <w:szCs w:val="24"/>
                <w:color w:val="auto"/>
              </w:rPr>
            </w:pPr>
          </w:p>
        </w:tc>
        <w:tc>
          <w:tcPr>
            <w:tcW w:w="900" w:type="dxa"/>
            <w:vAlign w:val="bottom"/>
            <w:shd w:val="clear" w:color="auto" w:fill="EBEBEB"/>
          </w:tcPr>
          <w:p>
            <w:pPr>
              <w:spacing w:after="0"/>
              <w:rPr>
                <w:sz w:val="24"/>
                <w:szCs w:val="24"/>
                <w:color w:val="auto"/>
              </w:rPr>
            </w:pPr>
          </w:p>
        </w:tc>
        <w:tc>
          <w:tcPr>
            <w:tcW w:w="780" w:type="dxa"/>
            <w:vAlign w:val="bottom"/>
            <w:shd w:val="clear" w:color="auto" w:fill="EBEBEB"/>
          </w:tcPr>
          <w:p>
            <w:pPr>
              <w:spacing w:after="0"/>
              <w:rPr>
                <w:sz w:val="24"/>
                <w:szCs w:val="24"/>
                <w:color w:val="auto"/>
              </w:rPr>
            </w:pPr>
          </w:p>
        </w:tc>
        <w:tc>
          <w:tcPr>
            <w:tcW w:w="1460" w:type="dxa"/>
            <w:vAlign w:val="bottom"/>
            <w:shd w:val="clear" w:color="auto" w:fill="EBEBEB"/>
          </w:tcPr>
          <w:p>
            <w:pPr>
              <w:ind w:left="240"/>
              <w:spacing w:after="0"/>
              <w:rPr>
                <w:sz w:val="20"/>
                <w:szCs w:val="20"/>
                <w:color w:val="auto"/>
              </w:rPr>
            </w:pPr>
            <w:r>
              <w:rPr>
                <w:rFonts w:ascii="Arial" w:cs="Arial" w:eastAsia="Arial" w:hAnsi="Arial"/>
                <w:sz w:val="14"/>
                <w:szCs w:val="14"/>
                <w:color w:val="auto"/>
              </w:rPr>
              <w:t>President,</w:t>
            </w:r>
          </w:p>
        </w:tc>
        <w:tc>
          <w:tcPr>
            <w:tcW w:w="540" w:type="dxa"/>
            <w:vAlign w:val="bottom"/>
            <w:shd w:val="clear" w:color="auto" w:fill="EBEBEB"/>
          </w:tcPr>
          <w:p>
            <w:pPr>
              <w:jc w:val="right"/>
              <w:ind w:right="88"/>
              <w:spacing w:after="0"/>
              <w:rPr>
                <w:sz w:val="20"/>
                <w:szCs w:val="20"/>
                <w:color w:val="auto"/>
              </w:rPr>
            </w:pPr>
            <w:r>
              <w:rPr>
                <w:rFonts w:ascii="Arial" w:cs="Arial" w:eastAsia="Arial" w:hAnsi="Arial"/>
                <w:sz w:val="14"/>
                <w:szCs w:val="14"/>
                <w:color w:val="auto"/>
              </w:rPr>
              <w:t>Chief</w:t>
            </w:r>
          </w:p>
        </w:tc>
        <w:tc>
          <w:tcPr>
            <w:tcW w:w="960" w:type="dxa"/>
            <w:vAlign w:val="bottom"/>
            <w:shd w:val="clear" w:color="auto" w:fill="EBEBEB"/>
          </w:tcPr>
          <w:p>
            <w:pPr>
              <w:spacing w:after="0"/>
              <w:rPr>
                <w:sz w:val="24"/>
                <w:szCs w:val="24"/>
                <w:color w:val="auto"/>
              </w:rPr>
            </w:pPr>
          </w:p>
        </w:tc>
        <w:tc>
          <w:tcPr>
            <w:tcW w:w="980" w:type="dxa"/>
            <w:vAlign w:val="bottom"/>
            <w:shd w:val="clear" w:color="auto" w:fill="EBEBEB"/>
          </w:tcPr>
          <w:p>
            <w:pPr>
              <w:spacing w:after="0"/>
              <w:rPr>
                <w:sz w:val="24"/>
                <w:szCs w:val="24"/>
                <w:color w:val="auto"/>
              </w:rPr>
            </w:pPr>
          </w:p>
        </w:tc>
        <w:tc>
          <w:tcPr>
            <w:tcW w:w="1340" w:type="dxa"/>
            <w:vAlign w:val="bottom"/>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EBEBEB"/>
          </w:tcPr>
          <w:p>
            <w:pPr>
              <w:spacing w:after="0"/>
              <w:rPr>
                <w:sz w:val="14"/>
                <w:szCs w:val="14"/>
                <w:color w:val="auto"/>
              </w:rPr>
            </w:pPr>
          </w:p>
        </w:tc>
        <w:tc>
          <w:tcPr>
            <w:tcW w:w="228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Mark Litton, Ph.D.</w:t>
            </w:r>
          </w:p>
        </w:tc>
        <w:tc>
          <w:tcPr>
            <w:tcW w:w="90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I</w:t>
            </w:r>
          </w:p>
        </w:tc>
        <w:tc>
          <w:tcPr>
            <w:tcW w:w="78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57</w:t>
            </w:r>
          </w:p>
        </w:tc>
        <w:tc>
          <w:tcPr>
            <w:tcW w:w="1460" w:type="dxa"/>
            <w:vAlign w:val="bottom"/>
            <w:shd w:val="clear" w:color="auto" w:fill="EBEBEB"/>
          </w:tcPr>
          <w:p>
            <w:pPr>
              <w:ind w:left="240"/>
              <w:spacing w:after="0"/>
              <w:rPr>
                <w:sz w:val="20"/>
                <w:szCs w:val="20"/>
                <w:color w:val="auto"/>
              </w:rPr>
            </w:pPr>
            <w:r>
              <w:rPr>
                <w:rFonts w:ascii="Arial" w:cs="Arial" w:eastAsia="Arial" w:hAnsi="Arial"/>
                <w:sz w:val="14"/>
                <w:szCs w:val="14"/>
                <w:color w:val="auto"/>
              </w:rPr>
              <w:t>Executive  Officer</w:t>
            </w:r>
          </w:p>
        </w:tc>
        <w:tc>
          <w:tcPr>
            <w:tcW w:w="540" w:type="dxa"/>
            <w:vAlign w:val="bottom"/>
            <w:shd w:val="clear" w:color="auto" w:fill="EBEBEB"/>
          </w:tcPr>
          <w:p>
            <w:pPr>
              <w:jc w:val="right"/>
              <w:ind w:right="108"/>
              <w:spacing w:after="0"/>
              <w:rPr>
                <w:sz w:val="20"/>
                <w:szCs w:val="20"/>
                <w:color w:val="auto"/>
              </w:rPr>
            </w:pPr>
            <w:r>
              <w:rPr>
                <w:rFonts w:ascii="Arial" w:cs="Arial" w:eastAsia="Arial" w:hAnsi="Arial"/>
                <w:sz w:val="14"/>
                <w:szCs w:val="14"/>
                <w:color w:val="auto"/>
              </w:rPr>
              <w:t>and</w:t>
            </w:r>
          </w:p>
        </w:tc>
        <w:tc>
          <w:tcPr>
            <w:tcW w:w="96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2021</w:t>
            </w:r>
          </w:p>
        </w:tc>
        <w:tc>
          <w:tcPr>
            <w:tcW w:w="98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2027</w:t>
            </w:r>
          </w:p>
        </w:tc>
        <w:tc>
          <w:tcPr>
            <w:tcW w:w="134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60" w:type="dxa"/>
            <w:vAlign w:val="bottom"/>
            <w:shd w:val="clear" w:color="auto" w:fill="EBEBEB"/>
          </w:tcPr>
          <w:p>
            <w:pPr>
              <w:spacing w:after="0"/>
              <w:rPr>
                <w:sz w:val="16"/>
                <w:szCs w:val="16"/>
                <w:color w:val="auto"/>
              </w:rPr>
            </w:pPr>
          </w:p>
        </w:tc>
        <w:tc>
          <w:tcPr>
            <w:tcW w:w="2280" w:type="dxa"/>
            <w:vAlign w:val="bottom"/>
            <w:shd w:val="clear" w:color="auto" w:fill="EBEBEB"/>
          </w:tcPr>
          <w:p>
            <w:pPr>
              <w:spacing w:after="0"/>
              <w:rPr>
                <w:sz w:val="16"/>
                <w:szCs w:val="16"/>
                <w:color w:val="auto"/>
              </w:rPr>
            </w:pPr>
          </w:p>
        </w:tc>
        <w:tc>
          <w:tcPr>
            <w:tcW w:w="900" w:type="dxa"/>
            <w:vAlign w:val="bottom"/>
            <w:shd w:val="clear" w:color="auto" w:fill="EBEBEB"/>
          </w:tcPr>
          <w:p>
            <w:pPr>
              <w:spacing w:after="0"/>
              <w:rPr>
                <w:sz w:val="16"/>
                <w:szCs w:val="16"/>
                <w:color w:val="auto"/>
              </w:rPr>
            </w:pPr>
          </w:p>
        </w:tc>
        <w:tc>
          <w:tcPr>
            <w:tcW w:w="780" w:type="dxa"/>
            <w:vAlign w:val="bottom"/>
            <w:shd w:val="clear" w:color="auto" w:fill="EBEBEB"/>
          </w:tcPr>
          <w:p>
            <w:pPr>
              <w:spacing w:after="0"/>
              <w:rPr>
                <w:sz w:val="16"/>
                <w:szCs w:val="16"/>
                <w:color w:val="auto"/>
              </w:rPr>
            </w:pPr>
          </w:p>
        </w:tc>
        <w:tc>
          <w:tcPr>
            <w:tcW w:w="1460" w:type="dxa"/>
            <w:vAlign w:val="bottom"/>
            <w:shd w:val="clear" w:color="auto" w:fill="EBEBEB"/>
          </w:tcPr>
          <w:p>
            <w:pPr>
              <w:ind w:left="240"/>
              <w:spacing w:after="0"/>
              <w:rPr>
                <w:sz w:val="20"/>
                <w:szCs w:val="20"/>
                <w:color w:val="auto"/>
              </w:rPr>
            </w:pPr>
            <w:r>
              <w:rPr>
                <w:rFonts w:ascii="Arial" w:cs="Arial" w:eastAsia="Arial" w:hAnsi="Arial"/>
                <w:sz w:val="14"/>
                <w:szCs w:val="14"/>
                <w:color w:val="auto"/>
              </w:rPr>
              <w:t>Director</w:t>
            </w:r>
          </w:p>
        </w:tc>
        <w:tc>
          <w:tcPr>
            <w:tcW w:w="540" w:type="dxa"/>
            <w:vAlign w:val="bottom"/>
            <w:shd w:val="clear" w:color="auto" w:fill="EBEBEB"/>
          </w:tcPr>
          <w:p>
            <w:pPr>
              <w:spacing w:after="0"/>
              <w:rPr>
                <w:sz w:val="16"/>
                <w:szCs w:val="16"/>
                <w:color w:val="auto"/>
              </w:rPr>
            </w:pPr>
          </w:p>
        </w:tc>
        <w:tc>
          <w:tcPr>
            <w:tcW w:w="960" w:type="dxa"/>
            <w:vAlign w:val="bottom"/>
            <w:shd w:val="clear" w:color="auto" w:fill="EBEBEB"/>
          </w:tcPr>
          <w:p>
            <w:pPr>
              <w:spacing w:after="0"/>
              <w:rPr>
                <w:sz w:val="16"/>
                <w:szCs w:val="16"/>
                <w:color w:val="auto"/>
              </w:rPr>
            </w:pPr>
          </w:p>
        </w:tc>
        <w:tc>
          <w:tcPr>
            <w:tcW w:w="980" w:type="dxa"/>
            <w:vAlign w:val="bottom"/>
            <w:shd w:val="clear" w:color="auto" w:fill="EBEBEB"/>
          </w:tcPr>
          <w:p>
            <w:pPr>
              <w:spacing w:after="0"/>
              <w:rPr>
                <w:sz w:val="16"/>
                <w:szCs w:val="16"/>
                <w:color w:val="auto"/>
              </w:rPr>
            </w:pPr>
          </w:p>
        </w:tc>
        <w:tc>
          <w:tcPr>
            <w:tcW w:w="1340" w:type="dxa"/>
            <w:vAlign w:val="bottom"/>
            <w:shd w:val="clear" w:color="auto" w:fill="EBEBEB"/>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 w:type="dxa"/>
            <w:vAlign w:val="bottom"/>
            <w:shd w:val="clear" w:color="auto" w:fill="EBEBEB"/>
          </w:tcPr>
          <w:p>
            <w:pPr>
              <w:spacing w:after="0"/>
              <w:rPr>
                <w:sz w:val="15"/>
                <w:szCs w:val="15"/>
                <w:color w:val="auto"/>
              </w:rPr>
            </w:pPr>
          </w:p>
        </w:tc>
        <w:tc>
          <w:tcPr>
            <w:tcW w:w="2280" w:type="dxa"/>
            <w:vAlign w:val="bottom"/>
            <w:shd w:val="clear" w:color="auto" w:fill="EBEBEB"/>
          </w:tcPr>
          <w:p>
            <w:pPr>
              <w:spacing w:after="0"/>
              <w:rPr>
                <w:sz w:val="15"/>
                <w:szCs w:val="15"/>
                <w:color w:val="auto"/>
              </w:rPr>
            </w:pPr>
          </w:p>
        </w:tc>
        <w:tc>
          <w:tcPr>
            <w:tcW w:w="900" w:type="dxa"/>
            <w:vAlign w:val="bottom"/>
            <w:shd w:val="clear" w:color="auto" w:fill="EBEBEB"/>
          </w:tcPr>
          <w:p>
            <w:pPr>
              <w:spacing w:after="0"/>
              <w:rPr>
                <w:sz w:val="15"/>
                <w:szCs w:val="15"/>
                <w:color w:val="auto"/>
              </w:rPr>
            </w:pPr>
          </w:p>
        </w:tc>
        <w:tc>
          <w:tcPr>
            <w:tcW w:w="780" w:type="dxa"/>
            <w:vAlign w:val="bottom"/>
            <w:shd w:val="clear" w:color="auto" w:fill="EBEBEB"/>
          </w:tcPr>
          <w:p>
            <w:pPr>
              <w:spacing w:after="0"/>
              <w:rPr>
                <w:sz w:val="15"/>
                <w:szCs w:val="15"/>
                <w:color w:val="auto"/>
              </w:rPr>
            </w:pPr>
          </w:p>
        </w:tc>
        <w:tc>
          <w:tcPr>
            <w:tcW w:w="1460" w:type="dxa"/>
            <w:vAlign w:val="bottom"/>
            <w:shd w:val="clear" w:color="auto" w:fill="EBEBEB"/>
          </w:tcPr>
          <w:p>
            <w:pPr>
              <w:spacing w:after="0"/>
              <w:rPr>
                <w:sz w:val="15"/>
                <w:szCs w:val="15"/>
                <w:color w:val="auto"/>
              </w:rPr>
            </w:pPr>
          </w:p>
        </w:tc>
        <w:tc>
          <w:tcPr>
            <w:tcW w:w="540" w:type="dxa"/>
            <w:vAlign w:val="bottom"/>
            <w:shd w:val="clear" w:color="auto" w:fill="EBEBEB"/>
          </w:tcPr>
          <w:p>
            <w:pPr>
              <w:spacing w:after="0"/>
              <w:rPr>
                <w:sz w:val="15"/>
                <w:szCs w:val="15"/>
                <w:color w:val="auto"/>
              </w:rPr>
            </w:pPr>
          </w:p>
        </w:tc>
        <w:tc>
          <w:tcPr>
            <w:tcW w:w="960" w:type="dxa"/>
            <w:vAlign w:val="bottom"/>
            <w:shd w:val="clear" w:color="auto" w:fill="EBEBEB"/>
          </w:tcPr>
          <w:p>
            <w:pPr>
              <w:spacing w:after="0"/>
              <w:rPr>
                <w:sz w:val="15"/>
                <w:szCs w:val="15"/>
                <w:color w:val="auto"/>
              </w:rPr>
            </w:pPr>
          </w:p>
        </w:tc>
        <w:tc>
          <w:tcPr>
            <w:tcW w:w="980" w:type="dxa"/>
            <w:vAlign w:val="bottom"/>
            <w:shd w:val="clear" w:color="auto" w:fill="EBEBEB"/>
          </w:tcPr>
          <w:p>
            <w:pPr>
              <w:spacing w:after="0"/>
              <w:rPr>
                <w:sz w:val="15"/>
                <w:szCs w:val="15"/>
                <w:color w:val="auto"/>
              </w:rPr>
            </w:pPr>
          </w:p>
        </w:tc>
        <w:tc>
          <w:tcPr>
            <w:tcW w:w="1340" w:type="dxa"/>
            <w:vAlign w:val="bottom"/>
            <w:shd w:val="clear" w:color="auto" w:fill="EBEBEB"/>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160" w:type="dxa"/>
            <w:vAlign w:val="bottom"/>
            <w:shd w:val="clear" w:color="auto" w:fill="FAFAFA"/>
          </w:tcPr>
          <w:p>
            <w:pPr>
              <w:spacing w:after="0"/>
              <w:rPr>
                <w:sz w:val="24"/>
                <w:szCs w:val="24"/>
                <w:color w:val="auto"/>
              </w:rPr>
            </w:pPr>
          </w:p>
        </w:tc>
        <w:tc>
          <w:tcPr>
            <w:tcW w:w="228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Michael Panzara, M.D., M.P.H.</w:t>
            </w:r>
          </w:p>
        </w:tc>
        <w:tc>
          <w:tcPr>
            <w:tcW w:w="90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I</w:t>
            </w:r>
          </w:p>
        </w:tc>
        <w:tc>
          <w:tcPr>
            <w:tcW w:w="78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58</w:t>
            </w:r>
          </w:p>
        </w:tc>
        <w:tc>
          <w:tcPr>
            <w:tcW w:w="1460" w:type="dxa"/>
            <w:vAlign w:val="bottom"/>
            <w:vMerge w:val="restart"/>
            <w:shd w:val="clear" w:color="auto" w:fill="FAFAFA"/>
          </w:tcPr>
          <w:p>
            <w:pPr>
              <w:ind w:left="240"/>
              <w:spacing w:after="0"/>
              <w:rPr>
                <w:sz w:val="20"/>
                <w:szCs w:val="20"/>
                <w:color w:val="auto"/>
              </w:rPr>
            </w:pPr>
            <w:r>
              <w:rPr>
                <w:rFonts w:ascii="Arial" w:cs="Arial" w:eastAsia="Arial" w:hAnsi="Arial"/>
                <w:sz w:val="14"/>
                <w:szCs w:val="14"/>
                <w:color w:val="auto"/>
              </w:rPr>
              <w:t>Director</w:t>
            </w:r>
          </w:p>
        </w:tc>
        <w:tc>
          <w:tcPr>
            <w:tcW w:w="540" w:type="dxa"/>
            <w:vAlign w:val="bottom"/>
            <w:shd w:val="clear" w:color="auto" w:fill="FAFAFA"/>
          </w:tcPr>
          <w:p>
            <w:pPr>
              <w:spacing w:after="0"/>
              <w:rPr>
                <w:sz w:val="24"/>
                <w:szCs w:val="24"/>
                <w:color w:val="auto"/>
              </w:rPr>
            </w:pPr>
          </w:p>
        </w:tc>
        <w:tc>
          <w:tcPr>
            <w:tcW w:w="96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2022</w:t>
            </w:r>
          </w:p>
        </w:tc>
        <w:tc>
          <w:tcPr>
            <w:tcW w:w="98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2027</w:t>
            </w:r>
          </w:p>
        </w:tc>
        <w:tc>
          <w:tcPr>
            <w:tcW w:w="134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2"/>
        </w:trPr>
        <w:tc>
          <w:tcPr>
            <w:tcW w:w="160" w:type="dxa"/>
            <w:vAlign w:val="bottom"/>
            <w:shd w:val="clear" w:color="auto" w:fill="FAFAFA"/>
          </w:tcPr>
          <w:p>
            <w:pPr>
              <w:spacing w:after="0"/>
              <w:rPr>
                <w:sz w:val="9"/>
                <w:szCs w:val="9"/>
                <w:color w:val="auto"/>
              </w:rPr>
            </w:pPr>
          </w:p>
        </w:tc>
        <w:tc>
          <w:tcPr>
            <w:tcW w:w="2280" w:type="dxa"/>
            <w:vAlign w:val="bottom"/>
            <w:vMerge w:val="restart"/>
            <w:shd w:val="clear" w:color="auto" w:fill="FAFAFA"/>
          </w:tcPr>
          <w:p>
            <w:pPr>
              <w:ind w:left="80"/>
              <w:spacing w:after="0"/>
              <w:rPr>
                <w:sz w:val="20"/>
                <w:szCs w:val="20"/>
                <w:color w:val="auto"/>
              </w:rPr>
            </w:pPr>
            <w:r>
              <w:rPr>
                <w:rFonts w:ascii="Arial" w:cs="Arial" w:eastAsia="Arial" w:hAnsi="Arial"/>
                <w:sz w:val="12"/>
                <w:szCs w:val="12"/>
                <w:color w:val="auto"/>
              </w:rPr>
              <w:t>(1)(8)</w:t>
            </w:r>
          </w:p>
        </w:tc>
        <w:tc>
          <w:tcPr>
            <w:tcW w:w="900" w:type="dxa"/>
            <w:vAlign w:val="bottom"/>
            <w:vMerge w:val="continue"/>
            <w:shd w:val="clear" w:color="auto" w:fill="FAFAFA"/>
          </w:tcPr>
          <w:p>
            <w:pPr>
              <w:spacing w:after="0"/>
              <w:rPr>
                <w:sz w:val="9"/>
                <w:szCs w:val="9"/>
                <w:color w:val="auto"/>
              </w:rPr>
            </w:pPr>
          </w:p>
        </w:tc>
        <w:tc>
          <w:tcPr>
            <w:tcW w:w="780" w:type="dxa"/>
            <w:vAlign w:val="bottom"/>
            <w:vMerge w:val="continue"/>
            <w:shd w:val="clear" w:color="auto" w:fill="FAFAFA"/>
          </w:tcPr>
          <w:p>
            <w:pPr>
              <w:spacing w:after="0"/>
              <w:rPr>
                <w:sz w:val="9"/>
                <w:szCs w:val="9"/>
                <w:color w:val="auto"/>
              </w:rPr>
            </w:pPr>
          </w:p>
        </w:tc>
        <w:tc>
          <w:tcPr>
            <w:tcW w:w="1460" w:type="dxa"/>
            <w:vAlign w:val="bottom"/>
            <w:vMerge w:val="continue"/>
            <w:shd w:val="clear" w:color="auto" w:fill="FAFAFA"/>
          </w:tcPr>
          <w:p>
            <w:pPr>
              <w:spacing w:after="0"/>
              <w:rPr>
                <w:sz w:val="9"/>
                <w:szCs w:val="9"/>
                <w:color w:val="auto"/>
              </w:rPr>
            </w:pPr>
          </w:p>
        </w:tc>
        <w:tc>
          <w:tcPr>
            <w:tcW w:w="540" w:type="dxa"/>
            <w:vAlign w:val="bottom"/>
            <w:shd w:val="clear" w:color="auto" w:fill="FAFAFA"/>
          </w:tcPr>
          <w:p>
            <w:pPr>
              <w:spacing w:after="0"/>
              <w:rPr>
                <w:sz w:val="9"/>
                <w:szCs w:val="9"/>
                <w:color w:val="auto"/>
              </w:rPr>
            </w:pPr>
          </w:p>
        </w:tc>
        <w:tc>
          <w:tcPr>
            <w:tcW w:w="960" w:type="dxa"/>
            <w:vAlign w:val="bottom"/>
            <w:vMerge w:val="continue"/>
            <w:shd w:val="clear" w:color="auto" w:fill="FAFAFA"/>
          </w:tcPr>
          <w:p>
            <w:pPr>
              <w:spacing w:after="0"/>
              <w:rPr>
                <w:sz w:val="9"/>
                <w:szCs w:val="9"/>
                <w:color w:val="auto"/>
              </w:rPr>
            </w:pPr>
          </w:p>
        </w:tc>
        <w:tc>
          <w:tcPr>
            <w:tcW w:w="980" w:type="dxa"/>
            <w:vAlign w:val="bottom"/>
            <w:vMerge w:val="continue"/>
            <w:shd w:val="clear" w:color="auto" w:fill="FAFAFA"/>
          </w:tcPr>
          <w:p>
            <w:pPr>
              <w:spacing w:after="0"/>
              <w:rPr>
                <w:sz w:val="9"/>
                <w:szCs w:val="9"/>
                <w:color w:val="auto"/>
              </w:rPr>
            </w:pPr>
          </w:p>
        </w:tc>
        <w:tc>
          <w:tcPr>
            <w:tcW w:w="1340" w:type="dxa"/>
            <w:vAlign w:val="bottom"/>
            <w:vMerge w:val="continue"/>
            <w:shd w:val="clear" w:color="auto" w:fill="FAFAFA"/>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60" w:type="dxa"/>
            <w:vAlign w:val="bottom"/>
            <w:shd w:val="clear" w:color="auto" w:fill="FAFAFA"/>
          </w:tcPr>
          <w:p>
            <w:pPr>
              <w:spacing w:after="0"/>
              <w:rPr>
                <w:sz w:val="4"/>
                <w:szCs w:val="4"/>
                <w:color w:val="auto"/>
              </w:rPr>
            </w:pPr>
          </w:p>
        </w:tc>
        <w:tc>
          <w:tcPr>
            <w:tcW w:w="2280" w:type="dxa"/>
            <w:vAlign w:val="bottom"/>
            <w:vMerge w:val="continue"/>
            <w:shd w:val="clear" w:color="auto" w:fill="FAFAFA"/>
          </w:tcPr>
          <w:p>
            <w:pPr>
              <w:spacing w:after="0"/>
              <w:rPr>
                <w:sz w:val="4"/>
                <w:szCs w:val="4"/>
                <w:color w:val="auto"/>
              </w:rPr>
            </w:pPr>
          </w:p>
        </w:tc>
        <w:tc>
          <w:tcPr>
            <w:tcW w:w="900" w:type="dxa"/>
            <w:vAlign w:val="bottom"/>
            <w:shd w:val="clear" w:color="auto" w:fill="FAFAFA"/>
          </w:tcPr>
          <w:p>
            <w:pPr>
              <w:spacing w:after="0"/>
              <w:rPr>
                <w:sz w:val="4"/>
                <w:szCs w:val="4"/>
                <w:color w:val="auto"/>
              </w:rPr>
            </w:pPr>
          </w:p>
        </w:tc>
        <w:tc>
          <w:tcPr>
            <w:tcW w:w="780" w:type="dxa"/>
            <w:vAlign w:val="bottom"/>
            <w:shd w:val="clear" w:color="auto" w:fill="FAFAFA"/>
          </w:tcPr>
          <w:p>
            <w:pPr>
              <w:spacing w:after="0"/>
              <w:rPr>
                <w:sz w:val="4"/>
                <w:szCs w:val="4"/>
                <w:color w:val="auto"/>
              </w:rPr>
            </w:pPr>
          </w:p>
        </w:tc>
        <w:tc>
          <w:tcPr>
            <w:tcW w:w="1460" w:type="dxa"/>
            <w:vAlign w:val="bottom"/>
            <w:shd w:val="clear" w:color="auto" w:fill="FAFAFA"/>
          </w:tcPr>
          <w:p>
            <w:pPr>
              <w:spacing w:after="0"/>
              <w:rPr>
                <w:sz w:val="4"/>
                <w:szCs w:val="4"/>
                <w:color w:val="auto"/>
              </w:rPr>
            </w:pPr>
          </w:p>
        </w:tc>
        <w:tc>
          <w:tcPr>
            <w:tcW w:w="540" w:type="dxa"/>
            <w:vAlign w:val="bottom"/>
            <w:shd w:val="clear" w:color="auto" w:fill="FAFAFA"/>
          </w:tcPr>
          <w:p>
            <w:pPr>
              <w:spacing w:after="0"/>
              <w:rPr>
                <w:sz w:val="4"/>
                <w:szCs w:val="4"/>
                <w:color w:val="auto"/>
              </w:rPr>
            </w:pPr>
          </w:p>
        </w:tc>
        <w:tc>
          <w:tcPr>
            <w:tcW w:w="960" w:type="dxa"/>
            <w:vAlign w:val="bottom"/>
            <w:shd w:val="clear" w:color="auto" w:fill="FAFAFA"/>
          </w:tcPr>
          <w:p>
            <w:pPr>
              <w:spacing w:after="0"/>
              <w:rPr>
                <w:sz w:val="4"/>
                <w:szCs w:val="4"/>
                <w:color w:val="auto"/>
              </w:rPr>
            </w:pPr>
          </w:p>
        </w:tc>
        <w:tc>
          <w:tcPr>
            <w:tcW w:w="980" w:type="dxa"/>
            <w:vAlign w:val="bottom"/>
            <w:shd w:val="clear" w:color="auto" w:fill="FAFAFA"/>
          </w:tcPr>
          <w:p>
            <w:pPr>
              <w:spacing w:after="0"/>
              <w:rPr>
                <w:sz w:val="4"/>
                <w:szCs w:val="4"/>
                <w:color w:val="auto"/>
              </w:rPr>
            </w:pPr>
          </w:p>
        </w:tc>
        <w:tc>
          <w:tcPr>
            <w:tcW w:w="1340" w:type="dxa"/>
            <w:vAlign w:val="bottom"/>
            <w:shd w:val="clear" w:color="auto" w:fill="FAFAFA"/>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60" w:type="dxa"/>
            <w:vAlign w:val="bottom"/>
            <w:shd w:val="clear" w:color="auto" w:fill="FAFAFA"/>
          </w:tcPr>
          <w:p>
            <w:pPr>
              <w:spacing w:after="0"/>
              <w:rPr>
                <w:sz w:val="15"/>
                <w:szCs w:val="15"/>
                <w:color w:val="auto"/>
              </w:rPr>
            </w:pPr>
          </w:p>
        </w:tc>
        <w:tc>
          <w:tcPr>
            <w:tcW w:w="2280" w:type="dxa"/>
            <w:vAlign w:val="bottom"/>
            <w:shd w:val="clear" w:color="auto" w:fill="FAFAFA"/>
          </w:tcPr>
          <w:p>
            <w:pPr>
              <w:spacing w:after="0"/>
              <w:rPr>
                <w:sz w:val="15"/>
                <w:szCs w:val="15"/>
                <w:color w:val="auto"/>
              </w:rPr>
            </w:pPr>
          </w:p>
        </w:tc>
        <w:tc>
          <w:tcPr>
            <w:tcW w:w="900" w:type="dxa"/>
            <w:vAlign w:val="bottom"/>
            <w:shd w:val="clear" w:color="auto" w:fill="FAFAFA"/>
          </w:tcPr>
          <w:p>
            <w:pPr>
              <w:spacing w:after="0"/>
              <w:rPr>
                <w:sz w:val="15"/>
                <w:szCs w:val="15"/>
                <w:color w:val="auto"/>
              </w:rPr>
            </w:pPr>
          </w:p>
        </w:tc>
        <w:tc>
          <w:tcPr>
            <w:tcW w:w="780" w:type="dxa"/>
            <w:vAlign w:val="bottom"/>
            <w:shd w:val="clear" w:color="auto" w:fill="FAFAFA"/>
          </w:tcPr>
          <w:p>
            <w:pPr>
              <w:spacing w:after="0"/>
              <w:rPr>
                <w:sz w:val="15"/>
                <w:szCs w:val="15"/>
                <w:color w:val="auto"/>
              </w:rPr>
            </w:pPr>
          </w:p>
        </w:tc>
        <w:tc>
          <w:tcPr>
            <w:tcW w:w="1460" w:type="dxa"/>
            <w:vAlign w:val="bottom"/>
            <w:shd w:val="clear" w:color="auto" w:fill="FAFAFA"/>
          </w:tcPr>
          <w:p>
            <w:pPr>
              <w:spacing w:after="0"/>
              <w:rPr>
                <w:sz w:val="15"/>
                <w:szCs w:val="15"/>
                <w:color w:val="auto"/>
              </w:rPr>
            </w:pPr>
          </w:p>
        </w:tc>
        <w:tc>
          <w:tcPr>
            <w:tcW w:w="540" w:type="dxa"/>
            <w:vAlign w:val="bottom"/>
            <w:shd w:val="clear" w:color="auto" w:fill="FAFAFA"/>
          </w:tcPr>
          <w:p>
            <w:pPr>
              <w:spacing w:after="0"/>
              <w:rPr>
                <w:sz w:val="15"/>
                <w:szCs w:val="15"/>
                <w:color w:val="auto"/>
              </w:rPr>
            </w:pPr>
          </w:p>
        </w:tc>
        <w:tc>
          <w:tcPr>
            <w:tcW w:w="960" w:type="dxa"/>
            <w:vAlign w:val="bottom"/>
            <w:shd w:val="clear" w:color="auto" w:fill="FAFAFA"/>
          </w:tcPr>
          <w:p>
            <w:pPr>
              <w:spacing w:after="0"/>
              <w:rPr>
                <w:sz w:val="15"/>
                <w:szCs w:val="15"/>
                <w:color w:val="auto"/>
              </w:rPr>
            </w:pPr>
          </w:p>
        </w:tc>
        <w:tc>
          <w:tcPr>
            <w:tcW w:w="980" w:type="dxa"/>
            <w:vAlign w:val="bottom"/>
            <w:shd w:val="clear" w:color="auto" w:fill="FAFAFA"/>
          </w:tcPr>
          <w:p>
            <w:pPr>
              <w:spacing w:after="0"/>
              <w:rPr>
                <w:sz w:val="15"/>
                <w:szCs w:val="15"/>
                <w:color w:val="auto"/>
              </w:rPr>
            </w:pPr>
          </w:p>
        </w:tc>
        <w:tc>
          <w:tcPr>
            <w:tcW w:w="1340" w:type="dxa"/>
            <w:vAlign w:val="bottom"/>
            <w:shd w:val="clear" w:color="auto" w:fill="FAFAFA"/>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-3830955</wp:posOffset>
            </wp:positionV>
            <wp:extent cx="59664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-3496945</wp:posOffset>
            </wp:positionV>
            <wp:extent cx="59664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-3145155</wp:posOffset>
            </wp:positionV>
            <wp:extent cx="59664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-2794000</wp:posOffset>
            </wp:positionV>
            <wp:extent cx="59664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-2442210</wp:posOffset>
            </wp:positionV>
            <wp:extent cx="59664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-2108200</wp:posOffset>
            </wp:positionV>
            <wp:extent cx="59664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-1670685</wp:posOffset>
            </wp:positionV>
            <wp:extent cx="59664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-1319530</wp:posOffset>
            </wp:positionV>
            <wp:extent cx="59664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-967740</wp:posOffset>
            </wp:positionV>
            <wp:extent cx="59664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-427990</wp:posOffset>
            </wp:positionV>
            <wp:extent cx="59664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133" w:lineRule="exact"/>
        <w:rPr>
          <w:sz w:val="20"/>
          <w:szCs w:val="20"/>
          <w:color w:val="auto"/>
        </w:rPr>
      </w:pPr>
    </w:p>
    <w:p>
      <w:pPr>
        <w:ind w:left="240" w:hanging="234"/>
        <w:spacing w:after="0"/>
        <w:tabs>
          <w:tab w:leader="none" w:pos="240" w:val="left"/>
        </w:tabs>
        <w:numPr>
          <w:ilvl w:val="0"/>
          <w:numId w:val="13"/>
        </w:numPr>
        <w:rPr>
          <w:rFonts w:ascii="Arial" w:cs="Arial" w:eastAsia="Arial" w:hAnsi="Arial"/>
          <w:sz w:val="14"/>
          <w:szCs w:val="14"/>
          <w:color w:val="255993"/>
        </w:rPr>
      </w:pPr>
      <w:r>
        <w:rPr>
          <w:rFonts w:ascii="Arial" w:cs="Arial" w:eastAsia="Arial" w:hAnsi="Arial"/>
          <w:sz w:val="14"/>
          <w:szCs w:val="14"/>
          <w:color w:val="255993"/>
        </w:rPr>
        <w:t>Member of our nominating and corporate governance committee.</w:t>
      </w:r>
    </w:p>
    <w:p>
      <w:pPr>
        <w:spacing w:after="0" w:line="95" w:lineRule="exact"/>
        <w:rPr>
          <w:rFonts w:ascii="Arial" w:cs="Arial" w:eastAsia="Arial" w:hAnsi="Arial"/>
          <w:sz w:val="14"/>
          <w:szCs w:val="14"/>
          <w:color w:val="255993"/>
        </w:rPr>
      </w:pPr>
    </w:p>
    <w:p>
      <w:pPr>
        <w:ind w:left="240" w:hanging="234"/>
        <w:spacing w:after="0"/>
        <w:tabs>
          <w:tab w:leader="none" w:pos="240" w:val="left"/>
        </w:tabs>
        <w:numPr>
          <w:ilvl w:val="0"/>
          <w:numId w:val="13"/>
        </w:numPr>
        <w:rPr>
          <w:rFonts w:ascii="Arial" w:cs="Arial" w:eastAsia="Arial" w:hAnsi="Arial"/>
          <w:sz w:val="14"/>
          <w:szCs w:val="14"/>
          <w:color w:val="255993"/>
        </w:rPr>
      </w:pPr>
      <w:r>
        <w:rPr>
          <w:rFonts w:ascii="Arial" w:cs="Arial" w:eastAsia="Arial" w:hAnsi="Arial"/>
          <w:sz w:val="14"/>
          <w:szCs w:val="14"/>
          <w:color w:val="255993"/>
        </w:rPr>
        <w:t>Member of our audit committee.</w:t>
      </w:r>
    </w:p>
    <w:p>
      <w:pPr>
        <w:spacing w:after="0" w:line="82" w:lineRule="exact"/>
        <w:rPr>
          <w:rFonts w:ascii="Arial" w:cs="Arial" w:eastAsia="Arial" w:hAnsi="Arial"/>
          <w:sz w:val="14"/>
          <w:szCs w:val="14"/>
          <w:color w:val="255993"/>
        </w:rPr>
      </w:pPr>
    </w:p>
    <w:p>
      <w:pPr>
        <w:ind w:left="240" w:hanging="234"/>
        <w:spacing w:after="0"/>
        <w:tabs>
          <w:tab w:leader="none" w:pos="240" w:val="left"/>
        </w:tabs>
        <w:numPr>
          <w:ilvl w:val="0"/>
          <w:numId w:val="13"/>
        </w:numPr>
        <w:rPr>
          <w:rFonts w:ascii="Arial" w:cs="Arial" w:eastAsia="Arial" w:hAnsi="Arial"/>
          <w:sz w:val="14"/>
          <w:szCs w:val="14"/>
          <w:color w:val="255993"/>
        </w:rPr>
      </w:pPr>
      <w:r>
        <w:rPr>
          <w:rFonts w:ascii="Arial" w:cs="Arial" w:eastAsia="Arial" w:hAnsi="Arial"/>
          <w:sz w:val="14"/>
          <w:szCs w:val="14"/>
          <w:color w:val="255993"/>
        </w:rPr>
        <w:t>Member of our compensation committee.</w:t>
      </w:r>
    </w:p>
    <w:p>
      <w:pPr>
        <w:spacing w:after="0" w:line="95" w:lineRule="exact"/>
        <w:rPr>
          <w:rFonts w:ascii="Arial" w:cs="Arial" w:eastAsia="Arial" w:hAnsi="Arial"/>
          <w:sz w:val="14"/>
          <w:szCs w:val="14"/>
          <w:color w:val="255993"/>
        </w:rPr>
      </w:pPr>
    </w:p>
    <w:p>
      <w:pPr>
        <w:ind w:left="240" w:hanging="234"/>
        <w:spacing w:after="0"/>
        <w:tabs>
          <w:tab w:leader="none" w:pos="240" w:val="left"/>
        </w:tabs>
        <w:numPr>
          <w:ilvl w:val="0"/>
          <w:numId w:val="13"/>
        </w:numPr>
        <w:rPr>
          <w:rFonts w:ascii="Arial" w:cs="Arial" w:eastAsia="Arial" w:hAnsi="Arial"/>
          <w:sz w:val="14"/>
          <w:szCs w:val="14"/>
          <w:color w:val="255993"/>
        </w:rPr>
      </w:pPr>
      <w:r>
        <w:rPr>
          <w:rFonts w:ascii="Arial" w:cs="Arial" w:eastAsia="Arial" w:hAnsi="Arial"/>
          <w:sz w:val="14"/>
          <w:szCs w:val="14"/>
          <w:color w:val="255993"/>
        </w:rPr>
        <w:t>Chairwoman of our nominating and corporate governance committee.</w:t>
      </w:r>
    </w:p>
    <w:p>
      <w:pPr>
        <w:spacing w:after="0" w:line="217"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9</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0" w:hanging="234"/>
        <w:spacing w:after="0"/>
        <w:tabs>
          <w:tab w:leader="none" w:pos="240" w:val="left"/>
        </w:tabs>
        <w:numPr>
          <w:ilvl w:val="0"/>
          <w:numId w:val="14"/>
        </w:numPr>
        <w:rPr>
          <w:rFonts w:ascii="Arial" w:cs="Arial" w:eastAsia="Arial" w:hAnsi="Arial"/>
          <w:sz w:val="14"/>
          <w:szCs w:val="14"/>
          <w:color w:val="255993"/>
        </w:rPr>
      </w:pPr>
      <w:r>
        <w:rPr>
          <w:rFonts w:ascii="Arial" w:cs="Arial" w:eastAsia="Arial" w:hAnsi="Arial"/>
          <w:sz w:val="14"/>
          <w:szCs w:val="14"/>
          <w:color w:val="255993"/>
        </w:rPr>
        <w:t>Chairman of our audit committee.</w:t>
      </w:r>
    </w:p>
    <w:p>
      <w:pPr>
        <w:spacing w:after="0" w:line="95" w:lineRule="exact"/>
        <w:rPr>
          <w:rFonts w:ascii="Arial" w:cs="Arial" w:eastAsia="Arial" w:hAnsi="Arial"/>
          <w:sz w:val="14"/>
          <w:szCs w:val="14"/>
          <w:color w:val="255993"/>
        </w:rPr>
      </w:pPr>
    </w:p>
    <w:p>
      <w:pPr>
        <w:ind w:left="240" w:hanging="234"/>
        <w:spacing w:after="0"/>
        <w:tabs>
          <w:tab w:leader="none" w:pos="240" w:val="left"/>
        </w:tabs>
        <w:numPr>
          <w:ilvl w:val="0"/>
          <w:numId w:val="14"/>
        </w:numPr>
        <w:rPr>
          <w:rFonts w:ascii="Arial" w:cs="Arial" w:eastAsia="Arial" w:hAnsi="Arial"/>
          <w:sz w:val="14"/>
          <w:szCs w:val="14"/>
          <w:color w:val="255993"/>
        </w:rPr>
      </w:pPr>
      <w:r>
        <w:rPr>
          <w:rFonts w:ascii="Arial" w:cs="Arial" w:eastAsia="Arial" w:hAnsi="Arial"/>
          <w:sz w:val="14"/>
          <w:szCs w:val="14"/>
          <w:color w:val="255993"/>
        </w:rPr>
        <w:t>Member of our compliance committee.</w:t>
      </w:r>
    </w:p>
    <w:p>
      <w:pPr>
        <w:spacing w:after="0" w:line="82" w:lineRule="exact"/>
        <w:rPr>
          <w:rFonts w:ascii="Arial" w:cs="Arial" w:eastAsia="Arial" w:hAnsi="Arial"/>
          <w:sz w:val="14"/>
          <w:szCs w:val="14"/>
          <w:color w:val="255993"/>
        </w:rPr>
      </w:pPr>
    </w:p>
    <w:p>
      <w:pPr>
        <w:ind w:left="240" w:hanging="234"/>
        <w:spacing w:after="0"/>
        <w:tabs>
          <w:tab w:leader="none" w:pos="240" w:val="left"/>
        </w:tabs>
        <w:numPr>
          <w:ilvl w:val="0"/>
          <w:numId w:val="14"/>
        </w:numPr>
        <w:rPr>
          <w:rFonts w:ascii="Arial" w:cs="Arial" w:eastAsia="Arial" w:hAnsi="Arial"/>
          <w:sz w:val="14"/>
          <w:szCs w:val="14"/>
          <w:color w:val="255993"/>
        </w:rPr>
      </w:pPr>
      <w:r>
        <w:rPr>
          <w:rFonts w:ascii="Arial" w:cs="Arial" w:eastAsia="Arial" w:hAnsi="Arial"/>
          <w:sz w:val="14"/>
          <w:szCs w:val="14"/>
          <w:color w:val="255993"/>
        </w:rPr>
        <w:t>Chairwoman of our compensation committee.</w:t>
      </w:r>
    </w:p>
    <w:p>
      <w:pPr>
        <w:spacing w:after="0" w:line="95" w:lineRule="exact"/>
        <w:rPr>
          <w:rFonts w:ascii="Arial" w:cs="Arial" w:eastAsia="Arial" w:hAnsi="Arial"/>
          <w:sz w:val="14"/>
          <w:szCs w:val="14"/>
          <w:color w:val="255993"/>
        </w:rPr>
      </w:pPr>
    </w:p>
    <w:p>
      <w:pPr>
        <w:ind w:left="240" w:hanging="234"/>
        <w:spacing w:after="0"/>
        <w:tabs>
          <w:tab w:leader="none" w:pos="240" w:val="left"/>
        </w:tabs>
        <w:numPr>
          <w:ilvl w:val="0"/>
          <w:numId w:val="14"/>
        </w:numPr>
        <w:rPr>
          <w:rFonts w:ascii="Arial" w:cs="Arial" w:eastAsia="Arial" w:hAnsi="Arial"/>
          <w:sz w:val="14"/>
          <w:szCs w:val="14"/>
          <w:color w:val="255993"/>
        </w:rPr>
      </w:pPr>
      <w:r>
        <w:rPr>
          <w:rFonts w:ascii="Arial" w:cs="Arial" w:eastAsia="Arial" w:hAnsi="Arial"/>
          <w:sz w:val="14"/>
          <w:szCs w:val="14"/>
          <w:color w:val="255993"/>
        </w:rPr>
        <w:t>Chairman of our 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5966460" cy="10198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646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Board Recommendation</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16"/>
          <w:szCs w:val="16"/>
          <w:color w:val="255993"/>
        </w:rPr>
        <w:t xml:space="preserve">The Board of Directors unanimously recommends voting </w:t>
      </w:r>
      <w:r>
        <w:rPr>
          <w:rFonts w:ascii="Arial" w:cs="Arial" w:eastAsia="Arial" w:hAnsi="Arial"/>
          <w:sz w:val="16"/>
          <w:szCs w:val="16"/>
          <w:b w:val="1"/>
          <w:bCs w:val="1"/>
          <w:color w:val="255993"/>
        </w:rPr>
        <w:t>“FOR”</w:t>
      </w:r>
      <w:r>
        <w:rPr>
          <w:rFonts w:ascii="Arial" w:cs="Arial" w:eastAsia="Arial" w:hAnsi="Arial"/>
          <w:sz w:val="16"/>
          <w:szCs w:val="16"/>
          <w:color w:val="255993"/>
        </w:rPr>
        <w:t xml:space="preserve"> the election of each of the</w:t>
      </w:r>
    </w:p>
    <w:p>
      <w:pPr>
        <w:spacing w:after="0" w:line="21" w:lineRule="exact"/>
        <w:rPr>
          <w:sz w:val="20"/>
          <w:szCs w:val="20"/>
          <w:color w:val="auto"/>
        </w:rPr>
      </w:pPr>
    </w:p>
    <w:p>
      <w:pPr>
        <w:ind w:left="1620" w:right="1120" w:hanging="1619"/>
        <w:spacing w:after="0" w:line="265" w:lineRule="auto"/>
        <w:tabs>
          <w:tab w:leader="none" w:pos="16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color w:val="255993"/>
        </w:rPr>
        <w:t>Board of Directors’ nominees on Proposal No. 1 (which nominees are Joseph Edelman, John M. Fluke, Jr., and Grant Pickering).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882650" cy="8832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2650" cy="8832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255993"/>
        </w:rPr>
        <w:t>Joseph Edelman</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AGE: 69   DIRECTOR SINCE: 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130175</wp:posOffset>
            </wp:positionV>
            <wp:extent cx="89154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Joseph Edelman has served on our board of directors since May 2020. Mr. Edelman is the founder and chief</w:t>
      </w:r>
    </w:p>
    <w:p>
      <w:pPr>
        <w:spacing w:after="0" w:line="21" w:lineRule="exact"/>
        <w:rPr>
          <w:sz w:val="20"/>
          <w:szCs w:val="20"/>
          <w:color w:val="auto"/>
        </w:rPr>
      </w:pPr>
    </w:p>
    <w:p>
      <w:pPr>
        <w:ind w:left="1620" w:right="140" w:hanging="1619"/>
        <w:spacing w:after="0" w:line="211" w:lineRule="auto"/>
        <w:tabs>
          <w:tab w:leader="none" w:pos="1600" w:val="left"/>
        </w:tabs>
        <w:rPr>
          <w:sz w:val="20"/>
          <w:szCs w:val="20"/>
          <w:color w:val="auto"/>
        </w:rPr>
      </w:pPr>
      <w:r>
        <w:rPr>
          <w:rFonts w:ascii="Arial" w:cs="Arial" w:eastAsia="Arial" w:hAnsi="Arial"/>
          <w:sz w:val="32"/>
          <w:szCs w:val="32"/>
          <w:color w:val="auto"/>
          <w:vertAlign w:val="subscript"/>
        </w:rPr>
        <w:t> </w:t>
      </w:r>
      <w:r>
        <w:rPr>
          <w:sz w:val="20"/>
          <w:szCs w:val="20"/>
          <w:color w:val="auto"/>
        </w:rPr>
        <w:tab/>
      </w:r>
      <w:r>
        <w:rPr>
          <w:rFonts w:ascii="Arial" w:cs="Arial" w:eastAsia="Arial" w:hAnsi="Arial"/>
          <w:sz w:val="16"/>
          <w:szCs w:val="16"/>
          <w:color w:val="auto"/>
        </w:rPr>
        <w:t xml:space="preserve">executive officer of Perceptive Advisors, a hedge fund that specializes in investing in biotechnology stocks, and serves on the board of directors of Perceptive Capital Solutions Corp. He founded Perceptive Advisors in 1999, aiming to support progress in the life sciences industry by identifying opportunities and directing financial resources toward the most promising technologies in modern healthcare. Mr. Edelman earned an M.B.A. from the Leonard N. Stern School of Business at New York University in 1986 and a B.A., magna cum laude, in psychology from the University of California San Diego in 1978. </w:t>
      </w:r>
      <w:r>
        <w:rPr>
          <w:rFonts w:ascii="Arial" w:cs="Arial" w:eastAsia="Arial" w:hAnsi="Arial"/>
          <w:sz w:val="16"/>
          <w:szCs w:val="16"/>
          <w:b w:val="1"/>
          <w:bCs w:val="1"/>
          <w:color w:val="255993"/>
        </w:rPr>
        <w:t>We believe that</w:t>
      </w:r>
    </w:p>
    <w:p>
      <w:pPr>
        <w:spacing w:after="0" w:line="2" w:lineRule="exact"/>
        <w:rPr>
          <w:sz w:val="20"/>
          <w:szCs w:val="20"/>
          <w:color w:val="auto"/>
        </w:rPr>
      </w:pPr>
    </w:p>
    <w:p>
      <w:pPr>
        <w:ind w:left="1620" w:right="580"/>
        <w:spacing w:after="0" w:line="276" w:lineRule="auto"/>
        <w:rPr>
          <w:sz w:val="20"/>
          <w:szCs w:val="20"/>
          <w:color w:val="auto"/>
        </w:rPr>
      </w:pPr>
      <w:r>
        <w:rPr>
          <w:rFonts w:ascii="Arial" w:cs="Arial" w:eastAsia="Arial" w:hAnsi="Arial"/>
          <w:sz w:val="16"/>
          <w:szCs w:val="16"/>
          <w:b w:val="1"/>
          <w:bCs w:val="1"/>
          <w:color w:val="255993"/>
        </w:rPr>
        <w:t>Mr. Edelman’s experience as a board member and investor in many successful biotechnology companies qualifies him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882650" cy="8826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255993"/>
        </w:rPr>
        <w:t>Athira Pharma,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55993"/>
        </w:rPr>
        <w:t>John M. Fluke, Jr.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82   DIRECTOR SINCE: DECEMBER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89154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John M. Fluke, Jr. has served on our board of directors since December 2014. Mr. Fluke is chairman of Fluke Capital Management, L.P., which he founded in 1976, and was chairman and chief 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 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w:t>
      </w:r>
    </w:p>
    <w:p>
      <w:pPr>
        <w:spacing w:after="0" w:line="3"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b w:val="1"/>
          <w:bCs w:val="1"/>
          <w:color w:val="255993"/>
        </w:rPr>
        <w:t>We believe that Mr. Fluke’s extensive leadership experience and background as an investor in many successful companies qualifies him to serve on our board of directors.</w:t>
      </w:r>
    </w:p>
    <w:p>
      <w:pPr>
        <w:spacing w:after="0" w:line="227" w:lineRule="exact"/>
        <w:rPr>
          <w:sz w:val="20"/>
          <w:szCs w:val="20"/>
          <w:color w:val="auto"/>
        </w:rPr>
      </w:pPr>
    </w:p>
    <w:p>
      <w:pPr>
        <w:jc w:val="both"/>
        <w:ind w:left="3000"/>
        <w:spacing w:after="0"/>
        <w:tabs>
          <w:tab w:leader="none" w:pos="6340" w:val="left"/>
        </w:tabs>
        <w:rPr>
          <w:sz w:val="20"/>
          <w:szCs w:val="20"/>
          <w:color w:val="auto"/>
        </w:rPr>
      </w:pPr>
      <w:r>
        <w:rPr>
          <w:rFonts w:ascii="Arial" w:cs="Arial" w:eastAsia="Arial" w:hAnsi="Arial"/>
          <w:sz w:val="14"/>
          <w:szCs w:val="14"/>
          <w:b w:val="1"/>
          <w:bCs w:val="1"/>
          <w:color w:val="255993"/>
        </w:rPr>
        <w:t>10</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118110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240" w:space="380"/>
            <w:col w:w="7780"/>
          </w:cols>
          <w:pgMar w:left="1240" w:top="114" w:right="12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529590</wp:posOffset>
            </wp:positionV>
            <wp:extent cx="882650" cy="8832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265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255993"/>
        </w:rPr>
        <w:t>Grant Pickering</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AGE: 57   DIRECTOR SINCE: JANUARY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139065</wp:posOffset>
            </wp:positionV>
            <wp:extent cx="89154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Grant Pickering has served on our board of directors since January 2022. Mr. Pickering co-founded and</w:t>
      </w:r>
    </w:p>
    <w:p>
      <w:pPr>
        <w:spacing w:after="0" w:line="21" w:lineRule="exact"/>
        <w:rPr>
          <w:sz w:val="20"/>
          <w:szCs w:val="20"/>
          <w:color w:val="auto"/>
        </w:rPr>
      </w:pPr>
    </w:p>
    <w:p>
      <w:pPr>
        <w:jc w:val="both"/>
        <w:ind w:left="1620" w:hanging="1619"/>
        <w:spacing w:after="0" w:line="184" w:lineRule="auto"/>
        <w:tabs>
          <w:tab w:leader="none" w:pos="1600" w:val="left"/>
        </w:tabs>
        <w:rPr>
          <w:sz w:val="20"/>
          <w:szCs w:val="20"/>
          <w:color w:val="auto"/>
        </w:rPr>
      </w:pPr>
      <w:r>
        <w:rPr>
          <w:rFonts w:ascii="Arial" w:cs="Arial" w:eastAsia="Arial" w:hAnsi="Arial"/>
          <w:sz w:val="32"/>
          <w:szCs w:val="32"/>
          <w:color w:val="auto"/>
          <w:vertAlign w:val="subscript"/>
        </w:rPr>
        <w:t> </w:t>
      </w:r>
      <w:r>
        <w:rPr>
          <w:sz w:val="20"/>
          <w:szCs w:val="20"/>
          <w:color w:val="auto"/>
        </w:rPr>
        <w:tab/>
      </w:r>
      <w:r>
        <w:rPr>
          <w:rFonts w:ascii="Arial" w:cs="Arial" w:eastAsia="Arial" w:hAnsi="Arial"/>
          <w:sz w:val="16"/>
          <w:szCs w:val="16"/>
          <w:color w:val="auto"/>
        </w:rPr>
        <w:t>serves as chief executive officer and as a member of the board of directors at Vaxcyte, Inc., a publicly traded biotechnology company, since November 2013. Mr. Pickering also served as strategic advisor at Atreca, Inc., a publicly traded biotechnology company, from May 2013 to April 2015. Prior to joining Vaxcyte,</w:t>
      </w:r>
    </w:p>
    <w:p>
      <w:pPr>
        <w:spacing w:after="0" w:line="3" w:lineRule="exact"/>
        <w:rPr>
          <w:sz w:val="20"/>
          <w:szCs w:val="20"/>
          <w:color w:val="auto"/>
        </w:rPr>
      </w:pPr>
    </w:p>
    <w:p>
      <w:pPr>
        <w:ind w:left="1620" w:right="20"/>
        <w:spacing w:after="0" w:line="246" w:lineRule="auto"/>
        <w:rPr>
          <w:sz w:val="20"/>
          <w:szCs w:val="20"/>
          <w:color w:val="auto"/>
        </w:rPr>
      </w:pPr>
      <w:r>
        <w:rPr>
          <w:rFonts w:ascii="Arial" w:cs="Arial" w:eastAsia="Arial" w:hAnsi="Arial"/>
          <w:sz w:val="16"/>
          <w:szCs w:val="16"/>
          <w:color w:val="auto"/>
        </w:rPr>
        <w:t>Mr. Pickering was chief executive officer of Mymetics Corporation, a publicly traded biotechnology company. Prior to that, Mr. Pickering served as executive-in-residence at Kleiner Perkins, a venture capital firm, while serving as the chief executive officer and as a member of the board of directors at Juvaris BioTherapeutics, Inc., a biopharmaceutical company. Prior to that he served as senior vice president of operations of Dendreon Corporation, a publicly traded biotechnology company. Mr. Pickering earned an M.B.A. from Georgetown University in 1997 with high honors and a B.S. in marketing from Penn State University in 1989.</w:t>
      </w:r>
    </w:p>
    <w:p>
      <w:pPr>
        <w:spacing w:after="0" w:line="2" w:lineRule="exact"/>
        <w:rPr>
          <w:sz w:val="20"/>
          <w:szCs w:val="20"/>
          <w:color w:val="auto"/>
        </w:rPr>
      </w:pPr>
    </w:p>
    <w:p>
      <w:pPr>
        <w:ind w:left="1620" w:right="160"/>
        <w:spacing w:after="0" w:line="276" w:lineRule="auto"/>
        <w:rPr>
          <w:sz w:val="20"/>
          <w:szCs w:val="20"/>
          <w:color w:val="auto"/>
        </w:rPr>
      </w:pPr>
      <w:r>
        <w:rPr>
          <w:rFonts w:ascii="Arial" w:cs="Arial" w:eastAsia="Arial" w:hAnsi="Arial"/>
          <w:sz w:val="16"/>
          <w:szCs w:val="16"/>
          <w:b w:val="1"/>
          <w:bCs w:val="1"/>
          <w:color w:val="255993"/>
        </w:rPr>
        <w:t>We believe that Mr. Pickering’s experience in the healthcare, biopharmaceutical, and biotechnology industries qualifies him to serve on our board of directors.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882650" cy="8826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pacing w:after="0" w:line="3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255993"/>
        </w:rPr>
        <w:t>Kelly A. Romano</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AGE: 63   DIRECTOR SINCE: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130175</wp:posOffset>
            </wp:positionV>
            <wp:extent cx="89154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Kelly A. Romano has served as chairwoman of our board of directors since August 2021 and as a member</w:t>
      </w:r>
    </w:p>
    <w:p>
      <w:pPr>
        <w:spacing w:after="0" w:line="21" w:lineRule="exact"/>
        <w:rPr>
          <w:sz w:val="20"/>
          <w:szCs w:val="20"/>
          <w:color w:val="auto"/>
        </w:rPr>
      </w:pPr>
    </w:p>
    <w:p>
      <w:pPr>
        <w:ind w:left="1620" w:right="300" w:hanging="1619"/>
        <w:spacing w:after="0" w:line="183" w:lineRule="auto"/>
        <w:tabs>
          <w:tab w:leader="none" w:pos="1600" w:val="left"/>
        </w:tabs>
        <w:rPr>
          <w:sz w:val="20"/>
          <w:szCs w:val="20"/>
          <w:color w:val="auto"/>
        </w:rPr>
      </w:pPr>
      <w:r>
        <w:rPr>
          <w:rFonts w:ascii="Arial" w:cs="Arial" w:eastAsia="Arial" w:hAnsi="Arial"/>
          <w:sz w:val="28"/>
          <w:szCs w:val="28"/>
          <w:color w:val="auto"/>
          <w:vertAlign w:val="subscript"/>
        </w:rPr>
        <w:t> </w:t>
      </w:r>
      <w:r>
        <w:rPr>
          <w:sz w:val="20"/>
          <w:szCs w:val="20"/>
          <w:color w:val="auto"/>
        </w:rPr>
        <w:tab/>
      </w:r>
      <w:r>
        <w:rPr>
          <w:rFonts w:ascii="Arial" w:cs="Arial" w:eastAsia="Arial" w:hAnsi="Arial"/>
          <w:sz w:val="15"/>
          <w:szCs w:val="15"/>
          <w:color w:val="auto"/>
        </w:rPr>
        <w:t>of our board of directors since December 2020. Ms. Romano brings over 30 years of executive operating experience with technology companies, with a background in commercial buildings and aerospace.</w:t>
      </w:r>
    </w:p>
    <w:p>
      <w:pPr>
        <w:spacing w:after="0" w:line="1" w:lineRule="exact"/>
        <w:rPr>
          <w:sz w:val="20"/>
          <w:szCs w:val="20"/>
          <w:color w:val="auto"/>
        </w:rPr>
      </w:pPr>
    </w:p>
    <w:p>
      <w:pPr>
        <w:ind w:left="1620" w:right="40"/>
        <w:spacing w:after="0" w:line="246" w:lineRule="auto"/>
        <w:rPr>
          <w:sz w:val="20"/>
          <w:szCs w:val="20"/>
          <w:color w:val="auto"/>
        </w:rPr>
      </w:pPr>
      <w:r>
        <w:rPr>
          <w:rFonts w:ascii="Arial" w:cs="Arial" w:eastAsia="Arial" w:hAnsi="Arial"/>
          <w:sz w:val="16"/>
          <w:szCs w:val="16"/>
          <w:color w:val="auto"/>
        </w:rPr>
        <w:t>Ms. Romano is the chief executive officer of BlueRipple Capital, LLC, a consultancy firm she founded in May 2018. Ms. Romano previously served as an operating partner at AE Industrial Partners, a private equity firm focused on aerospace and industrial investments, from August 2020 to July 2023. Ms. Romano has also served on the Executive Advisory Board at Gryphon Investors, a middle-market private equity firm, since December 2016. Previously, she spent 32 years working at United Technologies Corp. (UTC) and held a number of senior executive global positions, including president of Intelligent Building Technologies in UTC Building &amp; Industrial Systems and president of Building Systems &amp; Services at Carrier Corporation.</w:t>
      </w:r>
    </w:p>
    <w:p>
      <w:pPr>
        <w:spacing w:after="0" w:line="3" w:lineRule="exact"/>
        <w:rPr>
          <w:sz w:val="20"/>
          <w:szCs w:val="20"/>
          <w:color w:val="auto"/>
        </w:rPr>
      </w:pPr>
    </w:p>
    <w:p>
      <w:pPr>
        <w:ind w:left="1620"/>
        <w:spacing w:after="0" w:line="246" w:lineRule="auto"/>
        <w:rPr>
          <w:sz w:val="20"/>
          <w:szCs w:val="20"/>
          <w:color w:val="auto"/>
        </w:rPr>
      </w:pPr>
      <w:r>
        <w:rPr>
          <w:rFonts w:ascii="Arial" w:cs="Arial" w:eastAsia="Arial" w:hAnsi="Arial"/>
          <w:sz w:val="16"/>
          <w:szCs w:val="16"/>
          <w:color w:val="auto"/>
        </w:rPr>
        <w:t xml:space="preserve">Ms. Romano is also a member of several boards of directors, including UGI Corporation, Dorman Products, Inc., and Potter Global Technologies. Ms. Romano earned a B.S. in business administration from the State University of New York at Buffalo, an M.B.A. from Syracuse University, and is a graduate of the Northwestern University Kellogg School of Management’s Corporate Board Governance Executive Program, as well as senior executive programs at Darden School of Management, University of Virginia. </w:t>
      </w:r>
      <w:r>
        <w:rPr>
          <w:rFonts w:ascii="Arial" w:cs="Arial" w:eastAsia="Arial" w:hAnsi="Arial"/>
          <w:sz w:val="16"/>
          <w:szCs w:val="16"/>
          <w:b w:val="1"/>
          <w:bCs w:val="1"/>
          <w:color w:val="255993"/>
        </w:rPr>
        <w:t>We believe that</w:t>
      </w:r>
    </w:p>
    <w:p>
      <w:pPr>
        <w:spacing w:after="0" w:line="2" w:lineRule="exact"/>
        <w:rPr>
          <w:sz w:val="20"/>
          <w:szCs w:val="20"/>
          <w:color w:val="auto"/>
        </w:rPr>
      </w:pPr>
    </w:p>
    <w:p>
      <w:pPr>
        <w:ind w:left="1620" w:right="240"/>
        <w:spacing w:after="0" w:line="276" w:lineRule="auto"/>
        <w:rPr>
          <w:sz w:val="20"/>
          <w:szCs w:val="20"/>
          <w:color w:val="auto"/>
        </w:rPr>
      </w:pPr>
      <w:r>
        <w:rPr>
          <w:rFonts w:ascii="Arial" w:cs="Arial" w:eastAsia="Arial" w:hAnsi="Arial"/>
          <w:sz w:val="16"/>
          <w:szCs w:val="16"/>
          <w:b w:val="1"/>
          <w:bCs w:val="1"/>
          <w:color w:val="255993"/>
        </w:rPr>
        <w:t>Ms. Romano’s executive operating experience and aptitude for understanding growing companies qualifies her to serve on our board of directors.</w:t>
      </w:r>
    </w:p>
    <w:p>
      <w:pPr>
        <w:spacing w:after="0" w:line="22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11</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529590</wp:posOffset>
            </wp:positionV>
            <wp:extent cx="882650" cy="8826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255993"/>
        </w:rPr>
        <w:t>James A. Johnson</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AGE: 68   DIRECTOR SINCE: AUGUST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139065</wp:posOffset>
            </wp:positionV>
            <wp:extent cx="89154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James A. Johnson has served on our board of directors since August 2020. Mr. Johnson previously served</w:t>
      </w:r>
    </w:p>
    <w:p>
      <w:pPr>
        <w:spacing w:after="0" w:line="21" w:lineRule="exact"/>
        <w:rPr>
          <w:sz w:val="20"/>
          <w:szCs w:val="20"/>
          <w:color w:val="auto"/>
        </w:rPr>
      </w:pPr>
    </w:p>
    <w:p>
      <w:pPr>
        <w:ind w:left="1620" w:right="20" w:hanging="1619"/>
        <w:spacing w:after="0" w:line="232" w:lineRule="auto"/>
        <w:tabs>
          <w:tab w:leader="none" w:pos="1600" w:val="left"/>
        </w:tabs>
        <w:rPr>
          <w:sz w:val="20"/>
          <w:szCs w:val="20"/>
          <w:color w:val="auto"/>
        </w:rPr>
      </w:pPr>
      <w:r>
        <w:rPr>
          <w:rFonts w:ascii="Arial" w:cs="Arial" w:eastAsia="Arial" w:hAnsi="Arial"/>
          <w:sz w:val="32"/>
          <w:szCs w:val="32"/>
          <w:color w:val="auto"/>
          <w:vertAlign w:val="subscript"/>
        </w:rPr>
        <w:t> </w:t>
      </w:r>
      <w:r>
        <w:rPr>
          <w:sz w:val="20"/>
          <w:szCs w:val="20"/>
          <w:color w:val="auto"/>
        </w:rPr>
        <w:tab/>
      </w:r>
      <w:r>
        <w:rPr>
          <w:rFonts w:ascii="Arial" w:cs="Arial" w:eastAsia="Arial" w:hAnsi="Arial"/>
          <w:sz w:val="16"/>
          <w:szCs w:val="16"/>
          <w:color w:val="auto"/>
        </w:rPr>
        <w:t xml:space="preserve">as the chief financial officer of Nohla Therapeutics, a cell therapy company, from January 2018 to August 2019. Prior to Nohla, Mr. Johnson served as the chief financial officer of NanoString Technologies, a provider of life science tools for translational research and molecular diagnostics, from October 2012 to December 2017.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(renamed Armata Pharmaceuticals) and as Vice President of Finance at Immunex Corporation during its evolution from product development to commercial operations. Mr. Johnson received a B.A. in business administration from the University of Washington in 1979. </w:t>
      </w:r>
      <w:r>
        <w:rPr>
          <w:rFonts w:ascii="Arial" w:cs="Arial" w:eastAsia="Arial" w:hAnsi="Arial"/>
          <w:sz w:val="16"/>
          <w:szCs w:val="16"/>
          <w:b w:val="1"/>
          <w:bCs w:val="1"/>
          <w:color w:val="255993"/>
        </w:rPr>
        <w:t>We believe that Mr. Johnson’s depth of experience in the</w:t>
      </w:r>
      <w:r>
        <w:rPr>
          <w:rFonts w:ascii="Arial" w:cs="Arial" w:eastAsia="Arial" w:hAnsi="Arial"/>
          <w:sz w:val="16"/>
          <w:szCs w:val="16"/>
          <w:color w:val="auto"/>
        </w:rPr>
        <w:t xml:space="preserve"> </w:t>
      </w:r>
      <w:r>
        <w:rPr>
          <w:rFonts w:ascii="Arial" w:cs="Arial" w:eastAsia="Arial" w:hAnsi="Arial"/>
          <w:sz w:val="16"/>
          <w:szCs w:val="16"/>
          <w:b w:val="1"/>
          <w:bCs w:val="1"/>
          <w:color w:val="255993"/>
        </w:rPr>
        <w:t>biopharmaceuticals industry, including as chief financial officer of a number of publicly traded biopharmaceutical companies, qualifies him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197485</wp:posOffset>
            </wp:positionV>
            <wp:extent cx="900430" cy="900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00430" cy="90043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255993"/>
        </w:rPr>
        <w:t>Athira Pharma,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55993"/>
        </w:rPr>
        <w:t>Barbara Kosacz</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67   DIRECTOR SINCE: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89154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 xml:space="preserve">Barbara Kosacz has served on our board of directors since March 2021. Ms. Kosacz served as chief operating officer and general counsel at Kronos Bio, Inc., a clinical-stage biopharmaceutical company, from July 2020 until February 2024, where she continues to serve as a strategic business development advisor. Prior to joining Kronos Bio, Ms. Kosacz was a partner at Cooley LLP from November 1997 to December 2000, and again from November 2002 until July 2020, where she led the international life sciences practice. Ms. Kosacz has more than 25 years of experience in counseling clients in the life sciences arena, ranging from early stage startups to larger public companies, venture funds, investment banks, and non-profit institutions. She has served as a member of the BIO Emerging Companies’ Section Governing Board, the Board of Trustees of the Keck Graduate Institute, the business advisory board of Locust Walk Partners, and as a speaker at multiple life sciences-related conferences, as well as guest lecturer at the University of California, Berkeley, Stanford University, Columbia University, and the University of Pennsylvania about biotechnology law, biotech business models, corporate partnering negotiations and deal structures, and bioethics. Recognized by Best Lawyers in America since 2008 and most recently as Biotechnology Lawyer of the Year in 2018, Ms. Kosacz was listed as a “leading lawyer” for healthcare and life sciences in the 2018 Legal 500, as a “Band 1” attorney in the 2018 edition of Chambers USA: America’s Leading Lawyers for Business and recognized as a “highly recommended transactions” lawyer by IAM Patent 1000 for her “nearly three decades advising diverse companies in the industry at a deeply strategic and commercial level and overseeing their most complex and profitable deals.” Ms. Kosacz is a member of the board of directors of XOMA Corp., a public biotechnology royalty aggregation company, and a member of the board of directors of the Scripps Research Institute and served as a member of the board of directors of Phoenix Biotech Acquisition Corp., a blank check company formed for the purpose of acquiring or merging with one or more businesses, from October 2021 to February 2024. Ms. Kosacz received her B.A. from Stanford University and her J.D. from the University of California, Berkeley School of Law. </w:t>
      </w:r>
      <w:r>
        <w:rPr>
          <w:rFonts w:ascii="Arial" w:cs="Arial" w:eastAsia="Arial" w:hAnsi="Arial"/>
          <w:sz w:val="16"/>
          <w:szCs w:val="16"/>
          <w:b w:val="1"/>
          <w:bCs w:val="1"/>
          <w:color w:val="255993"/>
        </w:rPr>
        <w:t>We believe that</w:t>
      </w:r>
    </w:p>
    <w:p>
      <w:pPr>
        <w:spacing w:after="0" w:line="8"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b w:val="1"/>
          <w:bCs w:val="1"/>
          <w:color w:val="255993"/>
        </w:rPr>
        <w:t>Ms. Kosacz’s extensive experience as an advisor to life sciences companies qualifies her to serve on our board of directors.</w:t>
      </w:r>
    </w:p>
    <w:p>
      <w:pPr>
        <w:spacing w:after="0" w:line="214" w:lineRule="exact"/>
        <w:rPr>
          <w:sz w:val="20"/>
          <w:szCs w:val="20"/>
          <w:color w:val="auto"/>
        </w:rPr>
      </w:pPr>
    </w:p>
    <w:p>
      <w:pPr>
        <w:jc w:val="both"/>
        <w:ind w:left="2980"/>
        <w:spacing w:after="0"/>
        <w:tabs>
          <w:tab w:leader="none" w:pos="6320" w:val="left"/>
        </w:tabs>
        <w:rPr>
          <w:sz w:val="20"/>
          <w:szCs w:val="20"/>
          <w:color w:val="auto"/>
        </w:rPr>
      </w:pPr>
      <w:r>
        <w:rPr>
          <w:rFonts w:ascii="Arial" w:cs="Arial" w:eastAsia="Arial" w:hAnsi="Arial"/>
          <w:sz w:val="14"/>
          <w:szCs w:val="14"/>
          <w:b w:val="1"/>
          <w:bCs w:val="1"/>
          <w:color w:val="255993"/>
        </w:rPr>
        <w:t>12</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118110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240" w:space="400"/>
            <w:col w:w="7760"/>
          </w:cols>
          <w:pgMar w:left="1240" w:top="114" w:right="12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529590</wp:posOffset>
            </wp:positionV>
            <wp:extent cx="882650" cy="8826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255993"/>
        </w:rPr>
        <w:t>Mark Litton</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AGE: 57   DIRECTOR SINCE: OCTOBER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152400</wp:posOffset>
            </wp:positionV>
            <wp:extent cx="89154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Mark Litton, Ph.D., has served as our president and chief executive officer and member of our board of</w:t>
      </w:r>
    </w:p>
    <w:p>
      <w:pPr>
        <w:spacing w:after="0" w:line="21" w:lineRule="exact"/>
        <w:rPr>
          <w:sz w:val="20"/>
          <w:szCs w:val="20"/>
          <w:color w:val="auto"/>
        </w:rPr>
      </w:pPr>
    </w:p>
    <w:p>
      <w:pPr>
        <w:ind w:left="1620" w:right="40" w:hanging="1619"/>
        <w:spacing w:after="0" w:line="235" w:lineRule="auto"/>
        <w:tabs>
          <w:tab w:leader="none" w:pos="1600" w:val="left"/>
        </w:tabs>
        <w:rPr>
          <w:sz w:val="20"/>
          <w:szCs w:val="20"/>
          <w:color w:val="auto"/>
        </w:rPr>
      </w:pPr>
      <w:r>
        <w:rPr>
          <w:rFonts w:ascii="Arial" w:cs="Arial" w:eastAsia="Arial" w:hAnsi="Arial"/>
          <w:sz w:val="32"/>
          <w:szCs w:val="32"/>
          <w:color w:val="auto"/>
          <w:vertAlign w:val="subscript"/>
        </w:rPr>
        <w:t xml:space="preserve">  </w:t>
      </w:r>
      <w:r>
        <w:rPr>
          <w:sz w:val="20"/>
          <w:szCs w:val="20"/>
          <w:color w:val="auto"/>
        </w:rPr>
        <w:tab/>
      </w:r>
      <w:r>
        <w:rPr>
          <w:rFonts w:ascii="Arial" w:cs="Arial" w:eastAsia="Arial" w:hAnsi="Arial"/>
          <w:sz w:val="16"/>
          <w:szCs w:val="16"/>
          <w:color w:val="auto"/>
        </w:rPr>
        <w:t xml:space="preserve">directors since October 2021 and previously served as our chief operating officer since July 2019. Prior to joining us, Dr. Litton served as the president and chief operating officer of Alpine Immune Sciences, Inc., a publicly traded biotechnology company, from August 2018 to April 2019. Dr. Litton 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B.A. in biochemistry and molecular biology from the University of California Santa Cruz in 1990. </w:t>
      </w:r>
      <w:r>
        <w:rPr>
          <w:rFonts w:ascii="Arial" w:cs="Arial" w:eastAsia="Arial" w:hAnsi="Arial"/>
          <w:sz w:val="16"/>
          <w:szCs w:val="16"/>
          <w:b w:val="1"/>
          <w:bCs w:val="1"/>
          <w:color w:val="255993"/>
        </w:rPr>
        <w:t>We believe that Dr. Litton’s experience in the</w:t>
      </w:r>
      <w:r>
        <w:rPr>
          <w:rFonts w:ascii="Arial" w:cs="Arial" w:eastAsia="Arial" w:hAnsi="Arial"/>
          <w:sz w:val="16"/>
          <w:szCs w:val="16"/>
          <w:color w:val="auto"/>
        </w:rPr>
        <w:t xml:space="preserve"> </w:t>
      </w:r>
      <w:r>
        <w:rPr>
          <w:rFonts w:ascii="Arial" w:cs="Arial" w:eastAsia="Arial" w:hAnsi="Arial"/>
          <w:sz w:val="16"/>
          <w:szCs w:val="16"/>
          <w:b w:val="1"/>
          <w:bCs w:val="1"/>
          <w:color w:val="255993"/>
        </w:rPr>
        <w:t>biopharmaceutical industry and the perspective and experience he brings as our chief executive officer qualifies him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365125</wp:posOffset>
            </wp:positionV>
            <wp:extent cx="882650" cy="8915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2650" cy="89154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255993"/>
        </w:rPr>
        <w:t>Athira Pharma,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55993"/>
        </w:rPr>
        <w:t>Michael Panzara</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58   DIRECTOR SINCE: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89154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 xml:space="preserve">Michael Panzara, M.D., M.P.H., has served on our board of directors since March 2022. Dr. Panzara has served as chief medical officer at Neurvati Neurosciences, Inc., a Blackstone Life Sciences portfolio company, since October 2022. Previously, Dr. Panzara served as chief medical officer and head of therapeutics discovery and development at Wave Life Sciences Ltd., a publicly traded genetic medicines company, since May 2020, where he previously served as chief medical officer from November 2018 to May 2020 and as franchise lead of neurology from July 2016 to November 2018. Prior to joining Wave Life Sciences, Dr. Panzara served in various roles at Sanofi Genzyme, including most recently as head of multiple sclerosis, neurology and ophthalmology therapeutic area for global development. Dr. Panzara has held numerous other positions in the healthcare and biopharmaceutical industries, including vice president and chief medical officer in neurology at Biogen, and instructor in neurology at Harvard Medical School with clinical appointments at Brigham &amp; Women’s Hospital and Massachusetts General Hospital. Dr. Panzara earned an M.P.H from Harvard School of Public Health in 2002, an M.D. from Stanford University School of Medicine in 1994, and a B.A. in biology from the University of Pennsylvania in 1989. </w:t>
      </w:r>
      <w:r>
        <w:rPr>
          <w:rFonts w:ascii="Arial" w:cs="Arial" w:eastAsia="Arial" w:hAnsi="Arial"/>
          <w:sz w:val="16"/>
          <w:szCs w:val="16"/>
          <w:b w:val="1"/>
          <w:bCs w:val="1"/>
          <w:color w:val="255993"/>
        </w:rPr>
        <w:t>We believe that Dr.</w:t>
      </w:r>
    </w:p>
    <w:p>
      <w:pPr>
        <w:spacing w:after="0" w:line="1"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b w:val="1"/>
          <w:bCs w:val="1"/>
          <w:color w:val="255993"/>
        </w:rPr>
        <w:t>Panzara’s extensive experience in the healthcare and biopharmaceutical industries qualifies him to serve on our board of directors.</w:t>
      </w:r>
    </w:p>
    <w:p>
      <w:pPr>
        <w:spacing w:after="0" w:line="227" w:lineRule="exact"/>
        <w:rPr>
          <w:sz w:val="20"/>
          <w:szCs w:val="20"/>
          <w:color w:val="auto"/>
        </w:rPr>
      </w:pPr>
    </w:p>
    <w:p>
      <w:pPr>
        <w:jc w:val="both"/>
        <w:ind w:left="3000"/>
        <w:spacing w:after="0"/>
        <w:tabs>
          <w:tab w:leader="none" w:pos="6340" w:val="left"/>
        </w:tabs>
        <w:rPr>
          <w:sz w:val="20"/>
          <w:szCs w:val="20"/>
          <w:color w:val="auto"/>
        </w:rPr>
      </w:pPr>
      <w:r>
        <w:rPr>
          <w:rFonts w:ascii="Arial" w:cs="Arial" w:eastAsia="Arial" w:hAnsi="Arial"/>
          <w:sz w:val="14"/>
          <w:szCs w:val="14"/>
          <w:b w:val="1"/>
          <w:bCs w:val="1"/>
          <w:color w:val="255993"/>
        </w:rPr>
        <w:t>13</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118110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240" w:space="380"/>
            <w:col w:w="7780"/>
          </w:cols>
          <w:pgMar w:left="1240" w:top="114" w:right="12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DIRECTOR INDEPENDENCE</w:t>
      </w:r>
    </w:p>
    <w:p>
      <w:pPr>
        <w:spacing w:after="0" w:line="10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common stock is listed on the Nasdaq Global Select Market.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9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Litton, none of our directors has a relationship that would interfere with the exercise of independent judgment in carrying out the responsibilities of a director and that each of these directors is “independent” as that term is defined under the rules of Nasdaq. Our board of directors also determined that Mr. Johnson, Mr. Fluke and Ms. Romano, who comprise our audit committee; Ms. Kosacz, Mr. Johnson and Mr. Pickering, who comprise our compensation committee;</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Ms. Romano, Ms. Kosacz, Mr. Edelman and Dr. Panzara, who comprise our nominating and corporate governance committee; and Dr. Panzara and Mr. Johnson, who comprise our compliance committee, satisfy applicable independence standards established by applicable SEC rules and the rules of Nasdaq.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BOARD LEADERSHIP STRUCTURE</w:t>
      </w: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Ms. Romano serves as the independent chairwoman of the board of directors, and Dr. Litton serves as our president and chief executive officer. The roles of chief executive officer and chairperson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chairperson or appoints a chief executive officer, based on the relevant facts and circumstances applicable at such time. Our board of directors has determined it is in the best interests of our stockholders to continue to maintain an independent chairperson to allow Dr. Litton to focus on his primary responsibility for the operational leadership and strategic direction of our company. Our corporate governance guidelines provide that if our board of directors does not have an independent chairperson, the board of directors will appoint a lead independent director.</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independent chairperson sets the agenda and serves as the chairperson of meetings of our board of directors and of executive sessions of our non-executive directors, confers separately with management from time to time, and facilitates discussion among other board members as appropriate. The chairperson may also, when appropriate, act as spokesperson for the Company and perform such other responsibilities that may be designated by a majority of the board of directors from time to time.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ROLE OF BOARD IN RISK OVERSIGHT PROCESS</w:t>
      </w:r>
    </w:p>
    <w:p>
      <w:pPr>
        <w:spacing w:after="0" w:line="10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Management is responsible for the day-to-day management of risks that the Company faces, in conjunction with our chief compliance officer (who is currently our general counsel) who oversees compliance with certain corporate policies, and 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environmental, social and governance (“ESG”) related risks, cybersecurity risks, and operational risks. Our compensation committee is responsible for overseeing the management of risks relating to our executive compensation plans and arrangements. Our audit</w:t>
      </w:r>
    </w:p>
    <w:p>
      <w:pPr>
        <w:spacing w:after="0" w:line="18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14</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Our compliance committee is responsible for assisting our board of directors in the oversight of our healthcare legal and regulatory compliance and scientific research integrity. While each committee is responsible for evaluating certain risks and overseeing the management of such risks, our entire board of directors is regularly informed through discussions with committee members about such risks. Our board of directors believes its administration of its risk oversight function has not affected the board of directors’ leadership structure.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ATTENDANCE AT BOARD AND STOCKHOLDER MEETINGS</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During our fiscal year ended December 31, 2024, our board of directors held seven meetings (including regularly scheduled and special meetings), and each director attended at least 75% of the aggregate of (1) the total number of meetings of the board of directors held during the period for which he or she was a director and (2) the total number of meetings held by all committees on which he or she served during the periods that he or she served.</w:t>
      </w:r>
    </w:p>
    <w:p>
      <w:pPr>
        <w:spacing w:after="0" w:line="11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our annual meetings of stockholders, we encourage, but do not require, directors to attend. Seven of the eight members of our board of directors attended our 2024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SESSIONS OF NON-EMPLOYEE DIRECTORS</w:t>
      </w:r>
    </w:p>
    <w:p>
      <w:pPr>
        <w:spacing w:after="0" w:line="108"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To encourage and enhance communication among non-employee directors, and as required under applicable Nasdaq rules, our corporate governance guidelines provide that our non-employee directors will meet in executive sessions without management directors or management present on a periodic basis. In addition, if any of our non-employee directors are not independent directors, then our independent directors will also meet in executive session on a periodic basis. These executive sessions are chaired by Kelly Romano, our chairwoman of the board of directors, or the respective committee chairperson, as appropriate.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BOARD DIVERSITY</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board of directors and nominating and corporate governance committee are committed to diversity of experience, gender, race and ethnicity, and seek to ensure that there is diversity of thought among our directors. The Company believes that diversity of thought stems from many factors including professional experience, life experience, socio-economic background, gender, race, ethnicity, religion, skill set, and geographic representation. The Company believes that the backgrounds and qualifications of the directors, considered as a group, should provide a significant composite mix of experience, knowledge, abilities, and stockholder and community representation that will allow the board of directors to fulfill its responsibilities.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BOARD COMMITTEES</w:t>
      </w:r>
    </w:p>
    <w:p>
      <w:pPr>
        <w:spacing w:after="0" w:line="108"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As of the date of this proxy statement, our board of directors has four separately designated standing committees: an audit committee, a compensation committee, a nominating and corporate governance committee, and a compliance committee. Our board of directors may also establish other committees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Each committee has the composition and the responsibilities described below.</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AUDIT COMMITTEE</w:t>
      </w:r>
    </w:p>
    <w:p>
      <w:pPr>
        <w:spacing w:after="0" w:line="11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members of our audit committee are Messrs. Johnson and Fluke and Ms. Romano,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Nasdaq.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Nasdaq. A copy of the charter of our audit committee is available on our website at https://investors.athira.com/corporate-governance/governance-overview. Our board of directors has determined that each of Messrs. Johnson and Fluke and Ms. Romano is independent for audit committee purposes, as that term is defined in the rules</w:t>
      </w:r>
    </w:p>
    <w:p>
      <w:pPr>
        <w:spacing w:after="0" w:line="19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15</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of the SEC and the applicable Nasdaq rules, and has sufficient knowledge in financial and auditing matters to serve on the audit committee. During our fiscal year ended December 31, 2024, our audit committee held five meetings (including regularly scheduled and special meetings).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Our audit committee:</w:t>
      </w:r>
    </w:p>
    <w:p>
      <w:pPr>
        <w:spacing w:after="0" w:line="140" w:lineRule="exact"/>
        <w:rPr>
          <w:sz w:val="20"/>
          <w:szCs w:val="20"/>
          <w:color w:val="auto"/>
        </w:rPr>
      </w:pPr>
    </w:p>
    <w:p>
      <w:pPr>
        <w:ind w:left="140" w:right="580" w:hanging="134"/>
        <w:spacing w:after="0" w:line="272" w:lineRule="auto"/>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selects, retains, compensates, evaluates, oversees and, where appropriate, terminates our independent registered public accounting firm;</w:t>
      </w:r>
    </w:p>
    <w:p>
      <w:pPr>
        <w:spacing w:after="0" w:line="1" w:lineRule="exact"/>
        <w:rPr>
          <w:rFonts w:ascii="Arial" w:cs="Arial" w:eastAsia="Arial" w:hAnsi="Arial"/>
          <w:sz w:val="16"/>
          <w:szCs w:val="16"/>
          <w:color w:val="255993"/>
        </w:rPr>
      </w:pPr>
    </w:p>
    <w:p>
      <w:pPr>
        <w:ind w:left="140" w:right="300" w:hanging="134"/>
        <w:spacing w:after="0" w:line="272" w:lineRule="auto"/>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and approves the scope and plans for the audits and the audit fees and approves all non-audit and tax services to be performed by the independent audit;</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evaluates the independence and qualification of the independent registered public accounting firm;</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internal controls and integrity of financial statements;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financial information presentation, earnings press releases and guidance;</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oversees the design, implementation and performance of our internal audit function, if any;</w:t>
      </w:r>
    </w:p>
    <w:p>
      <w:pPr>
        <w:spacing w:after="0" w:line="32" w:lineRule="exact"/>
        <w:rPr>
          <w:rFonts w:ascii="Arial" w:cs="Arial" w:eastAsia="Arial" w:hAnsi="Arial"/>
          <w:sz w:val="16"/>
          <w:szCs w:val="16"/>
          <w:color w:val="255993"/>
        </w:rPr>
      </w:pPr>
    </w:p>
    <w:p>
      <w:pPr>
        <w:ind w:left="140" w:right="580" w:hanging="134"/>
        <w:spacing w:after="0" w:line="272" w:lineRule="auto"/>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sets hiring policies with regard to the hiring of employees and former employees of our independent auditor and oversees compliance with such policies;</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and monitors compliance with our Investment Policy and approves any amendments or deviations;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approves and monitors related party transactions;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develops, approves, reviews and monitors compliance with our code of business conduct and ethics;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adopts and oversees procedures to address complaints regarding accounting, internal accounting controls or auditing matters;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and discusses with our management and the independent auditor our compliance with various laws;</w:t>
      </w:r>
    </w:p>
    <w:p>
      <w:pPr>
        <w:spacing w:after="0" w:line="32" w:lineRule="exact"/>
        <w:rPr>
          <w:rFonts w:ascii="Arial" w:cs="Arial" w:eastAsia="Arial" w:hAnsi="Arial"/>
          <w:sz w:val="16"/>
          <w:szCs w:val="16"/>
          <w:color w:val="255993"/>
        </w:rPr>
      </w:pPr>
    </w:p>
    <w:p>
      <w:pPr>
        <w:ind w:left="140" w:right="360" w:hanging="134"/>
        <w:spacing w:after="0" w:line="259" w:lineRule="auto"/>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and discusses with management, our independent auditor and our compliance committee, guidelines and policies to identify, monitor, and address enterprise risks, including the risks and exposures associated with cybersecurity, information security and privacy matters, and risks relating to securities laws, anti-corruption compliance and conflicts of interest, and conducts, in conjunction with management and our compliance committee, compliance risk analyses;</w:t>
      </w:r>
    </w:p>
    <w:p>
      <w:pPr>
        <w:spacing w:after="0" w:line="2"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engages independent legal, accounting and other advisors;</w:t>
      </w:r>
    </w:p>
    <w:p>
      <w:pPr>
        <w:spacing w:after="0" w:line="32" w:lineRule="exact"/>
        <w:rPr>
          <w:rFonts w:ascii="Arial" w:cs="Arial" w:eastAsia="Arial" w:hAnsi="Arial"/>
          <w:sz w:val="16"/>
          <w:szCs w:val="16"/>
          <w:color w:val="255993"/>
        </w:rPr>
      </w:pPr>
    </w:p>
    <w:p>
      <w:pPr>
        <w:ind w:left="140" w:right="300" w:hanging="134"/>
        <w:spacing w:after="0" w:line="272" w:lineRule="auto"/>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determines appropriate funding for compensation to independent registered accounting firms, advisors and related expenses; and</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the adequacy of the audit committee charter and recommends any proposed changes to our board of directors.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COMPENSATION COMMITTEE</w:t>
      </w:r>
    </w:p>
    <w:p>
      <w:pPr>
        <w:spacing w:after="0" w:line="11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members of our compensation committee are Ms. Kosacz and Messrs. Johnson and Pickering. Ms. Kosacz is the chairwoman of our compensation committee. Our compensation committee oversees our compensation policies, plans and benefits programs. Our compensation committee operates under a written charter that specifies its duties and responsibilities and satisfies the applicable listing standards of Nasdaq. A copy of the charter of our compensation committee is available on our website at https://investors.athira.com/corporate-governance/governance-overview. During our fiscal year ended December 31, 2024, our compensation committee held four meetings (including regularly scheduled and special meetings).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committee:</w:t>
      </w:r>
    </w:p>
    <w:p>
      <w:pPr>
        <w:spacing w:after="0" w:line="154" w:lineRule="exact"/>
        <w:rPr>
          <w:sz w:val="20"/>
          <w:szCs w:val="20"/>
          <w:color w:val="auto"/>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approves the corporate goals and objectives applicable to the compensation of our chief executive officer;</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approves the compensation and benefits for our executive officers;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approves, and administers employee compensation plans;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advises on proposals to stockholders on executive compensation matters;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oversees compensation plans and programs;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discusses our compensation policies and practices and the risks related thereto;</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approves the creation or revision of any clawback policy allowing us to recoup compensation paid to employees;</w:t>
      </w:r>
    </w:p>
    <w:p>
      <w:pPr>
        <w:spacing w:after="0" w:line="22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16</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right="200" w:hanging="134"/>
        <w:spacing w:after="0" w:line="272" w:lineRule="auto"/>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reviews and recommends to the board of directors the form and amount of compensation to be paid for service on the board of directors and committees and for service as a chairperson of a committee;</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oversees regulatory compliance with respect to compensation matters;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retains or obtains the advice of compensation consultants; and</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reviews the adequacy of the compensation committee charter and recommends any proposed changes to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NOMINATING AND CORPORATE GOVERNANCE COMMITTEE</w:t>
      </w:r>
    </w:p>
    <w:p>
      <w:pPr>
        <w:spacing w:after="0" w:line="113"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The members of our nominating and corporate governance committee are Mses. Romano and Kosacz, Mr. Edelman and Dr. Panzara. Ms. Romano is the chairwoman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Nasdaq. A copy of the charter of our nominating and corporate governance committee is available on our website at https://investors.athira.com/corporate-governance/governance-overview. During our fiscal year ended December 31, 2024, our nominating and corporate governance committee held two meetings (including regularly scheduled and special meetings).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corporate governance committee:</w:t>
      </w:r>
    </w:p>
    <w:p>
      <w:pPr>
        <w:spacing w:after="0" w:line="127" w:lineRule="exact"/>
        <w:rPr>
          <w:sz w:val="20"/>
          <w:szCs w:val="20"/>
          <w:color w:val="auto"/>
        </w:rPr>
      </w:pPr>
    </w:p>
    <w:p>
      <w:pPr>
        <w:ind w:left="140" w:hanging="134"/>
        <w:spacing w:after="0"/>
        <w:tabs>
          <w:tab w:leader="none" w:pos="14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establishes procedures for the submission of candidates for election to our board of directors;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conducts a periodic review of our succession planning process for the executive management team;</w:t>
      </w:r>
    </w:p>
    <w:p>
      <w:pPr>
        <w:spacing w:after="0" w:line="30" w:lineRule="exact"/>
        <w:rPr>
          <w:rFonts w:ascii="Arial" w:cs="Arial" w:eastAsia="Arial" w:hAnsi="Arial"/>
          <w:sz w:val="16"/>
          <w:szCs w:val="16"/>
          <w:color w:val="255993"/>
        </w:rPr>
      </w:pPr>
    </w:p>
    <w:p>
      <w:pPr>
        <w:ind w:left="140" w:right="700" w:hanging="134"/>
        <w:spacing w:after="0" w:line="255" w:lineRule="auto"/>
        <w:tabs>
          <w:tab w:leader="none" w:pos="14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reviews the structure and composition of each committee of our board of directors and makes recommendations for any proposed changes to the committees;</w:t>
      </w:r>
    </w:p>
    <w:p>
      <w:pPr>
        <w:ind w:left="140" w:right="600" w:hanging="134"/>
        <w:spacing w:after="0" w:line="256" w:lineRule="auto"/>
        <w:tabs>
          <w:tab w:leader="none" w:pos="14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develops and recommends to the board of directors corporate governance guidelines and annually reviews the corporate governance guidelines and their application;</w:t>
      </w:r>
    </w:p>
    <w:p>
      <w:pPr>
        <w:ind w:left="140" w:hanging="134"/>
        <w:spacing w:after="0"/>
        <w:tabs>
          <w:tab w:leader="none" w:pos="14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oversees governance practices;</w:t>
      </w:r>
    </w:p>
    <w:p>
      <w:pPr>
        <w:spacing w:after="0" w:line="30" w:lineRule="exact"/>
        <w:rPr>
          <w:rFonts w:ascii="Arial" w:cs="Arial" w:eastAsia="Arial" w:hAnsi="Arial"/>
          <w:sz w:val="16"/>
          <w:szCs w:val="16"/>
          <w:color w:val="255993"/>
        </w:rPr>
      </w:pPr>
    </w:p>
    <w:p>
      <w:pPr>
        <w:ind w:left="140" w:hanging="134"/>
        <w:spacing w:after="0"/>
        <w:tabs>
          <w:tab w:leader="none" w:pos="14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oversees our director orientation and continuing education;</w:t>
      </w:r>
    </w:p>
    <w:p>
      <w:pPr>
        <w:spacing w:after="0" w:line="18" w:lineRule="exact"/>
        <w:rPr>
          <w:rFonts w:ascii="Arial" w:cs="Arial" w:eastAsia="Arial" w:hAnsi="Arial"/>
          <w:sz w:val="16"/>
          <w:szCs w:val="16"/>
          <w:color w:val="255993"/>
        </w:rPr>
      </w:pPr>
    </w:p>
    <w:p>
      <w:pPr>
        <w:ind w:left="140" w:hanging="134"/>
        <w:spacing w:after="0"/>
        <w:tabs>
          <w:tab w:leader="none" w:pos="14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oversees the evaluation of our board of directors and its committees;</w:t>
      </w:r>
    </w:p>
    <w:p>
      <w:pPr>
        <w:spacing w:after="0" w:line="19" w:lineRule="exact"/>
        <w:rPr>
          <w:rFonts w:ascii="Arial" w:cs="Arial" w:eastAsia="Arial" w:hAnsi="Arial"/>
          <w:sz w:val="16"/>
          <w:szCs w:val="16"/>
          <w:color w:val="255993"/>
        </w:rPr>
      </w:pPr>
    </w:p>
    <w:p>
      <w:pPr>
        <w:ind w:left="140" w:right="860" w:hanging="134"/>
        <w:spacing w:after="0" w:line="263" w:lineRule="auto"/>
        <w:tabs>
          <w:tab w:leader="none" w:pos="14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administers policies and procedures for various constituencies that are involved with us to communicate with the non-management members of our board of directors;</w:t>
      </w:r>
    </w:p>
    <w:p>
      <w:pPr>
        <w:ind w:left="140" w:right="600" w:hanging="134"/>
        <w:spacing w:after="0" w:line="255" w:lineRule="auto"/>
        <w:tabs>
          <w:tab w:leader="none" w:pos="14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oversees and periodically reviews the Company’s ESG activities, programs and public disclosure, including in light of any feedback received from stockholders of the Company; and</w:t>
      </w:r>
    </w:p>
    <w:p>
      <w:pPr>
        <w:ind w:left="140" w:right="140" w:hanging="134"/>
        <w:spacing w:after="0" w:line="270" w:lineRule="auto"/>
        <w:tabs>
          <w:tab w:leader="none" w:pos="14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reviews the adequacy of the nominating and corporate governance committee charter and recommends any proposed changes to our board of directors.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COMPLIANCE COMMITTEE</w:t>
      </w:r>
    </w:p>
    <w:p>
      <w:pPr>
        <w:spacing w:after="0" w:line="11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compliance committee was established in September 2024 and first convened in February 2025. The members of our compliance committee are Dr. Panzara and Mr. Johnson. Dr. Panzara is the chairman of our compliance committee. Our compliance committee assists our board of directors in the oversight of our scientific research activities, including the development of our products and product candidates in clinical and preclinical development, and compliance with healthcare legal and regulatory requirements, and conducts related compliance risk analyses in conjunction with our audit committee. Our compliance committee operates under a written charter that specifies its duties and responsibilities, the adequacy of which is reviewed and any proposed changes recommended by the committee to our board of directors. A copy of the charter of our compliance committee is available on our website at https://investors.athira.com/corporate-governance/governance-overview.</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compliance committee assists our board of directors in the oversight of, and assessment of risk associated with:</w:t>
      </w:r>
    </w:p>
    <w:p>
      <w:pPr>
        <w:spacing w:after="0" w:line="167" w:lineRule="exact"/>
        <w:rPr>
          <w:sz w:val="20"/>
          <w:szCs w:val="20"/>
          <w:color w:val="auto"/>
        </w:rPr>
      </w:pPr>
    </w:p>
    <w:p>
      <w:pPr>
        <w:ind w:left="140" w:hanging="134"/>
        <w:spacing w:after="0"/>
        <w:tabs>
          <w:tab w:leader="none" w:pos="140" w:val="left"/>
        </w:tabs>
        <w:numPr>
          <w:ilvl w:val="0"/>
          <w:numId w:val="19"/>
        </w:numPr>
        <w:rPr>
          <w:rFonts w:ascii="Arial" w:cs="Arial" w:eastAsia="Arial" w:hAnsi="Arial"/>
          <w:sz w:val="16"/>
          <w:szCs w:val="16"/>
          <w:color w:val="255993"/>
        </w:rPr>
      </w:pPr>
      <w:r>
        <w:rPr>
          <w:rFonts w:ascii="Arial" w:cs="Arial" w:eastAsia="Arial" w:hAnsi="Arial"/>
          <w:sz w:val="16"/>
          <w:szCs w:val="16"/>
          <w:color w:val="auto"/>
        </w:rPr>
        <w:t>our compliance with healthcare legal and regulatory requirements;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19"/>
        </w:numPr>
        <w:rPr>
          <w:rFonts w:ascii="Arial" w:cs="Arial" w:eastAsia="Arial" w:hAnsi="Arial"/>
          <w:sz w:val="16"/>
          <w:szCs w:val="16"/>
          <w:color w:val="255993"/>
        </w:rPr>
      </w:pPr>
      <w:r>
        <w:rPr>
          <w:rFonts w:ascii="Arial" w:cs="Arial" w:eastAsia="Arial" w:hAnsi="Arial"/>
          <w:sz w:val="16"/>
          <w:szCs w:val="16"/>
          <w:color w:val="auto"/>
        </w:rPr>
        <w:t>matters relating to the safety and effectiveness of our products and product candidates in clinical and preclinical development;</w:t>
      </w:r>
    </w:p>
    <w:p>
      <w:pPr>
        <w:spacing w:after="0" w:line="22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17</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hanging="134"/>
        <w:spacing w:after="0"/>
        <w:tabs>
          <w:tab w:leader="none" w:pos="140" w:val="left"/>
        </w:tabs>
        <w:numPr>
          <w:ilvl w:val="0"/>
          <w:numId w:val="20"/>
        </w:numPr>
        <w:rPr>
          <w:rFonts w:ascii="Arial" w:cs="Arial" w:eastAsia="Arial" w:hAnsi="Arial"/>
          <w:sz w:val="16"/>
          <w:szCs w:val="16"/>
          <w:color w:val="255993"/>
        </w:rPr>
      </w:pPr>
      <w:r>
        <w:rPr>
          <w:rFonts w:ascii="Arial" w:cs="Arial" w:eastAsia="Arial" w:hAnsi="Arial"/>
          <w:sz w:val="16"/>
          <w:szCs w:val="16"/>
          <w:color w:val="auto"/>
        </w:rPr>
        <w:t>the integrity of scientific research and accuracy and completeness of our scientific publications;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0"/>
        </w:numPr>
        <w:rPr>
          <w:rFonts w:ascii="Arial" w:cs="Arial" w:eastAsia="Arial" w:hAnsi="Arial"/>
          <w:sz w:val="16"/>
          <w:szCs w:val="16"/>
          <w:color w:val="255993"/>
        </w:rPr>
      </w:pPr>
      <w:r>
        <w:rPr>
          <w:rFonts w:ascii="Arial" w:cs="Arial" w:eastAsia="Arial" w:hAnsi="Arial"/>
          <w:sz w:val="16"/>
          <w:szCs w:val="16"/>
          <w:color w:val="auto"/>
        </w:rPr>
        <w:t>the qualification and performance of contract research and contract manufacturing organizations.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CONSIDERATIONS IN EVALUATING DIRECTOR NOMINEES</w:t>
      </w:r>
    </w:p>
    <w:p>
      <w:pPr>
        <w:spacing w:after="0" w:line="10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of directors and the needs of our board of directors and the respective committees of our board of directors and other director qualifications. While our board of directors has not established minimum qualifications for board members, some of the factors that our nominating and corporate governance committee considers in assessing director nominee qualifications include, without limitation, character, professional ethics and integrity, judgment, business acumen, proven achievement and competence in one’s field, the ability to exercise sound business judgment, tenure on the board of directors and skills that are complementary to the board of directors, an understanding of our business, an understanding of the responsibilities that are required of a member of the board of directors, other time commitments, diversity with respect to professional background, education, race, ethnicity, gender, age and geography, as well as other individual qualities and attributes that contribute to the total mix of viewpoints and experience represented on our board of directors. Although our board of directors does not maintain a specific policy with respect to board diversity, our board of directors believes that the board of directors should be a diverse body, and the nominating and corporate governance committee considers a broad range of perspectives, backgrounds and experiences.</w:t>
      </w:r>
    </w:p>
    <w:p>
      <w:pPr>
        <w:spacing w:after="0" w:line="12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If our nominating and corporate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of directors or management.</w:t>
      </w:r>
    </w:p>
    <w:p>
      <w:pPr>
        <w:spacing w:after="0" w:line="11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After completing its review and evaluation of director candidates, our nominating and corporate governance committee recommends to our full board of directors the director nominees for selection. Our nominating and corporate governance committee has discretion to decide which individuals to recommend for nomination as directors and our board of directors has the final authority in determining the selection of director candidates for nomination to our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STOCKHOLDER RECOMMENDATIONS AND NOMINATIONS TO OUR BOARD OF DIRECTORS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nominating and corporate governance committee will consider recommendations for candidates to our board of directors from stockholders in the same manner as candidates recommended to the committee from other sources. Our nominating and corporate governance committee will evaluate such recommendations in accordance with its charter, the Bylaws and the director nominee criteria described above.</w:t>
      </w:r>
    </w:p>
    <w:p>
      <w:pPr>
        <w:spacing w:after="0" w:line="110"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A stockholder that wants to recommend a candidate to our board of directors should direct the recommendation in writing by letter to our corporate secretary at Athira Pharma, Inc., 18706 North Creek Parkway, Suite 104, Bothell, Washington 98011,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Under the Bylaws, stockholders may also directly nominate persons for our board of directors. Any nomination must comply with the requirements set forth in the Bylaws and the rules and regulations of the SEC and should be sent in writing to our corporate secretary at the address above. To be timely for our next year’s annual meeting of stockholders, nominations must be received by our corporate secretary observing the deadlines discussed above under “</w:t>
      </w:r>
      <w:r>
        <w:rPr>
          <w:rFonts w:ascii="Arial" w:cs="Arial" w:eastAsia="Arial" w:hAnsi="Arial"/>
          <w:sz w:val="16"/>
          <w:szCs w:val="16"/>
          <w:i w:val="1"/>
          <w:iCs w:val="1"/>
          <w:color w:val="auto"/>
        </w:rPr>
        <w:t>Questions and Answers About the Proxy Materials and</w:t>
      </w:r>
      <w:r>
        <w:rPr>
          <w:rFonts w:ascii="Arial" w:cs="Arial" w:eastAsia="Arial" w:hAnsi="Arial"/>
          <w:sz w:val="16"/>
          <w:szCs w:val="16"/>
          <w:color w:val="auto"/>
        </w:rPr>
        <w:t xml:space="preserve"> </w:t>
      </w:r>
      <w:r>
        <w:rPr>
          <w:rFonts w:ascii="Arial" w:cs="Arial" w:eastAsia="Arial" w:hAnsi="Arial"/>
          <w:sz w:val="16"/>
          <w:szCs w:val="16"/>
          <w:i w:val="1"/>
          <w:iCs w:val="1"/>
          <w:color w:val="auto"/>
        </w:rPr>
        <w:t>our Annual Meeting—What is the deadline to propose actions for consideration at next year’s annual meeting of stockholders or to nominate individuals to serve as directors?</w:t>
      </w:r>
      <w:r>
        <w:rPr>
          <w:rFonts w:ascii="Arial" w:cs="Arial" w:eastAsia="Arial" w:hAnsi="Arial"/>
          <w:sz w:val="16"/>
          <w:szCs w:val="16"/>
          <w:color w:val="auto"/>
        </w:rPr>
        <w:t>”</w:t>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18</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COMMUNICATIONS WITH THE BOARD OF DIRECTORS</w:t>
      </w:r>
    </w:p>
    <w:p>
      <w:pPr>
        <w:spacing w:after="0" w:line="10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Stockholders and other interested parties wishing to communicate directly with our non-employee directors may do so by writing and sending the correspondence to our corporate secretary by mail to our principal executive offices at Athira Pharma, Inc., 18706 North Creek Parkway, Suite 104, Bothell, Washington 98011. Our corporate secretary,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of directors to consider and (3) matters that are of a type that render them improper or irrelevant to the functioning of our board of directors or our business, for example, mass mailings, product complaints or inquiries, job inquiries, business solicitations and patently offensive or otherwise inappropriate material. If appropriate, our corporate secretary will route such communications to the appropriate director(s) or, if none is specified, then to the chairperson of the board of directors. These policies and procedures do not apply to communications to non-employee directors from our officers or directors who are stockholders or stockholder proposals submitted pursuant to Rule 14a-8 under the Exchange Act.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INSIDER TRADING POLICY</w:t>
      </w:r>
    </w:p>
    <w:p>
      <w:pPr>
        <w:spacing w:after="0" w:line="10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adopted an insider trading policy that governs the purchase, sale, and other dispositions of our securities by our directors, officers, employees and other covered individuals, that we believe is reasonably designed to promote compliance with applicable insider trading laws, rules and regulations and the listing standards of Nasdaq. A copy of our insider trading policy was filed as an exhibit to our Annual Report on Form 10-K for fiscal year 2024. In addition, with regard to trading in our own securities, it is our policy to comply with the federal securities laws and the applicable exchange listing requirements.</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Under our insider trading policy, our employees, including our executive officers, consultants, contractors, advisors, and the members of our board of directors are prohibited from, directly or indirectly, among other things, (1) engaging in short sales, (2) trading in publicly 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or as part of any other pledging transaction and (5) holding our securities in a margin account.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CODE OF BUSINESS CONDUCT AND ETHICS</w:t>
      </w:r>
    </w:p>
    <w:p>
      <w:pPr>
        <w:spacing w:after="0" w:line="10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 section of our website at https://investors.athira.com/corporate-governance/ governance-overview. We will post amendments to our code of business conduct and ethics or waivers of our code of business conduct and ethics for directors and executive officers on the same website.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ENVIRONMENTAL, SOCIAL AND GOVERNANCE (ESG) AND RELATED MATTERS</w:t>
      </w:r>
    </w:p>
    <w:p>
      <w:pPr>
        <w:spacing w:after="0" w:line="10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ESG strategy is focused on areas that are material to our business and clearly connected to our business operations. We expect our ESG strategy to evolve as we continue to assess the appropriate framework for our disclosures and appropriate metrics to measure our actions. Our nominating and corporate governance committee has oversight of our overall ESG activities and programs, and we have discussed elsewhere in this proxy statement certain of our corporate governance policies and programs, including our code of business conduct and ethics, corporate governance guidelines, related-person transactions policy, clawback policy, and overall commitment to diversity of experience, gender, race and ethnicity to seek to ensure that there is diversity of thought among our directors. We also require training and compliance with other corporate policies including our whistleblower policy, global anti-bribery and anti-corruption policy, and insider trading policy and various quality assurance, cybersecurity and safety protocols.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CORE VALUES</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At Athira, we are guided by our mission to restore lives by advancing bold therapies for neuronal health, thoughtfully and urgently. We are committed to restoring, rebuilding and retaining connections. Our core values of people, integrity, collaboration, perseverance, transformation, inclusion and resourcefulness serve to guide us on our path toward achieving our mission. Our core values establish</w:t>
      </w:r>
    </w:p>
    <w:p>
      <w:pPr>
        <w:spacing w:after="0" w:line="183"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19</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foundation for how we conduct our business, how we interact with each other and our stakeholders, and how we evaluate employee performance.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EMPLOYEES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hiring, engagement and retention of a skilled workforce is particularly important in the highly competitive scientific fields in which we operate. Our employees play a key role in our ability to achieve our mission, and we strive to attract, empower and retain highly qualified employees who are inspired, diverse and driven. To attract and retain top talent, we strive to create opportunities for our employees to grow and develop in their careers and ensure they are supported by competitive compensation and a comprehensive benefits program.</w:t>
      </w:r>
    </w:p>
    <w:p>
      <w:pPr>
        <w:spacing w:after="0" w:line="11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believe employee career development is an investment in our employees’ skills and our future. Additionally, we have an employee review program which evaluates employee performance and is designed to support our employees’ career and personal development, which ultimately contributes to achieving our mission.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believe it is important to encourage open and direct communication at all levels in our organization.</w:t>
      </w:r>
    </w:p>
    <w:p>
      <w:pPr>
        <w:spacing w:after="0" w:line="15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We believe we provide competitive and comprehensive financial compensation and benefits for our employees and that our programs are designed to meet our employees’ needs. In addition to salaries, these programs include, for eligible employees, new employee equity grants, additional discretionary equity awards, discretionary merit-based annual bonuses, a voluntary employee stock purchase program, a 401(k) plan with company matching, healthcare and insurance benefits, health flexible spending accounts, dependent care flexible spending accounts, professional development opportunities and reimbursement, paid time off, and family leave.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CONCLUDED OPEN-LABEL EXTENSION</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previously extended our now-concluded ACT-AD and LIFT-AD clinical trials in an open label extension intended to continue access to our prior drug candidate for Alzheimer’s disease in support of the patients in those clinical trials and their caregivers who are faced with such a devastating disease, again in furtherance of our mission to restore lives by advancing bold therapies for neuronal health, thoughtfully and urgently.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DIRECTOR COMPENSATION</w:t>
      </w:r>
    </w:p>
    <w:p>
      <w:pPr>
        <w:spacing w:after="0" w:line="14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provides information regarding compensation of our non-employee directors for service as directors for the year ended December 31,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3700" w:type="dxa"/>
            <w:vAlign w:val="bottom"/>
            <w:shd w:val="clear" w:color="auto" w:fill="255993"/>
          </w:tcPr>
          <w:p>
            <w:pPr>
              <w:spacing w:after="0"/>
              <w:rPr>
                <w:sz w:val="24"/>
                <w:szCs w:val="24"/>
                <w:color w:val="auto"/>
              </w:rPr>
            </w:pPr>
          </w:p>
        </w:tc>
        <w:tc>
          <w:tcPr>
            <w:tcW w:w="2820" w:type="dxa"/>
            <w:vAlign w:val="bottom"/>
            <w:shd w:val="clear" w:color="auto" w:fill="255993"/>
          </w:tcPr>
          <w:p>
            <w:pPr>
              <w:jc w:val="right"/>
              <w:ind w:right="305"/>
              <w:spacing w:after="0"/>
              <w:rPr>
                <w:sz w:val="20"/>
                <w:szCs w:val="20"/>
                <w:color w:val="auto"/>
              </w:rPr>
            </w:pPr>
            <w:r>
              <w:rPr>
                <w:rFonts w:ascii="Arial" w:cs="Arial" w:eastAsia="Arial" w:hAnsi="Arial"/>
                <w:sz w:val="16"/>
                <w:szCs w:val="16"/>
                <w:b w:val="1"/>
                <w:bCs w:val="1"/>
                <w:color w:val="FFFFFF"/>
              </w:rPr>
              <w:t>Fees Earned or</w:t>
            </w:r>
          </w:p>
        </w:tc>
        <w:tc>
          <w:tcPr>
            <w:tcW w:w="1860" w:type="dxa"/>
            <w:vAlign w:val="bottom"/>
            <w:vMerge w:val="restart"/>
            <w:shd w:val="clear" w:color="auto" w:fill="255993"/>
          </w:tcPr>
          <w:p>
            <w:pPr>
              <w:jc w:val="right"/>
              <w:ind w:right="306"/>
              <w:spacing w:after="0"/>
              <w:rPr>
                <w:sz w:val="20"/>
                <w:szCs w:val="20"/>
                <w:color w:val="auto"/>
              </w:rPr>
            </w:pPr>
            <w:r>
              <w:rPr>
                <w:rFonts w:ascii="Arial" w:cs="Arial" w:eastAsia="Arial" w:hAnsi="Arial"/>
                <w:sz w:val="16"/>
                <w:szCs w:val="16"/>
                <w:b w:val="1"/>
                <w:bCs w:val="1"/>
                <w:color w:val="FFFFFF"/>
              </w:rPr>
              <w:t>Option Awards</w:t>
            </w:r>
          </w:p>
        </w:tc>
        <w:tc>
          <w:tcPr>
            <w:tcW w:w="1020" w:type="dxa"/>
            <w:vAlign w:val="bottom"/>
            <w:shd w:val="clear" w:color="auto" w:fill="255993"/>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700" w:type="dxa"/>
            <w:vAlign w:val="bottom"/>
            <w:shd w:val="clear" w:color="auto" w:fill="255993"/>
          </w:tcPr>
          <w:p>
            <w:pPr>
              <w:spacing w:after="0"/>
              <w:rPr>
                <w:sz w:val="14"/>
                <w:szCs w:val="14"/>
                <w:color w:val="auto"/>
              </w:rPr>
            </w:pPr>
          </w:p>
        </w:tc>
        <w:tc>
          <w:tcPr>
            <w:tcW w:w="2820" w:type="dxa"/>
            <w:vAlign w:val="bottom"/>
            <w:shd w:val="clear" w:color="auto" w:fill="255993"/>
          </w:tcPr>
          <w:p>
            <w:pPr>
              <w:jc w:val="right"/>
              <w:ind w:right="305"/>
              <w:spacing w:after="0" w:line="163" w:lineRule="exact"/>
              <w:rPr>
                <w:sz w:val="20"/>
                <w:szCs w:val="20"/>
                <w:color w:val="auto"/>
              </w:rPr>
            </w:pPr>
            <w:r>
              <w:rPr>
                <w:rFonts w:ascii="Arial" w:cs="Arial" w:eastAsia="Arial" w:hAnsi="Arial"/>
                <w:sz w:val="16"/>
                <w:szCs w:val="16"/>
                <w:b w:val="1"/>
                <w:bCs w:val="1"/>
                <w:color w:val="FFFFFF"/>
              </w:rPr>
              <w:t>Paid in Cash</w:t>
            </w:r>
          </w:p>
        </w:tc>
        <w:tc>
          <w:tcPr>
            <w:tcW w:w="1860" w:type="dxa"/>
            <w:vAlign w:val="bottom"/>
            <w:vMerge w:val="continue"/>
            <w:shd w:val="clear" w:color="auto" w:fill="255993"/>
          </w:tcPr>
          <w:p>
            <w:pPr>
              <w:spacing w:after="0"/>
              <w:rPr>
                <w:sz w:val="14"/>
                <w:szCs w:val="14"/>
                <w:color w:val="auto"/>
              </w:rPr>
            </w:pPr>
          </w:p>
        </w:tc>
        <w:tc>
          <w:tcPr>
            <w:tcW w:w="1020" w:type="dxa"/>
            <w:vAlign w:val="bottom"/>
            <w:shd w:val="clear" w:color="auto" w:fill="255993"/>
          </w:tcPr>
          <w:p>
            <w:pPr>
              <w:jc w:val="right"/>
              <w:ind w:right="146"/>
              <w:spacing w:after="0" w:line="163" w:lineRule="exact"/>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70"/>
        </w:trPr>
        <w:tc>
          <w:tcPr>
            <w:tcW w:w="3700" w:type="dxa"/>
            <w:vAlign w:val="bottom"/>
            <w:shd w:val="clear" w:color="auto" w:fill="255993"/>
          </w:tcPr>
          <w:p>
            <w:pPr>
              <w:ind w:left="260"/>
              <w:spacing w:after="0"/>
              <w:rPr>
                <w:sz w:val="20"/>
                <w:szCs w:val="20"/>
                <w:color w:val="auto"/>
              </w:rPr>
            </w:pPr>
            <w:r>
              <w:rPr>
                <w:rFonts w:ascii="Arial" w:cs="Arial" w:eastAsia="Arial" w:hAnsi="Arial"/>
                <w:sz w:val="16"/>
                <w:szCs w:val="16"/>
                <w:b w:val="1"/>
                <w:bCs w:val="1"/>
                <w:color w:val="FFFFFF"/>
              </w:rPr>
              <w:t>Name</w:t>
            </w:r>
          </w:p>
        </w:tc>
        <w:tc>
          <w:tcPr>
            <w:tcW w:w="2820" w:type="dxa"/>
            <w:vAlign w:val="bottom"/>
            <w:shd w:val="clear" w:color="auto" w:fill="255993"/>
          </w:tcPr>
          <w:p>
            <w:pPr>
              <w:jc w:val="right"/>
              <w:ind w:right="265"/>
              <w:spacing w:after="0"/>
              <w:rPr>
                <w:sz w:val="20"/>
                <w:szCs w:val="20"/>
                <w:color w:val="auto"/>
              </w:rPr>
            </w:pPr>
            <w:r>
              <w:rPr>
                <w:rFonts w:ascii="Arial" w:cs="Arial" w:eastAsia="Arial" w:hAnsi="Arial"/>
                <w:sz w:val="16"/>
                <w:szCs w:val="16"/>
                <w:b w:val="1"/>
                <w:bCs w:val="1"/>
                <w:color w:val="FFFFFF"/>
              </w:rPr>
              <w:t>($)</w:t>
            </w:r>
          </w:p>
        </w:tc>
        <w:tc>
          <w:tcPr>
            <w:tcW w:w="1860" w:type="dxa"/>
            <w:vAlign w:val="bottom"/>
            <w:shd w:val="clear" w:color="auto" w:fill="255993"/>
          </w:tcPr>
          <w:p>
            <w:pPr>
              <w:jc w:val="right"/>
              <w:ind w:right="266"/>
              <w:spacing w:after="0" w:line="270"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(1)</w:t>
            </w:r>
          </w:p>
        </w:tc>
        <w:tc>
          <w:tcPr>
            <w:tcW w:w="1020" w:type="dxa"/>
            <w:vAlign w:val="bottom"/>
            <w:shd w:val="clear" w:color="auto" w:fill="255993"/>
          </w:tcPr>
          <w:p>
            <w:pPr>
              <w:jc w:val="right"/>
              <w:ind w:right="106"/>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57"/>
        </w:trPr>
        <w:tc>
          <w:tcPr>
            <w:tcW w:w="3700" w:type="dxa"/>
            <w:vAlign w:val="bottom"/>
            <w:shd w:val="clear" w:color="auto" w:fill="EBEBEB"/>
          </w:tcPr>
          <w:p>
            <w:pPr>
              <w:ind w:left="260"/>
              <w:spacing w:after="0" w:line="256" w:lineRule="exact"/>
              <w:rPr>
                <w:sz w:val="20"/>
                <w:szCs w:val="20"/>
                <w:color w:val="auto"/>
              </w:rPr>
            </w:pPr>
            <w:r>
              <w:rPr>
                <w:rFonts w:ascii="Arial" w:cs="Arial" w:eastAsia="Arial" w:hAnsi="Arial"/>
                <w:sz w:val="14"/>
                <w:szCs w:val="14"/>
                <w:b w:val="1"/>
                <w:bCs w:val="1"/>
                <w:color w:val="auto"/>
              </w:rPr>
              <w:t>Kelly A. Romano</w:t>
            </w:r>
            <w:r>
              <w:rPr>
                <w:rFonts w:ascii="Arial" w:cs="Arial" w:eastAsia="Arial" w:hAnsi="Arial"/>
                <w:sz w:val="23"/>
                <w:szCs w:val="23"/>
                <w:color w:val="auto"/>
                <w:vertAlign w:val="superscript"/>
              </w:rPr>
              <w:t>(2)</w:t>
            </w:r>
          </w:p>
        </w:tc>
        <w:tc>
          <w:tcPr>
            <w:tcW w:w="2820" w:type="dxa"/>
            <w:vAlign w:val="bottom"/>
            <w:shd w:val="clear" w:color="auto" w:fill="EBEBEB"/>
          </w:tcPr>
          <w:p>
            <w:pPr>
              <w:jc w:val="right"/>
              <w:ind w:right="265"/>
              <w:spacing w:after="0"/>
              <w:rPr>
                <w:sz w:val="20"/>
                <w:szCs w:val="20"/>
                <w:color w:val="auto"/>
              </w:rPr>
            </w:pPr>
            <w:r>
              <w:rPr>
                <w:rFonts w:ascii="Arial" w:cs="Arial" w:eastAsia="Arial" w:hAnsi="Arial"/>
                <w:sz w:val="14"/>
                <w:szCs w:val="14"/>
                <w:color w:val="auto"/>
              </w:rPr>
              <w:t>80,242</w:t>
            </w:r>
          </w:p>
        </w:tc>
        <w:tc>
          <w:tcPr>
            <w:tcW w:w="1860" w:type="dxa"/>
            <w:vAlign w:val="bottom"/>
            <w:shd w:val="clear" w:color="auto" w:fill="EBEBEB"/>
          </w:tcPr>
          <w:p>
            <w:pPr>
              <w:jc w:val="right"/>
              <w:ind w:right="266"/>
              <w:spacing w:after="0"/>
              <w:rPr>
                <w:sz w:val="20"/>
                <w:szCs w:val="20"/>
                <w:color w:val="auto"/>
              </w:rPr>
            </w:pPr>
            <w:r>
              <w:rPr>
                <w:rFonts w:ascii="Arial" w:cs="Arial" w:eastAsia="Arial" w:hAnsi="Arial"/>
                <w:sz w:val="14"/>
                <w:szCs w:val="14"/>
                <w:color w:val="auto"/>
              </w:rPr>
              <w:t>43,404</w:t>
            </w:r>
          </w:p>
        </w:tc>
        <w:tc>
          <w:tcPr>
            <w:tcW w:w="1020" w:type="dxa"/>
            <w:vAlign w:val="bottom"/>
            <w:shd w:val="clear" w:color="auto" w:fill="EBEBEB"/>
          </w:tcPr>
          <w:p>
            <w:pPr>
              <w:jc w:val="right"/>
              <w:ind w:right="106"/>
              <w:spacing w:after="0"/>
              <w:rPr>
                <w:sz w:val="20"/>
                <w:szCs w:val="20"/>
                <w:color w:val="auto"/>
              </w:rPr>
            </w:pPr>
            <w:r>
              <w:rPr>
                <w:rFonts w:ascii="Arial" w:cs="Arial" w:eastAsia="Arial" w:hAnsi="Arial"/>
                <w:sz w:val="14"/>
                <w:szCs w:val="14"/>
                <w:color w:val="auto"/>
              </w:rPr>
              <w:t>123,646</w:t>
            </w:r>
          </w:p>
        </w:tc>
        <w:tc>
          <w:tcPr>
            <w:tcW w:w="0" w:type="dxa"/>
            <w:vAlign w:val="bottom"/>
          </w:tcPr>
          <w:p>
            <w:pPr>
              <w:spacing w:after="0"/>
              <w:rPr>
                <w:sz w:val="1"/>
                <w:szCs w:val="1"/>
                <w:color w:val="auto"/>
              </w:rPr>
            </w:pPr>
          </w:p>
        </w:tc>
      </w:tr>
      <w:tr>
        <w:trPr>
          <w:trHeight w:val="256"/>
        </w:trPr>
        <w:tc>
          <w:tcPr>
            <w:tcW w:w="3700" w:type="dxa"/>
            <w:vAlign w:val="bottom"/>
            <w:shd w:val="clear" w:color="auto" w:fill="FAFAFA"/>
          </w:tcPr>
          <w:p>
            <w:pPr>
              <w:ind w:left="260"/>
              <w:spacing w:after="0" w:line="256" w:lineRule="exact"/>
              <w:rPr>
                <w:sz w:val="20"/>
                <w:szCs w:val="20"/>
                <w:color w:val="auto"/>
              </w:rPr>
            </w:pPr>
            <w:r>
              <w:rPr>
                <w:rFonts w:ascii="Arial" w:cs="Arial" w:eastAsia="Arial" w:hAnsi="Arial"/>
                <w:sz w:val="14"/>
                <w:szCs w:val="14"/>
                <w:b w:val="1"/>
                <w:bCs w:val="1"/>
                <w:color w:val="auto"/>
              </w:rPr>
              <w:t>Joseph Edelman</w:t>
            </w:r>
            <w:r>
              <w:rPr>
                <w:rFonts w:ascii="Arial" w:cs="Arial" w:eastAsia="Arial" w:hAnsi="Arial"/>
                <w:sz w:val="23"/>
                <w:szCs w:val="23"/>
                <w:color w:val="auto"/>
                <w:vertAlign w:val="superscript"/>
              </w:rPr>
              <w:t>(3)</w:t>
            </w:r>
          </w:p>
        </w:tc>
        <w:tc>
          <w:tcPr>
            <w:tcW w:w="2820" w:type="dxa"/>
            <w:vAlign w:val="bottom"/>
            <w:shd w:val="clear" w:color="auto" w:fill="FAFAFA"/>
          </w:tcPr>
          <w:p>
            <w:pPr>
              <w:jc w:val="right"/>
              <w:ind w:right="265"/>
              <w:spacing w:after="0"/>
              <w:rPr>
                <w:sz w:val="20"/>
                <w:szCs w:val="20"/>
                <w:color w:val="auto"/>
              </w:rPr>
            </w:pPr>
            <w:r>
              <w:rPr>
                <w:rFonts w:ascii="Arial" w:cs="Arial" w:eastAsia="Arial" w:hAnsi="Arial"/>
                <w:sz w:val="14"/>
                <w:szCs w:val="14"/>
                <w:color w:val="auto"/>
              </w:rPr>
              <w:t>44,000</w:t>
            </w:r>
          </w:p>
        </w:tc>
        <w:tc>
          <w:tcPr>
            <w:tcW w:w="1860" w:type="dxa"/>
            <w:vAlign w:val="bottom"/>
            <w:shd w:val="clear" w:color="auto" w:fill="FAFAFA"/>
          </w:tcPr>
          <w:p>
            <w:pPr>
              <w:jc w:val="right"/>
              <w:ind w:right="266"/>
              <w:spacing w:after="0"/>
              <w:rPr>
                <w:sz w:val="20"/>
                <w:szCs w:val="20"/>
                <w:color w:val="auto"/>
              </w:rPr>
            </w:pPr>
            <w:r>
              <w:rPr>
                <w:rFonts w:ascii="Arial" w:cs="Arial" w:eastAsia="Arial" w:hAnsi="Arial"/>
                <w:sz w:val="14"/>
                <w:szCs w:val="14"/>
                <w:color w:val="auto"/>
              </w:rPr>
              <w:t>43,404</w:t>
            </w:r>
          </w:p>
        </w:tc>
        <w:tc>
          <w:tcPr>
            <w:tcW w:w="1020" w:type="dxa"/>
            <w:vAlign w:val="bottom"/>
            <w:shd w:val="clear" w:color="auto" w:fill="FAFAFA"/>
          </w:tcPr>
          <w:p>
            <w:pPr>
              <w:jc w:val="right"/>
              <w:ind w:right="106"/>
              <w:spacing w:after="0"/>
              <w:rPr>
                <w:sz w:val="20"/>
                <w:szCs w:val="20"/>
                <w:color w:val="auto"/>
              </w:rPr>
            </w:pPr>
            <w:r>
              <w:rPr>
                <w:rFonts w:ascii="Arial" w:cs="Arial" w:eastAsia="Arial" w:hAnsi="Arial"/>
                <w:sz w:val="14"/>
                <w:szCs w:val="14"/>
                <w:color w:val="auto"/>
              </w:rPr>
              <w:t>87,404</w:t>
            </w:r>
          </w:p>
        </w:tc>
        <w:tc>
          <w:tcPr>
            <w:tcW w:w="0" w:type="dxa"/>
            <w:vAlign w:val="bottom"/>
          </w:tcPr>
          <w:p>
            <w:pPr>
              <w:spacing w:after="0"/>
              <w:rPr>
                <w:sz w:val="1"/>
                <w:szCs w:val="1"/>
                <w:color w:val="auto"/>
              </w:rPr>
            </w:pPr>
          </w:p>
        </w:tc>
      </w:tr>
      <w:tr>
        <w:trPr>
          <w:trHeight w:val="257"/>
        </w:trPr>
        <w:tc>
          <w:tcPr>
            <w:tcW w:w="3700" w:type="dxa"/>
            <w:vAlign w:val="bottom"/>
            <w:shd w:val="clear" w:color="auto" w:fill="EBEBEB"/>
          </w:tcPr>
          <w:p>
            <w:pPr>
              <w:ind w:left="260"/>
              <w:spacing w:after="0" w:line="256" w:lineRule="exact"/>
              <w:rPr>
                <w:sz w:val="20"/>
                <w:szCs w:val="20"/>
                <w:color w:val="auto"/>
              </w:rPr>
            </w:pPr>
            <w:r>
              <w:rPr>
                <w:rFonts w:ascii="Arial" w:cs="Arial" w:eastAsia="Arial" w:hAnsi="Arial"/>
                <w:sz w:val="14"/>
                <w:szCs w:val="14"/>
                <w:b w:val="1"/>
                <w:bCs w:val="1"/>
                <w:color w:val="auto"/>
              </w:rPr>
              <w:t>John M. Fluke, Jr.</w:t>
            </w:r>
            <w:r>
              <w:rPr>
                <w:rFonts w:ascii="Arial" w:cs="Arial" w:eastAsia="Arial" w:hAnsi="Arial"/>
                <w:sz w:val="23"/>
                <w:szCs w:val="23"/>
                <w:color w:val="auto"/>
                <w:vertAlign w:val="superscript"/>
              </w:rPr>
              <w:t>(4)</w:t>
            </w:r>
          </w:p>
        </w:tc>
        <w:tc>
          <w:tcPr>
            <w:tcW w:w="2820" w:type="dxa"/>
            <w:vAlign w:val="bottom"/>
            <w:shd w:val="clear" w:color="auto" w:fill="EBEBEB"/>
          </w:tcPr>
          <w:p>
            <w:pPr>
              <w:jc w:val="right"/>
              <w:ind w:right="265"/>
              <w:spacing w:after="0"/>
              <w:rPr>
                <w:sz w:val="20"/>
                <w:szCs w:val="20"/>
                <w:color w:val="auto"/>
              </w:rPr>
            </w:pPr>
            <w:r>
              <w:rPr>
                <w:rFonts w:ascii="Arial" w:cs="Arial" w:eastAsia="Arial" w:hAnsi="Arial"/>
                <w:sz w:val="14"/>
                <w:szCs w:val="14"/>
                <w:color w:val="auto"/>
              </w:rPr>
              <w:t>47,500</w:t>
            </w:r>
          </w:p>
        </w:tc>
        <w:tc>
          <w:tcPr>
            <w:tcW w:w="1860" w:type="dxa"/>
            <w:vAlign w:val="bottom"/>
            <w:shd w:val="clear" w:color="auto" w:fill="EBEBEB"/>
          </w:tcPr>
          <w:p>
            <w:pPr>
              <w:jc w:val="right"/>
              <w:ind w:right="266"/>
              <w:spacing w:after="0"/>
              <w:rPr>
                <w:sz w:val="20"/>
                <w:szCs w:val="20"/>
                <w:color w:val="auto"/>
              </w:rPr>
            </w:pPr>
            <w:r>
              <w:rPr>
                <w:rFonts w:ascii="Arial" w:cs="Arial" w:eastAsia="Arial" w:hAnsi="Arial"/>
                <w:sz w:val="14"/>
                <w:szCs w:val="14"/>
                <w:color w:val="auto"/>
              </w:rPr>
              <w:t>43,404</w:t>
            </w:r>
          </w:p>
        </w:tc>
        <w:tc>
          <w:tcPr>
            <w:tcW w:w="1020" w:type="dxa"/>
            <w:vAlign w:val="bottom"/>
            <w:shd w:val="clear" w:color="auto" w:fill="EBEBEB"/>
          </w:tcPr>
          <w:p>
            <w:pPr>
              <w:jc w:val="right"/>
              <w:ind w:right="106"/>
              <w:spacing w:after="0"/>
              <w:rPr>
                <w:sz w:val="20"/>
                <w:szCs w:val="20"/>
                <w:color w:val="auto"/>
              </w:rPr>
            </w:pPr>
            <w:r>
              <w:rPr>
                <w:rFonts w:ascii="Arial" w:cs="Arial" w:eastAsia="Arial" w:hAnsi="Arial"/>
                <w:sz w:val="14"/>
                <w:szCs w:val="14"/>
                <w:color w:val="auto"/>
              </w:rPr>
              <w:t>90,904</w:t>
            </w:r>
          </w:p>
        </w:tc>
        <w:tc>
          <w:tcPr>
            <w:tcW w:w="0" w:type="dxa"/>
            <w:vAlign w:val="bottom"/>
          </w:tcPr>
          <w:p>
            <w:pPr>
              <w:spacing w:after="0"/>
              <w:rPr>
                <w:sz w:val="1"/>
                <w:szCs w:val="1"/>
                <w:color w:val="auto"/>
              </w:rPr>
            </w:pPr>
          </w:p>
        </w:tc>
      </w:tr>
      <w:tr>
        <w:trPr>
          <w:trHeight w:val="256"/>
        </w:trPr>
        <w:tc>
          <w:tcPr>
            <w:tcW w:w="3700" w:type="dxa"/>
            <w:vAlign w:val="bottom"/>
            <w:shd w:val="clear" w:color="auto" w:fill="FAFAFA"/>
          </w:tcPr>
          <w:p>
            <w:pPr>
              <w:ind w:left="260"/>
              <w:spacing w:after="0" w:line="256" w:lineRule="exact"/>
              <w:rPr>
                <w:sz w:val="20"/>
                <w:szCs w:val="20"/>
                <w:color w:val="auto"/>
              </w:rPr>
            </w:pPr>
            <w:r>
              <w:rPr>
                <w:rFonts w:ascii="Arial" w:cs="Arial" w:eastAsia="Arial" w:hAnsi="Arial"/>
                <w:sz w:val="14"/>
                <w:szCs w:val="14"/>
                <w:b w:val="1"/>
                <w:bCs w:val="1"/>
                <w:color w:val="auto"/>
              </w:rPr>
              <w:t>James A. Johnson</w:t>
            </w:r>
            <w:r>
              <w:rPr>
                <w:rFonts w:ascii="Arial" w:cs="Arial" w:eastAsia="Arial" w:hAnsi="Arial"/>
                <w:sz w:val="23"/>
                <w:szCs w:val="23"/>
                <w:color w:val="auto"/>
                <w:vertAlign w:val="superscript"/>
              </w:rPr>
              <w:t>(5)</w:t>
            </w:r>
          </w:p>
        </w:tc>
        <w:tc>
          <w:tcPr>
            <w:tcW w:w="2820" w:type="dxa"/>
            <w:vAlign w:val="bottom"/>
            <w:shd w:val="clear" w:color="auto" w:fill="FAFAFA"/>
          </w:tcPr>
          <w:p>
            <w:pPr>
              <w:jc w:val="right"/>
              <w:ind w:right="265"/>
              <w:spacing w:after="0"/>
              <w:rPr>
                <w:sz w:val="20"/>
                <w:szCs w:val="20"/>
                <w:color w:val="auto"/>
              </w:rPr>
            </w:pPr>
            <w:r>
              <w:rPr>
                <w:rFonts w:ascii="Arial" w:cs="Arial" w:eastAsia="Arial" w:hAnsi="Arial"/>
                <w:sz w:val="14"/>
                <w:szCs w:val="14"/>
                <w:color w:val="auto"/>
              </w:rPr>
              <w:t>61,495</w:t>
            </w:r>
          </w:p>
        </w:tc>
        <w:tc>
          <w:tcPr>
            <w:tcW w:w="1860" w:type="dxa"/>
            <w:vAlign w:val="bottom"/>
            <w:shd w:val="clear" w:color="auto" w:fill="FAFAFA"/>
          </w:tcPr>
          <w:p>
            <w:pPr>
              <w:jc w:val="right"/>
              <w:ind w:right="266"/>
              <w:spacing w:after="0"/>
              <w:rPr>
                <w:sz w:val="20"/>
                <w:szCs w:val="20"/>
                <w:color w:val="auto"/>
              </w:rPr>
            </w:pPr>
            <w:r>
              <w:rPr>
                <w:rFonts w:ascii="Arial" w:cs="Arial" w:eastAsia="Arial" w:hAnsi="Arial"/>
                <w:sz w:val="14"/>
                <w:szCs w:val="14"/>
                <w:color w:val="auto"/>
              </w:rPr>
              <w:t>43,404</w:t>
            </w:r>
          </w:p>
        </w:tc>
        <w:tc>
          <w:tcPr>
            <w:tcW w:w="1020" w:type="dxa"/>
            <w:vAlign w:val="bottom"/>
            <w:shd w:val="clear" w:color="auto" w:fill="FAFAFA"/>
          </w:tcPr>
          <w:p>
            <w:pPr>
              <w:jc w:val="right"/>
              <w:ind w:right="106"/>
              <w:spacing w:after="0"/>
              <w:rPr>
                <w:sz w:val="20"/>
                <w:szCs w:val="20"/>
                <w:color w:val="auto"/>
              </w:rPr>
            </w:pPr>
            <w:r>
              <w:rPr>
                <w:rFonts w:ascii="Arial" w:cs="Arial" w:eastAsia="Arial" w:hAnsi="Arial"/>
                <w:sz w:val="14"/>
                <w:szCs w:val="14"/>
                <w:color w:val="auto"/>
              </w:rPr>
              <w:t>104,899</w:t>
            </w:r>
          </w:p>
        </w:tc>
        <w:tc>
          <w:tcPr>
            <w:tcW w:w="0" w:type="dxa"/>
            <w:vAlign w:val="bottom"/>
          </w:tcPr>
          <w:p>
            <w:pPr>
              <w:spacing w:after="0"/>
              <w:rPr>
                <w:sz w:val="1"/>
                <w:szCs w:val="1"/>
                <w:color w:val="auto"/>
              </w:rPr>
            </w:pPr>
          </w:p>
        </w:tc>
      </w:tr>
      <w:tr>
        <w:trPr>
          <w:trHeight w:val="257"/>
        </w:trPr>
        <w:tc>
          <w:tcPr>
            <w:tcW w:w="3700" w:type="dxa"/>
            <w:vAlign w:val="bottom"/>
            <w:shd w:val="clear" w:color="auto" w:fill="EBEBEB"/>
          </w:tcPr>
          <w:p>
            <w:pPr>
              <w:ind w:left="260"/>
              <w:spacing w:after="0" w:line="256" w:lineRule="exact"/>
              <w:rPr>
                <w:sz w:val="20"/>
                <w:szCs w:val="20"/>
                <w:color w:val="auto"/>
              </w:rPr>
            </w:pPr>
            <w:r>
              <w:rPr>
                <w:rFonts w:ascii="Arial" w:cs="Arial" w:eastAsia="Arial" w:hAnsi="Arial"/>
                <w:sz w:val="14"/>
                <w:szCs w:val="14"/>
                <w:b w:val="1"/>
                <w:bCs w:val="1"/>
                <w:color w:val="auto"/>
              </w:rPr>
              <w:t>Barbara Kosacz</w:t>
            </w:r>
            <w:r>
              <w:rPr>
                <w:rFonts w:ascii="Arial" w:cs="Arial" w:eastAsia="Arial" w:hAnsi="Arial"/>
                <w:sz w:val="23"/>
                <w:szCs w:val="23"/>
                <w:color w:val="auto"/>
                <w:vertAlign w:val="superscript"/>
              </w:rPr>
              <w:t>(6)</w:t>
            </w:r>
          </w:p>
        </w:tc>
        <w:tc>
          <w:tcPr>
            <w:tcW w:w="2820" w:type="dxa"/>
            <w:vAlign w:val="bottom"/>
            <w:shd w:val="clear" w:color="auto" w:fill="EBEBEB"/>
          </w:tcPr>
          <w:p>
            <w:pPr>
              <w:jc w:val="right"/>
              <w:ind w:right="265"/>
              <w:spacing w:after="0"/>
              <w:rPr>
                <w:sz w:val="20"/>
                <w:szCs w:val="20"/>
                <w:color w:val="auto"/>
              </w:rPr>
            </w:pPr>
            <w:r>
              <w:rPr>
                <w:rFonts w:ascii="Arial" w:cs="Arial" w:eastAsia="Arial" w:hAnsi="Arial"/>
                <w:sz w:val="14"/>
                <w:szCs w:val="14"/>
                <w:color w:val="auto"/>
              </w:rPr>
              <w:t>54,000</w:t>
            </w:r>
          </w:p>
        </w:tc>
        <w:tc>
          <w:tcPr>
            <w:tcW w:w="1860" w:type="dxa"/>
            <w:vAlign w:val="bottom"/>
            <w:shd w:val="clear" w:color="auto" w:fill="EBEBEB"/>
          </w:tcPr>
          <w:p>
            <w:pPr>
              <w:jc w:val="right"/>
              <w:ind w:right="266"/>
              <w:spacing w:after="0"/>
              <w:rPr>
                <w:sz w:val="20"/>
                <w:szCs w:val="20"/>
                <w:color w:val="auto"/>
              </w:rPr>
            </w:pPr>
            <w:r>
              <w:rPr>
                <w:rFonts w:ascii="Arial" w:cs="Arial" w:eastAsia="Arial" w:hAnsi="Arial"/>
                <w:sz w:val="14"/>
                <w:szCs w:val="14"/>
                <w:color w:val="auto"/>
              </w:rPr>
              <w:t>43,404</w:t>
            </w:r>
          </w:p>
        </w:tc>
        <w:tc>
          <w:tcPr>
            <w:tcW w:w="1020" w:type="dxa"/>
            <w:vAlign w:val="bottom"/>
            <w:shd w:val="clear" w:color="auto" w:fill="EBEBEB"/>
          </w:tcPr>
          <w:p>
            <w:pPr>
              <w:jc w:val="right"/>
              <w:ind w:right="106"/>
              <w:spacing w:after="0"/>
              <w:rPr>
                <w:sz w:val="20"/>
                <w:szCs w:val="20"/>
                <w:color w:val="auto"/>
              </w:rPr>
            </w:pPr>
            <w:r>
              <w:rPr>
                <w:rFonts w:ascii="Arial" w:cs="Arial" w:eastAsia="Arial" w:hAnsi="Arial"/>
                <w:sz w:val="14"/>
                <w:szCs w:val="14"/>
                <w:color w:val="auto"/>
              </w:rPr>
              <w:t>97,404</w:t>
            </w:r>
          </w:p>
        </w:tc>
        <w:tc>
          <w:tcPr>
            <w:tcW w:w="0" w:type="dxa"/>
            <w:vAlign w:val="bottom"/>
          </w:tcPr>
          <w:p>
            <w:pPr>
              <w:spacing w:after="0"/>
              <w:rPr>
                <w:sz w:val="1"/>
                <w:szCs w:val="1"/>
                <w:color w:val="auto"/>
              </w:rPr>
            </w:pPr>
          </w:p>
        </w:tc>
      </w:tr>
      <w:tr>
        <w:trPr>
          <w:trHeight w:val="257"/>
        </w:trPr>
        <w:tc>
          <w:tcPr>
            <w:tcW w:w="3700" w:type="dxa"/>
            <w:vAlign w:val="bottom"/>
            <w:shd w:val="clear" w:color="auto" w:fill="FAFAFA"/>
          </w:tcPr>
          <w:p>
            <w:pPr>
              <w:ind w:left="260"/>
              <w:spacing w:after="0" w:line="256" w:lineRule="exact"/>
              <w:rPr>
                <w:sz w:val="20"/>
                <w:szCs w:val="20"/>
                <w:color w:val="auto"/>
              </w:rPr>
            </w:pPr>
            <w:r>
              <w:rPr>
                <w:rFonts w:ascii="Arial" w:cs="Arial" w:eastAsia="Arial" w:hAnsi="Arial"/>
                <w:sz w:val="14"/>
                <w:szCs w:val="14"/>
                <w:b w:val="1"/>
                <w:bCs w:val="1"/>
                <w:color w:val="auto"/>
              </w:rPr>
              <w:t>Michael Panzara, M.D., M.P.H.</w:t>
            </w:r>
            <w:r>
              <w:rPr>
                <w:rFonts w:ascii="Arial" w:cs="Arial" w:eastAsia="Arial" w:hAnsi="Arial"/>
                <w:sz w:val="23"/>
                <w:szCs w:val="23"/>
                <w:color w:val="auto"/>
                <w:vertAlign w:val="superscript"/>
              </w:rPr>
              <w:t>(7)</w:t>
            </w:r>
          </w:p>
        </w:tc>
        <w:tc>
          <w:tcPr>
            <w:tcW w:w="2820" w:type="dxa"/>
            <w:vAlign w:val="bottom"/>
            <w:shd w:val="clear" w:color="auto" w:fill="FAFAFA"/>
          </w:tcPr>
          <w:p>
            <w:pPr>
              <w:jc w:val="right"/>
              <w:ind w:right="265"/>
              <w:spacing w:after="0"/>
              <w:rPr>
                <w:sz w:val="20"/>
                <w:szCs w:val="20"/>
                <w:color w:val="auto"/>
              </w:rPr>
            </w:pPr>
            <w:r>
              <w:rPr>
                <w:rFonts w:ascii="Arial" w:cs="Arial" w:eastAsia="Arial" w:hAnsi="Arial"/>
                <w:sz w:val="14"/>
                <w:szCs w:val="14"/>
                <w:color w:val="auto"/>
              </w:rPr>
              <w:t>46,989</w:t>
            </w:r>
          </w:p>
        </w:tc>
        <w:tc>
          <w:tcPr>
            <w:tcW w:w="1860" w:type="dxa"/>
            <w:vAlign w:val="bottom"/>
            <w:shd w:val="clear" w:color="auto" w:fill="FAFAFA"/>
          </w:tcPr>
          <w:p>
            <w:pPr>
              <w:jc w:val="right"/>
              <w:ind w:right="266"/>
              <w:spacing w:after="0"/>
              <w:rPr>
                <w:sz w:val="20"/>
                <w:szCs w:val="20"/>
                <w:color w:val="auto"/>
              </w:rPr>
            </w:pPr>
            <w:r>
              <w:rPr>
                <w:rFonts w:ascii="Arial" w:cs="Arial" w:eastAsia="Arial" w:hAnsi="Arial"/>
                <w:sz w:val="14"/>
                <w:szCs w:val="14"/>
                <w:color w:val="auto"/>
              </w:rPr>
              <w:t>43,404</w:t>
            </w:r>
          </w:p>
        </w:tc>
        <w:tc>
          <w:tcPr>
            <w:tcW w:w="1020" w:type="dxa"/>
            <w:vAlign w:val="bottom"/>
            <w:shd w:val="clear" w:color="auto" w:fill="FAFAFA"/>
          </w:tcPr>
          <w:p>
            <w:pPr>
              <w:jc w:val="right"/>
              <w:ind w:right="106"/>
              <w:spacing w:after="0"/>
              <w:rPr>
                <w:sz w:val="20"/>
                <w:szCs w:val="20"/>
                <w:color w:val="auto"/>
              </w:rPr>
            </w:pPr>
            <w:r>
              <w:rPr>
                <w:rFonts w:ascii="Arial" w:cs="Arial" w:eastAsia="Arial" w:hAnsi="Arial"/>
                <w:sz w:val="14"/>
                <w:szCs w:val="14"/>
                <w:color w:val="auto"/>
              </w:rPr>
              <w:t>90,393</w:t>
            </w:r>
          </w:p>
        </w:tc>
        <w:tc>
          <w:tcPr>
            <w:tcW w:w="0" w:type="dxa"/>
            <w:vAlign w:val="bottom"/>
          </w:tcPr>
          <w:p>
            <w:pPr>
              <w:spacing w:after="0"/>
              <w:rPr>
                <w:sz w:val="1"/>
                <w:szCs w:val="1"/>
                <w:color w:val="auto"/>
              </w:rPr>
            </w:pPr>
          </w:p>
        </w:tc>
      </w:tr>
      <w:tr>
        <w:trPr>
          <w:trHeight w:val="216"/>
        </w:trPr>
        <w:tc>
          <w:tcPr>
            <w:tcW w:w="3700" w:type="dxa"/>
            <w:vAlign w:val="bottom"/>
            <w:shd w:val="clear" w:color="auto" w:fill="EBEBEB"/>
          </w:tcPr>
          <w:p>
            <w:pPr>
              <w:ind w:left="260"/>
              <w:spacing w:after="0" w:line="216" w:lineRule="exact"/>
              <w:rPr>
                <w:sz w:val="20"/>
                <w:szCs w:val="20"/>
                <w:color w:val="auto"/>
              </w:rPr>
            </w:pPr>
            <w:r>
              <w:rPr>
                <w:rFonts w:ascii="Arial" w:cs="Arial" w:eastAsia="Arial" w:hAnsi="Arial"/>
                <w:sz w:val="14"/>
                <w:szCs w:val="14"/>
                <w:b w:val="1"/>
                <w:bCs w:val="1"/>
                <w:color w:val="auto"/>
              </w:rPr>
              <w:t>Grant Pickering</w:t>
            </w:r>
            <w:r>
              <w:rPr>
                <w:rFonts w:ascii="Arial" w:cs="Arial" w:eastAsia="Arial" w:hAnsi="Arial"/>
                <w:sz w:val="23"/>
                <w:szCs w:val="23"/>
                <w:color w:val="auto"/>
                <w:vertAlign w:val="superscript"/>
              </w:rPr>
              <w:t>(8)</w:t>
            </w:r>
          </w:p>
        </w:tc>
        <w:tc>
          <w:tcPr>
            <w:tcW w:w="2820" w:type="dxa"/>
            <w:vAlign w:val="bottom"/>
            <w:shd w:val="clear" w:color="auto" w:fill="EBEBEB"/>
          </w:tcPr>
          <w:p>
            <w:pPr>
              <w:jc w:val="right"/>
              <w:ind w:right="265"/>
              <w:spacing w:after="0"/>
              <w:rPr>
                <w:sz w:val="20"/>
                <w:szCs w:val="20"/>
                <w:color w:val="auto"/>
              </w:rPr>
            </w:pPr>
            <w:r>
              <w:rPr>
                <w:rFonts w:ascii="Arial" w:cs="Arial" w:eastAsia="Arial" w:hAnsi="Arial"/>
                <w:sz w:val="14"/>
                <w:szCs w:val="14"/>
                <w:color w:val="auto"/>
              </w:rPr>
              <w:t>50,258</w:t>
            </w:r>
          </w:p>
        </w:tc>
        <w:tc>
          <w:tcPr>
            <w:tcW w:w="1860" w:type="dxa"/>
            <w:vAlign w:val="bottom"/>
            <w:shd w:val="clear" w:color="auto" w:fill="EBEBEB"/>
          </w:tcPr>
          <w:p>
            <w:pPr>
              <w:jc w:val="right"/>
              <w:ind w:right="266"/>
              <w:spacing w:after="0"/>
              <w:rPr>
                <w:sz w:val="20"/>
                <w:szCs w:val="20"/>
                <w:color w:val="auto"/>
              </w:rPr>
            </w:pPr>
            <w:r>
              <w:rPr>
                <w:rFonts w:ascii="Arial" w:cs="Arial" w:eastAsia="Arial" w:hAnsi="Arial"/>
                <w:sz w:val="14"/>
                <w:szCs w:val="14"/>
                <w:color w:val="auto"/>
              </w:rPr>
              <w:t>43,404</w:t>
            </w:r>
          </w:p>
        </w:tc>
        <w:tc>
          <w:tcPr>
            <w:tcW w:w="1020" w:type="dxa"/>
            <w:vAlign w:val="bottom"/>
            <w:shd w:val="clear" w:color="auto" w:fill="EBEBEB"/>
          </w:tcPr>
          <w:p>
            <w:pPr>
              <w:jc w:val="right"/>
              <w:ind w:right="106"/>
              <w:spacing w:after="0"/>
              <w:rPr>
                <w:sz w:val="20"/>
                <w:szCs w:val="20"/>
                <w:color w:val="auto"/>
              </w:rPr>
            </w:pPr>
            <w:r>
              <w:rPr>
                <w:rFonts w:ascii="Arial" w:cs="Arial" w:eastAsia="Arial" w:hAnsi="Arial"/>
                <w:sz w:val="14"/>
                <w:szCs w:val="14"/>
                <w:color w:val="auto"/>
              </w:rPr>
              <w:t>93,663</w:t>
            </w:r>
          </w:p>
        </w:tc>
        <w:tc>
          <w:tcPr>
            <w:tcW w:w="0" w:type="dxa"/>
            <w:vAlign w:val="bottom"/>
          </w:tcPr>
          <w:p>
            <w:pPr>
              <w:spacing w:after="0"/>
              <w:rPr>
                <w:sz w:val="1"/>
                <w:szCs w:val="1"/>
                <w:color w:val="auto"/>
              </w:rPr>
            </w:pPr>
          </w:p>
        </w:tc>
      </w:tr>
      <w:tr>
        <w:trPr>
          <w:trHeight w:val="54"/>
        </w:trPr>
        <w:tc>
          <w:tcPr>
            <w:tcW w:w="3700" w:type="dxa"/>
            <w:vAlign w:val="bottom"/>
            <w:shd w:val="clear" w:color="auto" w:fill="EBEBEB"/>
          </w:tcPr>
          <w:p>
            <w:pPr>
              <w:spacing w:after="0"/>
              <w:rPr>
                <w:sz w:val="4"/>
                <w:szCs w:val="4"/>
                <w:color w:val="auto"/>
              </w:rPr>
            </w:pPr>
          </w:p>
        </w:tc>
        <w:tc>
          <w:tcPr>
            <w:tcW w:w="2820" w:type="dxa"/>
            <w:vAlign w:val="bottom"/>
            <w:shd w:val="clear" w:color="auto" w:fill="EBEBEB"/>
          </w:tcPr>
          <w:p>
            <w:pPr>
              <w:spacing w:after="0"/>
              <w:rPr>
                <w:sz w:val="4"/>
                <w:szCs w:val="4"/>
                <w:color w:val="auto"/>
              </w:rPr>
            </w:pPr>
          </w:p>
        </w:tc>
        <w:tc>
          <w:tcPr>
            <w:tcW w:w="1860" w:type="dxa"/>
            <w:vAlign w:val="bottom"/>
            <w:shd w:val="clear" w:color="auto" w:fill="EBEBEB"/>
          </w:tcPr>
          <w:p>
            <w:pPr>
              <w:spacing w:after="0"/>
              <w:rPr>
                <w:sz w:val="4"/>
                <w:szCs w:val="4"/>
                <w:color w:val="auto"/>
              </w:rPr>
            </w:pPr>
          </w:p>
        </w:tc>
        <w:tc>
          <w:tcPr>
            <w:tcW w:w="1020" w:type="dxa"/>
            <w:vAlign w:val="bottom"/>
            <w:shd w:val="clear" w:color="auto" w:fill="EBEBEB"/>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-1156970</wp:posOffset>
            </wp:positionV>
            <wp:extent cx="59664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-993775</wp:posOffset>
            </wp:positionV>
            <wp:extent cx="59664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-831215</wp:posOffset>
            </wp:positionV>
            <wp:extent cx="59664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-668020</wp:posOffset>
            </wp:positionV>
            <wp:extent cx="59664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-505460</wp:posOffset>
            </wp:positionV>
            <wp:extent cx="59664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-342265</wp:posOffset>
            </wp:positionV>
            <wp:extent cx="59664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-179705</wp:posOffset>
            </wp:positionV>
            <wp:extent cx="59664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33" w:lineRule="exact"/>
        <w:rPr>
          <w:sz w:val="20"/>
          <w:szCs w:val="20"/>
          <w:color w:val="auto"/>
        </w:rPr>
      </w:pPr>
    </w:p>
    <w:p>
      <w:pPr>
        <w:ind w:left="320" w:right="80" w:hanging="224"/>
        <w:spacing w:after="0" w:line="256" w:lineRule="auto"/>
        <w:tabs>
          <w:tab w:leader="none" w:pos="320" w:val="left"/>
        </w:tabs>
        <w:numPr>
          <w:ilvl w:val="0"/>
          <w:numId w:val="21"/>
        </w:numPr>
        <w:rPr>
          <w:rFonts w:ascii="Arial" w:cs="Arial" w:eastAsia="Arial" w:hAnsi="Arial"/>
          <w:sz w:val="14"/>
          <w:szCs w:val="14"/>
          <w:color w:val="255993"/>
        </w:rPr>
      </w:pPr>
      <w:r>
        <w:rPr>
          <w:rFonts w:ascii="Arial" w:cs="Arial" w:eastAsia="Arial" w:hAnsi="Arial"/>
          <w:sz w:val="14"/>
          <w:szCs w:val="14"/>
          <w:color w:val="255993"/>
        </w:rPr>
        <w:t>In accordance with SEC rules, the amount in this column reflects the aggregate grant date fair value of stock options granted during 2024 computed in accordance with Accounting Standards Codification (ASC) Topic 718, rather than the amount paid or realized by the director. For a discussion of valuation assumptions, see Note 9 to our financial statements included in our Annual Report on Form 10-K for the year ended December 31, 2024, filed with the SEC on February 27, 2025.</w:t>
      </w:r>
    </w:p>
    <w:p>
      <w:pPr>
        <w:spacing w:after="0" w:line="55" w:lineRule="exact"/>
        <w:rPr>
          <w:rFonts w:ascii="Arial" w:cs="Arial" w:eastAsia="Arial" w:hAnsi="Arial"/>
          <w:sz w:val="14"/>
          <w:szCs w:val="14"/>
          <w:color w:val="255993"/>
        </w:rPr>
      </w:pPr>
    </w:p>
    <w:p>
      <w:pPr>
        <w:ind w:left="320" w:right="560" w:hanging="224"/>
        <w:spacing w:after="0" w:line="285" w:lineRule="auto"/>
        <w:tabs>
          <w:tab w:leader="none" w:pos="320" w:val="left"/>
        </w:tabs>
        <w:numPr>
          <w:ilvl w:val="0"/>
          <w:numId w:val="21"/>
        </w:numPr>
        <w:rPr>
          <w:rFonts w:ascii="Arial" w:cs="Arial" w:eastAsia="Arial" w:hAnsi="Arial"/>
          <w:sz w:val="14"/>
          <w:szCs w:val="14"/>
          <w:color w:val="255993"/>
        </w:rPr>
      </w:pPr>
      <w:r>
        <w:rPr>
          <w:rFonts w:ascii="Arial" w:cs="Arial" w:eastAsia="Arial" w:hAnsi="Arial"/>
          <w:sz w:val="14"/>
          <w:szCs w:val="14"/>
          <w:color w:val="255993"/>
        </w:rPr>
        <w:t>Ms. Romano was appointed to our board of directors in December 2020. As of December 31, 2024, Ms. Romano held stock options to purchase 83,413 shares of our common stock.</w:t>
      </w:r>
    </w:p>
    <w:p>
      <w:pPr>
        <w:spacing w:after="0" w:line="36" w:lineRule="exact"/>
        <w:rPr>
          <w:rFonts w:ascii="Arial" w:cs="Arial" w:eastAsia="Arial" w:hAnsi="Arial"/>
          <w:sz w:val="14"/>
          <w:szCs w:val="14"/>
          <w:color w:val="255993"/>
        </w:rPr>
      </w:pPr>
    </w:p>
    <w:p>
      <w:pPr>
        <w:ind w:left="320" w:right="60" w:hanging="224"/>
        <w:spacing w:after="0" w:line="285" w:lineRule="auto"/>
        <w:tabs>
          <w:tab w:leader="none" w:pos="320" w:val="left"/>
        </w:tabs>
        <w:numPr>
          <w:ilvl w:val="0"/>
          <w:numId w:val="21"/>
        </w:numPr>
        <w:rPr>
          <w:rFonts w:ascii="Arial" w:cs="Arial" w:eastAsia="Arial" w:hAnsi="Arial"/>
          <w:sz w:val="14"/>
          <w:szCs w:val="14"/>
          <w:color w:val="255993"/>
        </w:rPr>
      </w:pPr>
      <w:r>
        <w:rPr>
          <w:rFonts w:ascii="Arial" w:cs="Arial" w:eastAsia="Arial" w:hAnsi="Arial"/>
          <w:sz w:val="14"/>
          <w:szCs w:val="14"/>
          <w:color w:val="255993"/>
        </w:rPr>
        <w:t>Mr. Edelman became a member of our board of directors in May 2020. As of December 31, 2024, Mr. Edelman held stock options to purchase 97,284 shares of our common stock.</w:t>
      </w:r>
    </w:p>
    <w:p>
      <w:pPr>
        <w:spacing w:after="0" w:line="158"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20</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right="100" w:hanging="224"/>
        <w:spacing w:after="0" w:line="285" w:lineRule="auto"/>
        <w:tabs>
          <w:tab w:leader="none" w:pos="320" w:val="left"/>
        </w:tabs>
        <w:numPr>
          <w:ilvl w:val="0"/>
          <w:numId w:val="22"/>
        </w:numPr>
        <w:rPr>
          <w:rFonts w:ascii="Arial" w:cs="Arial" w:eastAsia="Arial" w:hAnsi="Arial"/>
          <w:sz w:val="14"/>
          <w:szCs w:val="14"/>
          <w:color w:val="255993"/>
        </w:rPr>
      </w:pPr>
      <w:r>
        <w:rPr>
          <w:rFonts w:ascii="Arial" w:cs="Arial" w:eastAsia="Arial" w:hAnsi="Arial"/>
          <w:sz w:val="14"/>
          <w:szCs w:val="14"/>
          <w:color w:val="255993"/>
        </w:rPr>
        <w:t>Mr. Fluke became a member of our board of directors in December 2014. As of December 31, 2024, Mr. Fluke held stock options to purchase 97,284 shares of our common stock.</w:t>
      </w:r>
    </w:p>
    <w:p>
      <w:pPr>
        <w:spacing w:after="0" w:line="36" w:lineRule="exact"/>
        <w:rPr>
          <w:rFonts w:ascii="Arial" w:cs="Arial" w:eastAsia="Arial" w:hAnsi="Arial"/>
          <w:sz w:val="14"/>
          <w:szCs w:val="14"/>
          <w:color w:val="255993"/>
        </w:rPr>
      </w:pPr>
    </w:p>
    <w:p>
      <w:pPr>
        <w:ind w:left="320" w:right="560" w:hanging="224"/>
        <w:spacing w:after="0" w:line="285" w:lineRule="auto"/>
        <w:tabs>
          <w:tab w:leader="none" w:pos="320" w:val="left"/>
        </w:tabs>
        <w:numPr>
          <w:ilvl w:val="0"/>
          <w:numId w:val="22"/>
        </w:numPr>
        <w:rPr>
          <w:rFonts w:ascii="Arial" w:cs="Arial" w:eastAsia="Arial" w:hAnsi="Arial"/>
          <w:sz w:val="14"/>
          <w:szCs w:val="14"/>
          <w:color w:val="255993"/>
        </w:rPr>
      </w:pPr>
      <w:r>
        <w:rPr>
          <w:rFonts w:ascii="Arial" w:cs="Arial" w:eastAsia="Arial" w:hAnsi="Arial"/>
          <w:sz w:val="14"/>
          <w:szCs w:val="14"/>
          <w:color w:val="255993"/>
        </w:rPr>
        <w:t>Mr. Johnson became a member of our board of directors in August 2020. As of December 31, 2024, Mr. Johnson held stock options to purchase 97,284 shares of our common stock.</w:t>
      </w:r>
    </w:p>
    <w:p>
      <w:pPr>
        <w:spacing w:after="0" w:line="22" w:lineRule="exact"/>
        <w:rPr>
          <w:rFonts w:ascii="Arial" w:cs="Arial" w:eastAsia="Arial" w:hAnsi="Arial"/>
          <w:sz w:val="14"/>
          <w:szCs w:val="14"/>
          <w:color w:val="255993"/>
        </w:rPr>
      </w:pPr>
    </w:p>
    <w:p>
      <w:pPr>
        <w:ind w:left="320" w:right="60" w:hanging="224"/>
        <w:spacing w:after="0" w:line="285" w:lineRule="auto"/>
        <w:tabs>
          <w:tab w:leader="none" w:pos="320" w:val="left"/>
        </w:tabs>
        <w:numPr>
          <w:ilvl w:val="0"/>
          <w:numId w:val="22"/>
        </w:numPr>
        <w:rPr>
          <w:rFonts w:ascii="Arial" w:cs="Arial" w:eastAsia="Arial" w:hAnsi="Arial"/>
          <w:sz w:val="14"/>
          <w:szCs w:val="14"/>
          <w:color w:val="255993"/>
        </w:rPr>
      </w:pPr>
      <w:r>
        <w:rPr>
          <w:rFonts w:ascii="Arial" w:cs="Arial" w:eastAsia="Arial" w:hAnsi="Arial"/>
          <w:sz w:val="14"/>
          <w:szCs w:val="14"/>
          <w:color w:val="255993"/>
        </w:rPr>
        <w:t>Ms. Kosacz became a member of our board of directors in March 2021. As of December 31, 2024, Ms. Kosacz held stock options to purchase 83,413 shares of our common stock.</w:t>
      </w:r>
    </w:p>
    <w:p>
      <w:pPr>
        <w:spacing w:after="0" w:line="36" w:lineRule="exact"/>
        <w:rPr>
          <w:rFonts w:ascii="Arial" w:cs="Arial" w:eastAsia="Arial" w:hAnsi="Arial"/>
          <w:sz w:val="14"/>
          <w:szCs w:val="14"/>
          <w:color w:val="255993"/>
        </w:rPr>
      </w:pPr>
    </w:p>
    <w:p>
      <w:pPr>
        <w:ind w:left="320" w:right="300" w:hanging="224"/>
        <w:spacing w:after="0" w:line="285" w:lineRule="auto"/>
        <w:tabs>
          <w:tab w:leader="none" w:pos="320" w:val="left"/>
        </w:tabs>
        <w:numPr>
          <w:ilvl w:val="0"/>
          <w:numId w:val="22"/>
        </w:numPr>
        <w:rPr>
          <w:rFonts w:ascii="Arial" w:cs="Arial" w:eastAsia="Arial" w:hAnsi="Arial"/>
          <w:sz w:val="14"/>
          <w:szCs w:val="14"/>
          <w:color w:val="255993"/>
        </w:rPr>
      </w:pPr>
      <w:r>
        <w:rPr>
          <w:rFonts w:ascii="Arial" w:cs="Arial" w:eastAsia="Arial" w:hAnsi="Arial"/>
          <w:sz w:val="14"/>
          <w:szCs w:val="14"/>
          <w:color w:val="255993"/>
        </w:rPr>
        <w:t>Dr. Panzara was appointed to our board of directors in March 2022. As of December 31, 2024, Dr. Panzara held stock options to purchase 71,853 shares of our common stock.</w:t>
      </w:r>
    </w:p>
    <w:p>
      <w:pPr>
        <w:spacing w:after="0" w:line="36" w:lineRule="exact"/>
        <w:rPr>
          <w:rFonts w:ascii="Arial" w:cs="Arial" w:eastAsia="Arial" w:hAnsi="Arial"/>
          <w:sz w:val="14"/>
          <w:szCs w:val="14"/>
          <w:color w:val="255993"/>
        </w:rPr>
      </w:pPr>
    </w:p>
    <w:p>
      <w:pPr>
        <w:ind w:left="320" w:right="40" w:hanging="224"/>
        <w:spacing w:after="0" w:line="285" w:lineRule="auto"/>
        <w:tabs>
          <w:tab w:leader="none" w:pos="320" w:val="left"/>
        </w:tabs>
        <w:numPr>
          <w:ilvl w:val="0"/>
          <w:numId w:val="22"/>
        </w:numPr>
        <w:rPr>
          <w:rFonts w:ascii="Arial" w:cs="Arial" w:eastAsia="Arial" w:hAnsi="Arial"/>
          <w:sz w:val="14"/>
          <w:szCs w:val="14"/>
          <w:color w:val="255993"/>
        </w:rPr>
      </w:pPr>
      <w:r>
        <w:rPr>
          <w:rFonts w:ascii="Arial" w:cs="Arial" w:eastAsia="Arial" w:hAnsi="Arial"/>
          <w:sz w:val="14"/>
          <w:szCs w:val="14"/>
          <w:color w:val="255993"/>
        </w:rPr>
        <w:t>Mr. Pickering was appointed to our board of directors in January 2022. As of December 31, 2024, Mr. Pickering held stock options to purchase 73,009 shares of our common stock.</w:t>
      </w:r>
    </w:p>
    <w:p>
      <w:pPr>
        <w:spacing w:after="0" w:line="7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September 2020, based on discussions with and assistance from AON Radford, a third-party compensation consultant then retained by our compensation committee to provide our board of directors and our compensation committee with an analysis of publicly available market data and assistance in determining compensation to be provided to our non-employee directors, our board of directors adopted, and our stockholders approved, an outside director compensation policy providing for certain compensation to our non-employee directors. The outside director compensation policy was subsequently amended and restated in January 2022, January 2023, and September 2024 in consultation with Pearl Meyer &amp; Partners, LLC, a third-party compensation consultant retained by our compensation committee beginning in October 2021 to provide our board of directors and our compensation committee with an analysis of publicly available market data and assistance in determining any proposed changes in non-employee director compensation.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CASH COMPENSATION</w:t>
      </w:r>
    </w:p>
    <w:p>
      <w:pPr>
        <w:spacing w:after="0" w:line="11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amended and restated outside director compensation policy provides for the following cash compensation program for our non-employee directors:</w:t>
      </w:r>
    </w:p>
    <w:p>
      <w:pPr>
        <w:spacing w:after="0" w:line="102" w:lineRule="exact"/>
        <w:rPr>
          <w:sz w:val="20"/>
          <w:szCs w:val="20"/>
          <w:color w:val="auto"/>
        </w:rPr>
      </w:pPr>
    </w:p>
    <w:p>
      <w:pPr>
        <w:ind w:left="140" w:hanging="134"/>
        <w:spacing w:after="0"/>
        <w:tabs>
          <w:tab w:leader="none" w:pos="140" w:val="left"/>
        </w:tabs>
        <w:numPr>
          <w:ilvl w:val="0"/>
          <w:numId w:val="23"/>
        </w:numPr>
        <w:rPr>
          <w:rFonts w:ascii="Arial" w:cs="Arial" w:eastAsia="Arial" w:hAnsi="Arial"/>
          <w:sz w:val="16"/>
          <w:szCs w:val="16"/>
          <w:color w:val="255993"/>
        </w:rPr>
      </w:pPr>
      <w:r>
        <w:rPr>
          <w:rFonts w:ascii="Arial" w:cs="Arial" w:eastAsia="Arial" w:hAnsi="Arial"/>
          <w:sz w:val="16"/>
          <w:szCs w:val="16"/>
          <w:color w:val="auto"/>
        </w:rPr>
        <w:t>$40,000 per year for service as a non-employee director;</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3"/>
        </w:numPr>
        <w:rPr>
          <w:rFonts w:ascii="Arial" w:cs="Arial" w:eastAsia="Arial" w:hAnsi="Arial"/>
          <w:sz w:val="16"/>
          <w:szCs w:val="16"/>
          <w:color w:val="255993"/>
        </w:rPr>
      </w:pPr>
      <w:r>
        <w:rPr>
          <w:rFonts w:ascii="Arial" w:cs="Arial" w:eastAsia="Arial" w:hAnsi="Arial"/>
          <w:sz w:val="16"/>
          <w:szCs w:val="16"/>
          <w:color w:val="auto"/>
        </w:rPr>
        <w:t>$30,000 per year for service as chairperson of our board of directors;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3"/>
        </w:numPr>
        <w:rPr>
          <w:rFonts w:ascii="Arial" w:cs="Arial" w:eastAsia="Arial" w:hAnsi="Arial"/>
          <w:sz w:val="16"/>
          <w:szCs w:val="16"/>
          <w:color w:val="255993"/>
        </w:rPr>
      </w:pPr>
      <w:r>
        <w:rPr>
          <w:rFonts w:ascii="Arial" w:cs="Arial" w:eastAsia="Arial" w:hAnsi="Arial"/>
          <w:sz w:val="16"/>
          <w:szCs w:val="16"/>
          <w:color w:val="auto"/>
        </w:rPr>
        <w:t>$15,000 per year for service as chairperson of our audit committee;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3"/>
        </w:numPr>
        <w:rPr>
          <w:rFonts w:ascii="Arial" w:cs="Arial" w:eastAsia="Arial" w:hAnsi="Arial"/>
          <w:sz w:val="16"/>
          <w:szCs w:val="16"/>
          <w:color w:val="255993"/>
        </w:rPr>
      </w:pPr>
      <w:r>
        <w:rPr>
          <w:rFonts w:ascii="Arial" w:cs="Arial" w:eastAsia="Arial" w:hAnsi="Arial"/>
          <w:sz w:val="16"/>
          <w:szCs w:val="16"/>
          <w:color w:val="auto"/>
        </w:rPr>
        <w:t>$7,500 per year for service as a member of our audit committee;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3"/>
        </w:numPr>
        <w:rPr>
          <w:rFonts w:ascii="Arial" w:cs="Arial" w:eastAsia="Arial" w:hAnsi="Arial"/>
          <w:sz w:val="16"/>
          <w:szCs w:val="16"/>
          <w:color w:val="255993"/>
        </w:rPr>
      </w:pPr>
      <w:r>
        <w:rPr>
          <w:rFonts w:ascii="Arial" w:cs="Arial" w:eastAsia="Arial" w:hAnsi="Arial"/>
          <w:sz w:val="16"/>
          <w:szCs w:val="16"/>
          <w:color w:val="auto"/>
        </w:rPr>
        <w:t>$10,000 per year for service as chairperson of our compensation committee;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3"/>
        </w:numPr>
        <w:rPr>
          <w:rFonts w:ascii="Arial" w:cs="Arial" w:eastAsia="Arial" w:hAnsi="Arial"/>
          <w:sz w:val="16"/>
          <w:szCs w:val="16"/>
          <w:color w:val="255993"/>
        </w:rPr>
      </w:pPr>
      <w:r>
        <w:rPr>
          <w:rFonts w:ascii="Arial" w:cs="Arial" w:eastAsia="Arial" w:hAnsi="Arial"/>
          <w:sz w:val="16"/>
          <w:szCs w:val="16"/>
          <w:color w:val="auto"/>
        </w:rPr>
        <w:t>$5,000 per year for service as a member of our compensation committee;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3"/>
        </w:numPr>
        <w:rPr>
          <w:rFonts w:ascii="Arial" w:cs="Arial" w:eastAsia="Arial" w:hAnsi="Arial"/>
          <w:sz w:val="16"/>
          <w:szCs w:val="16"/>
          <w:color w:val="255993"/>
        </w:rPr>
      </w:pPr>
      <w:r>
        <w:rPr>
          <w:rFonts w:ascii="Arial" w:cs="Arial" w:eastAsia="Arial" w:hAnsi="Arial"/>
          <w:sz w:val="16"/>
          <w:szCs w:val="16"/>
          <w:color w:val="auto"/>
        </w:rPr>
        <w:t>$8,000 per year for service as chairperson of our nominating and corporate governance committee;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3"/>
        </w:numPr>
        <w:rPr>
          <w:rFonts w:ascii="Arial" w:cs="Arial" w:eastAsia="Arial" w:hAnsi="Arial"/>
          <w:sz w:val="16"/>
          <w:szCs w:val="16"/>
          <w:color w:val="255993"/>
        </w:rPr>
      </w:pPr>
      <w:r>
        <w:rPr>
          <w:rFonts w:ascii="Arial" w:cs="Arial" w:eastAsia="Arial" w:hAnsi="Arial"/>
          <w:sz w:val="16"/>
          <w:szCs w:val="16"/>
          <w:color w:val="auto"/>
        </w:rPr>
        <w:t>$4,000 per year for service as a member of our nominating and corporate governance committee.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3"/>
        </w:numPr>
        <w:rPr>
          <w:rFonts w:ascii="Arial" w:cs="Arial" w:eastAsia="Arial" w:hAnsi="Arial"/>
          <w:sz w:val="16"/>
          <w:szCs w:val="16"/>
          <w:color w:val="255993"/>
        </w:rPr>
      </w:pPr>
      <w:r>
        <w:rPr>
          <w:rFonts w:ascii="Arial" w:cs="Arial" w:eastAsia="Arial" w:hAnsi="Arial"/>
          <w:sz w:val="16"/>
          <w:szCs w:val="16"/>
          <w:color w:val="auto"/>
        </w:rPr>
        <w:t>$10,000 per year for service as chairperson of our compliance committee;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3"/>
        </w:numPr>
        <w:rPr>
          <w:rFonts w:ascii="Arial" w:cs="Arial" w:eastAsia="Arial" w:hAnsi="Arial"/>
          <w:sz w:val="16"/>
          <w:szCs w:val="16"/>
          <w:color w:val="255993"/>
        </w:rPr>
      </w:pPr>
      <w:r>
        <w:rPr>
          <w:rFonts w:ascii="Arial" w:cs="Arial" w:eastAsia="Arial" w:hAnsi="Arial"/>
          <w:sz w:val="16"/>
          <w:szCs w:val="16"/>
          <w:color w:val="auto"/>
        </w:rPr>
        <w:t>$5,000 per year for service as a member of our compliance committee</w:t>
      </w:r>
    </w:p>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Each non-employee director who serves as a committee chairperson receives only the cash retainer fee as the chairperson of the committee but not the cash retainer fee as a member of that committee. These fees to our non-employee directors are paid quarterly in arrears on a prorated basis. Under our amended and restated outside director compensation policy, we also reimburse our non-employee directors for reasonable travel expenses to attend meetings of our board of directors and its committees. The above-listed fees for service as chairperson or members of committees are payable in addition to the non-employee director retainer specified above.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EQUITY COMPENSATION</w:t>
      </w:r>
    </w:p>
    <w:p>
      <w:pPr>
        <w:spacing w:after="0" w:line="113"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i w:val="1"/>
          <w:iCs w:val="1"/>
          <w:color w:val="auto"/>
        </w:rPr>
        <w:t>Initial Award</w:t>
      </w:r>
      <w:r>
        <w:rPr>
          <w:rFonts w:ascii="Arial" w:cs="Arial" w:eastAsia="Arial" w:hAnsi="Arial"/>
          <w:sz w:val="16"/>
          <w:szCs w:val="16"/>
          <w:color w:val="auto"/>
        </w:rPr>
        <w:t>. Pursuant to our amended and restated outside director compensation policy, each person who becomes a non-employee director will receive, on the first trading day on or after the date that the person first becomes a non-employee director, an initial award (the “Initial Award”), of stock options to purchase 41,800 shares of our common stock. The Initial Award vests in</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6"/>
          <w:szCs w:val="16"/>
          <w:color w:val="auto"/>
        </w:rPr>
        <w:t>equal installments as to 1/36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w:t>
      </w:r>
    </w:p>
    <w:p>
      <w:pPr>
        <w:spacing w:after="0" w:line="198"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21</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the person was a member of our board of directors and also an employee, then becoming a non-employee director due to termination of employment will not entitle the person to an Initial Award.</w:t>
      </w:r>
    </w:p>
    <w:p>
      <w:pPr>
        <w:spacing w:after="0" w:line="8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i w:val="1"/>
          <w:iCs w:val="1"/>
          <w:color w:val="auto"/>
        </w:rPr>
        <w:t>Annual Award</w:t>
      </w:r>
      <w:r>
        <w:rPr>
          <w:rFonts w:ascii="Arial" w:cs="Arial" w:eastAsia="Arial" w:hAnsi="Arial"/>
          <w:sz w:val="16"/>
          <w:szCs w:val="16"/>
          <w:color w:val="auto"/>
        </w:rPr>
        <w:t>. Pursuant to our amended and restated outside director compensation policy, each non-employee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receives, on the first trading day immediately after the date of each annual meeting of our stockholders, an annual award (the “Annual Award”) of stock options to purchase 20,900 shares of our common stock. If, as of the date of the applicable annual meeting, such director has not been in continuous service as a non-employee director since the date of the most recently preceding annual meeting, their first annual award will be prorated and equal to the product of 20,900 multiplied by the quotient of</w:t>
      </w:r>
    </w:p>
    <w:p>
      <w:pPr>
        <w:spacing w:after="0" w:line="3" w:lineRule="exact"/>
        <w:rPr>
          <w:sz w:val="20"/>
          <w:szCs w:val="20"/>
          <w:color w:val="auto"/>
        </w:rPr>
      </w:pPr>
    </w:p>
    <w:p>
      <w:pPr>
        <w:ind w:right="20" w:firstLine="6"/>
        <w:spacing w:after="0" w:line="251" w:lineRule="auto"/>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number of whole months of continuous service as a non-employee director completed as of the date of such annual meeting divided by (2) 12, rounded down to the nearest whole share (up to a maximum of 20,900 shares). Each Annual Award vests on the earlier of the one-year anniversary of the grant date, or the day immediately before the day of the next annual meeting of our stockholders that occurs after the grant date of the Annual Award, subject to continued service to us through the applicable vesting date.</w:t>
      </w:r>
    </w:p>
    <w:p>
      <w:pPr>
        <w:spacing w:after="0" w:line="102"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a “Change in Control” (as defined in our 2020 Equity Incentive Plan), each non-employee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then outstanding equity awards covering shares of our common stock will accelerate vesting in full, provided that he or she remains a non-employee director through the date of the Change in Control.</w:t>
      </w:r>
    </w:p>
    <w:p>
      <w:pPr>
        <w:spacing w:after="0" w:line="104"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i w:val="1"/>
          <w:iCs w:val="1"/>
          <w:color w:val="auto"/>
        </w:rPr>
        <w:t>Other Award Terms</w:t>
      </w:r>
      <w:r>
        <w:rPr>
          <w:rFonts w:ascii="Arial" w:cs="Arial" w:eastAsia="Arial" w:hAnsi="Arial"/>
          <w:sz w:val="16"/>
          <w:szCs w:val="16"/>
          <w:color w:val="auto"/>
        </w:rPr>
        <w:t>. Each Initial Award and Annual Award will be granted under our 2020 Equity Incentive Plan (or its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plan, as applicable) and form of award agreement under such plan. These awards will have a maximum term to expiration of</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10 years from their grant and a per share exercise price equal to 100% of the fair market value of a share of our common stock on the award’s grant date.</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Director Compensation Limits</w:t>
      </w:r>
      <w:r>
        <w:rPr>
          <w:rFonts w:ascii="Arial" w:cs="Arial" w:eastAsia="Arial" w:hAnsi="Arial"/>
          <w:sz w:val="16"/>
          <w:szCs w:val="16"/>
          <w:color w:val="auto"/>
        </w:rPr>
        <w:t>. Our amended and restated outside director compensation policy provides that in any fiscal year, a</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 may be paid cash compensation and other compensation and granted equity awards with an aggregate value of no more than $500,000 (with the value of equity awards based on their grant date fair value determined in accordance with U.S. Generally Accepted Accounting Principles for purposes of this limit), with such limit increased to $750,000 for the fiscal year of his or her initial service as a non-employee director. Equity awards granted or other compensation provided to a non-employee director while he or she was an employee or consultant of the Company (other than a non-employee director), or granted or provided prior to the effective date of the registration statement relating to our initial public offering, do not count toward this annual limit.</w:t>
      </w:r>
    </w:p>
    <w:p>
      <w:pPr>
        <w:spacing w:after="0" w:line="381"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22</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0" w:name="page31"/>
    <w:bookmarkEnd w:id="30"/>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F8991D"/>
        </w:rPr>
        <w:t>ELECTION OF CLASS II DIRECTORS</w:t>
      </w:r>
    </w:p>
    <w:p>
      <w:pPr>
        <w:spacing w:after="0" w:line="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58"/>
          <w:szCs w:val="58"/>
          <w:color w:val="255993"/>
        </w:rPr>
        <w:t>Proposal One</w:t>
      </w:r>
    </w:p>
    <w:p>
      <w:pPr>
        <w:spacing w:after="0" w:line="346" w:lineRule="exact"/>
        <w:rPr>
          <w:sz w:val="20"/>
          <w:szCs w:val="20"/>
          <w:color w:val="auto"/>
        </w:rPr>
      </w:pPr>
    </w:p>
    <w:p>
      <w:pPr>
        <w:ind w:left="800" w:right="920"/>
        <w:spacing w:after="0" w:line="259" w:lineRule="auto"/>
        <w:rPr>
          <w:sz w:val="20"/>
          <w:szCs w:val="20"/>
          <w:color w:val="auto"/>
        </w:rPr>
      </w:pPr>
      <w:r>
        <w:rPr>
          <w:rFonts w:ascii="Arial" w:cs="Arial" w:eastAsia="Arial" w:hAnsi="Arial"/>
          <w:sz w:val="16"/>
          <w:szCs w:val="16"/>
          <w:color w:val="auto"/>
        </w:rPr>
        <w:t>Our board of directors currently consists of eight directors and is divided into three classes with staggered three-year terms. At the Annual Meeting, three Class II directors of the Company will be elected for a three-year term to succeed the same class whose term is then expiring, each to continue until his respective successor is elected and qualified, or until his earlier death, resignation or removal.</w:t>
      </w:r>
    </w:p>
    <w:p>
      <w:pPr>
        <w:spacing w:after="0" w:line="21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NOMINEES</w:t>
      </w:r>
    </w:p>
    <w:p>
      <w:pPr>
        <w:spacing w:after="0" w:line="135" w:lineRule="exact"/>
        <w:rPr>
          <w:sz w:val="20"/>
          <w:szCs w:val="20"/>
          <w:color w:val="auto"/>
        </w:rPr>
      </w:pPr>
    </w:p>
    <w:p>
      <w:pPr>
        <w:ind w:left="800" w:right="980"/>
        <w:spacing w:after="0" w:line="259" w:lineRule="auto"/>
        <w:rPr>
          <w:sz w:val="20"/>
          <w:szCs w:val="20"/>
          <w:color w:val="auto"/>
        </w:rPr>
      </w:pPr>
      <w:r>
        <w:rPr>
          <w:rFonts w:ascii="Arial" w:cs="Arial" w:eastAsia="Arial" w:hAnsi="Arial"/>
          <w:sz w:val="16"/>
          <w:szCs w:val="16"/>
          <w:color w:val="auto"/>
        </w:rPr>
        <w:t>Our nominating and corporate governance committee has recommended, and our board of directors has approved, Joseph Edelman, John M. Fluke, Jr., and Grant Pickering as nominees for election as Class II directors of the Company at the Annual Meeting. We believe that the nominees bring valuable experience and perspective to our board of directors. For more information concerning the nominees, please see the section titled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w:t>
      </w:r>
    </w:p>
    <w:p>
      <w:pPr>
        <w:spacing w:after="0" w:line="110" w:lineRule="exact"/>
        <w:rPr>
          <w:sz w:val="20"/>
          <w:szCs w:val="20"/>
          <w:color w:val="auto"/>
        </w:rPr>
      </w:pPr>
    </w:p>
    <w:p>
      <w:pPr>
        <w:ind w:left="800" w:right="940"/>
        <w:spacing w:after="0" w:line="266" w:lineRule="auto"/>
        <w:rPr>
          <w:sz w:val="20"/>
          <w:szCs w:val="20"/>
          <w:color w:val="auto"/>
        </w:rPr>
      </w:pPr>
      <w:r>
        <w:rPr>
          <w:rFonts w:ascii="Arial" w:cs="Arial" w:eastAsia="Arial" w:hAnsi="Arial"/>
          <w:sz w:val="16"/>
          <w:szCs w:val="16"/>
          <w:b w:val="1"/>
          <w:bCs w:val="1"/>
          <w:color w:val="255993"/>
        </w:rPr>
        <w:t xml:space="preserve">Mr. Edelman, Mr. Fluke </w:t>
      </w:r>
      <w:r>
        <w:rPr>
          <w:rFonts w:ascii="Arial" w:cs="Arial" w:eastAsia="Arial" w:hAnsi="Arial"/>
          <w:sz w:val="16"/>
          <w:szCs w:val="16"/>
          <w:color w:val="000000"/>
        </w:rPr>
        <w:t>and</w:t>
      </w:r>
      <w:r>
        <w:rPr>
          <w:rFonts w:ascii="Arial" w:cs="Arial" w:eastAsia="Arial" w:hAnsi="Arial"/>
          <w:sz w:val="16"/>
          <w:szCs w:val="16"/>
          <w:b w:val="1"/>
          <w:bCs w:val="1"/>
          <w:color w:val="255993"/>
        </w:rPr>
        <w:t xml:space="preserve"> Mr. Pickering </w:t>
      </w:r>
      <w:r>
        <w:rPr>
          <w:rFonts w:ascii="Arial" w:cs="Arial" w:eastAsia="Arial" w:hAnsi="Arial"/>
          <w:sz w:val="16"/>
          <w:szCs w:val="16"/>
          <w:color w:val="000000"/>
        </w:rPr>
        <w:t>have agreed to serve as directors if elected, and management has no reason to</w:t>
      </w:r>
      <w:r>
        <w:rPr>
          <w:rFonts w:ascii="Arial" w:cs="Arial" w:eastAsia="Arial" w:hAnsi="Arial"/>
          <w:sz w:val="16"/>
          <w:szCs w:val="16"/>
          <w:b w:val="1"/>
          <w:bCs w:val="1"/>
          <w:color w:val="255993"/>
        </w:rPr>
        <w:t xml:space="preserve"> </w:t>
      </w:r>
      <w:r>
        <w:rPr>
          <w:rFonts w:ascii="Arial" w:cs="Arial" w:eastAsia="Arial" w:hAnsi="Arial"/>
          <w:sz w:val="16"/>
          <w:szCs w:val="16"/>
          <w:color w:val="000000"/>
        </w:rPr>
        <w:t>believe that they will be unavailable to serve. In the event that a nominee is unable or declines to serve as a director at the time of the Annual Meeting, proxies will be voted for any nominee designated by the board of directors to fill the vacancy.</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VOTE REQUIRED</w:t>
      </w:r>
    </w:p>
    <w:p>
      <w:pPr>
        <w:spacing w:after="0" w:line="135" w:lineRule="exact"/>
        <w:rPr>
          <w:sz w:val="20"/>
          <w:szCs w:val="20"/>
          <w:color w:val="auto"/>
        </w:rPr>
      </w:pPr>
    </w:p>
    <w:p>
      <w:pPr>
        <w:ind w:left="800" w:right="900"/>
        <w:spacing w:after="0" w:line="263" w:lineRule="auto"/>
        <w:rPr>
          <w:sz w:val="20"/>
          <w:szCs w:val="20"/>
          <w:color w:val="auto"/>
        </w:rPr>
      </w:pPr>
      <w:r>
        <w:rPr>
          <w:rFonts w:ascii="Arial" w:cs="Arial" w:eastAsia="Arial" w:hAnsi="Arial"/>
          <w:sz w:val="16"/>
          <w:szCs w:val="16"/>
          <w:color w:val="auto"/>
        </w:rPr>
        <w:t xml:space="preserve">Each director is elected by a plurality of the voting power of the shares present or represented by proxy at the Annual Meeting and entitled to vote on the election of directors. A plurality means that the nominees with the largest number of </w:t>
      </w:r>
      <w:r>
        <w:rPr>
          <w:rFonts w:ascii="Arial" w:cs="Arial" w:eastAsia="Arial" w:hAnsi="Arial"/>
          <w:sz w:val="16"/>
          <w:szCs w:val="16"/>
          <w:b w:val="1"/>
          <w:bCs w:val="1"/>
          <w:color w:val="255993"/>
        </w:rPr>
        <w:t>FOR</w:t>
      </w:r>
      <w:r>
        <w:rPr>
          <w:rFonts w:ascii="Arial" w:cs="Arial" w:eastAsia="Arial" w:hAnsi="Arial"/>
          <w:sz w:val="16"/>
          <w:szCs w:val="16"/>
          <w:color w:val="auto"/>
        </w:rPr>
        <w:t xml:space="preserve"> votes are elected as directors. Because the outcome of this proposal will be determined by a plurality vote, any shares not voted </w:t>
      </w:r>
      <w:r>
        <w:rPr>
          <w:rFonts w:ascii="Arial" w:cs="Arial" w:eastAsia="Arial" w:hAnsi="Arial"/>
          <w:sz w:val="16"/>
          <w:szCs w:val="16"/>
          <w:b w:val="1"/>
          <w:bCs w:val="1"/>
          <w:color w:val="255993"/>
        </w:rPr>
        <w:t>FOR</w:t>
      </w:r>
      <w:r>
        <w:rPr>
          <w:rFonts w:ascii="Arial" w:cs="Arial" w:eastAsia="Arial" w:hAnsi="Arial"/>
          <w:sz w:val="16"/>
          <w:szCs w:val="16"/>
          <w:color w:val="auto"/>
        </w:rPr>
        <w:t xml:space="preserve"> a particular nominee, whether as a result of a </w:t>
      </w:r>
      <w:r>
        <w:rPr>
          <w:rFonts w:ascii="Arial" w:cs="Arial" w:eastAsia="Arial" w:hAnsi="Arial"/>
          <w:sz w:val="16"/>
          <w:szCs w:val="16"/>
          <w:b w:val="1"/>
          <w:bCs w:val="1"/>
          <w:color w:val="255993"/>
        </w:rPr>
        <w:t>WITHHOLD</w:t>
      </w:r>
      <w:r>
        <w:rPr>
          <w:rFonts w:ascii="Arial" w:cs="Arial" w:eastAsia="Arial" w:hAnsi="Arial"/>
          <w:sz w:val="16"/>
          <w:szCs w:val="16"/>
          <w:color w:val="auto"/>
        </w:rPr>
        <w:t xml:space="preserve"> vote or a broker non-vote, will have no effect on the outcome of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80010</wp:posOffset>
            </wp:positionV>
            <wp:extent cx="17145" cy="8229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45" cy="82296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615"/>
        </w:trPr>
        <w:tc>
          <w:tcPr>
            <w:tcW w:w="800" w:type="dxa"/>
            <w:vAlign w:val="bottom"/>
          </w:tcPr>
          <w:p>
            <w:pPr>
              <w:spacing w:after="0"/>
              <w:rPr>
                <w:sz w:val="24"/>
                <w:szCs w:val="24"/>
                <w:color w:val="auto"/>
              </w:rPr>
            </w:pPr>
          </w:p>
        </w:tc>
        <w:tc>
          <w:tcPr>
            <w:tcW w:w="1380" w:type="dxa"/>
            <w:vAlign w:val="bottom"/>
            <w:tcBorders>
              <w:bottom w:val="single" w:sz="8" w:color="255993"/>
            </w:tcBorders>
            <w:shd w:val="clear" w:color="auto" w:fill="255993"/>
          </w:tcPr>
          <w:p>
            <w:pPr>
              <w:spacing w:after="0"/>
              <w:rPr>
                <w:sz w:val="24"/>
                <w:szCs w:val="24"/>
                <w:color w:val="auto"/>
              </w:rPr>
            </w:pPr>
          </w:p>
        </w:tc>
        <w:tc>
          <w:tcPr>
            <w:tcW w:w="220" w:type="dxa"/>
            <w:vAlign w:val="bottom"/>
            <w:tcBorders>
              <w:bottom w:val="single" w:sz="8" w:color="EBEBEB"/>
            </w:tcBorders>
            <w:shd w:val="clear" w:color="auto" w:fill="EBEBEB"/>
          </w:tcPr>
          <w:p>
            <w:pPr>
              <w:spacing w:after="0"/>
              <w:rPr>
                <w:sz w:val="24"/>
                <w:szCs w:val="24"/>
                <w:color w:val="auto"/>
              </w:rPr>
            </w:pPr>
          </w:p>
        </w:tc>
        <w:tc>
          <w:tcPr>
            <w:tcW w:w="4780" w:type="dxa"/>
            <w:vAlign w:val="bottom"/>
            <w:tcBorders>
              <w:bottom w:val="single" w:sz="8" w:color="EBEBEB"/>
            </w:tcBorders>
            <w:gridSpan w:val="2"/>
            <w:shd w:val="clear" w:color="auto" w:fill="EBEBEB"/>
          </w:tcPr>
          <w:p>
            <w:pPr>
              <w:spacing w:after="0"/>
              <w:rPr>
                <w:sz w:val="20"/>
                <w:szCs w:val="20"/>
                <w:color w:val="auto"/>
              </w:rPr>
            </w:pPr>
            <w:r>
              <w:rPr>
                <w:rFonts w:ascii="Arial" w:cs="Arial" w:eastAsia="Arial" w:hAnsi="Arial"/>
                <w:sz w:val="16"/>
                <w:szCs w:val="16"/>
                <w:color w:val="auto"/>
              </w:rPr>
              <w:t>Board Recommendation</w:t>
            </w:r>
          </w:p>
        </w:tc>
        <w:tc>
          <w:tcPr>
            <w:tcW w:w="3020" w:type="dxa"/>
            <w:vAlign w:val="bottom"/>
            <w:tcBorders>
              <w:bottom w:val="single" w:sz="8" w:color="EBEBEB"/>
            </w:tcBorders>
            <w:shd w:val="clear" w:color="auto" w:fill="EBEBEB"/>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380" w:type="dxa"/>
            <w:vAlign w:val="bottom"/>
            <w:shd w:val="clear" w:color="auto" w:fill="255993"/>
          </w:tcPr>
          <w:p>
            <w:pPr>
              <w:spacing w:after="0" w:line="20" w:lineRule="exact"/>
              <w:rPr>
                <w:sz w:val="1"/>
                <w:szCs w:val="1"/>
                <w:color w:val="auto"/>
              </w:rPr>
            </w:pPr>
          </w:p>
        </w:tc>
        <w:tc>
          <w:tcPr>
            <w:tcW w:w="220" w:type="dxa"/>
            <w:vAlign w:val="bottom"/>
            <w:shd w:val="clear" w:color="auto" w:fill="EBEBEB"/>
          </w:tcPr>
          <w:p>
            <w:pPr>
              <w:spacing w:after="0" w:line="20" w:lineRule="exact"/>
              <w:rPr>
                <w:sz w:val="1"/>
                <w:szCs w:val="1"/>
                <w:color w:val="auto"/>
              </w:rPr>
            </w:pPr>
          </w:p>
        </w:tc>
        <w:tc>
          <w:tcPr>
            <w:tcW w:w="1740" w:type="dxa"/>
            <w:vAlign w:val="bottom"/>
            <w:shd w:val="clear" w:color="auto" w:fill="F8991D"/>
          </w:tcPr>
          <w:p>
            <w:pPr>
              <w:spacing w:after="0" w:line="20" w:lineRule="exact"/>
              <w:rPr>
                <w:sz w:val="1"/>
                <w:szCs w:val="1"/>
                <w:color w:val="auto"/>
              </w:rPr>
            </w:pPr>
          </w:p>
        </w:tc>
        <w:tc>
          <w:tcPr>
            <w:tcW w:w="6060" w:type="dxa"/>
            <w:vAlign w:val="bottom"/>
            <w:gridSpan w:val="2"/>
            <w:shd w:val="clear" w:color="auto" w:fill="EBEBEB"/>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64"/>
        </w:trPr>
        <w:tc>
          <w:tcPr>
            <w:tcW w:w="800" w:type="dxa"/>
            <w:vAlign w:val="bottom"/>
          </w:tcPr>
          <w:p>
            <w:pPr>
              <w:spacing w:after="0"/>
              <w:rPr>
                <w:sz w:val="24"/>
                <w:szCs w:val="24"/>
                <w:color w:val="auto"/>
              </w:rPr>
            </w:pPr>
          </w:p>
        </w:tc>
        <w:tc>
          <w:tcPr>
            <w:tcW w:w="1380" w:type="dxa"/>
            <w:vAlign w:val="bottom"/>
            <w:shd w:val="clear" w:color="auto" w:fill="255993"/>
          </w:tcPr>
          <w:p>
            <w:pPr>
              <w:spacing w:after="0"/>
              <w:rPr>
                <w:sz w:val="20"/>
                <w:szCs w:val="20"/>
                <w:color w:val="auto"/>
              </w:rPr>
            </w:pPr>
            <w:r>
              <w:rPr>
                <w:rFonts w:ascii="Arial" w:cs="Arial" w:eastAsia="Arial" w:hAnsi="Arial"/>
                <w:sz w:val="16"/>
                <w:szCs w:val="16"/>
                <w:b w:val="1"/>
                <w:bCs w:val="1"/>
                <w:color w:val="auto"/>
              </w:rPr>
              <w:t> </w:t>
            </w:r>
          </w:p>
        </w:tc>
        <w:tc>
          <w:tcPr>
            <w:tcW w:w="220" w:type="dxa"/>
            <w:vAlign w:val="bottom"/>
            <w:shd w:val="clear" w:color="auto" w:fill="EBEBEB"/>
          </w:tcPr>
          <w:p>
            <w:pPr>
              <w:spacing w:after="0"/>
              <w:rPr>
                <w:sz w:val="24"/>
                <w:szCs w:val="24"/>
                <w:color w:val="auto"/>
              </w:rPr>
            </w:pPr>
          </w:p>
        </w:tc>
        <w:tc>
          <w:tcPr>
            <w:tcW w:w="7800" w:type="dxa"/>
            <w:vAlign w:val="bottom"/>
            <w:gridSpan w:val="3"/>
            <w:shd w:val="clear" w:color="auto" w:fill="EBEBEB"/>
          </w:tcPr>
          <w:p>
            <w:pPr>
              <w:spacing w:after="0"/>
              <w:rPr>
                <w:sz w:val="20"/>
                <w:szCs w:val="20"/>
                <w:color w:val="auto"/>
              </w:rPr>
            </w:pPr>
            <w:r>
              <w:rPr>
                <w:rFonts w:ascii="Arial" w:cs="Arial" w:eastAsia="Arial" w:hAnsi="Arial"/>
                <w:sz w:val="14"/>
                <w:szCs w:val="14"/>
                <w:color w:val="255993"/>
              </w:rPr>
              <w:t xml:space="preserve">The Board of Directors unanimously recommends that stockholders vote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each of the nominees listed above.</w:t>
            </w:r>
          </w:p>
        </w:tc>
        <w:tc>
          <w:tcPr>
            <w:tcW w:w="820" w:type="dxa"/>
            <w:vAlign w:val="bottom"/>
          </w:tcPr>
          <w:p>
            <w:pPr>
              <w:spacing w:after="0"/>
              <w:rPr>
                <w:sz w:val="24"/>
                <w:szCs w:val="24"/>
                <w:color w:val="auto"/>
              </w:rPr>
            </w:pPr>
          </w:p>
        </w:tc>
      </w:tr>
      <w:tr>
        <w:trPr>
          <w:trHeight w:val="278"/>
        </w:trPr>
        <w:tc>
          <w:tcPr>
            <w:tcW w:w="800" w:type="dxa"/>
            <w:vAlign w:val="bottom"/>
          </w:tcPr>
          <w:p>
            <w:pPr>
              <w:spacing w:after="0"/>
              <w:rPr>
                <w:sz w:val="24"/>
                <w:szCs w:val="24"/>
                <w:color w:val="auto"/>
              </w:rPr>
            </w:pPr>
          </w:p>
        </w:tc>
        <w:tc>
          <w:tcPr>
            <w:tcW w:w="1380" w:type="dxa"/>
            <w:vAlign w:val="bottom"/>
            <w:shd w:val="clear" w:color="auto" w:fill="255993"/>
          </w:tcPr>
          <w:p>
            <w:pPr>
              <w:spacing w:after="0"/>
              <w:rPr>
                <w:sz w:val="24"/>
                <w:szCs w:val="24"/>
                <w:color w:val="auto"/>
              </w:rPr>
            </w:pPr>
          </w:p>
        </w:tc>
        <w:tc>
          <w:tcPr>
            <w:tcW w:w="220" w:type="dxa"/>
            <w:vAlign w:val="bottom"/>
            <w:shd w:val="clear" w:color="auto" w:fill="EBEBEB"/>
          </w:tcPr>
          <w:p>
            <w:pPr>
              <w:spacing w:after="0"/>
              <w:rPr>
                <w:sz w:val="24"/>
                <w:szCs w:val="24"/>
                <w:color w:val="auto"/>
              </w:rPr>
            </w:pPr>
          </w:p>
        </w:tc>
        <w:tc>
          <w:tcPr>
            <w:tcW w:w="1740" w:type="dxa"/>
            <w:vAlign w:val="bottom"/>
            <w:shd w:val="clear" w:color="auto" w:fill="EBEBEB"/>
          </w:tcPr>
          <w:p>
            <w:pPr>
              <w:spacing w:after="0"/>
              <w:rPr>
                <w:sz w:val="24"/>
                <w:szCs w:val="24"/>
                <w:color w:val="auto"/>
              </w:rPr>
            </w:pPr>
          </w:p>
        </w:tc>
        <w:tc>
          <w:tcPr>
            <w:tcW w:w="3040" w:type="dxa"/>
            <w:vAlign w:val="bottom"/>
            <w:shd w:val="clear" w:color="auto" w:fill="EBEBEB"/>
          </w:tcPr>
          <w:p>
            <w:pPr>
              <w:spacing w:after="0"/>
              <w:rPr>
                <w:sz w:val="24"/>
                <w:szCs w:val="24"/>
                <w:color w:val="auto"/>
              </w:rPr>
            </w:pPr>
          </w:p>
        </w:tc>
        <w:tc>
          <w:tcPr>
            <w:tcW w:w="3020" w:type="dxa"/>
            <w:vAlign w:val="bottom"/>
            <w:shd w:val="clear" w:color="auto" w:fill="EBEBEB"/>
          </w:tcPr>
          <w:p>
            <w:pPr>
              <w:spacing w:after="0"/>
              <w:rPr>
                <w:sz w:val="24"/>
                <w:szCs w:val="24"/>
                <w:color w:val="auto"/>
              </w:rPr>
            </w:pPr>
          </w:p>
        </w:tc>
        <w:tc>
          <w:tcPr>
            <w:tcW w:w="820" w:type="dxa"/>
            <w:vAlign w:val="bottom"/>
          </w:tcPr>
          <w:p>
            <w:pPr>
              <w:spacing w:after="0"/>
              <w:rPr>
                <w:sz w:val="24"/>
                <w:szCs w:val="24"/>
                <w:color w:val="auto"/>
              </w:rPr>
            </w:pPr>
          </w:p>
        </w:tc>
      </w:tr>
      <w:tr>
        <w:trPr>
          <w:trHeight w:val="403"/>
        </w:trPr>
        <w:tc>
          <w:tcPr>
            <w:tcW w:w="8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255993"/>
              </w:rPr>
              <w:t>Athira Pharma, Inc.</w:t>
            </w:r>
          </w:p>
        </w:tc>
        <w:tc>
          <w:tcPr>
            <w:tcW w:w="500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255993"/>
              </w:rPr>
              <w:t>23</w:t>
            </w:r>
          </w:p>
        </w:tc>
        <w:tc>
          <w:tcPr>
            <w:tcW w:w="3840" w:type="dxa"/>
            <w:vAlign w:val="bottom"/>
            <w:gridSpan w:val="2"/>
          </w:tcPr>
          <w:p>
            <w:pPr>
              <w:ind w:left="1600"/>
              <w:spacing w:after="0"/>
              <w:rPr>
                <w:sz w:val="20"/>
                <w:szCs w:val="20"/>
                <w:color w:val="auto"/>
              </w:rPr>
            </w:pPr>
            <w:r>
              <w:rPr>
                <w:rFonts w:ascii="Arial" w:cs="Arial" w:eastAsia="Arial" w:hAnsi="Arial"/>
                <w:sz w:val="14"/>
                <w:szCs w:val="14"/>
                <w:color w:val="255993"/>
              </w:rPr>
              <w:t>2025 Proxy Statement</w:t>
            </w:r>
          </w:p>
        </w:tc>
      </w:tr>
      <w:tr>
        <w:trPr>
          <w:trHeight w:val="171"/>
        </w:trPr>
        <w:tc>
          <w:tcPr>
            <w:tcW w:w="8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-985520</wp:posOffset>
            </wp:positionV>
            <wp:extent cx="308610" cy="3003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08610" cy="3003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right="1620"/>
        <w:spacing w:after="0" w:line="270" w:lineRule="auto"/>
        <w:rPr>
          <w:sz w:val="20"/>
          <w:szCs w:val="20"/>
          <w:color w:val="auto"/>
        </w:rPr>
      </w:pPr>
      <w:r>
        <w:rPr>
          <w:rFonts w:ascii="Arial" w:cs="Arial" w:eastAsia="Arial" w:hAnsi="Arial"/>
          <w:sz w:val="22"/>
          <w:szCs w:val="22"/>
          <w:b w:val="1"/>
          <w:bCs w:val="1"/>
          <w:color w:val="F8991D"/>
        </w:rPr>
        <w:t>RATIFICATION OF APPOINTMENT OF INDEPENDENT REGISTERED PUBLIC ACCOUNTING FIRM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Proposal Two</w:t>
      </w:r>
    </w:p>
    <w:p>
      <w:pPr>
        <w:spacing w:after="0" w:line="357"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Our audit committee has appointed Ernst &amp; Young LLP as our independent registered public accounting firm to audit our consolidated financial statements for our fiscal year ending December 31, 2025. Ernst &amp; Young LLP served as our independent registered public accounting firm for the fiscal year ended December 31, 2024.</w:t>
      </w:r>
    </w:p>
    <w:p>
      <w:pPr>
        <w:spacing w:after="0" w:line="9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At the Annual Meeting, we are asking our stockholders to ratify the appointment of Ernst &amp; Young LLP as our independent registered public accounting firm for our fiscal year ending December 31, 2025.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the Company and our stockholders. If our stockholders do not ratify the appointment of Ernst &amp; Young LLP, then our audit committee may reconsider the appointment. One or more representatives of Ernst &amp; Young LLP are expected to be present at the Annual Meeting, and they will have an opportunity to make a statement and are expected to be available to respond to appropriate questions from our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FEES PAID TO THE INDEPENDENT REGISTERED PUBLIC ACCOUNTING FIRM</w:t>
      </w:r>
    </w:p>
    <w:p>
      <w:pPr>
        <w:spacing w:after="0" w:line="14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following table presents fees for professional audit services and other services rendered to us by Ernst &amp; Young LLP for our fiscal years ended December 31, 2024 and 2023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7090" w:type="dxa"/>
            <w:vAlign w:val="bottom"/>
            <w:shd w:val="clear" w:color="auto" w:fill="255993"/>
          </w:tcPr>
          <w:p>
            <w:pPr>
              <w:spacing w:after="0"/>
              <w:rPr>
                <w:sz w:val="24"/>
                <w:szCs w:val="24"/>
                <w:color w:val="auto"/>
              </w:rPr>
            </w:pPr>
          </w:p>
        </w:tc>
        <w:tc>
          <w:tcPr>
            <w:tcW w:w="2310" w:type="dxa"/>
            <w:vAlign w:val="bottom"/>
            <w:gridSpan w:val="2"/>
            <w:shd w:val="clear" w:color="auto" w:fill="255993"/>
          </w:tcPr>
          <w:p>
            <w:pPr>
              <w:jc w:val="right"/>
              <w:ind w:right="187"/>
              <w:spacing w:after="0"/>
              <w:rPr>
                <w:sz w:val="20"/>
                <w:szCs w:val="20"/>
                <w:color w:val="auto"/>
              </w:rPr>
            </w:pPr>
            <w:r>
              <w:rPr>
                <w:rFonts w:ascii="Arial" w:cs="Arial" w:eastAsia="Arial" w:hAnsi="Arial"/>
                <w:sz w:val="16"/>
                <w:szCs w:val="16"/>
                <w:b w:val="1"/>
                <w:bCs w:val="1"/>
                <w:color w:val="FFFFFF"/>
              </w:rPr>
              <w:t>Year Ended December 31,</w:t>
            </w:r>
          </w:p>
        </w:tc>
      </w:tr>
      <w:tr>
        <w:trPr>
          <w:trHeight w:val="297"/>
        </w:trPr>
        <w:tc>
          <w:tcPr>
            <w:tcW w:w="7090" w:type="dxa"/>
            <w:vAlign w:val="bottom"/>
            <w:shd w:val="clear" w:color="auto" w:fill="255993"/>
          </w:tcPr>
          <w:p>
            <w:pPr>
              <w:spacing w:after="0"/>
              <w:rPr>
                <w:sz w:val="24"/>
                <w:szCs w:val="24"/>
                <w:color w:val="auto"/>
              </w:rPr>
            </w:pPr>
          </w:p>
        </w:tc>
        <w:tc>
          <w:tcPr>
            <w:tcW w:w="1210" w:type="dxa"/>
            <w:vAlign w:val="bottom"/>
            <w:shd w:val="clear" w:color="auto" w:fill="255993"/>
          </w:tcPr>
          <w:p>
            <w:pPr>
              <w:jc w:val="right"/>
              <w:ind w:right="465"/>
              <w:spacing w:after="0"/>
              <w:rPr>
                <w:sz w:val="20"/>
                <w:szCs w:val="20"/>
                <w:color w:val="auto"/>
              </w:rPr>
            </w:pPr>
            <w:r>
              <w:rPr>
                <w:rFonts w:ascii="Arial" w:cs="Arial" w:eastAsia="Arial" w:hAnsi="Arial"/>
                <w:sz w:val="16"/>
                <w:szCs w:val="16"/>
                <w:b w:val="1"/>
                <w:bCs w:val="1"/>
                <w:color w:val="FFFFFF"/>
              </w:rPr>
              <w:t>2024</w:t>
            </w:r>
          </w:p>
        </w:tc>
        <w:tc>
          <w:tcPr>
            <w:tcW w:w="1100" w:type="dxa"/>
            <w:vAlign w:val="bottom"/>
            <w:shd w:val="clear" w:color="auto" w:fill="255993"/>
          </w:tcPr>
          <w:p>
            <w:pPr>
              <w:jc w:val="right"/>
              <w:ind w:right="147"/>
              <w:spacing w:after="0"/>
              <w:rPr>
                <w:sz w:val="20"/>
                <w:szCs w:val="20"/>
                <w:color w:val="auto"/>
              </w:rPr>
            </w:pPr>
            <w:r>
              <w:rPr>
                <w:rFonts w:ascii="Arial" w:cs="Arial" w:eastAsia="Arial" w:hAnsi="Arial"/>
                <w:sz w:val="16"/>
                <w:szCs w:val="16"/>
                <w:b w:val="1"/>
                <w:bCs w:val="1"/>
                <w:color w:val="FFFFFF"/>
              </w:rPr>
              <w:t>2023</w:t>
            </w:r>
          </w:p>
        </w:tc>
      </w:tr>
      <w:tr>
        <w:trPr>
          <w:trHeight w:val="75"/>
        </w:trPr>
        <w:tc>
          <w:tcPr>
            <w:tcW w:w="7090" w:type="dxa"/>
            <w:vAlign w:val="bottom"/>
            <w:shd w:val="clear" w:color="auto" w:fill="255993"/>
          </w:tcPr>
          <w:p>
            <w:pPr>
              <w:spacing w:after="0"/>
              <w:rPr>
                <w:sz w:val="6"/>
                <w:szCs w:val="6"/>
                <w:color w:val="auto"/>
              </w:rPr>
            </w:pPr>
          </w:p>
        </w:tc>
        <w:tc>
          <w:tcPr>
            <w:tcW w:w="1210" w:type="dxa"/>
            <w:vAlign w:val="bottom"/>
            <w:shd w:val="clear" w:color="auto" w:fill="255993"/>
          </w:tcPr>
          <w:p>
            <w:pPr>
              <w:spacing w:after="0"/>
              <w:rPr>
                <w:sz w:val="6"/>
                <w:szCs w:val="6"/>
                <w:color w:val="auto"/>
              </w:rPr>
            </w:pPr>
          </w:p>
        </w:tc>
        <w:tc>
          <w:tcPr>
            <w:tcW w:w="1100" w:type="dxa"/>
            <w:vAlign w:val="bottom"/>
            <w:shd w:val="clear" w:color="auto" w:fill="255993"/>
          </w:tcPr>
          <w:p>
            <w:pPr>
              <w:spacing w:after="0"/>
              <w:rPr>
                <w:sz w:val="6"/>
                <w:szCs w:val="6"/>
                <w:color w:val="auto"/>
              </w:rPr>
            </w:pPr>
          </w:p>
        </w:tc>
      </w:tr>
      <w:tr>
        <w:trPr>
          <w:trHeight w:val="351"/>
        </w:trPr>
        <w:tc>
          <w:tcPr>
            <w:tcW w:w="7090" w:type="dxa"/>
            <w:vAlign w:val="bottom"/>
            <w:shd w:val="clear" w:color="auto" w:fill="EBEBEB"/>
          </w:tcPr>
          <w:p>
            <w:pPr>
              <w:ind w:left="200"/>
              <w:spacing w:after="0"/>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(1)</w:t>
            </w:r>
          </w:p>
        </w:tc>
        <w:tc>
          <w:tcPr>
            <w:tcW w:w="1210" w:type="dxa"/>
            <w:vAlign w:val="bottom"/>
            <w:shd w:val="clear" w:color="auto" w:fill="EBEBEB"/>
          </w:tcPr>
          <w:p>
            <w:pPr>
              <w:jc w:val="right"/>
              <w:ind w:right="465"/>
              <w:spacing w:after="0"/>
              <w:rPr>
                <w:sz w:val="20"/>
                <w:szCs w:val="20"/>
                <w:color w:val="auto"/>
              </w:rPr>
            </w:pPr>
            <w:r>
              <w:rPr>
                <w:rFonts w:ascii="Arial" w:cs="Arial" w:eastAsia="Arial" w:hAnsi="Arial"/>
                <w:sz w:val="14"/>
                <w:szCs w:val="14"/>
                <w:color w:val="auto"/>
              </w:rPr>
              <w:t>$​832</w:t>
            </w:r>
          </w:p>
        </w:tc>
        <w:tc>
          <w:tcPr>
            <w:tcW w:w="1100" w:type="dxa"/>
            <w:vAlign w:val="bottom"/>
            <w:shd w:val="clear" w:color="auto" w:fill="EBEBEB"/>
          </w:tcPr>
          <w:p>
            <w:pPr>
              <w:jc w:val="right"/>
              <w:ind w:right="147"/>
              <w:spacing w:after="0"/>
              <w:rPr>
                <w:sz w:val="20"/>
                <w:szCs w:val="20"/>
                <w:color w:val="auto"/>
              </w:rPr>
            </w:pPr>
            <w:r>
              <w:rPr>
                <w:rFonts w:ascii="Arial" w:cs="Arial" w:eastAsia="Arial" w:hAnsi="Arial"/>
                <w:sz w:val="14"/>
                <w:szCs w:val="14"/>
                <w:color w:val="auto"/>
              </w:rPr>
              <w:t>$639</w:t>
            </w:r>
          </w:p>
        </w:tc>
      </w:tr>
      <w:tr>
        <w:trPr>
          <w:trHeight w:val="351"/>
        </w:trPr>
        <w:tc>
          <w:tcPr>
            <w:tcW w:w="7090" w:type="dxa"/>
            <w:vAlign w:val="bottom"/>
            <w:shd w:val="clear" w:color="auto" w:fill="FAFAFA"/>
          </w:tcPr>
          <w:p>
            <w:pPr>
              <w:ind w:left="200"/>
              <w:spacing w:after="0"/>
              <w:rPr>
                <w:sz w:val="20"/>
                <w:szCs w:val="20"/>
                <w:color w:val="auto"/>
              </w:rPr>
            </w:pPr>
            <w:r>
              <w:rPr>
                <w:rFonts w:ascii="Arial" w:cs="Arial" w:eastAsia="Arial" w:hAnsi="Arial"/>
                <w:sz w:val="14"/>
                <w:szCs w:val="14"/>
                <w:color w:val="auto"/>
              </w:rPr>
              <w:t>Audit-related fees</w:t>
            </w:r>
            <w:r>
              <w:rPr>
                <w:rFonts w:ascii="Arial" w:cs="Arial" w:eastAsia="Arial" w:hAnsi="Arial"/>
                <w:sz w:val="23"/>
                <w:szCs w:val="23"/>
                <w:color w:val="auto"/>
                <w:vertAlign w:val="superscript"/>
              </w:rPr>
              <w:t>(2)</w:t>
            </w:r>
          </w:p>
        </w:tc>
        <w:tc>
          <w:tcPr>
            <w:tcW w:w="1210" w:type="dxa"/>
            <w:vAlign w:val="bottom"/>
            <w:shd w:val="clear" w:color="auto" w:fill="FAFAFA"/>
          </w:tcPr>
          <w:p>
            <w:pPr>
              <w:jc w:val="right"/>
              <w:ind w:right="465"/>
              <w:spacing w:after="0"/>
              <w:rPr>
                <w:sz w:val="20"/>
                <w:szCs w:val="20"/>
                <w:color w:val="auto"/>
              </w:rPr>
            </w:pPr>
            <w:r>
              <w:rPr>
                <w:rFonts w:ascii="Arial" w:cs="Arial" w:eastAsia="Arial" w:hAnsi="Arial"/>
                <w:sz w:val="14"/>
                <w:szCs w:val="14"/>
                <w:color w:val="auto"/>
              </w:rPr>
              <w:t>—</w:t>
            </w:r>
          </w:p>
        </w:tc>
        <w:tc>
          <w:tcPr>
            <w:tcW w:w="1100" w:type="dxa"/>
            <w:vAlign w:val="bottom"/>
            <w:shd w:val="clear" w:color="auto" w:fill="FAFAFA"/>
          </w:tcPr>
          <w:p>
            <w:pPr>
              <w:jc w:val="right"/>
              <w:ind w:right="147"/>
              <w:spacing w:after="0"/>
              <w:rPr>
                <w:sz w:val="20"/>
                <w:szCs w:val="20"/>
                <w:color w:val="auto"/>
              </w:rPr>
            </w:pPr>
            <w:r>
              <w:rPr>
                <w:rFonts w:ascii="Arial" w:cs="Arial" w:eastAsia="Arial" w:hAnsi="Arial"/>
                <w:sz w:val="14"/>
                <w:szCs w:val="14"/>
                <w:color w:val="auto"/>
              </w:rPr>
              <w:t>—</w:t>
            </w:r>
          </w:p>
        </w:tc>
      </w:tr>
      <w:tr>
        <w:trPr>
          <w:trHeight w:val="351"/>
        </w:trPr>
        <w:tc>
          <w:tcPr>
            <w:tcW w:w="7090" w:type="dxa"/>
            <w:vAlign w:val="bottom"/>
            <w:shd w:val="clear" w:color="auto" w:fill="EBEBEB"/>
          </w:tcPr>
          <w:p>
            <w:pPr>
              <w:ind w:left="200"/>
              <w:spacing w:after="0"/>
              <w:rPr>
                <w:sz w:val="20"/>
                <w:szCs w:val="20"/>
                <w:color w:val="auto"/>
              </w:rPr>
            </w:pPr>
            <w:r>
              <w:rPr>
                <w:rFonts w:ascii="Arial" w:cs="Arial" w:eastAsia="Arial" w:hAnsi="Arial"/>
                <w:sz w:val="14"/>
                <w:szCs w:val="14"/>
                <w:color w:val="auto"/>
              </w:rPr>
              <w:t>Tax fees</w:t>
            </w:r>
            <w:r>
              <w:rPr>
                <w:rFonts w:ascii="Arial" w:cs="Arial" w:eastAsia="Arial" w:hAnsi="Arial"/>
                <w:sz w:val="23"/>
                <w:szCs w:val="23"/>
                <w:color w:val="auto"/>
                <w:vertAlign w:val="superscript"/>
              </w:rPr>
              <w:t>(3)</w:t>
            </w:r>
          </w:p>
        </w:tc>
        <w:tc>
          <w:tcPr>
            <w:tcW w:w="1210" w:type="dxa"/>
            <w:vAlign w:val="bottom"/>
            <w:shd w:val="clear" w:color="auto" w:fill="EBEBEB"/>
          </w:tcPr>
          <w:p>
            <w:pPr>
              <w:jc w:val="right"/>
              <w:ind w:right="465"/>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B"/>
          </w:tcPr>
          <w:p>
            <w:pPr>
              <w:jc w:val="right"/>
              <w:ind w:right="147"/>
              <w:spacing w:after="0"/>
              <w:rPr>
                <w:sz w:val="20"/>
                <w:szCs w:val="20"/>
                <w:color w:val="auto"/>
              </w:rPr>
            </w:pPr>
            <w:r>
              <w:rPr>
                <w:rFonts w:ascii="Arial" w:cs="Arial" w:eastAsia="Arial" w:hAnsi="Arial"/>
                <w:sz w:val="14"/>
                <w:szCs w:val="14"/>
                <w:color w:val="auto"/>
              </w:rPr>
              <w:t>—</w:t>
            </w:r>
          </w:p>
        </w:tc>
      </w:tr>
      <w:tr>
        <w:trPr>
          <w:trHeight w:val="351"/>
        </w:trPr>
        <w:tc>
          <w:tcPr>
            <w:tcW w:w="7090" w:type="dxa"/>
            <w:vAlign w:val="bottom"/>
            <w:shd w:val="clear" w:color="auto" w:fill="FAFAFA"/>
          </w:tcPr>
          <w:p>
            <w:pPr>
              <w:ind w:left="200"/>
              <w:spacing w:after="0"/>
              <w:rPr>
                <w:sz w:val="20"/>
                <w:szCs w:val="20"/>
                <w:color w:val="auto"/>
              </w:rPr>
            </w:pPr>
            <w:r>
              <w:rPr>
                <w:rFonts w:ascii="Arial" w:cs="Arial" w:eastAsia="Arial" w:hAnsi="Arial"/>
                <w:sz w:val="14"/>
                <w:szCs w:val="14"/>
                <w:color w:val="auto"/>
              </w:rPr>
              <w:t>All other fees</w:t>
            </w:r>
            <w:r>
              <w:rPr>
                <w:rFonts w:ascii="Arial" w:cs="Arial" w:eastAsia="Arial" w:hAnsi="Arial"/>
                <w:sz w:val="23"/>
                <w:szCs w:val="23"/>
                <w:color w:val="auto"/>
                <w:vertAlign w:val="superscript"/>
              </w:rPr>
              <w:t>(4)</w:t>
            </w:r>
          </w:p>
        </w:tc>
        <w:tc>
          <w:tcPr>
            <w:tcW w:w="1210" w:type="dxa"/>
            <w:vAlign w:val="bottom"/>
            <w:shd w:val="clear" w:color="auto" w:fill="FAFAFA"/>
          </w:tcPr>
          <w:p>
            <w:pPr>
              <w:jc w:val="right"/>
              <w:ind w:right="465"/>
              <w:spacing w:after="0"/>
              <w:rPr>
                <w:sz w:val="20"/>
                <w:szCs w:val="20"/>
                <w:color w:val="auto"/>
              </w:rPr>
            </w:pPr>
            <w:r>
              <w:rPr>
                <w:rFonts w:ascii="Arial" w:cs="Arial" w:eastAsia="Arial" w:hAnsi="Arial"/>
                <w:sz w:val="14"/>
                <w:szCs w:val="14"/>
                <w:color w:val="auto"/>
              </w:rPr>
              <w:t>—</w:t>
            </w:r>
          </w:p>
        </w:tc>
        <w:tc>
          <w:tcPr>
            <w:tcW w:w="1100" w:type="dxa"/>
            <w:vAlign w:val="bottom"/>
            <w:shd w:val="clear" w:color="auto" w:fill="FAFAFA"/>
          </w:tcPr>
          <w:p>
            <w:pPr>
              <w:jc w:val="right"/>
              <w:ind w:right="147"/>
              <w:spacing w:after="0"/>
              <w:rPr>
                <w:sz w:val="20"/>
                <w:szCs w:val="20"/>
                <w:color w:val="auto"/>
              </w:rPr>
            </w:pPr>
            <w:r>
              <w:rPr>
                <w:rFonts w:ascii="Arial" w:cs="Arial" w:eastAsia="Arial" w:hAnsi="Arial"/>
                <w:sz w:val="14"/>
                <w:szCs w:val="14"/>
                <w:color w:val="auto"/>
              </w:rPr>
              <w:t>—</w:t>
            </w:r>
          </w:p>
        </w:tc>
      </w:tr>
      <w:tr>
        <w:trPr>
          <w:trHeight w:val="230"/>
        </w:trPr>
        <w:tc>
          <w:tcPr>
            <w:tcW w:w="7090" w:type="dxa"/>
            <w:vAlign w:val="bottom"/>
            <w:shd w:val="clear" w:color="auto" w:fill="EBEBEB"/>
          </w:tcPr>
          <w:p>
            <w:pPr>
              <w:ind w:left="200"/>
              <w:spacing w:after="0"/>
              <w:rPr>
                <w:sz w:val="20"/>
                <w:szCs w:val="20"/>
                <w:color w:val="auto"/>
              </w:rPr>
            </w:pPr>
            <w:r>
              <w:rPr>
                <w:rFonts w:ascii="Arial" w:cs="Arial" w:eastAsia="Arial" w:hAnsi="Arial"/>
                <w:sz w:val="14"/>
                <w:szCs w:val="14"/>
                <w:color w:val="auto"/>
              </w:rPr>
              <w:t>Total fees</w:t>
            </w:r>
          </w:p>
        </w:tc>
        <w:tc>
          <w:tcPr>
            <w:tcW w:w="1210" w:type="dxa"/>
            <w:vAlign w:val="bottom"/>
            <w:shd w:val="clear" w:color="auto" w:fill="EBEBEB"/>
          </w:tcPr>
          <w:p>
            <w:pPr>
              <w:jc w:val="right"/>
              <w:ind w:right="465"/>
              <w:spacing w:after="0"/>
              <w:rPr>
                <w:sz w:val="20"/>
                <w:szCs w:val="20"/>
                <w:color w:val="auto"/>
              </w:rPr>
            </w:pPr>
            <w:r>
              <w:rPr>
                <w:rFonts w:ascii="Arial" w:cs="Arial" w:eastAsia="Arial" w:hAnsi="Arial"/>
                <w:sz w:val="14"/>
                <w:szCs w:val="14"/>
                <w:color w:val="auto"/>
              </w:rPr>
              <w:t>$​832</w:t>
            </w:r>
          </w:p>
        </w:tc>
        <w:tc>
          <w:tcPr>
            <w:tcW w:w="1100" w:type="dxa"/>
            <w:vAlign w:val="bottom"/>
            <w:shd w:val="clear" w:color="auto" w:fill="EBEBEB"/>
          </w:tcPr>
          <w:p>
            <w:pPr>
              <w:jc w:val="right"/>
              <w:ind w:right="147"/>
              <w:spacing w:after="0"/>
              <w:rPr>
                <w:sz w:val="20"/>
                <w:szCs w:val="20"/>
                <w:color w:val="auto"/>
              </w:rPr>
            </w:pPr>
            <w:r>
              <w:rPr>
                <w:rFonts w:ascii="Arial" w:cs="Arial" w:eastAsia="Arial" w:hAnsi="Arial"/>
                <w:sz w:val="14"/>
                <w:szCs w:val="14"/>
                <w:color w:val="auto"/>
              </w:rPr>
              <w:t>$639</w:t>
            </w:r>
          </w:p>
        </w:tc>
      </w:tr>
      <w:tr>
        <w:trPr>
          <w:trHeight w:val="54"/>
        </w:trPr>
        <w:tc>
          <w:tcPr>
            <w:tcW w:w="7090" w:type="dxa"/>
            <w:vAlign w:val="bottom"/>
            <w:shd w:val="clear" w:color="auto" w:fill="EBEBEB"/>
          </w:tcPr>
          <w:p>
            <w:pPr>
              <w:spacing w:after="0"/>
              <w:rPr>
                <w:sz w:val="4"/>
                <w:szCs w:val="4"/>
                <w:color w:val="auto"/>
              </w:rPr>
            </w:pPr>
          </w:p>
        </w:tc>
        <w:tc>
          <w:tcPr>
            <w:tcW w:w="1210" w:type="dxa"/>
            <w:vAlign w:val="bottom"/>
            <w:shd w:val="clear" w:color="auto" w:fill="EBEBEB"/>
          </w:tcPr>
          <w:p>
            <w:pPr>
              <w:spacing w:after="0"/>
              <w:rPr>
                <w:sz w:val="4"/>
                <w:szCs w:val="4"/>
                <w:color w:val="auto"/>
              </w:rPr>
            </w:pPr>
          </w:p>
        </w:tc>
        <w:tc>
          <w:tcPr>
            <w:tcW w:w="1100" w:type="dxa"/>
            <w:vAlign w:val="bottom"/>
            <w:shd w:val="clear" w:color="auto" w:fill="EBEBEB"/>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-1285240</wp:posOffset>
            </wp:positionV>
            <wp:extent cx="13030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-1079500</wp:posOffset>
            </wp:positionV>
            <wp:extent cx="59664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-856615</wp:posOffset>
            </wp:positionV>
            <wp:extent cx="59664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-633730</wp:posOffset>
            </wp:positionV>
            <wp:extent cx="59664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-410845</wp:posOffset>
            </wp:positionV>
            <wp:extent cx="59664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-187960</wp:posOffset>
            </wp:positionV>
            <wp:extent cx="59664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320" w:right="40" w:hanging="224"/>
        <w:spacing w:after="0" w:line="252" w:lineRule="auto"/>
        <w:tabs>
          <w:tab w:leader="none" w:pos="320" w:val="left"/>
        </w:tabs>
        <w:numPr>
          <w:ilvl w:val="0"/>
          <w:numId w:val="25"/>
        </w:numPr>
        <w:rPr>
          <w:rFonts w:ascii="Arial" w:cs="Arial" w:eastAsia="Arial" w:hAnsi="Arial"/>
          <w:sz w:val="14"/>
          <w:szCs w:val="14"/>
          <w:color w:val="255993"/>
        </w:rPr>
      </w:pPr>
      <w:r>
        <w:rPr>
          <w:rFonts w:ascii="Arial" w:cs="Arial" w:eastAsia="Arial" w:hAnsi="Arial"/>
          <w:sz w:val="14"/>
          <w:szCs w:val="14"/>
          <w:color w:val="255993"/>
        </w:rPr>
        <w:t>Audit fees include fees incurred associated with the annual audit, the reviews of the Company’s interim financial information, consents to documents filed with the SEC, and services provided in connection with the preparation and filing of our registration statements. The amount under Audit Fees for the year ended December 31, 2023 includes a true-up to the final agreed upon billing amount by EY, which represents an increase of approximately $7,000 as compared to the amount of such Audit Fees disclosed in our definitive proxy statement filed with the SEC on April 9, 2024.</w:t>
      </w:r>
    </w:p>
    <w:p>
      <w:pPr>
        <w:spacing w:after="0" w:line="59" w:lineRule="exact"/>
        <w:rPr>
          <w:rFonts w:ascii="Arial" w:cs="Arial" w:eastAsia="Arial" w:hAnsi="Arial"/>
          <w:sz w:val="14"/>
          <w:szCs w:val="14"/>
          <w:color w:val="255993"/>
        </w:rPr>
      </w:pPr>
    </w:p>
    <w:p>
      <w:pPr>
        <w:ind w:left="320" w:right="120" w:hanging="224"/>
        <w:spacing w:after="0" w:line="285" w:lineRule="auto"/>
        <w:tabs>
          <w:tab w:leader="none" w:pos="320" w:val="left"/>
        </w:tabs>
        <w:numPr>
          <w:ilvl w:val="0"/>
          <w:numId w:val="25"/>
        </w:numPr>
        <w:rPr>
          <w:rFonts w:ascii="Arial" w:cs="Arial" w:eastAsia="Arial" w:hAnsi="Arial"/>
          <w:sz w:val="14"/>
          <w:szCs w:val="14"/>
          <w:color w:val="255993"/>
        </w:rPr>
      </w:pPr>
      <w:r>
        <w:rPr>
          <w:rFonts w:ascii="Arial" w:cs="Arial" w:eastAsia="Arial" w:hAnsi="Arial"/>
          <w:sz w:val="14"/>
          <w:szCs w:val="14"/>
          <w:color w:val="255993"/>
        </w:rPr>
        <w:t>Audit-related fees include fees for assurance and related services that are reasonably related to the performance of the audit or review of our financial statements. There were no such fees incurred in 2024 or 2023.</w:t>
      </w:r>
    </w:p>
    <w:p>
      <w:pPr>
        <w:spacing w:after="0" w:line="22" w:lineRule="exact"/>
        <w:rPr>
          <w:rFonts w:ascii="Arial" w:cs="Arial" w:eastAsia="Arial" w:hAnsi="Arial"/>
          <w:sz w:val="14"/>
          <w:szCs w:val="14"/>
          <w:color w:val="255993"/>
        </w:rPr>
      </w:pPr>
    </w:p>
    <w:p>
      <w:pPr>
        <w:ind w:left="320" w:right="460" w:hanging="224"/>
        <w:spacing w:after="0" w:line="285" w:lineRule="auto"/>
        <w:tabs>
          <w:tab w:leader="none" w:pos="320" w:val="left"/>
        </w:tabs>
        <w:numPr>
          <w:ilvl w:val="0"/>
          <w:numId w:val="25"/>
        </w:numPr>
        <w:rPr>
          <w:rFonts w:ascii="Arial" w:cs="Arial" w:eastAsia="Arial" w:hAnsi="Arial"/>
          <w:sz w:val="14"/>
          <w:szCs w:val="14"/>
          <w:color w:val="255993"/>
        </w:rPr>
      </w:pPr>
      <w:r>
        <w:rPr>
          <w:rFonts w:ascii="Arial" w:cs="Arial" w:eastAsia="Arial" w:hAnsi="Arial"/>
          <w:sz w:val="14"/>
          <w:szCs w:val="14"/>
          <w:color w:val="255993"/>
        </w:rPr>
        <w:t>Tax fees consist of fees for professional services, including tax compliance services and tax advisory services. There were no such fees incurred in 2024 or 2023.</w:t>
      </w:r>
    </w:p>
    <w:p>
      <w:pPr>
        <w:spacing w:after="0" w:line="36" w:lineRule="exact"/>
        <w:rPr>
          <w:rFonts w:ascii="Arial" w:cs="Arial" w:eastAsia="Arial" w:hAnsi="Arial"/>
          <w:sz w:val="14"/>
          <w:szCs w:val="14"/>
          <w:color w:val="255993"/>
        </w:rPr>
      </w:pPr>
    </w:p>
    <w:p>
      <w:pPr>
        <w:ind w:left="320" w:hanging="224"/>
        <w:spacing w:after="0"/>
        <w:tabs>
          <w:tab w:leader="none" w:pos="320" w:val="left"/>
        </w:tabs>
        <w:numPr>
          <w:ilvl w:val="0"/>
          <w:numId w:val="25"/>
        </w:numPr>
        <w:rPr>
          <w:rFonts w:ascii="Arial" w:cs="Arial" w:eastAsia="Arial" w:hAnsi="Arial"/>
          <w:sz w:val="14"/>
          <w:szCs w:val="14"/>
          <w:color w:val="255993"/>
        </w:rPr>
      </w:pPr>
      <w:r>
        <w:rPr>
          <w:rFonts w:ascii="Arial" w:cs="Arial" w:eastAsia="Arial" w:hAnsi="Arial"/>
          <w:sz w:val="14"/>
          <w:szCs w:val="14"/>
          <w:color w:val="255993"/>
        </w:rPr>
        <w:t>All other fees include any fees billed that are not audit fees, audit-related fees or tax fees. There were no such fees incurred in 2024 or 2023.</w:t>
      </w:r>
    </w:p>
    <w:p>
      <w:pPr>
        <w:spacing w:after="0" w:line="21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24</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2" w:name="page33"/>
    <w:bookmarkEnd w:id="32"/>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ind w:right="820"/>
        <w:spacing w:after="0"/>
        <w:rPr>
          <w:sz w:val="20"/>
          <w:szCs w:val="20"/>
          <w:color w:val="auto"/>
        </w:rPr>
      </w:pPr>
      <w:r>
        <w:rPr>
          <w:rFonts w:ascii="Arial" w:cs="Arial" w:eastAsia="Arial" w:hAnsi="Arial"/>
          <w:sz w:val="14"/>
          <w:szCs w:val="14"/>
          <w:color w:val="255993"/>
        </w:rPr>
        <w:t>Proposal Two</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AUDITOR INDEPENDENCE</w:t>
      </w:r>
    </w:p>
    <w:p>
      <w:pPr>
        <w:spacing w:after="0" w:line="149" w:lineRule="exact"/>
        <w:rPr>
          <w:sz w:val="20"/>
          <w:szCs w:val="20"/>
          <w:color w:val="auto"/>
        </w:rPr>
      </w:pPr>
    </w:p>
    <w:p>
      <w:pPr>
        <w:ind w:left="800" w:right="960"/>
        <w:spacing w:after="0" w:line="286" w:lineRule="auto"/>
        <w:rPr>
          <w:sz w:val="20"/>
          <w:szCs w:val="20"/>
          <w:color w:val="auto"/>
        </w:rPr>
      </w:pPr>
      <w:r>
        <w:rPr>
          <w:rFonts w:ascii="Arial" w:cs="Arial" w:eastAsia="Arial" w:hAnsi="Arial"/>
          <w:sz w:val="16"/>
          <w:szCs w:val="16"/>
          <w:color w:val="auto"/>
        </w:rPr>
        <w:t>In 2024, there were no other professional services provided by Ernst &amp; Young LLP, other than those listed above, that would have required our audit committee to consider their compatibility with maintaining the independence of Ernst &amp; Young LLP.</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AUDIT COMMITTEE POLICY ON PRE-APPROVAL OF AUDIT AND PERMISSIBLE NON-AUDIT SERVICES</w:t>
      </w:r>
    </w:p>
    <w:p>
      <w:pPr>
        <w:spacing w:after="0" w:line="149" w:lineRule="exact"/>
        <w:rPr>
          <w:sz w:val="20"/>
          <w:szCs w:val="20"/>
          <w:color w:val="auto"/>
        </w:rPr>
      </w:pPr>
    </w:p>
    <w:p>
      <w:pPr>
        <w:ind w:left="800" w:right="840"/>
        <w:spacing w:after="0" w:line="251" w:lineRule="auto"/>
        <w:rPr>
          <w:sz w:val="20"/>
          <w:szCs w:val="20"/>
          <w:color w:val="auto"/>
        </w:rPr>
      </w:pPr>
      <w:r>
        <w:rPr>
          <w:rFonts w:ascii="Arial" w:cs="Arial" w:eastAsia="Arial" w:hAnsi="Arial"/>
          <w:sz w:val="16"/>
          <w:szCs w:val="16"/>
          <w:color w:val="auto"/>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 approval, and the fees for the services performed to date. The audit committee may delegate to the chairperson of the audit committee authority to approve in advance permitted services to be performed by the independent auditor or other registered public accounting firms along with any associated fees.</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All services related to the fees described in the table above were pre-approved by our audit committee.</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VOTE REQUIRED</w:t>
      </w:r>
    </w:p>
    <w:p>
      <w:pPr>
        <w:spacing w:after="0" w:line="135" w:lineRule="exact"/>
        <w:rPr>
          <w:sz w:val="20"/>
          <w:szCs w:val="20"/>
          <w:color w:val="auto"/>
        </w:rPr>
      </w:pPr>
    </w:p>
    <w:p>
      <w:pPr>
        <w:ind w:left="800" w:right="1060"/>
        <w:spacing w:after="0" w:line="256" w:lineRule="auto"/>
        <w:rPr>
          <w:sz w:val="20"/>
          <w:szCs w:val="20"/>
          <w:color w:val="auto"/>
        </w:rPr>
      </w:pPr>
      <w:r>
        <w:rPr>
          <w:rFonts w:ascii="Arial" w:cs="Arial" w:eastAsia="Arial" w:hAnsi="Arial"/>
          <w:sz w:val="16"/>
          <w:szCs w:val="16"/>
          <w:color w:val="auto"/>
        </w:rPr>
        <w:t>The ratification of the appointment of Ernst &amp; Young LLP as our independent registered public accounting firm for our fiscal year ending December 31, 2025 requires the affirmative vote of a majority of the voting power of the shares cast, affirmatively or negatively.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37465</wp:posOffset>
            </wp:positionV>
            <wp:extent cx="17145" cy="8229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 cy="82296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614"/>
        </w:trPr>
        <w:tc>
          <w:tcPr>
            <w:tcW w:w="800" w:type="dxa"/>
            <w:vAlign w:val="bottom"/>
          </w:tcPr>
          <w:p>
            <w:pPr>
              <w:spacing w:after="0"/>
              <w:rPr>
                <w:sz w:val="24"/>
                <w:szCs w:val="24"/>
                <w:color w:val="auto"/>
              </w:rPr>
            </w:pPr>
          </w:p>
        </w:tc>
        <w:tc>
          <w:tcPr>
            <w:tcW w:w="1380" w:type="dxa"/>
            <w:vAlign w:val="bottom"/>
            <w:tcBorders>
              <w:bottom w:val="single" w:sz="8" w:color="255993"/>
            </w:tcBorders>
            <w:shd w:val="clear" w:color="auto" w:fill="255993"/>
          </w:tcPr>
          <w:p>
            <w:pPr>
              <w:spacing w:after="0"/>
              <w:rPr>
                <w:sz w:val="24"/>
                <w:szCs w:val="24"/>
                <w:color w:val="auto"/>
              </w:rPr>
            </w:pPr>
          </w:p>
        </w:tc>
        <w:tc>
          <w:tcPr>
            <w:tcW w:w="220" w:type="dxa"/>
            <w:vAlign w:val="bottom"/>
            <w:tcBorders>
              <w:bottom w:val="single" w:sz="8" w:color="EBEBEB"/>
            </w:tcBorders>
            <w:shd w:val="clear" w:color="auto" w:fill="EBEBEB"/>
          </w:tcPr>
          <w:p>
            <w:pPr>
              <w:spacing w:after="0"/>
              <w:rPr>
                <w:sz w:val="24"/>
                <w:szCs w:val="24"/>
                <w:color w:val="auto"/>
              </w:rPr>
            </w:pPr>
          </w:p>
        </w:tc>
        <w:tc>
          <w:tcPr>
            <w:tcW w:w="5260" w:type="dxa"/>
            <w:vAlign w:val="bottom"/>
            <w:tcBorders>
              <w:bottom w:val="single" w:sz="8" w:color="EBEBEB"/>
            </w:tcBorders>
            <w:gridSpan w:val="2"/>
            <w:shd w:val="clear" w:color="auto" w:fill="EBEBEB"/>
          </w:tcPr>
          <w:p>
            <w:pPr>
              <w:spacing w:after="0"/>
              <w:rPr>
                <w:sz w:val="20"/>
                <w:szCs w:val="20"/>
                <w:color w:val="auto"/>
              </w:rPr>
            </w:pPr>
            <w:r>
              <w:rPr>
                <w:rFonts w:ascii="Arial" w:cs="Arial" w:eastAsia="Arial" w:hAnsi="Arial"/>
                <w:sz w:val="16"/>
                <w:szCs w:val="16"/>
                <w:color w:val="auto"/>
              </w:rPr>
              <w:t>Board Recommendation</w:t>
            </w:r>
          </w:p>
        </w:tc>
        <w:tc>
          <w:tcPr>
            <w:tcW w:w="2540" w:type="dxa"/>
            <w:vAlign w:val="bottom"/>
            <w:tcBorders>
              <w:bottom w:val="single" w:sz="8" w:color="EBEBEB"/>
            </w:tcBorders>
            <w:shd w:val="clear" w:color="auto" w:fill="EBEBEB"/>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380" w:type="dxa"/>
            <w:vAlign w:val="bottom"/>
            <w:shd w:val="clear" w:color="auto" w:fill="255993"/>
          </w:tcPr>
          <w:p>
            <w:pPr>
              <w:spacing w:after="0" w:line="20" w:lineRule="exact"/>
              <w:rPr>
                <w:sz w:val="1"/>
                <w:szCs w:val="1"/>
                <w:color w:val="auto"/>
              </w:rPr>
            </w:pPr>
          </w:p>
        </w:tc>
        <w:tc>
          <w:tcPr>
            <w:tcW w:w="220" w:type="dxa"/>
            <w:vAlign w:val="bottom"/>
            <w:shd w:val="clear" w:color="auto" w:fill="EBEBEB"/>
          </w:tcPr>
          <w:p>
            <w:pPr>
              <w:spacing w:after="0" w:line="20" w:lineRule="exact"/>
              <w:rPr>
                <w:sz w:val="1"/>
                <w:szCs w:val="1"/>
                <w:color w:val="auto"/>
              </w:rPr>
            </w:pPr>
          </w:p>
        </w:tc>
        <w:tc>
          <w:tcPr>
            <w:tcW w:w="1740" w:type="dxa"/>
            <w:vAlign w:val="bottom"/>
            <w:shd w:val="clear" w:color="auto" w:fill="F8991D"/>
          </w:tcPr>
          <w:p>
            <w:pPr>
              <w:spacing w:after="0" w:line="20" w:lineRule="exact"/>
              <w:rPr>
                <w:sz w:val="1"/>
                <w:szCs w:val="1"/>
                <w:color w:val="auto"/>
              </w:rPr>
            </w:pPr>
          </w:p>
        </w:tc>
        <w:tc>
          <w:tcPr>
            <w:tcW w:w="3520" w:type="dxa"/>
            <w:vAlign w:val="bottom"/>
            <w:shd w:val="clear" w:color="auto" w:fill="EBEBEB"/>
          </w:tcPr>
          <w:p>
            <w:pPr>
              <w:spacing w:after="0" w:line="20" w:lineRule="exact"/>
              <w:rPr>
                <w:sz w:val="1"/>
                <w:szCs w:val="1"/>
                <w:color w:val="auto"/>
              </w:rPr>
            </w:pPr>
          </w:p>
        </w:tc>
        <w:tc>
          <w:tcPr>
            <w:tcW w:w="2540" w:type="dxa"/>
            <w:vAlign w:val="bottom"/>
            <w:shd w:val="clear" w:color="auto" w:fill="EBEBEB"/>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64"/>
        </w:trPr>
        <w:tc>
          <w:tcPr>
            <w:tcW w:w="800" w:type="dxa"/>
            <w:vAlign w:val="bottom"/>
          </w:tcPr>
          <w:p>
            <w:pPr>
              <w:spacing w:after="0"/>
              <w:rPr>
                <w:sz w:val="24"/>
                <w:szCs w:val="24"/>
                <w:color w:val="auto"/>
              </w:rPr>
            </w:pPr>
          </w:p>
        </w:tc>
        <w:tc>
          <w:tcPr>
            <w:tcW w:w="1380" w:type="dxa"/>
            <w:vAlign w:val="bottom"/>
            <w:shd w:val="clear" w:color="auto" w:fill="255993"/>
          </w:tcPr>
          <w:p>
            <w:pPr>
              <w:spacing w:after="0"/>
              <w:rPr>
                <w:sz w:val="20"/>
                <w:szCs w:val="20"/>
                <w:color w:val="auto"/>
              </w:rPr>
            </w:pPr>
            <w:r>
              <w:rPr>
                <w:rFonts w:ascii="Arial" w:cs="Arial" w:eastAsia="Arial" w:hAnsi="Arial"/>
                <w:sz w:val="16"/>
                <w:szCs w:val="16"/>
                <w:b w:val="1"/>
                <w:bCs w:val="1"/>
                <w:color w:val="auto"/>
              </w:rPr>
              <w:t> </w:t>
            </w:r>
          </w:p>
        </w:tc>
        <w:tc>
          <w:tcPr>
            <w:tcW w:w="220" w:type="dxa"/>
            <w:vAlign w:val="bottom"/>
            <w:shd w:val="clear" w:color="auto" w:fill="EBEBEB"/>
          </w:tcPr>
          <w:p>
            <w:pPr>
              <w:spacing w:after="0"/>
              <w:rPr>
                <w:sz w:val="24"/>
                <w:szCs w:val="24"/>
                <w:color w:val="auto"/>
              </w:rPr>
            </w:pPr>
          </w:p>
        </w:tc>
        <w:tc>
          <w:tcPr>
            <w:tcW w:w="5260" w:type="dxa"/>
            <w:vAlign w:val="bottom"/>
            <w:gridSpan w:val="2"/>
            <w:shd w:val="clear" w:color="auto" w:fill="EBEBEB"/>
          </w:tcPr>
          <w:p>
            <w:pPr>
              <w:spacing w:after="0"/>
              <w:rPr>
                <w:sz w:val="20"/>
                <w:szCs w:val="20"/>
                <w:color w:val="auto"/>
              </w:rPr>
            </w:pPr>
            <w:r>
              <w:rPr>
                <w:rFonts w:ascii="Arial" w:cs="Arial" w:eastAsia="Arial" w:hAnsi="Arial"/>
                <w:sz w:val="14"/>
                <w:szCs w:val="14"/>
                <w:color w:val="255993"/>
              </w:rPr>
              <w:t xml:space="preserve">Our Board of Directors recommends a vote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this proposal.</w:t>
            </w:r>
          </w:p>
        </w:tc>
        <w:tc>
          <w:tcPr>
            <w:tcW w:w="2540" w:type="dxa"/>
            <w:vAlign w:val="bottom"/>
            <w:shd w:val="clear" w:color="auto" w:fill="EBEBEB"/>
          </w:tcPr>
          <w:p>
            <w:pPr>
              <w:spacing w:after="0"/>
              <w:rPr>
                <w:sz w:val="24"/>
                <w:szCs w:val="24"/>
                <w:color w:val="auto"/>
              </w:rPr>
            </w:pPr>
          </w:p>
        </w:tc>
        <w:tc>
          <w:tcPr>
            <w:tcW w:w="820" w:type="dxa"/>
            <w:vAlign w:val="bottom"/>
          </w:tcPr>
          <w:p>
            <w:pPr>
              <w:spacing w:after="0"/>
              <w:rPr>
                <w:sz w:val="24"/>
                <w:szCs w:val="24"/>
                <w:color w:val="auto"/>
              </w:rPr>
            </w:pPr>
          </w:p>
        </w:tc>
      </w:tr>
      <w:tr>
        <w:trPr>
          <w:trHeight w:val="278"/>
        </w:trPr>
        <w:tc>
          <w:tcPr>
            <w:tcW w:w="800" w:type="dxa"/>
            <w:vAlign w:val="bottom"/>
          </w:tcPr>
          <w:p>
            <w:pPr>
              <w:spacing w:after="0"/>
              <w:rPr>
                <w:sz w:val="24"/>
                <w:szCs w:val="24"/>
                <w:color w:val="auto"/>
              </w:rPr>
            </w:pPr>
          </w:p>
        </w:tc>
        <w:tc>
          <w:tcPr>
            <w:tcW w:w="1380" w:type="dxa"/>
            <w:vAlign w:val="bottom"/>
            <w:shd w:val="clear" w:color="auto" w:fill="255993"/>
          </w:tcPr>
          <w:p>
            <w:pPr>
              <w:spacing w:after="0"/>
              <w:rPr>
                <w:sz w:val="24"/>
                <w:szCs w:val="24"/>
                <w:color w:val="auto"/>
              </w:rPr>
            </w:pPr>
          </w:p>
        </w:tc>
        <w:tc>
          <w:tcPr>
            <w:tcW w:w="220" w:type="dxa"/>
            <w:vAlign w:val="bottom"/>
            <w:shd w:val="clear" w:color="auto" w:fill="EBEBEB"/>
          </w:tcPr>
          <w:p>
            <w:pPr>
              <w:spacing w:after="0"/>
              <w:rPr>
                <w:sz w:val="24"/>
                <w:szCs w:val="24"/>
                <w:color w:val="auto"/>
              </w:rPr>
            </w:pPr>
          </w:p>
        </w:tc>
        <w:tc>
          <w:tcPr>
            <w:tcW w:w="1740" w:type="dxa"/>
            <w:vAlign w:val="bottom"/>
            <w:shd w:val="clear" w:color="auto" w:fill="EBEBEB"/>
          </w:tcPr>
          <w:p>
            <w:pPr>
              <w:spacing w:after="0"/>
              <w:rPr>
                <w:sz w:val="24"/>
                <w:szCs w:val="24"/>
                <w:color w:val="auto"/>
              </w:rPr>
            </w:pPr>
          </w:p>
        </w:tc>
        <w:tc>
          <w:tcPr>
            <w:tcW w:w="3520" w:type="dxa"/>
            <w:vAlign w:val="bottom"/>
            <w:shd w:val="clear" w:color="auto" w:fill="EBEBEB"/>
          </w:tcPr>
          <w:p>
            <w:pPr>
              <w:spacing w:after="0"/>
              <w:rPr>
                <w:sz w:val="24"/>
                <w:szCs w:val="24"/>
                <w:color w:val="auto"/>
              </w:rPr>
            </w:pPr>
          </w:p>
        </w:tc>
        <w:tc>
          <w:tcPr>
            <w:tcW w:w="2540" w:type="dxa"/>
            <w:vAlign w:val="bottom"/>
            <w:shd w:val="clear" w:color="auto" w:fill="EBEBEB"/>
          </w:tcPr>
          <w:p>
            <w:pPr>
              <w:spacing w:after="0"/>
              <w:rPr>
                <w:sz w:val="24"/>
                <w:szCs w:val="24"/>
                <w:color w:val="auto"/>
              </w:rPr>
            </w:pPr>
          </w:p>
        </w:tc>
        <w:tc>
          <w:tcPr>
            <w:tcW w:w="820" w:type="dxa"/>
            <w:vAlign w:val="bottom"/>
          </w:tcPr>
          <w:p>
            <w:pPr>
              <w:spacing w:after="0"/>
              <w:rPr>
                <w:sz w:val="24"/>
                <w:szCs w:val="24"/>
                <w:color w:val="auto"/>
              </w:rPr>
            </w:pPr>
          </w:p>
        </w:tc>
      </w:tr>
      <w:tr>
        <w:trPr>
          <w:trHeight w:val="403"/>
        </w:trPr>
        <w:tc>
          <w:tcPr>
            <w:tcW w:w="8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255993"/>
              </w:rPr>
              <w:t>Athira Pharma, Inc.</w:t>
            </w:r>
          </w:p>
        </w:tc>
        <w:tc>
          <w:tcPr>
            <w:tcW w:w="5480" w:type="dxa"/>
            <w:vAlign w:val="bottom"/>
            <w:gridSpan w:val="3"/>
          </w:tcPr>
          <w:p>
            <w:pPr>
              <w:jc w:val="right"/>
              <w:ind w:right="2080"/>
              <w:spacing w:after="0"/>
              <w:rPr>
                <w:sz w:val="20"/>
                <w:szCs w:val="20"/>
                <w:color w:val="auto"/>
              </w:rPr>
            </w:pPr>
            <w:r>
              <w:rPr>
                <w:rFonts w:ascii="Arial" w:cs="Arial" w:eastAsia="Arial" w:hAnsi="Arial"/>
                <w:sz w:val="14"/>
                <w:szCs w:val="14"/>
                <w:b w:val="1"/>
                <w:bCs w:val="1"/>
                <w:color w:val="255993"/>
              </w:rPr>
              <w:t>25</w:t>
            </w:r>
          </w:p>
        </w:tc>
        <w:tc>
          <w:tcPr>
            <w:tcW w:w="3360" w:type="dxa"/>
            <w:vAlign w:val="bottom"/>
            <w:gridSpan w:val="2"/>
          </w:tcPr>
          <w:p>
            <w:pPr>
              <w:ind w:left="1120"/>
              <w:spacing w:after="0"/>
              <w:rPr>
                <w:sz w:val="20"/>
                <w:szCs w:val="20"/>
                <w:color w:val="auto"/>
              </w:rPr>
            </w:pPr>
            <w:r>
              <w:rPr>
                <w:rFonts w:ascii="Arial" w:cs="Arial" w:eastAsia="Arial" w:hAnsi="Arial"/>
                <w:sz w:val="14"/>
                <w:szCs w:val="14"/>
                <w:color w:val="255993"/>
              </w:rPr>
              <w:t>2025 Proxy Statement</w:t>
            </w:r>
          </w:p>
        </w:tc>
      </w:tr>
      <w:tr>
        <w:trPr>
          <w:trHeight w:val="158"/>
        </w:trPr>
        <w:tc>
          <w:tcPr>
            <w:tcW w:w="8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-976630</wp:posOffset>
            </wp:positionV>
            <wp:extent cx="308610" cy="3003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08610" cy="3003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Report of the Audit Committee</w:t>
      </w:r>
    </w:p>
    <w:p>
      <w:pPr>
        <w:spacing w:after="0" w:line="35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audit committee is a committee of our board of directors comprised solely of independent directors as required by Nasdaq listing rules and the rules and regulations of the SEC. The audit committee operates under a written charter adopted by the board of directors, which is available on our website at https://investors.athira.com/corporate-governance/governance-overview. This written charter is reviewed annually for changes, as appropriate. With respect to our financial reporting process, our management is responsible for (1) establishing and maintaining internal controls and (2) preparing our consolidated financial statements. Our independent registered public accounting firm, Ernst &amp; Young LLP, is responsible for performing an independent audit of our consolidated financial statements. It is the responsibility of the audit committee to oversee these activities. It is not the responsibility of the audit committee to prepare our financial statements. These are the fundamental responsibilities of management. In the performance of its oversight function, the audit committee has:</w:t>
      </w:r>
    </w:p>
    <w:p>
      <w:pPr>
        <w:spacing w:after="0" w:line="131" w:lineRule="exact"/>
        <w:rPr>
          <w:sz w:val="20"/>
          <w:szCs w:val="20"/>
          <w:color w:val="auto"/>
        </w:rPr>
      </w:pPr>
    </w:p>
    <w:p>
      <w:pPr>
        <w:ind w:left="140" w:hanging="134"/>
        <w:spacing w:after="0"/>
        <w:tabs>
          <w:tab w:leader="none" w:pos="140" w:val="left"/>
        </w:tabs>
        <w:numPr>
          <w:ilvl w:val="0"/>
          <w:numId w:val="26"/>
        </w:numPr>
        <w:rPr>
          <w:rFonts w:ascii="Arial" w:cs="Arial" w:eastAsia="Arial" w:hAnsi="Arial"/>
          <w:sz w:val="16"/>
          <w:szCs w:val="16"/>
          <w:color w:val="255993"/>
        </w:rPr>
      </w:pPr>
      <w:r>
        <w:rPr>
          <w:rFonts w:ascii="Arial" w:cs="Arial" w:eastAsia="Arial" w:hAnsi="Arial"/>
          <w:sz w:val="16"/>
          <w:szCs w:val="16"/>
          <w:color w:val="auto"/>
        </w:rPr>
        <w:t>reviewed and discussed the audited consolidated financial statements with management and Ernst &amp; Young LLP;</w:t>
      </w:r>
    </w:p>
    <w:p>
      <w:pPr>
        <w:spacing w:after="0" w:line="59" w:lineRule="exact"/>
        <w:rPr>
          <w:rFonts w:ascii="Arial" w:cs="Arial" w:eastAsia="Arial" w:hAnsi="Arial"/>
          <w:sz w:val="16"/>
          <w:szCs w:val="16"/>
          <w:color w:val="255993"/>
        </w:rPr>
      </w:pPr>
    </w:p>
    <w:p>
      <w:pPr>
        <w:ind w:left="140" w:right="200" w:hanging="134"/>
        <w:spacing w:after="0" w:line="281" w:lineRule="auto"/>
        <w:tabs>
          <w:tab w:leader="none" w:pos="140" w:val="left"/>
        </w:tabs>
        <w:numPr>
          <w:ilvl w:val="0"/>
          <w:numId w:val="26"/>
        </w:numPr>
        <w:rPr>
          <w:rFonts w:ascii="Arial" w:cs="Arial" w:eastAsia="Arial" w:hAnsi="Arial"/>
          <w:sz w:val="16"/>
          <w:szCs w:val="16"/>
          <w:color w:val="255993"/>
        </w:rPr>
      </w:pPr>
      <w:r>
        <w:rPr>
          <w:rFonts w:ascii="Arial" w:cs="Arial" w:eastAsia="Arial" w:hAnsi="Arial"/>
          <w:sz w:val="16"/>
          <w:szCs w:val="16"/>
          <w:color w:val="auto"/>
        </w:rPr>
        <w:t>discussed with Ernst &amp; Young LLP the matters required to be discussed by the applicable requirements of the Public Company Accounting Oversight Board (the “PCAOB”) and the SEC; and</w:t>
      </w:r>
    </w:p>
    <w:p>
      <w:pPr>
        <w:spacing w:after="0" w:line="1" w:lineRule="exact"/>
        <w:rPr>
          <w:rFonts w:ascii="Arial" w:cs="Arial" w:eastAsia="Arial" w:hAnsi="Arial"/>
          <w:sz w:val="16"/>
          <w:szCs w:val="16"/>
          <w:color w:val="255993"/>
        </w:rPr>
      </w:pPr>
    </w:p>
    <w:p>
      <w:pPr>
        <w:ind w:left="140" w:right="80" w:hanging="134"/>
        <w:spacing w:after="0" w:line="266" w:lineRule="auto"/>
        <w:tabs>
          <w:tab w:leader="none" w:pos="140" w:val="left"/>
        </w:tabs>
        <w:numPr>
          <w:ilvl w:val="0"/>
          <w:numId w:val="26"/>
        </w:numPr>
        <w:rPr>
          <w:rFonts w:ascii="Arial" w:cs="Arial" w:eastAsia="Arial" w:hAnsi="Arial"/>
          <w:sz w:val="16"/>
          <w:szCs w:val="16"/>
          <w:color w:val="255993"/>
        </w:rPr>
      </w:pPr>
      <w:r>
        <w:rPr>
          <w:rFonts w:ascii="Arial" w:cs="Arial" w:eastAsia="Arial" w:hAnsi="Arial"/>
          <w:sz w:val="16"/>
          <w:szCs w:val="16"/>
          <w:color w:val="auto"/>
        </w:rPr>
        <w:t>received the written disclosures and the letter from Ernst &amp; Young LLP required by the applicable requirements of the PCAOB regarding the independent accountant’s communications with the audit committee concerning independence, and has discussed with Ernst &amp; Young LLP its independence.</w:t>
      </w:r>
    </w:p>
    <w:p>
      <w:pPr>
        <w:spacing w:after="0" w:line="90"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Based on the audit committee’s review and discussions with management and Ernst &amp; Young LLP noted above, the audit committee recommended to the board of directors that the audited consolidated financial statements be included in the Annual Report on Form 10-K for the fiscal year ended December 31, 2024, filed with the SEC on February 27, 2025.</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JAMES A. JOHNSON (CHAIR), JOHN M. FLUKE, JR., KELLY ROMANO.</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i w:val="1"/>
          <w:iCs w:val="1"/>
          <w:color w:val="auto"/>
        </w:rPr>
        <w:t>This audit committee report shall not be deemed to be “soliciting material” or to be “filed” with the SEC or subject to Regulation 14A promulgated by the SEC or to the liabilities of Section 18 of the Exchange Act (the “Exchange Act”), and shall not be deemed incorporated by reference into any prior or subsequent filing by the Company under the Securities Act of 1933, as amended (the “Securities Act”), or the Exchange Act, except to the extent the Company specifically requests that the information be treated as “soliciting material” or specifically incorporates it by reference.</w:t>
      </w:r>
    </w:p>
    <w:p>
      <w:pPr>
        <w:spacing w:after="0" w:line="18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26</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b w:val="1"/>
          <w:bCs w:val="1"/>
          <w:color w:val="F8991D"/>
        </w:rPr>
        <w:t>APPROVAL OF PROPOSED AMENDMENTS TO OUR AMENDED AND RESTATED CERTIFICATE OF INCORPORATION TO EFFECT A REVERSE STOCK SPLIT AND REDUCE THE TOTAL NUMBER OF AUTHORIZED SHARES OF COMMON STOCK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Proposal Three</w:t>
      </w:r>
    </w:p>
    <w:p>
      <w:pPr>
        <w:spacing w:after="0" w:line="35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At the Annual Meeting, we are asking our stockholders to approve proposed amendments to our amended and restated certificate of incorporation to effect a reverse stock split and reduce the total number of authorized shares of common stock. The board of directors has unanimously adopted and declared advisable, and resolved to recommend to the Company’s stockholders that they approve and adopt, the Reverse Stock Split Proposal.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PROPOSED AMENDMENTS TO THE AMENDED AND RESTATED CERTIFICATE OF INCORPORATION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OVERVIEW</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On April 2, 2025, our board of directors approved and adopted resolutions (1) approving and finding advisable a series of proposed amendments to our Amended and Restated Certificate of Incorporation (the “Restated Certificate”), to effect a reverse stock split of our common stock issued and outstanding or held in treasury (the “Reverse Stock Split”), and a corresponding reduction in the total number of authorized shares of our common stock (the “Authorized Share Reduction”), and (2) directing that a proposal (the “Reverse Stock Split Proposal”) to approve the Reverse Stock Split and the Authorized Share Reduction be submitted to our stockholders for their approval.</w:t>
      </w:r>
    </w:p>
    <w:p>
      <w:pPr>
        <w:spacing w:after="0" w:line="11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If approved by our stockholders, the Reverse Stock Split Proposal would permit, but would not require, our board of directors to effect a reverse stock split of our common stock issued and outstanding or held in treasury by a ratio of either 5 for 1, 10 for 1, 15 for 1 or 20 for 1, with the final ratio to be set as determined by the board of directors (or a duly authorized committee thereof) in its sole discretion in the manner described herein. At the same time, the total number of authorized shares of our common stock would be reduced from 900,000,000 to 180,000,000, 90,000,000, 60,000,000, or 45,000,000, and our total number of authorized shares would be reduced from 1,000,000,000 to 280,000,000, 190,000,000, 160,000,000, or 145,000,000, based on the final Reverse Stock Split ratio set by the board of directors in the manner described herein. The par value per share of our common and preferred stock would remain unchanged at $0.0001. The Reverse Stock Split would also affect outstanding options, outstanding restricted stock units (“RSUs”), any share-based award limits, and shares reserved for issuance under our equity compensation plans, as described in “—Effect on Equity Compensation Plans, Outstanding Options and RSUs” below. The Reverse Stock Split would affect all shares of common stock uniformly (subject to the treatment of fractional shares described below). The following description of the proposed amendments is a summary and is subject to the full text of the proposed Certificates of Amendment to our Restated Certificate (the “Certificates of Amendment”), forms of which are attached to this Proxy Statement as Annex A, Annex B, Annex C, and Annex D.</w:t>
      </w:r>
    </w:p>
    <w:p>
      <w:pPr>
        <w:spacing w:after="0" w:line="10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If stockholders approve the Reverse Stock Split Proposal, the board of directors in its discretion could determine to cause one Certificate of Amendment to be filed with the Delaware Secretary of State and effect the Reverse Stock Split and the Authorized Share Reduction. The board of directors also may determine in its discretion not to effect the Reverse Stock Split and the Authorized Share Reduction and not to file any Certificate of Amendment. We could decide not to proceed with the Reverse Stock Split and the Authorized Share Reduction even if the Reverse Stock Split Proposal is approved by stockholders. No further action on the part of stockholders will be required to either implement or abandon the Reverse Stock Split and the Authorized Share Reduction.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REASONS FOR THE REVERSE STOCK SPLIT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MEET CERTAIN CONTINUED LISTING REQUIREMENTS OF NASDAQ</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To continue our listing on The Nasdaq Global Select Market, we must comply with Nasdaq rules. Nasdaq Listing Rule 5450(a)(1) requires listed securities to maintain a minimum bid price of $1.00 per share (the “Minimum Bid Price Requirement”), and Nasdaq Listing Rule 5810(c)(3)(A) provides that a failure to meet the Minimum Bid Price Requirement exists if the deficiency continues for a period of 30 consecutive business days. On October 16, 2024, we received written notice from the Listing Qualifications Department of Nasdaq notifying us that because the closing bid price for our common stock listed on Nasdaq was below $1.00 per share for 30</w:t>
      </w:r>
    </w:p>
    <w:p>
      <w:pPr>
        <w:spacing w:after="0" w:line="37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27</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consecutive business days, we did not meet the Minimum Bid Price Requirement for continued listing on The Nasdaq Global Select Market. Pursuant to Nasdaq Listing Rule 5810(c)(3)(A), we have been provided an initial compliance period of 180 calendar days to regain compliance with the Minimum Bid Price Requirement. To regain compliance, the closing bid price of the common stock must be at least $1.00 per share for a minimum of 10 consecutive business days by April 14, 2025, and we must otherwise satisfy The Nasdaq Global Select Market’s requirements for listing.</w:t>
      </w:r>
    </w:p>
    <w:p>
      <w:pPr>
        <w:spacing w:after="0" w:line="9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Nasdaq listing rules provide an additional 180 calendar day compliance period for companies that elect (and meet the listing standards) to transfer to The Nasdaq Capital Market, unless it does not appear to Nasdaq that it is possible for the company to cure the deficiency. Accordingly, on April 4, 2025 we submitted an application to Nasdaq to transfer to The Nasdaq Capital Market. If Nasdaq approves our application, we would be eligible for an additional 180 calendar day compliance period to cure the Minimum Bid Price Requirement deficiency.</w:t>
      </w:r>
    </w:p>
    <w:p>
      <w:pPr>
        <w:spacing w:after="0" w:line="11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board of directors has considered the potential harm to our Company and our stockholders should Nasdaq delist our common stock. Delisting could adversely affect the liquidity of our common stock since alternatives, such as the OTC Bulletin Board and the pink sheets, are generally considered to be less efficient markets.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for other reasons. The board of directors believes that the Reverse Stock Split is a potentially effective means for us to increase the per share market price of our common stock and to avoid, or at least mitigate, the likely adverse consequences of our common stock being delisted from Nasdaq by producing the immediate effect of increasing the bid price of our common stock.</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TO POTENTIALLY IMPROVE THE MARKETABILITY OF OUR COMMON STOCK</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board of directors believes that the increased market price of our common stock expected as a result of implementing the Reverse Stock Split could improve the marketability of our common stock and encourage interest and trading in our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APPEAL TO A BROADER RANGE OF INVESTORS TO GENERATE GREATER INVESTOR INTEREST IN THE COMPANY</w:t>
      </w:r>
    </w:p>
    <w:p>
      <w:pPr>
        <w:spacing w:after="0" w:line="11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believe that the Reverse Stock Split and an increase in our stock price may make our common stock more attractive to a broader range of institutional and other investors. Many brokerage firms and institutional investors have internal policies and practices that either prohibit them from investing in low-priced stocks or tend to discourage individual brokers from recommending low-priced stocks to their customers, which reduces the number of potential purchasers of our common stock. In addition, some of those policies and practices may function to make the processing of trades in low-priced stocks economically less attractive to brokers. Investors may also be dissuaded from purchasing lower-priced stocks because the brokerage commissions, as a percentage of the total transaction, tend to be higher for such stocks. Moreover, we believe the analysts at many brokerage firms do not monitor the trading activity or otherwise provide coverage of lower-priced stocks. Further, lower-priced stocks have a perception in the investment community as being riskier and more speculative, which may negatively impact not only the price of our common stock, but also our market liquidity.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REASONS FOR THE REDUCTION IN THE AUTHORIZED NUMBER OF SHARES OF COMMON STOCK</w:t>
      </w:r>
    </w:p>
    <w:p>
      <w:pPr>
        <w:spacing w:after="0" w:line="14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a matter of Delaware law, implementation of the Reverse Stock Split does not require a change in the total number of shares of our common stock authorized for issuance under the Restated Certificate. However, the proposed reduction in the total number of authorized shares of our common stock is designed to maintain approximately the same proportion of the total number of authorized shares of common stock that are not issued or outstanding following the Reverse Stock Split. The proposed reduction in the total number of authorized shares of common stock from 900,000,000 to 180,000,000, 90,000,000, 60,000,000, or 45,000,000, and in the total number of authorized shares of all stock from 1,000,000,000 to 280,000,000, 190,000,000, 160,000,000, or 145,000,000, is intended to satisfy the voting policies of certain of our stockholders, conform to the requirements of certain entities that make recommendations to stockholders regarding proposals submitted by us, and ensure that we do not have what some stockholders might view as an unreasonably high number of authorized but unissued shares of common stock. In addition, the reduction in the number of authorized shares of our stock may also reduce certain of our costs.</w:t>
      </w:r>
    </w:p>
    <w:p>
      <w:pPr>
        <w:spacing w:after="0" w:line="194"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28</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CERTAIN RISKS ASSOCIATED WITH A REVERSE STOCK SPLIT</w:t>
      </w:r>
    </w:p>
    <w:p>
      <w:pPr>
        <w:spacing w:after="0" w:line="135"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There are certain risks associated with a reverse stock split, and we cannot accurately predict or assure you that the Reverse Stock Split will produce or maintain the desired results. However, our board of directors believes that the potential benefits to us and our stockholders outweigh the risks and recommends that you vote in favor of the Reverse Stock Split Proposal.</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b w:val="1"/>
          <w:bCs w:val="1"/>
          <w:color w:val="255993"/>
        </w:rPr>
        <w:t>WE CANNOT ASSURE YOU THAT THE PROPOSED REVERSE STOCK SPLIT, IF EFFECTED, WILL INCREASE OUR STOCK PRICE. THERE CAN BE NO ASSURANCE THAT THE TOTAL MARKET CAPITALIZATION OF OUR COMMON STOCK (THE AGGREGATE VALUE OF ALL OF OUR OUTSTANDING COMMON STOCK AT THE THEN MARKET PRICE) AFTER THE REVERSE STOCK SPLIT WILL BE EQUAL TO OR GREATER THAN THE TOTAL MARKET CAPITALIZATION BEFORE THE REVERSE STOCK SPLIT, OR THAT THE PER SHARE MARKET PRICE OF OUR COMMON STOCK FOLLOWING THE REVERSE STOCK SPLIT WILL EITHER EQUAL OR EXCEED THE CURRENT PER SHARE MARKET PRICE</w:t>
      </w:r>
    </w:p>
    <w:p>
      <w:pPr>
        <w:spacing w:after="0" w:line="6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closing sale price of our common stock on Nasdaq was $0.455 per share on October 16, 2024 and was $[•] per share on [•]. We expect that the Reverse Stock Split, if effected, will increase the per share trading price of our common stock. However, we cannot assure you that the market price per share of our common stock after the Reverse Stock Split will rise or remain constant in proportion to the reduction in the number of shares of common stock outstanding before the Reverse Stock Split. The effect of the Reverse Stock Split on the per share trading price of our common stock cannot be predicted with any certainty, and the history of reverse stock splits for other companies is varied, particularly since some investors may view a reverse stock split negatively. In many cases, the market price of a company’s shares declines after a reverse stock split, or the market price of a company’s shares immediately after a reverse stock split does not reflect a proportionate or mathematical adjustment to the market price based on the ratio of such reverse stock split. Accordingly, the total market capitalization of our common stock after the Reverse Stock Split may be lower than the total market capitalization before the Reverse Stock Split, and it is possible that the Reverse Stock Split may not result in a per share trading price that would attract investors who do not trade in lower-priced stocks.</w:t>
      </w:r>
    </w:p>
    <w:p>
      <w:pPr>
        <w:spacing w:after="0" w:line="11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Reducing the number of outstanding shares of our common stock through the Reverse Stock Split, if we decide to proceed with the Reverse Stock Split, is intended, absent other factors, to increase the per share trading price of our common stock. However, even if we implement the Reverse Stock Split, the per share trading price of our common stock may decrease due to factors unrelated to the Reverse Stock Split. Other factors, such as our clinical trial results, research and development results and plans, financial results, market conditions and the market perception of our business, may adversely affect the per share trading price of our common stock. As a result, there can be no assurance that the Reverse Stock Split, if completed, will result in the benefits that we anticipate, that the per share trading price of our common stock will increase following the Reverse Stock Split, or that the per share trading price of our common stock will not decrease in the future. Although no assurances are possible concerning the trading price of our common stock if the Reverse Stock Split is effected or concerning future fluctuations in the market price of our common stock after the Reverse Stock Split, our intention in determining the reverse stock split ratio to be reflected in the Reverse Stock Split is that such ratio will result in an increase in the per share market price of our common stock immediately after the Reverse Stock Split, although whether the price of our common stock is sufficient or is maintained for a sufficient period of time to satisfy the relevant Nasdaq listing rules depends in part on the ratio of the Reverse Stock Split and future fluctuations in the price of our common stock.</w:t>
      </w:r>
    </w:p>
    <w:p>
      <w:pPr>
        <w:spacing w:after="0" w:line="380"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255993"/>
        </w:rPr>
        <w:t>THE PROPOSED REVERSE STOCK SPLIT MAY DECREASE THE LIQUIDITY OF OUR COMMON STOCK AND RESULT IN HIGHER TRANSACTION COSTS</w:t>
      </w:r>
    </w:p>
    <w:p>
      <w:pPr>
        <w:spacing w:after="0" w:line="3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liquidity of our common stock may be negatively impacted by the Reverse Stock Split, given the reduced number of shares that would be outstanding after the Reverse Stock Split, particularly if the per share trading price does not increase proportionately as a result of the Reverse Stock Split. In addition, if the Reverse Stock Split is implemented, it will likely increase the number of our stockholders who own “odd lots” of fewer than 100 shares of common stock. Brokerage commission and other costs of transactions in odd lots are generally higher than the costs of transactions of more than 100 shares of common stock. In addition, although we believe the Reverse Stock Split may enhance the marketability of our common stock to certain potential investors, we cannot assure you that, if the Reverse Stock Split is implemented, our common stock will be more attractive to investors. While our board of directors believes that a higher stock price may help generate interest of new investors, the Reverse Stock Split may not result in a per share price that will attract certain types of investors, such as institutional investors or investment funds, and such share price may not satisfy the investing guidelines of certain institutional investors or investment funds. As a result, the trading liquidity of our common stock may not</w:t>
      </w:r>
    </w:p>
    <w:p>
      <w:pPr>
        <w:spacing w:after="0" w:line="192"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29</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improve as a result of the Reverse Stock Split and could be adversely affected by a higher per share price. Accordingly, the Reverse Stock Split may not achieve the desired results of increasing marketability of our common stock as described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PRINCIPAL EFFECTS OF THE REVERSE STOCK SPLIT AND THE AUTHORIZED SHARE REDUCTION</w:t>
      </w:r>
    </w:p>
    <w:p>
      <w:pPr>
        <w:spacing w:after="0" w:line="14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If approved and implemented, the Reverse Stock Split will be realized simultaneously and in the same ratio for all of our issued and outstanding shares of common stock. Any fractional shares that would otherwise be issuable as a result of the Reverse Stock Split will be paid out in cash. The Reverse Stock Split will affect all shares of common stock uniformly and will not affect any stockholder’s percentage ownership interest in the Company (subject to the treatment of fractional shares). In addition, the Reverse Stock Split will not affect any stockholder’s proportionate voting power (subject to the treatment of fractional shares).</w:t>
      </w:r>
    </w:p>
    <w:p>
      <w:pPr>
        <w:spacing w:after="0" w:line="99"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Our authorized capital stock currently consists of 900,000,000 shares of common stock, par value $0.0001 per share, and 100,000,000 shares of preferred stock, par value $0.0001 per share. At the effective time of the Reverse Stock Split (the “Effective Time”), the total number of authorized shares of our common stock will be reduced from 900,000,000 to 180,000,000, 90,000,000, 60,000,000, or 45,000,000, and the total number of authorized shares will be reduced from 1,000,000,000 to 280,000,000, 190,000,000, 160,000,000, or 145,000,000, based on which, if any, of the approved reverse stock split ratios is ultimately selected by the board of directors. The par value per share of our common and preferred stock would remain unchanged at $0.0001 after the Reverse Stock Split and the Authorized Share Reduction. The total number of authorized shares of preferred stock will not be reduced and would remain at 100,000,000 shares.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TABULAR ILLUSTRATION OF EFFECT OF THE REVERSE STOCK SPLIT AND AUTHORIZED SHARE REDUCTION</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table below sets forth, as of March 24, 2025 and for illustrative purposes only, certain effects of potential Reverse Stock Split ratios of 5 for 1, 10 for 1, 15 for 1 and 20 for 1, including on our total outstanding common stock equivalents (without giving effect to the treatment of fractional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140" w:type="dxa"/>
            <w:vAlign w:val="bottom"/>
            <w:shd w:val="clear" w:color="auto" w:fill="255993"/>
          </w:tcPr>
          <w:p>
            <w:pPr>
              <w:spacing w:after="0"/>
              <w:rPr>
                <w:sz w:val="24"/>
                <w:szCs w:val="24"/>
                <w:color w:val="auto"/>
              </w:rPr>
            </w:pPr>
          </w:p>
        </w:tc>
        <w:tc>
          <w:tcPr>
            <w:tcW w:w="560" w:type="dxa"/>
            <w:vAlign w:val="bottom"/>
            <w:shd w:val="clear" w:color="auto" w:fill="255993"/>
          </w:tcPr>
          <w:p>
            <w:pPr>
              <w:spacing w:after="0"/>
              <w:rPr>
                <w:sz w:val="24"/>
                <w:szCs w:val="24"/>
                <w:color w:val="auto"/>
              </w:rPr>
            </w:pPr>
          </w:p>
        </w:tc>
        <w:tc>
          <w:tcPr>
            <w:tcW w:w="2580" w:type="dxa"/>
            <w:vAlign w:val="bottom"/>
            <w:shd w:val="clear" w:color="auto" w:fill="255993"/>
          </w:tcPr>
          <w:p>
            <w:pPr>
              <w:spacing w:after="0"/>
              <w:rPr>
                <w:sz w:val="24"/>
                <w:szCs w:val="24"/>
                <w:color w:val="auto"/>
              </w:rPr>
            </w:pPr>
          </w:p>
        </w:tc>
        <w:tc>
          <w:tcPr>
            <w:tcW w:w="1120" w:type="dxa"/>
            <w:vAlign w:val="bottom"/>
            <w:shd w:val="clear" w:color="auto" w:fill="255993"/>
          </w:tcPr>
          <w:p>
            <w:pPr>
              <w:spacing w:after="0"/>
              <w:rPr>
                <w:sz w:val="24"/>
                <w:szCs w:val="24"/>
                <w:color w:val="auto"/>
              </w:rPr>
            </w:pPr>
          </w:p>
        </w:tc>
        <w:tc>
          <w:tcPr>
            <w:tcW w:w="880" w:type="dxa"/>
            <w:vAlign w:val="bottom"/>
            <w:shd w:val="clear" w:color="auto" w:fill="255993"/>
          </w:tcPr>
          <w:p>
            <w:pPr>
              <w:spacing w:after="0"/>
              <w:rPr>
                <w:sz w:val="24"/>
                <w:szCs w:val="24"/>
                <w:color w:val="auto"/>
              </w:rPr>
            </w:pPr>
          </w:p>
        </w:tc>
        <w:tc>
          <w:tcPr>
            <w:tcW w:w="120" w:type="dxa"/>
            <w:vAlign w:val="bottom"/>
            <w:shd w:val="clear" w:color="auto" w:fill="255993"/>
          </w:tcPr>
          <w:p>
            <w:pPr>
              <w:spacing w:after="0"/>
              <w:rPr>
                <w:sz w:val="24"/>
                <w:szCs w:val="24"/>
                <w:color w:val="auto"/>
              </w:rPr>
            </w:pPr>
          </w:p>
        </w:tc>
        <w:tc>
          <w:tcPr>
            <w:tcW w:w="900" w:type="dxa"/>
            <w:vAlign w:val="bottom"/>
            <w:shd w:val="clear" w:color="auto" w:fill="255993"/>
          </w:tcPr>
          <w:p>
            <w:pPr>
              <w:spacing w:after="0"/>
              <w:rPr>
                <w:sz w:val="24"/>
                <w:szCs w:val="24"/>
                <w:color w:val="auto"/>
              </w:rPr>
            </w:pPr>
          </w:p>
        </w:tc>
        <w:tc>
          <w:tcPr>
            <w:tcW w:w="2020" w:type="dxa"/>
            <w:vAlign w:val="bottom"/>
            <w:gridSpan w:val="4"/>
            <w:shd w:val="clear" w:color="auto" w:fill="255993"/>
          </w:tcPr>
          <w:p>
            <w:pPr>
              <w:jc w:val="right"/>
              <w:spacing w:after="0"/>
              <w:rPr>
                <w:sz w:val="20"/>
                <w:szCs w:val="20"/>
                <w:color w:val="auto"/>
              </w:rPr>
            </w:pPr>
            <w:r>
              <w:rPr>
                <w:rFonts w:ascii="Arial" w:cs="Arial" w:eastAsia="Arial" w:hAnsi="Arial"/>
                <w:sz w:val="16"/>
                <w:szCs w:val="16"/>
                <w:b w:val="1"/>
                <w:bCs w:val="1"/>
                <w:color w:val="FFFFFF"/>
              </w:rPr>
              <w:t>Post-Reverse Stock Split</w:t>
            </w:r>
          </w:p>
        </w:tc>
        <w:tc>
          <w:tcPr>
            <w:tcW w:w="120" w:type="dxa"/>
            <w:vAlign w:val="bottom"/>
            <w:shd w:val="clear" w:color="auto" w:fill="255993"/>
          </w:tcPr>
          <w:p>
            <w:pPr>
              <w:spacing w:after="0"/>
              <w:rPr>
                <w:sz w:val="24"/>
                <w:szCs w:val="24"/>
                <w:color w:val="auto"/>
              </w:rPr>
            </w:pPr>
          </w:p>
        </w:tc>
        <w:tc>
          <w:tcPr>
            <w:tcW w:w="960" w:type="dxa"/>
            <w:vAlign w:val="bottom"/>
            <w:shd w:val="clear" w:color="auto" w:fill="255993"/>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 w:type="dxa"/>
            <w:vAlign w:val="bottom"/>
            <w:shd w:val="clear" w:color="auto" w:fill="255993"/>
          </w:tcPr>
          <w:p>
            <w:pPr>
              <w:spacing w:after="0"/>
              <w:rPr>
                <w:sz w:val="19"/>
                <w:szCs w:val="19"/>
                <w:color w:val="auto"/>
              </w:rPr>
            </w:pPr>
          </w:p>
        </w:tc>
        <w:tc>
          <w:tcPr>
            <w:tcW w:w="560" w:type="dxa"/>
            <w:vAlign w:val="bottom"/>
            <w:shd w:val="clear" w:color="auto" w:fill="255993"/>
          </w:tcPr>
          <w:p>
            <w:pPr>
              <w:spacing w:after="0"/>
              <w:rPr>
                <w:sz w:val="19"/>
                <w:szCs w:val="19"/>
                <w:color w:val="auto"/>
              </w:rPr>
            </w:pPr>
          </w:p>
        </w:tc>
        <w:tc>
          <w:tcPr>
            <w:tcW w:w="2580" w:type="dxa"/>
            <w:vAlign w:val="bottom"/>
            <w:shd w:val="clear" w:color="auto" w:fill="255993"/>
          </w:tcPr>
          <w:p>
            <w:pPr>
              <w:spacing w:after="0"/>
              <w:rPr>
                <w:sz w:val="19"/>
                <w:szCs w:val="19"/>
                <w:color w:val="auto"/>
              </w:rPr>
            </w:pPr>
          </w:p>
        </w:tc>
        <w:tc>
          <w:tcPr>
            <w:tcW w:w="1120" w:type="dxa"/>
            <w:vAlign w:val="bottom"/>
            <w:shd w:val="clear" w:color="auto" w:fill="255993"/>
          </w:tcPr>
          <w:p>
            <w:pPr>
              <w:spacing w:after="0"/>
              <w:rPr>
                <w:sz w:val="19"/>
                <w:szCs w:val="19"/>
                <w:color w:val="auto"/>
              </w:rPr>
            </w:pPr>
          </w:p>
        </w:tc>
        <w:tc>
          <w:tcPr>
            <w:tcW w:w="880" w:type="dxa"/>
            <w:vAlign w:val="bottom"/>
            <w:shd w:val="clear" w:color="auto" w:fill="255993"/>
          </w:tcPr>
          <w:p>
            <w:pPr>
              <w:spacing w:after="0"/>
              <w:rPr>
                <w:sz w:val="19"/>
                <w:szCs w:val="19"/>
                <w:color w:val="auto"/>
              </w:rPr>
            </w:pPr>
          </w:p>
        </w:tc>
        <w:tc>
          <w:tcPr>
            <w:tcW w:w="120" w:type="dxa"/>
            <w:vAlign w:val="bottom"/>
            <w:shd w:val="clear" w:color="auto" w:fill="255993"/>
          </w:tcPr>
          <w:p>
            <w:pPr>
              <w:spacing w:after="0"/>
              <w:rPr>
                <w:sz w:val="19"/>
                <w:szCs w:val="19"/>
                <w:color w:val="auto"/>
              </w:rPr>
            </w:pPr>
          </w:p>
        </w:tc>
        <w:tc>
          <w:tcPr>
            <w:tcW w:w="900" w:type="dxa"/>
            <w:vAlign w:val="bottom"/>
            <w:shd w:val="clear" w:color="auto" w:fill="255993"/>
          </w:tcPr>
          <w:p>
            <w:pPr>
              <w:spacing w:after="0"/>
              <w:rPr>
                <w:sz w:val="19"/>
                <w:szCs w:val="19"/>
                <w:color w:val="auto"/>
              </w:rPr>
            </w:pPr>
          </w:p>
        </w:tc>
        <w:tc>
          <w:tcPr>
            <w:tcW w:w="2020" w:type="dxa"/>
            <w:vAlign w:val="bottom"/>
            <w:gridSpan w:val="4"/>
            <w:shd w:val="clear" w:color="auto" w:fill="255993"/>
          </w:tcPr>
          <w:p>
            <w:pPr>
              <w:jc w:val="right"/>
              <w:ind w:right="7"/>
              <w:spacing w:after="0"/>
              <w:rPr>
                <w:sz w:val="20"/>
                <w:szCs w:val="20"/>
                <w:color w:val="auto"/>
              </w:rPr>
            </w:pPr>
            <w:r>
              <w:rPr>
                <w:rFonts w:ascii="Arial" w:cs="Arial" w:eastAsia="Arial" w:hAnsi="Arial"/>
                <w:sz w:val="16"/>
                <w:szCs w:val="16"/>
                <w:b w:val="1"/>
                <w:bCs w:val="1"/>
                <w:color w:val="FFFFFF"/>
              </w:rPr>
              <w:t>Amendment, see Annex:</w:t>
            </w:r>
          </w:p>
        </w:tc>
        <w:tc>
          <w:tcPr>
            <w:tcW w:w="120" w:type="dxa"/>
            <w:vAlign w:val="bottom"/>
            <w:shd w:val="clear" w:color="auto" w:fill="255993"/>
          </w:tcPr>
          <w:p>
            <w:pPr>
              <w:spacing w:after="0"/>
              <w:rPr>
                <w:sz w:val="19"/>
                <w:szCs w:val="19"/>
                <w:color w:val="auto"/>
              </w:rPr>
            </w:pPr>
          </w:p>
        </w:tc>
        <w:tc>
          <w:tcPr>
            <w:tcW w:w="960" w:type="dxa"/>
            <w:vAlign w:val="bottom"/>
            <w:shd w:val="clear" w:color="auto" w:fill="255993"/>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140" w:type="dxa"/>
            <w:vAlign w:val="bottom"/>
            <w:tcBorders>
              <w:bottom w:val="single" w:sz="8" w:color="255993"/>
            </w:tcBorders>
            <w:shd w:val="clear" w:color="auto" w:fill="255993"/>
          </w:tcPr>
          <w:p>
            <w:pPr>
              <w:spacing w:after="0"/>
              <w:rPr>
                <w:sz w:val="24"/>
                <w:szCs w:val="24"/>
                <w:color w:val="auto"/>
              </w:rPr>
            </w:pPr>
          </w:p>
        </w:tc>
        <w:tc>
          <w:tcPr>
            <w:tcW w:w="560" w:type="dxa"/>
            <w:vAlign w:val="bottom"/>
            <w:tcBorders>
              <w:bottom w:val="single" w:sz="8" w:color="255993"/>
            </w:tcBorders>
            <w:shd w:val="clear" w:color="auto" w:fill="255993"/>
          </w:tcPr>
          <w:p>
            <w:pPr>
              <w:spacing w:after="0"/>
              <w:rPr>
                <w:sz w:val="24"/>
                <w:szCs w:val="24"/>
                <w:color w:val="auto"/>
              </w:rPr>
            </w:pPr>
          </w:p>
        </w:tc>
        <w:tc>
          <w:tcPr>
            <w:tcW w:w="2580" w:type="dxa"/>
            <w:vAlign w:val="bottom"/>
            <w:tcBorders>
              <w:bottom w:val="single" w:sz="8" w:color="255993"/>
            </w:tcBorders>
            <w:shd w:val="clear" w:color="auto" w:fill="255993"/>
          </w:tcPr>
          <w:p>
            <w:pPr>
              <w:spacing w:after="0"/>
              <w:rPr>
                <w:sz w:val="24"/>
                <w:szCs w:val="24"/>
                <w:color w:val="auto"/>
              </w:rPr>
            </w:pPr>
          </w:p>
        </w:tc>
        <w:tc>
          <w:tcPr>
            <w:tcW w:w="2000" w:type="dxa"/>
            <w:vAlign w:val="bottom"/>
            <w:tcBorders>
              <w:bottom w:val="single" w:sz="8" w:color="255993"/>
            </w:tcBorders>
            <w:gridSpan w:val="2"/>
            <w:shd w:val="clear" w:color="auto" w:fill="255993"/>
          </w:tcPr>
          <w:p>
            <w:pPr>
              <w:jc w:val="right"/>
              <w:spacing w:after="0"/>
              <w:rPr>
                <w:sz w:val="20"/>
                <w:szCs w:val="20"/>
                <w:color w:val="auto"/>
              </w:rPr>
            </w:pPr>
            <w:r>
              <w:rPr>
                <w:rFonts w:ascii="Arial" w:cs="Arial" w:eastAsia="Arial" w:hAnsi="Arial"/>
                <w:sz w:val="16"/>
                <w:szCs w:val="16"/>
                <w:b w:val="1"/>
                <w:bCs w:val="1"/>
                <w:color w:val="FFFFFF"/>
              </w:rPr>
              <w:t>Pre-Reverse Stock Split</w:t>
            </w:r>
          </w:p>
        </w:tc>
        <w:tc>
          <w:tcPr>
            <w:tcW w:w="120" w:type="dxa"/>
            <w:vAlign w:val="bottom"/>
            <w:tcBorders>
              <w:bottom w:val="single" w:sz="8" w:color="255993"/>
            </w:tcBorders>
            <w:shd w:val="clear" w:color="auto" w:fill="255993"/>
          </w:tcPr>
          <w:p>
            <w:pPr>
              <w:spacing w:after="0"/>
              <w:rPr>
                <w:sz w:val="24"/>
                <w:szCs w:val="24"/>
                <w:color w:val="auto"/>
              </w:rPr>
            </w:pPr>
          </w:p>
        </w:tc>
        <w:tc>
          <w:tcPr>
            <w:tcW w:w="900" w:type="dxa"/>
            <w:vAlign w:val="bottom"/>
            <w:tcBorders>
              <w:bottom w:val="single" w:sz="8" w:color="255993"/>
            </w:tcBorders>
            <w:shd w:val="clear" w:color="auto" w:fill="255993"/>
          </w:tcPr>
          <w:p>
            <w:pPr>
              <w:jc w:val="right"/>
              <w:spacing w:after="0"/>
              <w:rPr>
                <w:sz w:val="20"/>
                <w:szCs w:val="20"/>
                <w:color w:val="auto"/>
              </w:rPr>
            </w:pPr>
            <w:r>
              <w:rPr>
                <w:rFonts w:ascii="Arial" w:cs="Arial" w:eastAsia="Arial" w:hAnsi="Arial"/>
                <w:sz w:val="16"/>
                <w:szCs w:val="16"/>
                <w:b w:val="1"/>
                <w:bCs w:val="1"/>
                <w:color w:val="FFFFFF"/>
              </w:rPr>
              <w:t>A</w:t>
            </w:r>
          </w:p>
        </w:tc>
        <w:tc>
          <w:tcPr>
            <w:tcW w:w="200" w:type="dxa"/>
            <w:vAlign w:val="bottom"/>
            <w:tcBorders>
              <w:bottom w:val="single" w:sz="8" w:color="255993"/>
            </w:tcBorders>
            <w:shd w:val="clear" w:color="auto" w:fill="255993"/>
          </w:tcPr>
          <w:p>
            <w:pPr>
              <w:spacing w:after="0"/>
              <w:rPr>
                <w:sz w:val="24"/>
                <w:szCs w:val="24"/>
                <w:color w:val="auto"/>
              </w:rPr>
            </w:pPr>
          </w:p>
        </w:tc>
        <w:tc>
          <w:tcPr>
            <w:tcW w:w="840" w:type="dxa"/>
            <w:vAlign w:val="bottom"/>
            <w:tcBorders>
              <w:bottom w:val="single" w:sz="8" w:color="255993"/>
            </w:tcBorders>
            <w:shd w:val="clear" w:color="auto" w:fill="255993"/>
          </w:tcPr>
          <w:p>
            <w:pPr>
              <w:jc w:val="right"/>
              <w:ind w:right="7"/>
              <w:spacing w:after="0"/>
              <w:rPr>
                <w:sz w:val="20"/>
                <w:szCs w:val="20"/>
                <w:color w:val="auto"/>
              </w:rPr>
            </w:pPr>
            <w:r>
              <w:rPr>
                <w:rFonts w:ascii="Arial" w:cs="Arial" w:eastAsia="Arial" w:hAnsi="Arial"/>
                <w:sz w:val="16"/>
                <w:szCs w:val="16"/>
                <w:b w:val="1"/>
                <w:bCs w:val="1"/>
                <w:color w:val="FFFFFF"/>
              </w:rPr>
              <w:t>B</w:t>
            </w:r>
          </w:p>
        </w:tc>
        <w:tc>
          <w:tcPr>
            <w:tcW w:w="120" w:type="dxa"/>
            <w:vAlign w:val="bottom"/>
            <w:tcBorders>
              <w:bottom w:val="single" w:sz="8" w:color="255993"/>
            </w:tcBorders>
            <w:shd w:val="clear" w:color="auto" w:fill="255993"/>
          </w:tcPr>
          <w:p>
            <w:pPr>
              <w:spacing w:after="0"/>
              <w:rPr>
                <w:sz w:val="24"/>
                <w:szCs w:val="24"/>
                <w:color w:val="auto"/>
              </w:rPr>
            </w:pPr>
          </w:p>
        </w:tc>
        <w:tc>
          <w:tcPr>
            <w:tcW w:w="860" w:type="dxa"/>
            <w:vAlign w:val="bottom"/>
            <w:tcBorders>
              <w:bottom w:val="single" w:sz="8" w:color="255993"/>
            </w:tcBorders>
            <w:shd w:val="clear" w:color="auto" w:fill="255993"/>
          </w:tcPr>
          <w:p>
            <w:pPr>
              <w:jc w:val="right"/>
              <w:spacing w:after="0"/>
              <w:rPr>
                <w:sz w:val="20"/>
                <w:szCs w:val="20"/>
                <w:color w:val="auto"/>
              </w:rPr>
            </w:pPr>
            <w:r>
              <w:rPr>
                <w:rFonts w:ascii="Arial" w:cs="Arial" w:eastAsia="Arial" w:hAnsi="Arial"/>
                <w:sz w:val="16"/>
                <w:szCs w:val="16"/>
                <w:b w:val="1"/>
                <w:bCs w:val="1"/>
                <w:color w:val="FFFFFF"/>
              </w:rPr>
              <w:t>C</w:t>
            </w:r>
          </w:p>
        </w:tc>
        <w:tc>
          <w:tcPr>
            <w:tcW w:w="120" w:type="dxa"/>
            <w:vAlign w:val="bottom"/>
            <w:tcBorders>
              <w:bottom w:val="single" w:sz="8" w:color="255993"/>
            </w:tcBorders>
            <w:shd w:val="clear" w:color="auto" w:fill="255993"/>
          </w:tcPr>
          <w:p>
            <w:pPr>
              <w:spacing w:after="0"/>
              <w:rPr>
                <w:sz w:val="24"/>
                <w:szCs w:val="24"/>
                <w:color w:val="auto"/>
              </w:rPr>
            </w:pPr>
          </w:p>
        </w:tc>
        <w:tc>
          <w:tcPr>
            <w:tcW w:w="960" w:type="dxa"/>
            <w:vAlign w:val="bottom"/>
            <w:tcBorders>
              <w:bottom w:val="single" w:sz="8" w:color="255993"/>
            </w:tcBorders>
            <w:shd w:val="clear" w:color="auto" w:fill="255993"/>
          </w:tcPr>
          <w:p>
            <w:pPr>
              <w:jc w:val="right"/>
              <w:ind w:right="127"/>
              <w:spacing w:after="0"/>
              <w:rPr>
                <w:sz w:val="20"/>
                <w:szCs w:val="20"/>
                <w:color w:val="auto"/>
              </w:rPr>
            </w:pPr>
            <w:r>
              <w:rPr>
                <w:rFonts w:ascii="Arial" w:cs="Arial" w:eastAsia="Arial" w:hAnsi="Arial"/>
                <w:sz w:val="16"/>
                <w:szCs w:val="16"/>
                <w:b w:val="1"/>
                <w:bCs w:val="1"/>
                <w:color w:val="FFFFFF"/>
              </w:rPr>
              <w:t>D</w:t>
            </w:r>
          </w:p>
        </w:tc>
        <w:tc>
          <w:tcPr>
            <w:tcW w:w="0" w:type="dxa"/>
            <w:vAlign w:val="bottom"/>
          </w:tcPr>
          <w:p>
            <w:pPr>
              <w:spacing w:after="0"/>
              <w:rPr>
                <w:sz w:val="1"/>
                <w:szCs w:val="1"/>
                <w:color w:val="auto"/>
              </w:rPr>
            </w:pPr>
          </w:p>
        </w:tc>
      </w:tr>
      <w:tr>
        <w:trPr>
          <w:trHeight w:val="290"/>
        </w:trPr>
        <w:tc>
          <w:tcPr>
            <w:tcW w:w="140" w:type="dxa"/>
            <w:vAlign w:val="bottom"/>
            <w:tcBorders>
              <w:bottom w:val="single" w:sz="8" w:color="F8991D"/>
            </w:tcBorders>
            <w:shd w:val="clear" w:color="auto" w:fill="F8991D"/>
          </w:tcPr>
          <w:p>
            <w:pPr>
              <w:spacing w:after="0"/>
              <w:rPr>
                <w:sz w:val="24"/>
                <w:szCs w:val="24"/>
                <w:color w:val="auto"/>
              </w:rPr>
            </w:pPr>
          </w:p>
        </w:tc>
        <w:tc>
          <w:tcPr>
            <w:tcW w:w="3140" w:type="dxa"/>
            <w:vAlign w:val="bottom"/>
            <w:tcBorders>
              <w:bottom w:val="single" w:sz="8" w:color="F8991D"/>
            </w:tcBorders>
            <w:gridSpan w:val="2"/>
            <w:shd w:val="clear" w:color="auto" w:fill="F8991D"/>
          </w:tcPr>
          <w:p>
            <w:pPr>
              <w:ind w:left="100"/>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14"/>
                <w:szCs w:val="14"/>
                <w:b w:val="1"/>
                <w:bCs w:val="1"/>
                <w:color w:val="FFFFFF"/>
              </w:rPr>
              <w:t>Reverse Stock Split Ratio</w:t>
            </w:r>
          </w:p>
        </w:tc>
        <w:tc>
          <w:tcPr>
            <w:tcW w:w="1120" w:type="dxa"/>
            <w:vAlign w:val="bottom"/>
            <w:tcBorders>
              <w:bottom w:val="single" w:sz="8" w:color="F8991D"/>
            </w:tcBorders>
            <w:shd w:val="clear" w:color="auto" w:fill="F8991D"/>
          </w:tcPr>
          <w:p>
            <w:pPr>
              <w:spacing w:after="0"/>
              <w:rPr>
                <w:sz w:val="24"/>
                <w:szCs w:val="24"/>
                <w:color w:val="auto"/>
              </w:rPr>
            </w:pPr>
          </w:p>
        </w:tc>
        <w:tc>
          <w:tcPr>
            <w:tcW w:w="880" w:type="dxa"/>
            <w:vAlign w:val="bottom"/>
            <w:tcBorders>
              <w:bottom w:val="single" w:sz="8" w:color="F8991D"/>
            </w:tcBorders>
            <w:shd w:val="clear" w:color="auto" w:fill="F8991D"/>
          </w:tcPr>
          <w:p>
            <w:pPr>
              <w:spacing w:after="0"/>
              <w:rPr>
                <w:sz w:val="24"/>
                <w:szCs w:val="24"/>
                <w:color w:val="auto"/>
              </w:rPr>
            </w:pPr>
          </w:p>
        </w:tc>
        <w:tc>
          <w:tcPr>
            <w:tcW w:w="120" w:type="dxa"/>
            <w:vAlign w:val="bottom"/>
            <w:tcBorders>
              <w:bottom w:val="single" w:sz="8" w:color="F8991D"/>
            </w:tcBorders>
            <w:shd w:val="clear" w:color="auto" w:fill="F8991D"/>
          </w:tcPr>
          <w:p>
            <w:pPr>
              <w:spacing w:after="0"/>
              <w:rPr>
                <w:sz w:val="24"/>
                <w:szCs w:val="24"/>
                <w:color w:val="auto"/>
              </w:rPr>
            </w:pPr>
          </w:p>
        </w:tc>
        <w:tc>
          <w:tcPr>
            <w:tcW w:w="900" w:type="dxa"/>
            <w:vAlign w:val="bottom"/>
            <w:tcBorders>
              <w:bottom w:val="single" w:sz="8" w:color="F8991D"/>
            </w:tcBorders>
            <w:shd w:val="clear" w:color="auto" w:fill="F8991D"/>
          </w:tcPr>
          <w:p>
            <w:pPr>
              <w:jc w:val="right"/>
              <w:spacing w:after="0"/>
              <w:rPr>
                <w:sz w:val="20"/>
                <w:szCs w:val="20"/>
                <w:color w:val="auto"/>
              </w:rPr>
            </w:pPr>
            <w:r>
              <w:rPr>
                <w:rFonts w:ascii="Arial" w:cs="Arial" w:eastAsia="Arial" w:hAnsi="Arial"/>
                <w:sz w:val="14"/>
                <w:szCs w:val="14"/>
                <w:b w:val="1"/>
                <w:bCs w:val="1"/>
                <w:color w:val="FFFFFF"/>
              </w:rPr>
              <w:t>5​ for 1</w:t>
            </w:r>
          </w:p>
        </w:tc>
        <w:tc>
          <w:tcPr>
            <w:tcW w:w="200" w:type="dxa"/>
            <w:vAlign w:val="bottom"/>
            <w:tcBorders>
              <w:bottom w:val="single" w:sz="8" w:color="F8991D"/>
            </w:tcBorders>
            <w:shd w:val="clear" w:color="auto" w:fill="F8991D"/>
          </w:tcPr>
          <w:p>
            <w:pPr>
              <w:spacing w:after="0"/>
              <w:rPr>
                <w:sz w:val="24"/>
                <w:szCs w:val="24"/>
                <w:color w:val="auto"/>
              </w:rPr>
            </w:pPr>
          </w:p>
        </w:tc>
        <w:tc>
          <w:tcPr>
            <w:tcW w:w="840" w:type="dxa"/>
            <w:vAlign w:val="bottom"/>
            <w:tcBorders>
              <w:bottom w:val="single" w:sz="8" w:color="F8991D"/>
            </w:tcBorders>
            <w:shd w:val="clear" w:color="auto" w:fill="F8991D"/>
          </w:tcPr>
          <w:p>
            <w:pPr>
              <w:jc w:val="right"/>
              <w:ind w:right="7"/>
              <w:spacing w:after="0"/>
              <w:rPr>
                <w:sz w:val="20"/>
                <w:szCs w:val="20"/>
                <w:color w:val="auto"/>
              </w:rPr>
            </w:pPr>
            <w:r>
              <w:rPr>
                <w:rFonts w:ascii="Arial" w:cs="Arial" w:eastAsia="Arial" w:hAnsi="Arial"/>
                <w:sz w:val="14"/>
                <w:szCs w:val="14"/>
                <w:b w:val="1"/>
                <w:bCs w:val="1"/>
                <w:color w:val="FFFFFF"/>
              </w:rPr>
              <w:t>10​ for 1</w:t>
            </w:r>
          </w:p>
        </w:tc>
        <w:tc>
          <w:tcPr>
            <w:tcW w:w="120" w:type="dxa"/>
            <w:vAlign w:val="bottom"/>
            <w:tcBorders>
              <w:bottom w:val="single" w:sz="8" w:color="F8991D"/>
            </w:tcBorders>
            <w:shd w:val="clear" w:color="auto" w:fill="F8991D"/>
          </w:tcPr>
          <w:p>
            <w:pPr>
              <w:spacing w:after="0"/>
              <w:rPr>
                <w:sz w:val="24"/>
                <w:szCs w:val="24"/>
                <w:color w:val="auto"/>
              </w:rPr>
            </w:pPr>
          </w:p>
        </w:tc>
        <w:tc>
          <w:tcPr>
            <w:tcW w:w="860" w:type="dxa"/>
            <w:vAlign w:val="bottom"/>
            <w:tcBorders>
              <w:bottom w:val="single" w:sz="8" w:color="F8991D"/>
            </w:tcBorders>
            <w:shd w:val="clear" w:color="auto" w:fill="F8991D"/>
          </w:tcPr>
          <w:p>
            <w:pPr>
              <w:jc w:val="right"/>
              <w:spacing w:after="0"/>
              <w:rPr>
                <w:sz w:val="20"/>
                <w:szCs w:val="20"/>
                <w:color w:val="auto"/>
              </w:rPr>
            </w:pPr>
            <w:r>
              <w:rPr>
                <w:rFonts w:ascii="Arial" w:cs="Arial" w:eastAsia="Arial" w:hAnsi="Arial"/>
                <w:sz w:val="14"/>
                <w:szCs w:val="14"/>
                <w:b w:val="1"/>
                <w:bCs w:val="1"/>
                <w:color w:val="FFFFFF"/>
              </w:rPr>
              <w:t>15​ for 1</w:t>
            </w:r>
          </w:p>
        </w:tc>
        <w:tc>
          <w:tcPr>
            <w:tcW w:w="120" w:type="dxa"/>
            <w:vAlign w:val="bottom"/>
            <w:tcBorders>
              <w:bottom w:val="single" w:sz="8" w:color="F8991D"/>
            </w:tcBorders>
            <w:shd w:val="clear" w:color="auto" w:fill="F8991D"/>
          </w:tcPr>
          <w:p>
            <w:pPr>
              <w:spacing w:after="0"/>
              <w:rPr>
                <w:sz w:val="24"/>
                <w:szCs w:val="24"/>
                <w:color w:val="auto"/>
              </w:rPr>
            </w:pPr>
          </w:p>
        </w:tc>
        <w:tc>
          <w:tcPr>
            <w:tcW w:w="960" w:type="dxa"/>
            <w:vAlign w:val="bottom"/>
            <w:tcBorders>
              <w:bottom w:val="single" w:sz="8" w:color="F8991D"/>
            </w:tcBorders>
            <w:shd w:val="clear" w:color="auto" w:fill="F8991D"/>
          </w:tcPr>
          <w:p>
            <w:pPr>
              <w:jc w:val="right"/>
              <w:ind w:right="67"/>
              <w:spacing w:after="0"/>
              <w:rPr>
                <w:sz w:val="20"/>
                <w:szCs w:val="20"/>
                <w:color w:val="auto"/>
              </w:rPr>
            </w:pPr>
            <w:r>
              <w:rPr>
                <w:rFonts w:ascii="Arial" w:cs="Arial" w:eastAsia="Arial" w:hAnsi="Arial"/>
                <w:sz w:val="14"/>
                <w:szCs w:val="14"/>
                <w:b w:val="1"/>
                <w:bCs w:val="1"/>
                <w:color w:val="FFFFFF"/>
              </w:rPr>
              <w:t>20​ for 1</w:t>
            </w:r>
          </w:p>
        </w:tc>
        <w:tc>
          <w:tcPr>
            <w:tcW w:w="0" w:type="dxa"/>
            <w:vAlign w:val="bottom"/>
          </w:tcPr>
          <w:p>
            <w:pPr>
              <w:spacing w:after="0"/>
              <w:rPr>
                <w:sz w:val="1"/>
                <w:szCs w:val="1"/>
                <w:color w:val="auto"/>
              </w:rPr>
            </w:pPr>
          </w:p>
        </w:tc>
      </w:tr>
      <w:tr>
        <w:trPr>
          <w:trHeight w:val="207"/>
        </w:trPr>
        <w:tc>
          <w:tcPr>
            <w:tcW w:w="140" w:type="dxa"/>
            <w:vAlign w:val="bottom"/>
            <w:shd w:val="clear" w:color="auto" w:fill="FAFAFA"/>
          </w:tcPr>
          <w:p>
            <w:pPr>
              <w:spacing w:after="0"/>
              <w:rPr>
                <w:sz w:val="17"/>
                <w:szCs w:val="17"/>
                <w:color w:val="auto"/>
              </w:rPr>
            </w:pPr>
          </w:p>
        </w:tc>
        <w:tc>
          <w:tcPr>
            <w:tcW w:w="3140" w:type="dxa"/>
            <w:vAlign w:val="bottom"/>
            <w:gridSpan w:val="2"/>
            <w:shd w:val="clear" w:color="auto" w:fill="FAFAFA"/>
          </w:tcPr>
          <w:p>
            <w:pPr>
              <w:ind w:left="100"/>
              <w:spacing w:after="0"/>
              <w:rPr>
                <w:sz w:val="20"/>
                <w:szCs w:val="20"/>
                <w:color w:val="auto"/>
              </w:rPr>
            </w:pPr>
            <w:r>
              <w:rPr>
                <w:rFonts w:ascii="Arial" w:cs="Arial" w:eastAsia="Arial" w:hAnsi="Arial"/>
                <w:sz w:val="14"/>
                <w:szCs w:val="14"/>
                <w:color w:val="auto"/>
              </w:rPr>
              <w:t>Percentage reduction of shares of common</w:t>
            </w:r>
          </w:p>
        </w:tc>
        <w:tc>
          <w:tcPr>
            <w:tcW w:w="1120" w:type="dxa"/>
            <w:vAlign w:val="bottom"/>
            <w:shd w:val="clear" w:color="auto" w:fill="FAFAFA"/>
          </w:tcPr>
          <w:p>
            <w:pPr>
              <w:spacing w:after="0"/>
              <w:rPr>
                <w:sz w:val="17"/>
                <w:szCs w:val="17"/>
                <w:color w:val="auto"/>
              </w:rPr>
            </w:pPr>
          </w:p>
        </w:tc>
        <w:tc>
          <w:tcPr>
            <w:tcW w:w="880" w:type="dxa"/>
            <w:vAlign w:val="bottom"/>
            <w:vMerge w:val="restart"/>
            <w:shd w:val="clear" w:color="auto" w:fill="FAFAFA"/>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FAFAFA"/>
          </w:tcPr>
          <w:p>
            <w:pPr>
              <w:ind w:left="8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FAFAFA"/>
          </w:tcPr>
          <w:p>
            <w:pPr>
              <w:jc w:val="right"/>
              <w:spacing w:after="0"/>
              <w:rPr>
                <w:sz w:val="20"/>
                <w:szCs w:val="20"/>
                <w:color w:val="auto"/>
              </w:rPr>
            </w:pPr>
            <w:r>
              <w:rPr>
                <w:rFonts w:ascii="Arial" w:cs="Arial" w:eastAsia="Arial" w:hAnsi="Arial"/>
                <w:sz w:val="14"/>
                <w:szCs w:val="14"/>
                <w:color w:val="auto"/>
              </w:rPr>
              <w:t>80%</w:t>
            </w:r>
          </w:p>
        </w:tc>
        <w:tc>
          <w:tcPr>
            <w:tcW w:w="200" w:type="dxa"/>
            <w:vAlign w:val="bottom"/>
            <w:vMerge w:val="restart"/>
            <w:shd w:val="clear" w:color="auto" w:fill="FAFAFA"/>
          </w:tcPr>
          <w:p>
            <w:pPr>
              <w:ind w:left="12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FAFAFA"/>
          </w:tcPr>
          <w:p>
            <w:pPr>
              <w:jc w:val="right"/>
              <w:ind w:right="7"/>
              <w:spacing w:after="0"/>
              <w:rPr>
                <w:sz w:val="20"/>
                <w:szCs w:val="20"/>
                <w:color w:val="auto"/>
              </w:rPr>
            </w:pPr>
            <w:r>
              <w:rPr>
                <w:rFonts w:ascii="Arial" w:cs="Arial" w:eastAsia="Arial" w:hAnsi="Arial"/>
                <w:sz w:val="14"/>
                <w:szCs w:val="14"/>
                <w:color w:val="auto"/>
              </w:rPr>
              <w:t>90%</w:t>
            </w:r>
          </w:p>
        </w:tc>
        <w:tc>
          <w:tcPr>
            <w:tcW w:w="120" w:type="dxa"/>
            <w:vAlign w:val="bottom"/>
            <w:vMerge w:val="restart"/>
            <w:shd w:val="clear" w:color="auto" w:fill="FAFAFA"/>
          </w:tcPr>
          <w:p>
            <w:pPr>
              <w:ind w:left="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FAFAFA"/>
          </w:tcPr>
          <w:p>
            <w:pPr>
              <w:jc w:val="right"/>
              <w:spacing w:after="0"/>
              <w:rPr>
                <w:sz w:val="20"/>
                <w:szCs w:val="20"/>
                <w:color w:val="auto"/>
              </w:rPr>
            </w:pPr>
            <w:r>
              <w:rPr>
                <w:rFonts w:ascii="Arial" w:cs="Arial" w:eastAsia="Arial" w:hAnsi="Arial"/>
                <w:sz w:val="14"/>
                <w:szCs w:val="14"/>
                <w:color w:val="auto"/>
              </w:rPr>
              <w:t>93%</w:t>
            </w:r>
          </w:p>
        </w:tc>
        <w:tc>
          <w:tcPr>
            <w:tcW w:w="120" w:type="dxa"/>
            <w:vAlign w:val="bottom"/>
            <w:vMerge w:val="restart"/>
            <w:shd w:val="clear" w:color="auto" w:fill="FAFAFA"/>
          </w:tcPr>
          <w:p>
            <w:pPr>
              <w:ind w:left="8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FAFAFA"/>
          </w:tcPr>
          <w:p>
            <w:pPr>
              <w:jc w:val="right"/>
              <w:ind w:right="67"/>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09"/>
        </w:trPr>
        <w:tc>
          <w:tcPr>
            <w:tcW w:w="140" w:type="dxa"/>
            <w:vAlign w:val="bottom"/>
            <w:shd w:val="clear" w:color="auto" w:fill="FAFAFA"/>
          </w:tcPr>
          <w:p>
            <w:pPr>
              <w:spacing w:after="0"/>
              <w:rPr>
                <w:sz w:val="9"/>
                <w:szCs w:val="9"/>
                <w:color w:val="auto"/>
              </w:rPr>
            </w:pPr>
          </w:p>
        </w:tc>
        <w:tc>
          <w:tcPr>
            <w:tcW w:w="3140" w:type="dxa"/>
            <w:vAlign w:val="bottom"/>
            <w:gridSpan w:val="2"/>
            <w:vMerge w:val="restart"/>
            <w:shd w:val="clear" w:color="auto" w:fill="FAFAFA"/>
          </w:tcPr>
          <w:p>
            <w:pPr>
              <w:ind w:left="100"/>
              <w:spacing w:after="0"/>
              <w:rPr>
                <w:sz w:val="20"/>
                <w:szCs w:val="20"/>
                <w:color w:val="auto"/>
              </w:rPr>
            </w:pPr>
            <w:r>
              <w:rPr>
                <w:rFonts w:ascii="Arial" w:cs="Arial" w:eastAsia="Arial" w:hAnsi="Arial"/>
                <w:sz w:val="14"/>
                <w:szCs w:val="14"/>
                <w:color w:val="auto"/>
              </w:rPr>
              <w:t>stock outstanding post-Reverse Stock Split</w:t>
            </w:r>
          </w:p>
        </w:tc>
        <w:tc>
          <w:tcPr>
            <w:tcW w:w="1120" w:type="dxa"/>
            <w:vAlign w:val="bottom"/>
            <w:shd w:val="clear" w:color="auto" w:fill="FAFAFA"/>
          </w:tcPr>
          <w:p>
            <w:pPr>
              <w:spacing w:after="0"/>
              <w:rPr>
                <w:sz w:val="9"/>
                <w:szCs w:val="9"/>
                <w:color w:val="auto"/>
              </w:rPr>
            </w:pPr>
          </w:p>
        </w:tc>
        <w:tc>
          <w:tcPr>
            <w:tcW w:w="880" w:type="dxa"/>
            <w:vAlign w:val="bottom"/>
            <w:vMerge w:val="continue"/>
            <w:shd w:val="clear" w:color="auto" w:fill="FAFAFA"/>
          </w:tcPr>
          <w:p>
            <w:pPr>
              <w:spacing w:after="0"/>
              <w:rPr>
                <w:sz w:val="9"/>
                <w:szCs w:val="9"/>
                <w:color w:val="auto"/>
              </w:rPr>
            </w:pPr>
          </w:p>
        </w:tc>
        <w:tc>
          <w:tcPr>
            <w:tcW w:w="120" w:type="dxa"/>
            <w:vAlign w:val="bottom"/>
            <w:vMerge w:val="continue"/>
            <w:shd w:val="clear" w:color="auto" w:fill="FAFAFA"/>
          </w:tcPr>
          <w:p>
            <w:pPr>
              <w:spacing w:after="0"/>
              <w:rPr>
                <w:sz w:val="9"/>
                <w:szCs w:val="9"/>
                <w:color w:val="auto"/>
              </w:rPr>
            </w:pPr>
          </w:p>
        </w:tc>
        <w:tc>
          <w:tcPr>
            <w:tcW w:w="900" w:type="dxa"/>
            <w:vAlign w:val="bottom"/>
            <w:vMerge w:val="continue"/>
            <w:shd w:val="clear" w:color="auto" w:fill="FAFAFA"/>
          </w:tcPr>
          <w:p>
            <w:pPr>
              <w:spacing w:after="0"/>
              <w:rPr>
                <w:sz w:val="9"/>
                <w:szCs w:val="9"/>
                <w:color w:val="auto"/>
              </w:rPr>
            </w:pPr>
          </w:p>
        </w:tc>
        <w:tc>
          <w:tcPr>
            <w:tcW w:w="200" w:type="dxa"/>
            <w:vAlign w:val="bottom"/>
            <w:vMerge w:val="continue"/>
            <w:shd w:val="clear" w:color="auto" w:fill="FAFAFA"/>
          </w:tcPr>
          <w:p>
            <w:pPr>
              <w:spacing w:after="0"/>
              <w:rPr>
                <w:sz w:val="9"/>
                <w:szCs w:val="9"/>
                <w:color w:val="auto"/>
              </w:rPr>
            </w:pPr>
          </w:p>
        </w:tc>
        <w:tc>
          <w:tcPr>
            <w:tcW w:w="840" w:type="dxa"/>
            <w:vAlign w:val="bottom"/>
            <w:vMerge w:val="continue"/>
            <w:shd w:val="clear" w:color="auto" w:fill="FAFAFA"/>
          </w:tcPr>
          <w:p>
            <w:pPr>
              <w:spacing w:after="0"/>
              <w:rPr>
                <w:sz w:val="9"/>
                <w:szCs w:val="9"/>
                <w:color w:val="auto"/>
              </w:rPr>
            </w:pPr>
          </w:p>
        </w:tc>
        <w:tc>
          <w:tcPr>
            <w:tcW w:w="120" w:type="dxa"/>
            <w:vAlign w:val="bottom"/>
            <w:vMerge w:val="continue"/>
            <w:shd w:val="clear" w:color="auto" w:fill="FAFAFA"/>
          </w:tcPr>
          <w:p>
            <w:pPr>
              <w:spacing w:after="0"/>
              <w:rPr>
                <w:sz w:val="9"/>
                <w:szCs w:val="9"/>
                <w:color w:val="auto"/>
              </w:rPr>
            </w:pPr>
          </w:p>
        </w:tc>
        <w:tc>
          <w:tcPr>
            <w:tcW w:w="860" w:type="dxa"/>
            <w:vAlign w:val="bottom"/>
            <w:vMerge w:val="continue"/>
            <w:shd w:val="clear" w:color="auto" w:fill="FAFAFA"/>
          </w:tcPr>
          <w:p>
            <w:pPr>
              <w:spacing w:after="0"/>
              <w:rPr>
                <w:sz w:val="9"/>
                <w:szCs w:val="9"/>
                <w:color w:val="auto"/>
              </w:rPr>
            </w:pPr>
          </w:p>
        </w:tc>
        <w:tc>
          <w:tcPr>
            <w:tcW w:w="120" w:type="dxa"/>
            <w:vAlign w:val="bottom"/>
            <w:vMerge w:val="continue"/>
            <w:shd w:val="clear" w:color="auto" w:fill="FAFAFA"/>
          </w:tcPr>
          <w:p>
            <w:pPr>
              <w:spacing w:after="0"/>
              <w:rPr>
                <w:sz w:val="9"/>
                <w:szCs w:val="9"/>
                <w:color w:val="auto"/>
              </w:rPr>
            </w:pPr>
          </w:p>
        </w:tc>
        <w:tc>
          <w:tcPr>
            <w:tcW w:w="960" w:type="dxa"/>
            <w:vAlign w:val="bottom"/>
            <w:vMerge w:val="continue"/>
            <w:shd w:val="clear" w:color="auto" w:fill="FAFAFA"/>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40" w:type="dxa"/>
            <w:vAlign w:val="bottom"/>
            <w:tcBorders>
              <w:bottom w:val="single" w:sz="8" w:color="FAFAFA"/>
            </w:tcBorders>
            <w:shd w:val="clear" w:color="auto" w:fill="FAFAFA"/>
          </w:tcPr>
          <w:p>
            <w:pPr>
              <w:spacing w:after="0"/>
              <w:rPr>
                <w:sz w:val="9"/>
                <w:szCs w:val="9"/>
                <w:color w:val="auto"/>
              </w:rPr>
            </w:pPr>
          </w:p>
        </w:tc>
        <w:tc>
          <w:tcPr>
            <w:tcW w:w="3140" w:type="dxa"/>
            <w:vAlign w:val="bottom"/>
            <w:tcBorders>
              <w:bottom w:val="single" w:sz="8" w:color="FAFAFA"/>
            </w:tcBorders>
            <w:gridSpan w:val="2"/>
            <w:vMerge w:val="continue"/>
            <w:shd w:val="clear" w:color="auto" w:fill="FAFAFA"/>
          </w:tcPr>
          <w:p>
            <w:pPr>
              <w:spacing w:after="0"/>
              <w:rPr>
                <w:sz w:val="9"/>
                <w:szCs w:val="9"/>
                <w:color w:val="auto"/>
              </w:rPr>
            </w:pPr>
          </w:p>
        </w:tc>
        <w:tc>
          <w:tcPr>
            <w:tcW w:w="1120" w:type="dxa"/>
            <w:vAlign w:val="bottom"/>
            <w:tcBorders>
              <w:bottom w:val="single" w:sz="8" w:color="FAFAFA"/>
            </w:tcBorders>
            <w:shd w:val="clear" w:color="auto" w:fill="FAFAFA"/>
          </w:tcPr>
          <w:p>
            <w:pPr>
              <w:spacing w:after="0"/>
              <w:rPr>
                <w:sz w:val="9"/>
                <w:szCs w:val="9"/>
                <w:color w:val="auto"/>
              </w:rPr>
            </w:pPr>
          </w:p>
        </w:tc>
        <w:tc>
          <w:tcPr>
            <w:tcW w:w="880" w:type="dxa"/>
            <w:vAlign w:val="bottom"/>
            <w:tcBorders>
              <w:bottom w:val="single" w:sz="8" w:color="FAFAFA"/>
            </w:tcBorders>
            <w:shd w:val="clear" w:color="auto" w:fill="FAFAFA"/>
          </w:tcPr>
          <w:p>
            <w:pPr>
              <w:spacing w:after="0"/>
              <w:rPr>
                <w:sz w:val="9"/>
                <w:szCs w:val="9"/>
                <w:color w:val="auto"/>
              </w:rPr>
            </w:pPr>
          </w:p>
        </w:tc>
        <w:tc>
          <w:tcPr>
            <w:tcW w:w="120" w:type="dxa"/>
            <w:vAlign w:val="bottom"/>
            <w:tcBorders>
              <w:bottom w:val="single" w:sz="8" w:color="FAFAFA"/>
            </w:tcBorders>
            <w:shd w:val="clear" w:color="auto" w:fill="FAFAFA"/>
          </w:tcPr>
          <w:p>
            <w:pPr>
              <w:spacing w:after="0"/>
              <w:rPr>
                <w:sz w:val="9"/>
                <w:szCs w:val="9"/>
                <w:color w:val="auto"/>
              </w:rPr>
            </w:pPr>
          </w:p>
        </w:tc>
        <w:tc>
          <w:tcPr>
            <w:tcW w:w="900" w:type="dxa"/>
            <w:vAlign w:val="bottom"/>
            <w:tcBorders>
              <w:bottom w:val="single" w:sz="8" w:color="FAFAFA"/>
            </w:tcBorders>
            <w:shd w:val="clear" w:color="auto" w:fill="FAFAFA"/>
          </w:tcPr>
          <w:p>
            <w:pPr>
              <w:spacing w:after="0"/>
              <w:rPr>
                <w:sz w:val="9"/>
                <w:szCs w:val="9"/>
                <w:color w:val="auto"/>
              </w:rPr>
            </w:pPr>
          </w:p>
        </w:tc>
        <w:tc>
          <w:tcPr>
            <w:tcW w:w="200" w:type="dxa"/>
            <w:vAlign w:val="bottom"/>
            <w:tcBorders>
              <w:bottom w:val="single" w:sz="8" w:color="FAFAFA"/>
            </w:tcBorders>
            <w:shd w:val="clear" w:color="auto" w:fill="FAFAFA"/>
          </w:tcPr>
          <w:p>
            <w:pPr>
              <w:spacing w:after="0"/>
              <w:rPr>
                <w:sz w:val="9"/>
                <w:szCs w:val="9"/>
                <w:color w:val="auto"/>
              </w:rPr>
            </w:pPr>
          </w:p>
        </w:tc>
        <w:tc>
          <w:tcPr>
            <w:tcW w:w="840" w:type="dxa"/>
            <w:vAlign w:val="bottom"/>
            <w:tcBorders>
              <w:bottom w:val="single" w:sz="8" w:color="FAFAFA"/>
            </w:tcBorders>
            <w:shd w:val="clear" w:color="auto" w:fill="FAFAFA"/>
          </w:tcPr>
          <w:p>
            <w:pPr>
              <w:spacing w:after="0"/>
              <w:rPr>
                <w:sz w:val="9"/>
                <w:szCs w:val="9"/>
                <w:color w:val="auto"/>
              </w:rPr>
            </w:pPr>
          </w:p>
        </w:tc>
        <w:tc>
          <w:tcPr>
            <w:tcW w:w="120" w:type="dxa"/>
            <w:vAlign w:val="bottom"/>
            <w:tcBorders>
              <w:bottom w:val="single" w:sz="8" w:color="FAFAFA"/>
            </w:tcBorders>
            <w:shd w:val="clear" w:color="auto" w:fill="FAFAFA"/>
          </w:tcPr>
          <w:p>
            <w:pPr>
              <w:spacing w:after="0"/>
              <w:rPr>
                <w:sz w:val="9"/>
                <w:szCs w:val="9"/>
                <w:color w:val="auto"/>
              </w:rPr>
            </w:pPr>
          </w:p>
        </w:tc>
        <w:tc>
          <w:tcPr>
            <w:tcW w:w="860" w:type="dxa"/>
            <w:vAlign w:val="bottom"/>
            <w:tcBorders>
              <w:bottom w:val="single" w:sz="8" w:color="FAFAFA"/>
            </w:tcBorders>
            <w:shd w:val="clear" w:color="auto" w:fill="FAFAFA"/>
          </w:tcPr>
          <w:p>
            <w:pPr>
              <w:spacing w:after="0"/>
              <w:rPr>
                <w:sz w:val="9"/>
                <w:szCs w:val="9"/>
                <w:color w:val="auto"/>
              </w:rPr>
            </w:pPr>
          </w:p>
        </w:tc>
        <w:tc>
          <w:tcPr>
            <w:tcW w:w="120" w:type="dxa"/>
            <w:vAlign w:val="bottom"/>
            <w:tcBorders>
              <w:bottom w:val="single" w:sz="8" w:color="FAFAFA"/>
            </w:tcBorders>
            <w:shd w:val="clear" w:color="auto" w:fill="FAFAFA"/>
          </w:tcPr>
          <w:p>
            <w:pPr>
              <w:spacing w:after="0"/>
              <w:rPr>
                <w:sz w:val="9"/>
                <w:szCs w:val="9"/>
                <w:color w:val="auto"/>
              </w:rPr>
            </w:pPr>
          </w:p>
        </w:tc>
        <w:tc>
          <w:tcPr>
            <w:tcW w:w="960" w:type="dxa"/>
            <w:vAlign w:val="bottom"/>
            <w:tcBorders>
              <w:bottom w:val="single" w:sz="8" w:color="FAFAFA"/>
            </w:tcBorders>
            <w:shd w:val="clear" w:color="auto" w:fill="FAFAFA"/>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0" w:type="dxa"/>
            <w:vAlign w:val="bottom"/>
            <w:tcBorders>
              <w:bottom w:val="single" w:sz="8" w:color="EBEBEB"/>
            </w:tcBorders>
            <w:shd w:val="clear" w:color="auto" w:fill="EBEBEB"/>
          </w:tcPr>
          <w:p>
            <w:pPr>
              <w:spacing w:after="0"/>
              <w:rPr>
                <w:sz w:val="22"/>
                <w:szCs w:val="22"/>
                <w:color w:val="auto"/>
              </w:rPr>
            </w:pPr>
          </w:p>
        </w:tc>
        <w:tc>
          <w:tcPr>
            <w:tcW w:w="3140" w:type="dxa"/>
            <w:vAlign w:val="bottom"/>
            <w:tcBorders>
              <w:bottom w:val="single" w:sz="8" w:color="EBEBEB"/>
            </w:tcBorders>
            <w:gridSpan w:val="2"/>
            <w:shd w:val="clear" w:color="auto" w:fill="EBEBEB"/>
          </w:tcPr>
          <w:p>
            <w:pPr>
              <w:ind w:left="100"/>
              <w:spacing w:after="0"/>
              <w:rPr>
                <w:sz w:val="20"/>
                <w:szCs w:val="20"/>
                <w:color w:val="auto"/>
              </w:rPr>
            </w:pPr>
            <w:r>
              <w:rPr>
                <w:rFonts w:ascii="Arial" w:cs="Arial" w:eastAsia="Arial" w:hAnsi="Arial"/>
                <w:sz w:val="14"/>
                <w:szCs w:val="14"/>
                <w:color w:val="auto"/>
              </w:rPr>
              <w:t>Authorized shares of common stock</w:t>
            </w:r>
          </w:p>
        </w:tc>
        <w:tc>
          <w:tcPr>
            <w:tcW w:w="1120" w:type="dxa"/>
            <w:vAlign w:val="bottom"/>
            <w:tcBorders>
              <w:bottom w:val="single" w:sz="8" w:color="EBEBEB"/>
            </w:tcBorders>
            <w:shd w:val="clear" w:color="auto" w:fill="EBEBEB"/>
          </w:tcPr>
          <w:p>
            <w:pPr>
              <w:spacing w:after="0"/>
              <w:rPr>
                <w:sz w:val="22"/>
                <w:szCs w:val="22"/>
                <w:color w:val="auto"/>
              </w:rPr>
            </w:pPr>
          </w:p>
        </w:tc>
        <w:tc>
          <w:tcPr>
            <w:tcW w:w="880" w:type="dxa"/>
            <w:vAlign w:val="bottom"/>
            <w:tcBorders>
              <w:bottom w:val="single" w:sz="8" w:color="EBEBEB"/>
            </w:tcBorders>
            <w:shd w:val="clear" w:color="auto" w:fill="EBEBEB"/>
          </w:tcPr>
          <w:p>
            <w:pPr>
              <w:jc w:val="right"/>
              <w:spacing w:after="0"/>
              <w:rPr>
                <w:sz w:val="20"/>
                <w:szCs w:val="20"/>
                <w:color w:val="auto"/>
              </w:rPr>
            </w:pPr>
            <w:r>
              <w:rPr>
                <w:rFonts w:ascii="Arial" w:cs="Arial" w:eastAsia="Arial" w:hAnsi="Arial"/>
                <w:sz w:val="14"/>
                <w:szCs w:val="14"/>
                <w:color w:val="auto"/>
              </w:rPr>
              <w:t>900,000,000</w:t>
            </w:r>
          </w:p>
        </w:tc>
        <w:tc>
          <w:tcPr>
            <w:tcW w:w="120" w:type="dxa"/>
            <w:vAlign w:val="bottom"/>
            <w:tcBorders>
              <w:bottom w:val="single" w:sz="8" w:color="EBEBEB"/>
            </w:tcBorders>
            <w:shd w:val="clear" w:color="auto" w:fill="EBEBEB"/>
          </w:tcPr>
          <w:p>
            <w:pPr>
              <w:spacing w:after="0"/>
              <w:rPr>
                <w:sz w:val="22"/>
                <w:szCs w:val="22"/>
                <w:color w:val="auto"/>
              </w:rPr>
            </w:pPr>
          </w:p>
        </w:tc>
        <w:tc>
          <w:tcPr>
            <w:tcW w:w="900" w:type="dxa"/>
            <w:vAlign w:val="bottom"/>
            <w:tcBorders>
              <w:bottom w:val="single" w:sz="8" w:color="EBEBEB"/>
            </w:tcBorders>
            <w:shd w:val="clear" w:color="auto" w:fill="EBEBEB"/>
          </w:tcPr>
          <w:p>
            <w:pPr>
              <w:jc w:val="right"/>
              <w:spacing w:after="0"/>
              <w:rPr>
                <w:sz w:val="20"/>
                <w:szCs w:val="20"/>
                <w:color w:val="auto"/>
              </w:rPr>
            </w:pPr>
            <w:r>
              <w:rPr>
                <w:rFonts w:ascii="Arial" w:cs="Arial" w:eastAsia="Arial" w:hAnsi="Arial"/>
                <w:sz w:val="14"/>
                <w:szCs w:val="14"/>
                <w:color w:val="auto"/>
              </w:rPr>
              <w:t>180,000,000</w:t>
            </w:r>
          </w:p>
        </w:tc>
        <w:tc>
          <w:tcPr>
            <w:tcW w:w="200" w:type="dxa"/>
            <w:vAlign w:val="bottom"/>
            <w:tcBorders>
              <w:bottom w:val="single" w:sz="8" w:color="EBEBEB"/>
            </w:tcBorders>
            <w:shd w:val="clear" w:color="auto" w:fill="EBEBEB"/>
          </w:tcPr>
          <w:p>
            <w:pPr>
              <w:spacing w:after="0"/>
              <w:rPr>
                <w:sz w:val="22"/>
                <w:szCs w:val="22"/>
                <w:color w:val="auto"/>
              </w:rPr>
            </w:pPr>
          </w:p>
        </w:tc>
        <w:tc>
          <w:tcPr>
            <w:tcW w:w="840" w:type="dxa"/>
            <w:vAlign w:val="bottom"/>
            <w:tcBorders>
              <w:bottom w:val="single" w:sz="8" w:color="EBEBEB"/>
            </w:tcBorders>
            <w:shd w:val="clear" w:color="auto" w:fill="EBEBEB"/>
          </w:tcPr>
          <w:p>
            <w:pPr>
              <w:jc w:val="right"/>
              <w:ind w:right="7"/>
              <w:spacing w:after="0"/>
              <w:rPr>
                <w:sz w:val="20"/>
                <w:szCs w:val="20"/>
                <w:color w:val="auto"/>
              </w:rPr>
            </w:pPr>
            <w:r>
              <w:rPr>
                <w:rFonts w:ascii="Arial" w:cs="Arial" w:eastAsia="Arial" w:hAnsi="Arial"/>
                <w:sz w:val="14"/>
                <w:szCs w:val="14"/>
                <w:color w:val="auto"/>
              </w:rPr>
              <w:t>90,000,000</w:t>
            </w:r>
          </w:p>
        </w:tc>
        <w:tc>
          <w:tcPr>
            <w:tcW w:w="120" w:type="dxa"/>
            <w:vAlign w:val="bottom"/>
            <w:tcBorders>
              <w:bottom w:val="single" w:sz="8" w:color="EBEBEB"/>
            </w:tcBorders>
            <w:shd w:val="clear" w:color="auto" w:fill="EBEBEB"/>
          </w:tcPr>
          <w:p>
            <w:pPr>
              <w:spacing w:after="0"/>
              <w:rPr>
                <w:sz w:val="22"/>
                <w:szCs w:val="22"/>
                <w:color w:val="auto"/>
              </w:rPr>
            </w:pPr>
          </w:p>
        </w:tc>
        <w:tc>
          <w:tcPr>
            <w:tcW w:w="860" w:type="dxa"/>
            <w:vAlign w:val="bottom"/>
            <w:tcBorders>
              <w:bottom w:val="single" w:sz="8" w:color="EBEBEB"/>
            </w:tcBorders>
            <w:shd w:val="clear" w:color="auto" w:fill="EBEBEB"/>
          </w:tcPr>
          <w:p>
            <w:pPr>
              <w:jc w:val="right"/>
              <w:spacing w:after="0"/>
              <w:rPr>
                <w:sz w:val="20"/>
                <w:szCs w:val="20"/>
                <w:color w:val="auto"/>
              </w:rPr>
            </w:pPr>
            <w:r>
              <w:rPr>
                <w:rFonts w:ascii="Arial" w:cs="Arial" w:eastAsia="Arial" w:hAnsi="Arial"/>
                <w:sz w:val="14"/>
                <w:szCs w:val="14"/>
                <w:color w:val="auto"/>
              </w:rPr>
              <w:t>60,000,000</w:t>
            </w:r>
          </w:p>
        </w:tc>
        <w:tc>
          <w:tcPr>
            <w:tcW w:w="120" w:type="dxa"/>
            <w:vAlign w:val="bottom"/>
            <w:tcBorders>
              <w:bottom w:val="single" w:sz="8" w:color="EBEBEB"/>
            </w:tcBorders>
            <w:shd w:val="clear" w:color="auto" w:fill="EBEBEB"/>
          </w:tcPr>
          <w:p>
            <w:pPr>
              <w:spacing w:after="0"/>
              <w:rPr>
                <w:sz w:val="22"/>
                <w:szCs w:val="22"/>
                <w:color w:val="auto"/>
              </w:rPr>
            </w:pPr>
          </w:p>
        </w:tc>
        <w:tc>
          <w:tcPr>
            <w:tcW w:w="960" w:type="dxa"/>
            <w:vAlign w:val="bottom"/>
            <w:tcBorders>
              <w:bottom w:val="single" w:sz="8" w:color="EBEBEB"/>
            </w:tcBorders>
            <w:shd w:val="clear" w:color="auto" w:fill="EBEBEB"/>
          </w:tcPr>
          <w:p>
            <w:pPr>
              <w:jc w:val="right"/>
              <w:ind w:right="67"/>
              <w:spacing w:after="0"/>
              <w:rPr>
                <w:sz w:val="20"/>
                <w:szCs w:val="20"/>
                <w:color w:val="auto"/>
              </w:rPr>
            </w:pPr>
            <w:r>
              <w:rPr>
                <w:rFonts w:ascii="Arial" w:cs="Arial" w:eastAsia="Arial" w:hAnsi="Arial"/>
                <w:sz w:val="14"/>
                <w:szCs w:val="14"/>
                <w:color w:val="auto"/>
              </w:rPr>
              <w:t>45,000,000</w:t>
            </w:r>
          </w:p>
        </w:tc>
        <w:tc>
          <w:tcPr>
            <w:tcW w:w="0" w:type="dxa"/>
            <w:vAlign w:val="bottom"/>
          </w:tcPr>
          <w:p>
            <w:pPr>
              <w:spacing w:after="0"/>
              <w:rPr>
                <w:sz w:val="1"/>
                <w:szCs w:val="1"/>
                <w:color w:val="auto"/>
              </w:rPr>
            </w:pPr>
          </w:p>
        </w:tc>
      </w:tr>
      <w:tr>
        <w:trPr>
          <w:trHeight w:val="263"/>
        </w:trPr>
        <w:tc>
          <w:tcPr>
            <w:tcW w:w="140" w:type="dxa"/>
            <w:vAlign w:val="bottom"/>
            <w:tcBorders>
              <w:bottom w:val="single" w:sz="8" w:color="FAFAFA"/>
            </w:tcBorders>
            <w:shd w:val="clear" w:color="auto" w:fill="FAFAFA"/>
          </w:tcPr>
          <w:p>
            <w:pPr>
              <w:spacing w:after="0"/>
              <w:rPr>
                <w:sz w:val="22"/>
                <w:szCs w:val="22"/>
                <w:color w:val="auto"/>
              </w:rPr>
            </w:pPr>
          </w:p>
        </w:tc>
        <w:tc>
          <w:tcPr>
            <w:tcW w:w="3140" w:type="dxa"/>
            <w:vAlign w:val="bottom"/>
            <w:tcBorders>
              <w:bottom w:val="single" w:sz="8" w:color="FAFAFA"/>
            </w:tcBorders>
            <w:gridSpan w:val="2"/>
            <w:shd w:val="clear" w:color="auto" w:fill="FAFAFA"/>
          </w:tcPr>
          <w:p>
            <w:pPr>
              <w:ind w:left="100"/>
              <w:spacing w:after="0"/>
              <w:rPr>
                <w:sz w:val="20"/>
                <w:szCs w:val="20"/>
                <w:color w:val="auto"/>
              </w:rPr>
            </w:pPr>
            <w:r>
              <w:rPr>
                <w:rFonts w:ascii="Arial" w:cs="Arial" w:eastAsia="Arial" w:hAnsi="Arial"/>
                <w:sz w:val="14"/>
                <w:szCs w:val="14"/>
                <w:color w:val="auto"/>
              </w:rPr>
              <w:t>Shares of common stock outstanding</w:t>
            </w:r>
          </w:p>
        </w:tc>
        <w:tc>
          <w:tcPr>
            <w:tcW w:w="1120" w:type="dxa"/>
            <w:vAlign w:val="bottom"/>
            <w:tcBorders>
              <w:bottom w:val="single" w:sz="8" w:color="FAFAFA"/>
            </w:tcBorders>
            <w:shd w:val="clear" w:color="auto" w:fill="FAFAFA"/>
          </w:tcPr>
          <w:p>
            <w:pPr>
              <w:spacing w:after="0"/>
              <w:rPr>
                <w:sz w:val="22"/>
                <w:szCs w:val="22"/>
                <w:color w:val="auto"/>
              </w:rPr>
            </w:pPr>
          </w:p>
        </w:tc>
        <w:tc>
          <w:tcPr>
            <w:tcW w:w="880" w:type="dxa"/>
            <w:vAlign w:val="bottom"/>
            <w:tcBorders>
              <w:bottom w:val="single" w:sz="8" w:color="FAFAFA"/>
            </w:tcBorders>
            <w:shd w:val="clear" w:color="auto" w:fill="FAFAFA"/>
          </w:tcPr>
          <w:p>
            <w:pPr>
              <w:jc w:val="right"/>
              <w:spacing w:after="0"/>
              <w:rPr>
                <w:sz w:val="20"/>
                <w:szCs w:val="20"/>
                <w:color w:val="auto"/>
              </w:rPr>
            </w:pPr>
            <w:r>
              <w:rPr>
                <w:rFonts w:ascii="Arial" w:cs="Arial" w:eastAsia="Arial" w:hAnsi="Arial"/>
                <w:sz w:val="14"/>
                <w:szCs w:val="14"/>
                <w:color w:val="auto"/>
              </w:rPr>
              <w:t>39,042,445</w:t>
            </w:r>
          </w:p>
        </w:tc>
        <w:tc>
          <w:tcPr>
            <w:tcW w:w="120" w:type="dxa"/>
            <w:vAlign w:val="bottom"/>
            <w:tcBorders>
              <w:bottom w:val="single" w:sz="8" w:color="FAFAFA"/>
            </w:tcBorders>
            <w:shd w:val="clear" w:color="auto" w:fill="FAFAFA"/>
          </w:tcPr>
          <w:p>
            <w:pPr>
              <w:spacing w:after="0"/>
              <w:rPr>
                <w:sz w:val="22"/>
                <w:szCs w:val="22"/>
                <w:color w:val="auto"/>
              </w:rPr>
            </w:pPr>
          </w:p>
        </w:tc>
        <w:tc>
          <w:tcPr>
            <w:tcW w:w="900" w:type="dxa"/>
            <w:vAlign w:val="bottom"/>
            <w:tcBorders>
              <w:bottom w:val="single" w:sz="8" w:color="FAFAFA"/>
            </w:tcBorders>
            <w:shd w:val="clear" w:color="auto" w:fill="FAFAFA"/>
          </w:tcPr>
          <w:p>
            <w:pPr>
              <w:jc w:val="right"/>
              <w:spacing w:after="0"/>
              <w:rPr>
                <w:sz w:val="20"/>
                <w:szCs w:val="20"/>
                <w:color w:val="auto"/>
              </w:rPr>
            </w:pPr>
            <w:r>
              <w:rPr>
                <w:rFonts w:ascii="Arial" w:cs="Arial" w:eastAsia="Arial" w:hAnsi="Arial"/>
                <w:sz w:val="14"/>
                <w:szCs w:val="14"/>
                <w:color w:val="auto"/>
              </w:rPr>
              <w:t>7,808,489</w:t>
            </w:r>
          </w:p>
        </w:tc>
        <w:tc>
          <w:tcPr>
            <w:tcW w:w="200" w:type="dxa"/>
            <w:vAlign w:val="bottom"/>
            <w:tcBorders>
              <w:bottom w:val="single" w:sz="8" w:color="FAFAFA"/>
            </w:tcBorders>
            <w:shd w:val="clear" w:color="auto" w:fill="FAFAFA"/>
          </w:tcPr>
          <w:p>
            <w:pPr>
              <w:spacing w:after="0"/>
              <w:rPr>
                <w:sz w:val="22"/>
                <w:szCs w:val="22"/>
                <w:color w:val="auto"/>
              </w:rPr>
            </w:pPr>
          </w:p>
        </w:tc>
        <w:tc>
          <w:tcPr>
            <w:tcW w:w="840" w:type="dxa"/>
            <w:vAlign w:val="bottom"/>
            <w:tcBorders>
              <w:bottom w:val="single" w:sz="8" w:color="FAFAFA"/>
            </w:tcBorders>
            <w:shd w:val="clear" w:color="auto" w:fill="FAFAFA"/>
          </w:tcPr>
          <w:p>
            <w:pPr>
              <w:jc w:val="right"/>
              <w:ind w:right="7"/>
              <w:spacing w:after="0"/>
              <w:rPr>
                <w:sz w:val="20"/>
                <w:szCs w:val="20"/>
                <w:color w:val="auto"/>
              </w:rPr>
            </w:pPr>
            <w:r>
              <w:rPr>
                <w:rFonts w:ascii="Arial" w:cs="Arial" w:eastAsia="Arial" w:hAnsi="Arial"/>
                <w:sz w:val="14"/>
                <w:szCs w:val="14"/>
                <w:color w:val="auto"/>
              </w:rPr>
              <w:t>3,904,244</w:t>
            </w:r>
          </w:p>
        </w:tc>
        <w:tc>
          <w:tcPr>
            <w:tcW w:w="120" w:type="dxa"/>
            <w:vAlign w:val="bottom"/>
            <w:tcBorders>
              <w:bottom w:val="single" w:sz="8" w:color="FAFAFA"/>
            </w:tcBorders>
            <w:shd w:val="clear" w:color="auto" w:fill="FAFAFA"/>
          </w:tcPr>
          <w:p>
            <w:pPr>
              <w:spacing w:after="0"/>
              <w:rPr>
                <w:sz w:val="22"/>
                <w:szCs w:val="22"/>
                <w:color w:val="auto"/>
              </w:rPr>
            </w:pPr>
          </w:p>
        </w:tc>
        <w:tc>
          <w:tcPr>
            <w:tcW w:w="860" w:type="dxa"/>
            <w:vAlign w:val="bottom"/>
            <w:tcBorders>
              <w:bottom w:val="single" w:sz="8" w:color="FAFAFA"/>
            </w:tcBorders>
            <w:shd w:val="clear" w:color="auto" w:fill="FAFAFA"/>
          </w:tcPr>
          <w:p>
            <w:pPr>
              <w:jc w:val="right"/>
              <w:spacing w:after="0"/>
              <w:rPr>
                <w:sz w:val="20"/>
                <w:szCs w:val="20"/>
                <w:color w:val="auto"/>
              </w:rPr>
            </w:pPr>
            <w:r>
              <w:rPr>
                <w:rFonts w:ascii="Arial" w:cs="Arial" w:eastAsia="Arial" w:hAnsi="Arial"/>
                <w:sz w:val="14"/>
                <w:szCs w:val="14"/>
                <w:color w:val="auto"/>
              </w:rPr>
              <w:t>2,602,829</w:t>
            </w:r>
          </w:p>
        </w:tc>
        <w:tc>
          <w:tcPr>
            <w:tcW w:w="120" w:type="dxa"/>
            <w:vAlign w:val="bottom"/>
            <w:tcBorders>
              <w:bottom w:val="single" w:sz="8" w:color="FAFAFA"/>
            </w:tcBorders>
            <w:shd w:val="clear" w:color="auto" w:fill="FAFAFA"/>
          </w:tcPr>
          <w:p>
            <w:pPr>
              <w:spacing w:after="0"/>
              <w:rPr>
                <w:sz w:val="22"/>
                <w:szCs w:val="22"/>
                <w:color w:val="auto"/>
              </w:rPr>
            </w:pPr>
          </w:p>
        </w:tc>
        <w:tc>
          <w:tcPr>
            <w:tcW w:w="960" w:type="dxa"/>
            <w:vAlign w:val="bottom"/>
            <w:tcBorders>
              <w:bottom w:val="single" w:sz="8" w:color="FAFAFA"/>
            </w:tcBorders>
            <w:shd w:val="clear" w:color="auto" w:fill="FAFAFA"/>
          </w:tcPr>
          <w:p>
            <w:pPr>
              <w:jc w:val="right"/>
              <w:ind w:right="67"/>
              <w:spacing w:after="0"/>
              <w:rPr>
                <w:sz w:val="20"/>
                <w:szCs w:val="20"/>
                <w:color w:val="auto"/>
              </w:rPr>
            </w:pPr>
            <w:r>
              <w:rPr>
                <w:rFonts w:ascii="Arial" w:cs="Arial" w:eastAsia="Arial" w:hAnsi="Arial"/>
                <w:sz w:val="14"/>
                <w:szCs w:val="14"/>
                <w:color w:val="auto"/>
              </w:rPr>
              <w:t>1,952,122</w:t>
            </w:r>
          </w:p>
        </w:tc>
        <w:tc>
          <w:tcPr>
            <w:tcW w:w="0" w:type="dxa"/>
            <w:vAlign w:val="bottom"/>
          </w:tcPr>
          <w:p>
            <w:pPr>
              <w:spacing w:after="0"/>
              <w:rPr>
                <w:sz w:val="1"/>
                <w:szCs w:val="1"/>
                <w:color w:val="auto"/>
              </w:rPr>
            </w:pPr>
          </w:p>
        </w:tc>
      </w:tr>
      <w:tr>
        <w:trPr>
          <w:trHeight w:val="207"/>
        </w:trPr>
        <w:tc>
          <w:tcPr>
            <w:tcW w:w="140" w:type="dxa"/>
            <w:vAlign w:val="bottom"/>
            <w:shd w:val="clear" w:color="auto" w:fill="EBEBEB"/>
          </w:tcPr>
          <w:p>
            <w:pPr>
              <w:spacing w:after="0"/>
              <w:rPr>
                <w:sz w:val="17"/>
                <w:szCs w:val="17"/>
                <w:color w:val="auto"/>
              </w:rPr>
            </w:pPr>
          </w:p>
        </w:tc>
        <w:tc>
          <w:tcPr>
            <w:tcW w:w="3140" w:type="dxa"/>
            <w:vAlign w:val="bottom"/>
            <w:gridSpan w:val="2"/>
            <w:shd w:val="clear" w:color="auto" w:fill="EBEBEB"/>
          </w:tcPr>
          <w:p>
            <w:pPr>
              <w:ind w:left="100"/>
              <w:spacing w:after="0"/>
              <w:rPr>
                <w:sz w:val="20"/>
                <w:szCs w:val="20"/>
                <w:color w:val="auto"/>
              </w:rPr>
            </w:pPr>
            <w:r>
              <w:rPr>
                <w:rFonts w:ascii="Arial" w:cs="Arial" w:eastAsia="Arial" w:hAnsi="Arial"/>
                <w:sz w:val="14"/>
                <w:szCs w:val="14"/>
                <w:color w:val="auto"/>
              </w:rPr>
              <w:t>Issued but not outstanding (held by the</w:t>
            </w:r>
          </w:p>
        </w:tc>
        <w:tc>
          <w:tcPr>
            <w:tcW w:w="1120" w:type="dxa"/>
            <w:vAlign w:val="bottom"/>
            <w:shd w:val="clear" w:color="auto" w:fill="EBEBEB"/>
          </w:tcPr>
          <w:p>
            <w:pPr>
              <w:spacing w:after="0"/>
              <w:rPr>
                <w:sz w:val="17"/>
                <w:szCs w:val="17"/>
                <w:color w:val="auto"/>
              </w:rPr>
            </w:pPr>
          </w:p>
        </w:tc>
        <w:tc>
          <w:tcPr>
            <w:tcW w:w="88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BEBEB"/>
          </w:tcPr>
          <w:p>
            <w:pPr>
              <w:spacing w:after="0"/>
              <w:rPr>
                <w:sz w:val="17"/>
                <w:szCs w:val="17"/>
                <w:color w:val="auto"/>
              </w:rPr>
            </w:pPr>
          </w:p>
        </w:tc>
        <w:tc>
          <w:tcPr>
            <w:tcW w:w="90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BEBEB"/>
          </w:tcPr>
          <w:p>
            <w:pPr>
              <w:spacing w:after="0"/>
              <w:rPr>
                <w:sz w:val="17"/>
                <w:szCs w:val="17"/>
                <w:color w:val="auto"/>
              </w:rPr>
            </w:pPr>
          </w:p>
        </w:tc>
        <w:tc>
          <w:tcPr>
            <w:tcW w:w="84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120" w:type="dxa"/>
            <w:vAlign w:val="bottom"/>
            <w:shd w:val="clear" w:color="auto" w:fill="EBEBEB"/>
          </w:tcPr>
          <w:p>
            <w:pPr>
              <w:spacing w:after="0"/>
              <w:rPr>
                <w:sz w:val="17"/>
                <w:szCs w:val="17"/>
                <w:color w:val="auto"/>
              </w:rPr>
            </w:pPr>
          </w:p>
        </w:tc>
        <w:tc>
          <w:tcPr>
            <w:tcW w:w="86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BEBEB"/>
          </w:tcPr>
          <w:p>
            <w:pPr>
              <w:spacing w:after="0"/>
              <w:rPr>
                <w:sz w:val="17"/>
                <w:szCs w:val="17"/>
                <w:color w:val="auto"/>
              </w:rPr>
            </w:pPr>
          </w:p>
        </w:tc>
        <w:tc>
          <w:tcPr>
            <w:tcW w:w="960" w:type="dxa"/>
            <w:vAlign w:val="bottom"/>
            <w:vMerge w:val="restart"/>
            <w:shd w:val="clear" w:color="auto" w:fill="EBEBEB"/>
          </w:tcPr>
          <w:p>
            <w:pPr>
              <w:jc w:val="right"/>
              <w:ind w:right="6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40" w:type="dxa"/>
            <w:vAlign w:val="bottom"/>
            <w:shd w:val="clear" w:color="auto" w:fill="EBEBEB"/>
          </w:tcPr>
          <w:p>
            <w:pPr>
              <w:spacing w:after="0"/>
              <w:rPr>
                <w:sz w:val="9"/>
                <w:szCs w:val="9"/>
                <w:color w:val="auto"/>
              </w:rPr>
            </w:pPr>
          </w:p>
        </w:tc>
        <w:tc>
          <w:tcPr>
            <w:tcW w:w="3140" w:type="dxa"/>
            <w:vAlign w:val="bottom"/>
            <w:gridSpan w:val="2"/>
            <w:vMerge w:val="restart"/>
            <w:shd w:val="clear" w:color="auto" w:fill="EBEBEB"/>
          </w:tcPr>
          <w:p>
            <w:pPr>
              <w:ind w:left="100"/>
              <w:spacing w:after="0"/>
              <w:rPr>
                <w:sz w:val="20"/>
                <w:szCs w:val="20"/>
                <w:color w:val="auto"/>
              </w:rPr>
            </w:pPr>
            <w:r>
              <w:rPr>
                <w:rFonts w:ascii="Arial" w:cs="Arial" w:eastAsia="Arial" w:hAnsi="Arial"/>
                <w:sz w:val="14"/>
                <w:szCs w:val="14"/>
                <w:color w:val="auto"/>
              </w:rPr>
              <w:t>Company in Treasury Stock)</w:t>
            </w:r>
          </w:p>
        </w:tc>
        <w:tc>
          <w:tcPr>
            <w:tcW w:w="1120" w:type="dxa"/>
            <w:vAlign w:val="bottom"/>
            <w:shd w:val="clear" w:color="auto" w:fill="EBEBEB"/>
          </w:tcPr>
          <w:p>
            <w:pPr>
              <w:spacing w:after="0"/>
              <w:rPr>
                <w:sz w:val="9"/>
                <w:szCs w:val="9"/>
                <w:color w:val="auto"/>
              </w:rPr>
            </w:pPr>
          </w:p>
        </w:tc>
        <w:tc>
          <w:tcPr>
            <w:tcW w:w="880" w:type="dxa"/>
            <w:vAlign w:val="bottom"/>
            <w:vMerge w:val="continue"/>
            <w:shd w:val="clear" w:color="auto" w:fill="EBEBEB"/>
          </w:tcPr>
          <w:p>
            <w:pPr>
              <w:spacing w:after="0"/>
              <w:rPr>
                <w:sz w:val="9"/>
                <w:szCs w:val="9"/>
                <w:color w:val="auto"/>
              </w:rPr>
            </w:pPr>
          </w:p>
        </w:tc>
        <w:tc>
          <w:tcPr>
            <w:tcW w:w="120" w:type="dxa"/>
            <w:vAlign w:val="bottom"/>
            <w:shd w:val="clear" w:color="auto" w:fill="EBEBEB"/>
          </w:tcPr>
          <w:p>
            <w:pPr>
              <w:spacing w:after="0"/>
              <w:rPr>
                <w:sz w:val="9"/>
                <w:szCs w:val="9"/>
                <w:color w:val="auto"/>
              </w:rPr>
            </w:pPr>
          </w:p>
        </w:tc>
        <w:tc>
          <w:tcPr>
            <w:tcW w:w="900" w:type="dxa"/>
            <w:vAlign w:val="bottom"/>
            <w:vMerge w:val="continue"/>
            <w:shd w:val="clear" w:color="auto" w:fill="EBEBEB"/>
          </w:tcPr>
          <w:p>
            <w:pPr>
              <w:spacing w:after="0"/>
              <w:rPr>
                <w:sz w:val="9"/>
                <w:szCs w:val="9"/>
                <w:color w:val="auto"/>
              </w:rPr>
            </w:pPr>
          </w:p>
        </w:tc>
        <w:tc>
          <w:tcPr>
            <w:tcW w:w="200" w:type="dxa"/>
            <w:vAlign w:val="bottom"/>
            <w:shd w:val="clear" w:color="auto" w:fill="EBEBEB"/>
          </w:tcPr>
          <w:p>
            <w:pPr>
              <w:spacing w:after="0"/>
              <w:rPr>
                <w:sz w:val="9"/>
                <w:szCs w:val="9"/>
                <w:color w:val="auto"/>
              </w:rPr>
            </w:pPr>
          </w:p>
        </w:tc>
        <w:tc>
          <w:tcPr>
            <w:tcW w:w="840" w:type="dxa"/>
            <w:vAlign w:val="bottom"/>
            <w:vMerge w:val="continue"/>
            <w:shd w:val="clear" w:color="auto" w:fill="EBEBEB"/>
          </w:tcPr>
          <w:p>
            <w:pPr>
              <w:spacing w:after="0"/>
              <w:rPr>
                <w:sz w:val="9"/>
                <w:szCs w:val="9"/>
                <w:color w:val="auto"/>
              </w:rPr>
            </w:pPr>
          </w:p>
        </w:tc>
        <w:tc>
          <w:tcPr>
            <w:tcW w:w="120" w:type="dxa"/>
            <w:vAlign w:val="bottom"/>
            <w:shd w:val="clear" w:color="auto" w:fill="EBEBEB"/>
          </w:tcPr>
          <w:p>
            <w:pPr>
              <w:spacing w:after="0"/>
              <w:rPr>
                <w:sz w:val="9"/>
                <w:szCs w:val="9"/>
                <w:color w:val="auto"/>
              </w:rPr>
            </w:pPr>
          </w:p>
        </w:tc>
        <w:tc>
          <w:tcPr>
            <w:tcW w:w="860" w:type="dxa"/>
            <w:vAlign w:val="bottom"/>
            <w:vMerge w:val="continue"/>
            <w:shd w:val="clear" w:color="auto" w:fill="EBEBEB"/>
          </w:tcPr>
          <w:p>
            <w:pPr>
              <w:spacing w:after="0"/>
              <w:rPr>
                <w:sz w:val="9"/>
                <w:szCs w:val="9"/>
                <w:color w:val="auto"/>
              </w:rPr>
            </w:pPr>
          </w:p>
        </w:tc>
        <w:tc>
          <w:tcPr>
            <w:tcW w:w="120" w:type="dxa"/>
            <w:vAlign w:val="bottom"/>
            <w:shd w:val="clear" w:color="auto" w:fill="EBEBEB"/>
          </w:tcPr>
          <w:p>
            <w:pPr>
              <w:spacing w:after="0"/>
              <w:rPr>
                <w:sz w:val="9"/>
                <w:szCs w:val="9"/>
                <w:color w:val="auto"/>
              </w:rPr>
            </w:pPr>
          </w:p>
        </w:tc>
        <w:tc>
          <w:tcPr>
            <w:tcW w:w="960" w:type="dxa"/>
            <w:vAlign w:val="bottom"/>
            <w:vMerge w:val="continue"/>
            <w:shd w:val="clear" w:color="auto" w:fill="EBEBEB"/>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40" w:type="dxa"/>
            <w:vAlign w:val="bottom"/>
            <w:tcBorders>
              <w:bottom w:val="single" w:sz="8" w:color="EBEBEB"/>
            </w:tcBorders>
            <w:shd w:val="clear" w:color="auto" w:fill="EBEBEB"/>
          </w:tcPr>
          <w:p>
            <w:pPr>
              <w:spacing w:after="0"/>
              <w:rPr>
                <w:sz w:val="9"/>
                <w:szCs w:val="9"/>
                <w:color w:val="auto"/>
              </w:rPr>
            </w:pPr>
          </w:p>
        </w:tc>
        <w:tc>
          <w:tcPr>
            <w:tcW w:w="3140" w:type="dxa"/>
            <w:vAlign w:val="bottom"/>
            <w:tcBorders>
              <w:bottom w:val="single" w:sz="8" w:color="EBEBEB"/>
            </w:tcBorders>
            <w:gridSpan w:val="2"/>
            <w:vMerge w:val="continue"/>
            <w:shd w:val="clear" w:color="auto" w:fill="EBEBEB"/>
          </w:tcPr>
          <w:p>
            <w:pPr>
              <w:spacing w:after="0"/>
              <w:rPr>
                <w:sz w:val="9"/>
                <w:szCs w:val="9"/>
                <w:color w:val="auto"/>
              </w:rPr>
            </w:pPr>
          </w:p>
        </w:tc>
        <w:tc>
          <w:tcPr>
            <w:tcW w:w="1120" w:type="dxa"/>
            <w:vAlign w:val="bottom"/>
            <w:tcBorders>
              <w:bottom w:val="single" w:sz="8" w:color="EBEBEB"/>
            </w:tcBorders>
            <w:shd w:val="clear" w:color="auto" w:fill="EBEBEB"/>
          </w:tcPr>
          <w:p>
            <w:pPr>
              <w:spacing w:after="0"/>
              <w:rPr>
                <w:sz w:val="9"/>
                <w:szCs w:val="9"/>
                <w:color w:val="auto"/>
              </w:rPr>
            </w:pPr>
          </w:p>
        </w:tc>
        <w:tc>
          <w:tcPr>
            <w:tcW w:w="880" w:type="dxa"/>
            <w:vAlign w:val="bottom"/>
            <w:tcBorders>
              <w:bottom w:val="single" w:sz="8" w:color="EBEBEB"/>
            </w:tcBorders>
            <w:shd w:val="clear" w:color="auto" w:fill="EBEBEB"/>
          </w:tcPr>
          <w:p>
            <w:pPr>
              <w:spacing w:after="0"/>
              <w:rPr>
                <w:sz w:val="9"/>
                <w:szCs w:val="9"/>
                <w:color w:val="auto"/>
              </w:rPr>
            </w:pPr>
          </w:p>
        </w:tc>
        <w:tc>
          <w:tcPr>
            <w:tcW w:w="120" w:type="dxa"/>
            <w:vAlign w:val="bottom"/>
            <w:tcBorders>
              <w:bottom w:val="single" w:sz="8" w:color="EBEBEB"/>
            </w:tcBorders>
            <w:shd w:val="clear" w:color="auto" w:fill="EBEBEB"/>
          </w:tcPr>
          <w:p>
            <w:pPr>
              <w:spacing w:after="0"/>
              <w:rPr>
                <w:sz w:val="9"/>
                <w:szCs w:val="9"/>
                <w:color w:val="auto"/>
              </w:rPr>
            </w:pPr>
          </w:p>
        </w:tc>
        <w:tc>
          <w:tcPr>
            <w:tcW w:w="900" w:type="dxa"/>
            <w:vAlign w:val="bottom"/>
            <w:tcBorders>
              <w:bottom w:val="single" w:sz="8" w:color="EBEBEB"/>
            </w:tcBorders>
            <w:shd w:val="clear" w:color="auto" w:fill="EBEBEB"/>
          </w:tcPr>
          <w:p>
            <w:pPr>
              <w:spacing w:after="0"/>
              <w:rPr>
                <w:sz w:val="9"/>
                <w:szCs w:val="9"/>
                <w:color w:val="auto"/>
              </w:rPr>
            </w:pPr>
          </w:p>
        </w:tc>
        <w:tc>
          <w:tcPr>
            <w:tcW w:w="200" w:type="dxa"/>
            <w:vAlign w:val="bottom"/>
            <w:tcBorders>
              <w:bottom w:val="single" w:sz="8" w:color="EBEBEB"/>
            </w:tcBorders>
            <w:shd w:val="clear" w:color="auto" w:fill="EBEBEB"/>
          </w:tcPr>
          <w:p>
            <w:pPr>
              <w:spacing w:after="0"/>
              <w:rPr>
                <w:sz w:val="9"/>
                <w:szCs w:val="9"/>
                <w:color w:val="auto"/>
              </w:rPr>
            </w:pPr>
          </w:p>
        </w:tc>
        <w:tc>
          <w:tcPr>
            <w:tcW w:w="840" w:type="dxa"/>
            <w:vAlign w:val="bottom"/>
            <w:tcBorders>
              <w:bottom w:val="single" w:sz="8" w:color="EBEBEB"/>
            </w:tcBorders>
            <w:shd w:val="clear" w:color="auto" w:fill="EBEBEB"/>
          </w:tcPr>
          <w:p>
            <w:pPr>
              <w:spacing w:after="0"/>
              <w:rPr>
                <w:sz w:val="9"/>
                <w:szCs w:val="9"/>
                <w:color w:val="auto"/>
              </w:rPr>
            </w:pPr>
          </w:p>
        </w:tc>
        <w:tc>
          <w:tcPr>
            <w:tcW w:w="120" w:type="dxa"/>
            <w:vAlign w:val="bottom"/>
            <w:tcBorders>
              <w:bottom w:val="single" w:sz="8" w:color="EBEBEB"/>
            </w:tcBorders>
            <w:shd w:val="clear" w:color="auto" w:fill="EBEBEB"/>
          </w:tcPr>
          <w:p>
            <w:pPr>
              <w:spacing w:after="0"/>
              <w:rPr>
                <w:sz w:val="9"/>
                <w:szCs w:val="9"/>
                <w:color w:val="auto"/>
              </w:rPr>
            </w:pPr>
          </w:p>
        </w:tc>
        <w:tc>
          <w:tcPr>
            <w:tcW w:w="860" w:type="dxa"/>
            <w:vAlign w:val="bottom"/>
            <w:tcBorders>
              <w:bottom w:val="single" w:sz="8" w:color="EBEBEB"/>
            </w:tcBorders>
            <w:shd w:val="clear" w:color="auto" w:fill="EBEBEB"/>
          </w:tcPr>
          <w:p>
            <w:pPr>
              <w:spacing w:after="0"/>
              <w:rPr>
                <w:sz w:val="9"/>
                <w:szCs w:val="9"/>
                <w:color w:val="auto"/>
              </w:rPr>
            </w:pPr>
          </w:p>
        </w:tc>
        <w:tc>
          <w:tcPr>
            <w:tcW w:w="120" w:type="dxa"/>
            <w:vAlign w:val="bottom"/>
            <w:tcBorders>
              <w:bottom w:val="single" w:sz="8" w:color="EBEBEB"/>
            </w:tcBorders>
            <w:shd w:val="clear" w:color="auto" w:fill="EBEBEB"/>
          </w:tcPr>
          <w:p>
            <w:pPr>
              <w:spacing w:after="0"/>
              <w:rPr>
                <w:sz w:val="9"/>
                <w:szCs w:val="9"/>
                <w:color w:val="auto"/>
              </w:rPr>
            </w:pPr>
          </w:p>
        </w:tc>
        <w:tc>
          <w:tcPr>
            <w:tcW w:w="960" w:type="dxa"/>
            <w:vAlign w:val="bottom"/>
            <w:tcBorders>
              <w:bottom w:val="single" w:sz="8" w:color="EBEBEB"/>
            </w:tcBorders>
            <w:shd w:val="clear" w:color="auto" w:fill="EBEBEB"/>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140" w:type="dxa"/>
            <w:vAlign w:val="bottom"/>
            <w:shd w:val="clear" w:color="auto" w:fill="FAFAFA"/>
          </w:tcPr>
          <w:p>
            <w:pPr>
              <w:spacing w:after="0"/>
              <w:rPr>
                <w:sz w:val="17"/>
                <w:szCs w:val="17"/>
                <w:color w:val="auto"/>
              </w:rPr>
            </w:pPr>
          </w:p>
        </w:tc>
        <w:tc>
          <w:tcPr>
            <w:tcW w:w="3140" w:type="dxa"/>
            <w:vAlign w:val="bottom"/>
            <w:gridSpan w:val="2"/>
            <w:shd w:val="clear" w:color="auto" w:fill="FAFAFA"/>
          </w:tcPr>
          <w:p>
            <w:pPr>
              <w:ind w:left="100"/>
              <w:spacing w:after="0"/>
              <w:rPr>
                <w:sz w:val="20"/>
                <w:szCs w:val="20"/>
                <w:color w:val="auto"/>
              </w:rPr>
            </w:pPr>
            <w:r>
              <w:rPr>
                <w:rFonts w:ascii="Arial" w:cs="Arial" w:eastAsia="Arial" w:hAnsi="Arial"/>
                <w:sz w:val="14"/>
                <w:szCs w:val="14"/>
                <w:color w:val="auto"/>
              </w:rPr>
              <w:t>Shares of common stock reserved for issuance</w:t>
            </w:r>
          </w:p>
        </w:tc>
        <w:tc>
          <w:tcPr>
            <w:tcW w:w="1120" w:type="dxa"/>
            <w:vAlign w:val="bottom"/>
            <w:shd w:val="clear" w:color="auto" w:fill="FAFAFA"/>
          </w:tcPr>
          <w:p>
            <w:pPr>
              <w:spacing w:after="0"/>
              <w:rPr>
                <w:sz w:val="17"/>
                <w:szCs w:val="17"/>
                <w:color w:val="auto"/>
              </w:rPr>
            </w:pPr>
          </w:p>
        </w:tc>
        <w:tc>
          <w:tcPr>
            <w:tcW w:w="880" w:type="dxa"/>
            <w:vAlign w:val="bottom"/>
            <w:shd w:val="clear" w:color="auto" w:fill="FAFAFA"/>
          </w:tcPr>
          <w:p>
            <w:pPr>
              <w:spacing w:after="0"/>
              <w:rPr>
                <w:sz w:val="17"/>
                <w:szCs w:val="17"/>
                <w:color w:val="auto"/>
              </w:rPr>
            </w:pPr>
          </w:p>
        </w:tc>
        <w:tc>
          <w:tcPr>
            <w:tcW w:w="120" w:type="dxa"/>
            <w:vAlign w:val="bottom"/>
            <w:shd w:val="clear" w:color="auto" w:fill="FAFAFA"/>
          </w:tcPr>
          <w:p>
            <w:pPr>
              <w:spacing w:after="0"/>
              <w:rPr>
                <w:sz w:val="17"/>
                <w:szCs w:val="17"/>
                <w:color w:val="auto"/>
              </w:rPr>
            </w:pPr>
          </w:p>
        </w:tc>
        <w:tc>
          <w:tcPr>
            <w:tcW w:w="900" w:type="dxa"/>
            <w:vAlign w:val="bottom"/>
            <w:shd w:val="clear" w:color="auto" w:fill="FAFAFA"/>
          </w:tcPr>
          <w:p>
            <w:pPr>
              <w:spacing w:after="0"/>
              <w:rPr>
                <w:sz w:val="17"/>
                <w:szCs w:val="17"/>
                <w:color w:val="auto"/>
              </w:rPr>
            </w:pPr>
          </w:p>
        </w:tc>
        <w:tc>
          <w:tcPr>
            <w:tcW w:w="200" w:type="dxa"/>
            <w:vAlign w:val="bottom"/>
            <w:shd w:val="clear" w:color="auto" w:fill="FAFAFA"/>
          </w:tcPr>
          <w:p>
            <w:pPr>
              <w:spacing w:after="0"/>
              <w:rPr>
                <w:sz w:val="17"/>
                <w:szCs w:val="17"/>
                <w:color w:val="auto"/>
              </w:rPr>
            </w:pPr>
          </w:p>
        </w:tc>
        <w:tc>
          <w:tcPr>
            <w:tcW w:w="840" w:type="dxa"/>
            <w:vAlign w:val="bottom"/>
            <w:shd w:val="clear" w:color="auto" w:fill="FAFAFA"/>
          </w:tcPr>
          <w:p>
            <w:pPr>
              <w:spacing w:after="0"/>
              <w:rPr>
                <w:sz w:val="17"/>
                <w:szCs w:val="17"/>
                <w:color w:val="auto"/>
              </w:rPr>
            </w:pPr>
          </w:p>
        </w:tc>
        <w:tc>
          <w:tcPr>
            <w:tcW w:w="120" w:type="dxa"/>
            <w:vAlign w:val="bottom"/>
            <w:shd w:val="clear" w:color="auto" w:fill="FAFAFA"/>
          </w:tcPr>
          <w:p>
            <w:pPr>
              <w:spacing w:after="0"/>
              <w:rPr>
                <w:sz w:val="17"/>
                <w:szCs w:val="17"/>
                <w:color w:val="auto"/>
              </w:rPr>
            </w:pPr>
          </w:p>
        </w:tc>
        <w:tc>
          <w:tcPr>
            <w:tcW w:w="860" w:type="dxa"/>
            <w:vAlign w:val="bottom"/>
            <w:shd w:val="clear" w:color="auto" w:fill="FAFAFA"/>
          </w:tcPr>
          <w:p>
            <w:pPr>
              <w:spacing w:after="0"/>
              <w:rPr>
                <w:sz w:val="17"/>
                <w:szCs w:val="17"/>
                <w:color w:val="auto"/>
              </w:rPr>
            </w:pPr>
          </w:p>
        </w:tc>
        <w:tc>
          <w:tcPr>
            <w:tcW w:w="120" w:type="dxa"/>
            <w:vAlign w:val="bottom"/>
            <w:shd w:val="clear" w:color="auto" w:fill="FAFAFA"/>
          </w:tcPr>
          <w:p>
            <w:pPr>
              <w:spacing w:after="0"/>
              <w:rPr>
                <w:sz w:val="17"/>
                <w:szCs w:val="17"/>
                <w:color w:val="auto"/>
              </w:rPr>
            </w:pPr>
          </w:p>
        </w:tc>
        <w:tc>
          <w:tcPr>
            <w:tcW w:w="960" w:type="dxa"/>
            <w:vAlign w:val="bottom"/>
            <w:shd w:val="clear" w:color="auto" w:fill="FAFAFA"/>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40" w:type="dxa"/>
            <w:vAlign w:val="bottom"/>
            <w:shd w:val="clear" w:color="auto" w:fill="FAFAFA"/>
          </w:tcPr>
          <w:p>
            <w:pPr>
              <w:spacing w:after="0"/>
              <w:rPr>
                <w:sz w:val="13"/>
                <w:szCs w:val="13"/>
                <w:color w:val="auto"/>
              </w:rPr>
            </w:pPr>
          </w:p>
        </w:tc>
        <w:tc>
          <w:tcPr>
            <w:tcW w:w="3140" w:type="dxa"/>
            <w:vAlign w:val="bottom"/>
            <w:gridSpan w:val="2"/>
            <w:shd w:val="clear" w:color="auto" w:fill="FAFAFA"/>
          </w:tcPr>
          <w:p>
            <w:pPr>
              <w:ind w:left="100"/>
              <w:spacing w:after="0" w:line="159" w:lineRule="exact"/>
              <w:rPr>
                <w:sz w:val="20"/>
                <w:szCs w:val="20"/>
                <w:color w:val="auto"/>
              </w:rPr>
            </w:pPr>
            <w:r>
              <w:rPr>
                <w:rFonts w:ascii="Arial" w:cs="Arial" w:eastAsia="Arial" w:hAnsi="Arial"/>
                <w:sz w:val="14"/>
                <w:szCs w:val="14"/>
                <w:color w:val="auto"/>
              </w:rPr>
              <w:t>upon exercise or settlement of outstanding</w:t>
            </w:r>
          </w:p>
        </w:tc>
        <w:tc>
          <w:tcPr>
            <w:tcW w:w="1120" w:type="dxa"/>
            <w:vAlign w:val="bottom"/>
            <w:shd w:val="clear" w:color="auto" w:fill="FAFAFA"/>
          </w:tcPr>
          <w:p>
            <w:pPr>
              <w:spacing w:after="0"/>
              <w:rPr>
                <w:sz w:val="13"/>
                <w:szCs w:val="13"/>
                <w:color w:val="auto"/>
              </w:rPr>
            </w:pPr>
          </w:p>
        </w:tc>
        <w:tc>
          <w:tcPr>
            <w:tcW w:w="880" w:type="dxa"/>
            <w:vAlign w:val="bottom"/>
            <w:shd w:val="clear" w:color="auto" w:fill="FAFAFA"/>
          </w:tcPr>
          <w:p>
            <w:pPr>
              <w:jc w:val="right"/>
              <w:spacing w:after="0" w:line="159" w:lineRule="exact"/>
              <w:rPr>
                <w:sz w:val="20"/>
                <w:szCs w:val="20"/>
                <w:color w:val="auto"/>
              </w:rPr>
            </w:pPr>
            <w:r>
              <w:rPr>
                <w:rFonts w:ascii="Arial" w:cs="Arial" w:eastAsia="Arial" w:hAnsi="Arial"/>
                <w:sz w:val="14"/>
                <w:szCs w:val="14"/>
                <w:color w:val="auto"/>
              </w:rPr>
              <w:t>10,814,272</w:t>
            </w:r>
          </w:p>
        </w:tc>
        <w:tc>
          <w:tcPr>
            <w:tcW w:w="120" w:type="dxa"/>
            <w:vAlign w:val="bottom"/>
            <w:shd w:val="clear" w:color="auto" w:fill="FAFAFA"/>
          </w:tcPr>
          <w:p>
            <w:pPr>
              <w:spacing w:after="0"/>
              <w:rPr>
                <w:sz w:val="13"/>
                <w:szCs w:val="13"/>
                <w:color w:val="auto"/>
              </w:rPr>
            </w:pPr>
          </w:p>
        </w:tc>
        <w:tc>
          <w:tcPr>
            <w:tcW w:w="900" w:type="dxa"/>
            <w:vAlign w:val="bottom"/>
            <w:shd w:val="clear" w:color="auto" w:fill="FAFAFA"/>
          </w:tcPr>
          <w:p>
            <w:pPr>
              <w:jc w:val="right"/>
              <w:spacing w:after="0" w:line="159" w:lineRule="exact"/>
              <w:rPr>
                <w:sz w:val="20"/>
                <w:szCs w:val="20"/>
                <w:color w:val="auto"/>
              </w:rPr>
            </w:pPr>
            <w:r>
              <w:rPr>
                <w:rFonts w:ascii="Arial" w:cs="Arial" w:eastAsia="Arial" w:hAnsi="Arial"/>
                <w:sz w:val="14"/>
                <w:szCs w:val="14"/>
                <w:color w:val="auto"/>
              </w:rPr>
              <w:t>2,162,854</w:t>
            </w:r>
          </w:p>
        </w:tc>
        <w:tc>
          <w:tcPr>
            <w:tcW w:w="200" w:type="dxa"/>
            <w:vAlign w:val="bottom"/>
            <w:shd w:val="clear" w:color="auto" w:fill="FAFAFA"/>
          </w:tcPr>
          <w:p>
            <w:pPr>
              <w:spacing w:after="0"/>
              <w:rPr>
                <w:sz w:val="13"/>
                <w:szCs w:val="13"/>
                <w:color w:val="auto"/>
              </w:rPr>
            </w:pPr>
          </w:p>
        </w:tc>
        <w:tc>
          <w:tcPr>
            <w:tcW w:w="840" w:type="dxa"/>
            <w:vAlign w:val="bottom"/>
            <w:shd w:val="clear" w:color="auto" w:fill="FAFAFA"/>
          </w:tcPr>
          <w:p>
            <w:pPr>
              <w:jc w:val="right"/>
              <w:ind w:right="7"/>
              <w:spacing w:after="0" w:line="159" w:lineRule="exact"/>
              <w:rPr>
                <w:sz w:val="20"/>
                <w:szCs w:val="20"/>
                <w:color w:val="auto"/>
              </w:rPr>
            </w:pPr>
            <w:r>
              <w:rPr>
                <w:rFonts w:ascii="Arial" w:cs="Arial" w:eastAsia="Arial" w:hAnsi="Arial"/>
                <w:sz w:val="14"/>
                <w:szCs w:val="14"/>
                <w:color w:val="auto"/>
              </w:rPr>
              <w:t>1,081,427</w:t>
            </w:r>
          </w:p>
        </w:tc>
        <w:tc>
          <w:tcPr>
            <w:tcW w:w="120" w:type="dxa"/>
            <w:vAlign w:val="bottom"/>
            <w:shd w:val="clear" w:color="auto" w:fill="FAFAFA"/>
          </w:tcPr>
          <w:p>
            <w:pPr>
              <w:spacing w:after="0"/>
              <w:rPr>
                <w:sz w:val="13"/>
                <w:szCs w:val="13"/>
                <w:color w:val="auto"/>
              </w:rPr>
            </w:pPr>
          </w:p>
        </w:tc>
        <w:tc>
          <w:tcPr>
            <w:tcW w:w="860" w:type="dxa"/>
            <w:vAlign w:val="bottom"/>
            <w:shd w:val="clear" w:color="auto" w:fill="FAFAFA"/>
          </w:tcPr>
          <w:p>
            <w:pPr>
              <w:jc w:val="right"/>
              <w:spacing w:after="0" w:line="159" w:lineRule="exact"/>
              <w:rPr>
                <w:sz w:val="20"/>
                <w:szCs w:val="20"/>
                <w:color w:val="auto"/>
              </w:rPr>
            </w:pPr>
            <w:r>
              <w:rPr>
                <w:rFonts w:ascii="Arial" w:cs="Arial" w:eastAsia="Arial" w:hAnsi="Arial"/>
                <w:sz w:val="14"/>
                <w:szCs w:val="14"/>
                <w:color w:val="auto"/>
              </w:rPr>
              <w:t>720,951</w:t>
            </w:r>
          </w:p>
        </w:tc>
        <w:tc>
          <w:tcPr>
            <w:tcW w:w="120" w:type="dxa"/>
            <w:vAlign w:val="bottom"/>
            <w:shd w:val="clear" w:color="auto" w:fill="FAFAFA"/>
          </w:tcPr>
          <w:p>
            <w:pPr>
              <w:spacing w:after="0"/>
              <w:rPr>
                <w:sz w:val="13"/>
                <w:szCs w:val="13"/>
                <w:color w:val="auto"/>
              </w:rPr>
            </w:pPr>
          </w:p>
        </w:tc>
        <w:tc>
          <w:tcPr>
            <w:tcW w:w="960" w:type="dxa"/>
            <w:vAlign w:val="bottom"/>
            <w:shd w:val="clear" w:color="auto" w:fill="FAFAFA"/>
          </w:tcPr>
          <w:p>
            <w:pPr>
              <w:jc w:val="right"/>
              <w:ind w:right="67"/>
              <w:spacing w:after="0" w:line="159" w:lineRule="exact"/>
              <w:rPr>
                <w:sz w:val="20"/>
                <w:szCs w:val="20"/>
                <w:color w:val="auto"/>
              </w:rPr>
            </w:pPr>
            <w:r>
              <w:rPr>
                <w:rFonts w:ascii="Arial" w:cs="Arial" w:eastAsia="Arial" w:hAnsi="Arial"/>
                <w:sz w:val="14"/>
                <w:szCs w:val="14"/>
                <w:color w:val="auto"/>
              </w:rPr>
              <w:t>540,713</w:t>
            </w:r>
          </w:p>
        </w:tc>
        <w:tc>
          <w:tcPr>
            <w:tcW w:w="0" w:type="dxa"/>
            <w:vAlign w:val="bottom"/>
          </w:tcPr>
          <w:p>
            <w:pPr>
              <w:spacing w:after="0"/>
              <w:rPr>
                <w:sz w:val="1"/>
                <w:szCs w:val="1"/>
                <w:color w:val="auto"/>
              </w:rPr>
            </w:pPr>
          </w:p>
        </w:tc>
      </w:tr>
      <w:tr>
        <w:trPr>
          <w:trHeight w:val="269"/>
        </w:trPr>
        <w:tc>
          <w:tcPr>
            <w:tcW w:w="140" w:type="dxa"/>
            <w:vAlign w:val="bottom"/>
            <w:shd w:val="clear" w:color="auto" w:fill="FAFAFA"/>
          </w:tcPr>
          <w:p>
            <w:pPr>
              <w:spacing w:after="0"/>
              <w:rPr>
                <w:sz w:val="23"/>
                <w:szCs w:val="23"/>
                <w:color w:val="auto"/>
              </w:rPr>
            </w:pPr>
          </w:p>
        </w:tc>
        <w:tc>
          <w:tcPr>
            <w:tcW w:w="3140" w:type="dxa"/>
            <w:vAlign w:val="bottom"/>
            <w:gridSpan w:val="2"/>
            <w:shd w:val="clear" w:color="auto" w:fill="FAFAFA"/>
          </w:tcPr>
          <w:p>
            <w:pPr>
              <w:ind w:left="100"/>
              <w:spacing w:after="0"/>
              <w:rPr>
                <w:sz w:val="20"/>
                <w:szCs w:val="20"/>
                <w:color w:val="auto"/>
              </w:rPr>
            </w:pPr>
            <w:r>
              <w:rPr>
                <w:rFonts w:ascii="Arial" w:cs="Arial" w:eastAsia="Arial" w:hAnsi="Arial"/>
                <w:sz w:val="14"/>
                <w:szCs w:val="14"/>
                <w:color w:val="auto"/>
              </w:rPr>
              <w:t>equity incentive plan awards</w:t>
            </w:r>
            <w:r>
              <w:rPr>
                <w:rFonts w:ascii="Arial" w:cs="Arial" w:eastAsia="Arial" w:hAnsi="Arial"/>
                <w:sz w:val="23"/>
                <w:szCs w:val="23"/>
                <w:color w:val="auto"/>
                <w:vertAlign w:val="superscript"/>
              </w:rPr>
              <w:t>(1)</w:t>
            </w:r>
          </w:p>
        </w:tc>
        <w:tc>
          <w:tcPr>
            <w:tcW w:w="1120" w:type="dxa"/>
            <w:vAlign w:val="bottom"/>
            <w:shd w:val="clear" w:color="auto" w:fill="FAFAFA"/>
          </w:tcPr>
          <w:p>
            <w:pPr>
              <w:spacing w:after="0"/>
              <w:rPr>
                <w:sz w:val="23"/>
                <w:szCs w:val="23"/>
                <w:color w:val="auto"/>
              </w:rPr>
            </w:pPr>
          </w:p>
        </w:tc>
        <w:tc>
          <w:tcPr>
            <w:tcW w:w="880" w:type="dxa"/>
            <w:vAlign w:val="bottom"/>
            <w:shd w:val="clear" w:color="auto" w:fill="FAFAFA"/>
          </w:tcPr>
          <w:p>
            <w:pPr>
              <w:spacing w:after="0"/>
              <w:rPr>
                <w:sz w:val="23"/>
                <w:szCs w:val="23"/>
                <w:color w:val="auto"/>
              </w:rPr>
            </w:pPr>
          </w:p>
        </w:tc>
        <w:tc>
          <w:tcPr>
            <w:tcW w:w="120" w:type="dxa"/>
            <w:vAlign w:val="bottom"/>
            <w:shd w:val="clear" w:color="auto" w:fill="FAFAFA"/>
          </w:tcPr>
          <w:p>
            <w:pPr>
              <w:spacing w:after="0"/>
              <w:rPr>
                <w:sz w:val="23"/>
                <w:szCs w:val="23"/>
                <w:color w:val="auto"/>
              </w:rPr>
            </w:pPr>
          </w:p>
        </w:tc>
        <w:tc>
          <w:tcPr>
            <w:tcW w:w="900" w:type="dxa"/>
            <w:vAlign w:val="bottom"/>
            <w:shd w:val="clear" w:color="auto" w:fill="FAFAFA"/>
          </w:tcPr>
          <w:p>
            <w:pPr>
              <w:spacing w:after="0"/>
              <w:rPr>
                <w:sz w:val="23"/>
                <w:szCs w:val="23"/>
                <w:color w:val="auto"/>
              </w:rPr>
            </w:pPr>
          </w:p>
        </w:tc>
        <w:tc>
          <w:tcPr>
            <w:tcW w:w="200" w:type="dxa"/>
            <w:vAlign w:val="bottom"/>
            <w:shd w:val="clear" w:color="auto" w:fill="FAFAFA"/>
          </w:tcPr>
          <w:p>
            <w:pPr>
              <w:spacing w:after="0"/>
              <w:rPr>
                <w:sz w:val="23"/>
                <w:szCs w:val="23"/>
                <w:color w:val="auto"/>
              </w:rPr>
            </w:pPr>
          </w:p>
        </w:tc>
        <w:tc>
          <w:tcPr>
            <w:tcW w:w="840" w:type="dxa"/>
            <w:vAlign w:val="bottom"/>
            <w:shd w:val="clear" w:color="auto" w:fill="FAFAFA"/>
          </w:tcPr>
          <w:p>
            <w:pPr>
              <w:spacing w:after="0"/>
              <w:rPr>
                <w:sz w:val="23"/>
                <w:szCs w:val="23"/>
                <w:color w:val="auto"/>
              </w:rPr>
            </w:pPr>
          </w:p>
        </w:tc>
        <w:tc>
          <w:tcPr>
            <w:tcW w:w="120" w:type="dxa"/>
            <w:vAlign w:val="bottom"/>
            <w:shd w:val="clear" w:color="auto" w:fill="FAFAFA"/>
          </w:tcPr>
          <w:p>
            <w:pPr>
              <w:spacing w:after="0"/>
              <w:rPr>
                <w:sz w:val="23"/>
                <w:szCs w:val="23"/>
                <w:color w:val="auto"/>
              </w:rPr>
            </w:pPr>
          </w:p>
        </w:tc>
        <w:tc>
          <w:tcPr>
            <w:tcW w:w="860" w:type="dxa"/>
            <w:vAlign w:val="bottom"/>
            <w:shd w:val="clear" w:color="auto" w:fill="FAFAFA"/>
          </w:tcPr>
          <w:p>
            <w:pPr>
              <w:spacing w:after="0"/>
              <w:rPr>
                <w:sz w:val="23"/>
                <w:szCs w:val="23"/>
                <w:color w:val="auto"/>
              </w:rPr>
            </w:pPr>
          </w:p>
        </w:tc>
        <w:tc>
          <w:tcPr>
            <w:tcW w:w="120" w:type="dxa"/>
            <w:vAlign w:val="bottom"/>
            <w:shd w:val="clear" w:color="auto" w:fill="FAFAFA"/>
          </w:tcPr>
          <w:p>
            <w:pPr>
              <w:spacing w:after="0"/>
              <w:rPr>
                <w:sz w:val="23"/>
                <w:szCs w:val="23"/>
                <w:color w:val="auto"/>
              </w:rPr>
            </w:pPr>
          </w:p>
        </w:tc>
        <w:tc>
          <w:tcPr>
            <w:tcW w:w="960" w:type="dxa"/>
            <w:vAlign w:val="bottom"/>
            <w:shd w:val="clear" w:color="auto" w:fill="FAFAFA"/>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40" w:type="dxa"/>
            <w:vAlign w:val="bottom"/>
            <w:shd w:val="clear" w:color="auto" w:fill="EBEBEB"/>
          </w:tcPr>
          <w:p>
            <w:pPr>
              <w:spacing w:after="0"/>
              <w:rPr>
                <w:sz w:val="17"/>
                <w:szCs w:val="17"/>
                <w:color w:val="auto"/>
              </w:rPr>
            </w:pPr>
          </w:p>
        </w:tc>
        <w:tc>
          <w:tcPr>
            <w:tcW w:w="560" w:type="dxa"/>
            <w:vAlign w:val="bottom"/>
            <w:shd w:val="clear" w:color="auto" w:fill="EBEBEB"/>
          </w:tcPr>
          <w:p>
            <w:pPr>
              <w:ind w:left="100"/>
              <w:spacing w:after="0"/>
              <w:rPr>
                <w:sz w:val="20"/>
                <w:szCs w:val="20"/>
                <w:color w:val="auto"/>
              </w:rPr>
            </w:pPr>
            <w:r>
              <w:rPr>
                <w:rFonts w:ascii="Arial" w:cs="Arial" w:eastAsia="Arial" w:hAnsi="Arial"/>
                <w:sz w:val="14"/>
                <w:szCs w:val="14"/>
                <w:color w:val="auto"/>
                <w:w w:val="99"/>
              </w:rPr>
              <w:t>Shares​</w:t>
            </w:r>
          </w:p>
        </w:tc>
        <w:tc>
          <w:tcPr>
            <w:tcW w:w="2580" w:type="dxa"/>
            <w:vAlign w:val="bottom"/>
            <w:shd w:val="clear" w:color="auto" w:fill="EBEBEB"/>
          </w:tcPr>
          <w:p>
            <w:pPr>
              <w:ind w:left="20"/>
              <w:spacing w:after="0"/>
              <w:rPr>
                <w:sz w:val="20"/>
                <w:szCs w:val="20"/>
                <w:color w:val="auto"/>
              </w:rPr>
            </w:pPr>
            <w:r>
              <w:rPr>
                <w:rFonts w:ascii="Arial" w:cs="Arial" w:eastAsia="Arial" w:hAnsi="Arial"/>
                <w:sz w:val="14"/>
                <w:szCs w:val="14"/>
                <w:color w:val="auto"/>
              </w:rPr>
              <w:t>of common stock reserved for future</w:t>
            </w:r>
          </w:p>
        </w:tc>
        <w:tc>
          <w:tcPr>
            <w:tcW w:w="1120" w:type="dxa"/>
            <w:vAlign w:val="bottom"/>
            <w:vMerge w:val="restart"/>
            <w:shd w:val="clear" w:color="auto" w:fill="EBEBEB"/>
          </w:tcPr>
          <w:p>
            <w:pPr>
              <w:ind w:left="106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5,116,480</w:t>
            </w:r>
          </w:p>
        </w:tc>
        <w:tc>
          <w:tcPr>
            <w:tcW w:w="120" w:type="dxa"/>
            <w:vAlign w:val="bottom"/>
            <w:shd w:val="clear" w:color="auto" w:fill="EBEBEB"/>
          </w:tcPr>
          <w:p>
            <w:pPr>
              <w:spacing w:after="0"/>
              <w:rPr>
                <w:sz w:val="17"/>
                <w:szCs w:val="17"/>
                <w:color w:val="auto"/>
              </w:rPr>
            </w:pPr>
          </w:p>
        </w:tc>
        <w:tc>
          <w:tcPr>
            <w:tcW w:w="90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1,023,296</w:t>
            </w:r>
          </w:p>
        </w:tc>
        <w:tc>
          <w:tcPr>
            <w:tcW w:w="200" w:type="dxa"/>
            <w:vAlign w:val="bottom"/>
            <w:shd w:val="clear" w:color="auto" w:fill="EBEBEB"/>
          </w:tcPr>
          <w:p>
            <w:pPr>
              <w:spacing w:after="0"/>
              <w:rPr>
                <w:sz w:val="17"/>
                <w:szCs w:val="17"/>
                <w:color w:val="auto"/>
              </w:rPr>
            </w:pPr>
          </w:p>
        </w:tc>
        <w:tc>
          <w:tcPr>
            <w:tcW w:w="84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511,648</w:t>
            </w:r>
          </w:p>
        </w:tc>
        <w:tc>
          <w:tcPr>
            <w:tcW w:w="120" w:type="dxa"/>
            <w:vAlign w:val="bottom"/>
            <w:shd w:val="clear" w:color="auto" w:fill="EBEBEB"/>
          </w:tcPr>
          <w:p>
            <w:pPr>
              <w:spacing w:after="0"/>
              <w:rPr>
                <w:sz w:val="17"/>
                <w:szCs w:val="17"/>
                <w:color w:val="auto"/>
              </w:rPr>
            </w:pPr>
          </w:p>
        </w:tc>
        <w:tc>
          <w:tcPr>
            <w:tcW w:w="86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341,098</w:t>
            </w:r>
          </w:p>
        </w:tc>
        <w:tc>
          <w:tcPr>
            <w:tcW w:w="120" w:type="dxa"/>
            <w:vAlign w:val="bottom"/>
            <w:shd w:val="clear" w:color="auto" w:fill="EBEBEB"/>
          </w:tcPr>
          <w:p>
            <w:pPr>
              <w:spacing w:after="0"/>
              <w:rPr>
                <w:sz w:val="17"/>
                <w:szCs w:val="17"/>
                <w:color w:val="auto"/>
              </w:rPr>
            </w:pPr>
          </w:p>
        </w:tc>
        <w:tc>
          <w:tcPr>
            <w:tcW w:w="960" w:type="dxa"/>
            <w:vAlign w:val="bottom"/>
            <w:vMerge w:val="restart"/>
            <w:shd w:val="clear" w:color="auto" w:fill="EBEBEB"/>
          </w:tcPr>
          <w:p>
            <w:pPr>
              <w:jc w:val="right"/>
              <w:ind w:right="67"/>
              <w:spacing w:after="0"/>
              <w:rPr>
                <w:sz w:val="20"/>
                <w:szCs w:val="20"/>
                <w:color w:val="auto"/>
              </w:rPr>
            </w:pPr>
            <w:r>
              <w:rPr>
                <w:rFonts w:ascii="Arial" w:cs="Arial" w:eastAsia="Arial" w:hAnsi="Arial"/>
                <w:sz w:val="14"/>
                <w:szCs w:val="14"/>
                <w:color w:val="auto"/>
              </w:rPr>
              <w:t>255,824</w:t>
            </w:r>
          </w:p>
        </w:tc>
        <w:tc>
          <w:tcPr>
            <w:tcW w:w="0" w:type="dxa"/>
            <w:vAlign w:val="bottom"/>
          </w:tcPr>
          <w:p>
            <w:pPr>
              <w:spacing w:after="0"/>
              <w:rPr>
                <w:sz w:val="1"/>
                <w:szCs w:val="1"/>
                <w:color w:val="auto"/>
              </w:rPr>
            </w:pPr>
          </w:p>
        </w:tc>
      </w:tr>
      <w:tr>
        <w:trPr>
          <w:trHeight w:val="109"/>
        </w:trPr>
        <w:tc>
          <w:tcPr>
            <w:tcW w:w="140" w:type="dxa"/>
            <w:vAlign w:val="bottom"/>
            <w:shd w:val="clear" w:color="auto" w:fill="EBEBEB"/>
          </w:tcPr>
          <w:p>
            <w:pPr>
              <w:spacing w:after="0"/>
              <w:rPr>
                <w:sz w:val="9"/>
                <w:szCs w:val="9"/>
                <w:color w:val="auto"/>
              </w:rPr>
            </w:pPr>
          </w:p>
        </w:tc>
        <w:tc>
          <w:tcPr>
            <w:tcW w:w="3140" w:type="dxa"/>
            <w:vAlign w:val="bottom"/>
            <w:gridSpan w:val="2"/>
            <w:vMerge w:val="restart"/>
            <w:shd w:val="clear" w:color="auto" w:fill="EBEBEB"/>
          </w:tcPr>
          <w:p>
            <w:pPr>
              <w:ind w:left="100"/>
              <w:spacing w:after="0"/>
              <w:rPr>
                <w:sz w:val="20"/>
                <w:szCs w:val="20"/>
                <w:color w:val="auto"/>
              </w:rPr>
            </w:pPr>
            <w:r>
              <w:rPr>
                <w:rFonts w:ascii="Arial" w:cs="Arial" w:eastAsia="Arial" w:hAnsi="Arial"/>
                <w:sz w:val="14"/>
                <w:szCs w:val="14"/>
                <w:color w:val="auto"/>
              </w:rPr>
              <w:t>awards under our equity incentive plans</w:t>
            </w:r>
          </w:p>
        </w:tc>
        <w:tc>
          <w:tcPr>
            <w:tcW w:w="1120" w:type="dxa"/>
            <w:vAlign w:val="bottom"/>
            <w:vMerge w:val="continue"/>
            <w:shd w:val="clear" w:color="auto" w:fill="EBEBEB"/>
          </w:tcPr>
          <w:p>
            <w:pPr>
              <w:spacing w:after="0"/>
              <w:rPr>
                <w:sz w:val="9"/>
                <w:szCs w:val="9"/>
                <w:color w:val="auto"/>
              </w:rPr>
            </w:pPr>
          </w:p>
        </w:tc>
        <w:tc>
          <w:tcPr>
            <w:tcW w:w="880" w:type="dxa"/>
            <w:vAlign w:val="bottom"/>
            <w:vMerge w:val="continue"/>
            <w:shd w:val="clear" w:color="auto" w:fill="EBEBEB"/>
          </w:tcPr>
          <w:p>
            <w:pPr>
              <w:spacing w:after="0"/>
              <w:rPr>
                <w:sz w:val="9"/>
                <w:szCs w:val="9"/>
                <w:color w:val="auto"/>
              </w:rPr>
            </w:pPr>
          </w:p>
        </w:tc>
        <w:tc>
          <w:tcPr>
            <w:tcW w:w="120" w:type="dxa"/>
            <w:vAlign w:val="bottom"/>
            <w:shd w:val="clear" w:color="auto" w:fill="EBEBEB"/>
          </w:tcPr>
          <w:p>
            <w:pPr>
              <w:spacing w:after="0"/>
              <w:rPr>
                <w:sz w:val="9"/>
                <w:szCs w:val="9"/>
                <w:color w:val="auto"/>
              </w:rPr>
            </w:pPr>
          </w:p>
        </w:tc>
        <w:tc>
          <w:tcPr>
            <w:tcW w:w="900" w:type="dxa"/>
            <w:vAlign w:val="bottom"/>
            <w:vMerge w:val="continue"/>
            <w:shd w:val="clear" w:color="auto" w:fill="EBEBEB"/>
          </w:tcPr>
          <w:p>
            <w:pPr>
              <w:spacing w:after="0"/>
              <w:rPr>
                <w:sz w:val="9"/>
                <w:szCs w:val="9"/>
                <w:color w:val="auto"/>
              </w:rPr>
            </w:pPr>
          </w:p>
        </w:tc>
        <w:tc>
          <w:tcPr>
            <w:tcW w:w="200" w:type="dxa"/>
            <w:vAlign w:val="bottom"/>
            <w:shd w:val="clear" w:color="auto" w:fill="EBEBEB"/>
          </w:tcPr>
          <w:p>
            <w:pPr>
              <w:spacing w:after="0"/>
              <w:rPr>
                <w:sz w:val="9"/>
                <w:szCs w:val="9"/>
                <w:color w:val="auto"/>
              </w:rPr>
            </w:pPr>
          </w:p>
        </w:tc>
        <w:tc>
          <w:tcPr>
            <w:tcW w:w="840" w:type="dxa"/>
            <w:vAlign w:val="bottom"/>
            <w:vMerge w:val="continue"/>
            <w:shd w:val="clear" w:color="auto" w:fill="EBEBEB"/>
          </w:tcPr>
          <w:p>
            <w:pPr>
              <w:spacing w:after="0"/>
              <w:rPr>
                <w:sz w:val="9"/>
                <w:szCs w:val="9"/>
                <w:color w:val="auto"/>
              </w:rPr>
            </w:pPr>
          </w:p>
        </w:tc>
        <w:tc>
          <w:tcPr>
            <w:tcW w:w="120" w:type="dxa"/>
            <w:vAlign w:val="bottom"/>
            <w:shd w:val="clear" w:color="auto" w:fill="EBEBEB"/>
          </w:tcPr>
          <w:p>
            <w:pPr>
              <w:spacing w:after="0"/>
              <w:rPr>
                <w:sz w:val="9"/>
                <w:szCs w:val="9"/>
                <w:color w:val="auto"/>
              </w:rPr>
            </w:pPr>
          </w:p>
        </w:tc>
        <w:tc>
          <w:tcPr>
            <w:tcW w:w="860" w:type="dxa"/>
            <w:vAlign w:val="bottom"/>
            <w:vMerge w:val="continue"/>
            <w:shd w:val="clear" w:color="auto" w:fill="EBEBEB"/>
          </w:tcPr>
          <w:p>
            <w:pPr>
              <w:spacing w:after="0"/>
              <w:rPr>
                <w:sz w:val="9"/>
                <w:szCs w:val="9"/>
                <w:color w:val="auto"/>
              </w:rPr>
            </w:pPr>
          </w:p>
        </w:tc>
        <w:tc>
          <w:tcPr>
            <w:tcW w:w="120" w:type="dxa"/>
            <w:vAlign w:val="bottom"/>
            <w:shd w:val="clear" w:color="auto" w:fill="EBEBEB"/>
          </w:tcPr>
          <w:p>
            <w:pPr>
              <w:spacing w:after="0"/>
              <w:rPr>
                <w:sz w:val="9"/>
                <w:szCs w:val="9"/>
                <w:color w:val="auto"/>
              </w:rPr>
            </w:pPr>
          </w:p>
        </w:tc>
        <w:tc>
          <w:tcPr>
            <w:tcW w:w="960" w:type="dxa"/>
            <w:vAlign w:val="bottom"/>
            <w:vMerge w:val="continue"/>
            <w:shd w:val="clear" w:color="auto" w:fill="EBEBEB"/>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40" w:type="dxa"/>
            <w:vAlign w:val="bottom"/>
            <w:tcBorders>
              <w:bottom w:val="single" w:sz="8" w:color="EBEBEB"/>
            </w:tcBorders>
            <w:shd w:val="clear" w:color="auto" w:fill="EBEBEB"/>
          </w:tcPr>
          <w:p>
            <w:pPr>
              <w:spacing w:after="0"/>
              <w:rPr>
                <w:sz w:val="9"/>
                <w:szCs w:val="9"/>
                <w:color w:val="auto"/>
              </w:rPr>
            </w:pPr>
          </w:p>
        </w:tc>
        <w:tc>
          <w:tcPr>
            <w:tcW w:w="3140" w:type="dxa"/>
            <w:vAlign w:val="bottom"/>
            <w:tcBorders>
              <w:bottom w:val="single" w:sz="8" w:color="EBEBEB"/>
            </w:tcBorders>
            <w:gridSpan w:val="2"/>
            <w:vMerge w:val="continue"/>
            <w:shd w:val="clear" w:color="auto" w:fill="EBEBEB"/>
          </w:tcPr>
          <w:p>
            <w:pPr>
              <w:spacing w:after="0"/>
              <w:rPr>
                <w:sz w:val="9"/>
                <w:szCs w:val="9"/>
                <w:color w:val="auto"/>
              </w:rPr>
            </w:pPr>
          </w:p>
        </w:tc>
        <w:tc>
          <w:tcPr>
            <w:tcW w:w="1120" w:type="dxa"/>
            <w:vAlign w:val="bottom"/>
            <w:tcBorders>
              <w:bottom w:val="single" w:sz="8" w:color="EBEBEB"/>
            </w:tcBorders>
            <w:shd w:val="clear" w:color="auto" w:fill="EBEBEB"/>
          </w:tcPr>
          <w:p>
            <w:pPr>
              <w:spacing w:after="0"/>
              <w:rPr>
                <w:sz w:val="9"/>
                <w:szCs w:val="9"/>
                <w:color w:val="auto"/>
              </w:rPr>
            </w:pPr>
          </w:p>
        </w:tc>
        <w:tc>
          <w:tcPr>
            <w:tcW w:w="880" w:type="dxa"/>
            <w:vAlign w:val="bottom"/>
            <w:tcBorders>
              <w:bottom w:val="single" w:sz="8" w:color="EBEBEB"/>
            </w:tcBorders>
            <w:shd w:val="clear" w:color="auto" w:fill="EBEBEB"/>
          </w:tcPr>
          <w:p>
            <w:pPr>
              <w:spacing w:after="0"/>
              <w:rPr>
                <w:sz w:val="9"/>
                <w:szCs w:val="9"/>
                <w:color w:val="auto"/>
              </w:rPr>
            </w:pPr>
          </w:p>
        </w:tc>
        <w:tc>
          <w:tcPr>
            <w:tcW w:w="120" w:type="dxa"/>
            <w:vAlign w:val="bottom"/>
            <w:tcBorders>
              <w:bottom w:val="single" w:sz="8" w:color="EBEBEB"/>
            </w:tcBorders>
            <w:shd w:val="clear" w:color="auto" w:fill="EBEBEB"/>
          </w:tcPr>
          <w:p>
            <w:pPr>
              <w:spacing w:after="0"/>
              <w:rPr>
                <w:sz w:val="9"/>
                <w:szCs w:val="9"/>
                <w:color w:val="auto"/>
              </w:rPr>
            </w:pPr>
          </w:p>
        </w:tc>
        <w:tc>
          <w:tcPr>
            <w:tcW w:w="900" w:type="dxa"/>
            <w:vAlign w:val="bottom"/>
            <w:tcBorders>
              <w:bottom w:val="single" w:sz="8" w:color="EBEBEB"/>
            </w:tcBorders>
            <w:shd w:val="clear" w:color="auto" w:fill="EBEBEB"/>
          </w:tcPr>
          <w:p>
            <w:pPr>
              <w:spacing w:after="0"/>
              <w:rPr>
                <w:sz w:val="9"/>
                <w:szCs w:val="9"/>
                <w:color w:val="auto"/>
              </w:rPr>
            </w:pPr>
          </w:p>
        </w:tc>
        <w:tc>
          <w:tcPr>
            <w:tcW w:w="200" w:type="dxa"/>
            <w:vAlign w:val="bottom"/>
            <w:tcBorders>
              <w:bottom w:val="single" w:sz="8" w:color="EBEBEB"/>
            </w:tcBorders>
            <w:shd w:val="clear" w:color="auto" w:fill="EBEBEB"/>
          </w:tcPr>
          <w:p>
            <w:pPr>
              <w:spacing w:after="0"/>
              <w:rPr>
                <w:sz w:val="9"/>
                <w:szCs w:val="9"/>
                <w:color w:val="auto"/>
              </w:rPr>
            </w:pPr>
          </w:p>
        </w:tc>
        <w:tc>
          <w:tcPr>
            <w:tcW w:w="840" w:type="dxa"/>
            <w:vAlign w:val="bottom"/>
            <w:tcBorders>
              <w:bottom w:val="single" w:sz="8" w:color="EBEBEB"/>
            </w:tcBorders>
            <w:shd w:val="clear" w:color="auto" w:fill="EBEBEB"/>
          </w:tcPr>
          <w:p>
            <w:pPr>
              <w:spacing w:after="0"/>
              <w:rPr>
                <w:sz w:val="9"/>
                <w:szCs w:val="9"/>
                <w:color w:val="auto"/>
              </w:rPr>
            </w:pPr>
          </w:p>
        </w:tc>
        <w:tc>
          <w:tcPr>
            <w:tcW w:w="120" w:type="dxa"/>
            <w:vAlign w:val="bottom"/>
            <w:tcBorders>
              <w:bottom w:val="single" w:sz="8" w:color="EBEBEB"/>
            </w:tcBorders>
            <w:shd w:val="clear" w:color="auto" w:fill="EBEBEB"/>
          </w:tcPr>
          <w:p>
            <w:pPr>
              <w:spacing w:after="0"/>
              <w:rPr>
                <w:sz w:val="9"/>
                <w:szCs w:val="9"/>
                <w:color w:val="auto"/>
              </w:rPr>
            </w:pPr>
          </w:p>
        </w:tc>
        <w:tc>
          <w:tcPr>
            <w:tcW w:w="860" w:type="dxa"/>
            <w:vAlign w:val="bottom"/>
            <w:tcBorders>
              <w:bottom w:val="single" w:sz="8" w:color="EBEBEB"/>
            </w:tcBorders>
            <w:shd w:val="clear" w:color="auto" w:fill="EBEBEB"/>
          </w:tcPr>
          <w:p>
            <w:pPr>
              <w:spacing w:after="0"/>
              <w:rPr>
                <w:sz w:val="9"/>
                <w:szCs w:val="9"/>
                <w:color w:val="auto"/>
              </w:rPr>
            </w:pPr>
          </w:p>
        </w:tc>
        <w:tc>
          <w:tcPr>
            <w:tcW w:w="120" w:type="dxa"/>
            <w:vAlign w:val="bottom"/>
            <w:tcBorders>
              <w:bottom w:val="single" w:sz="8" w:color="EBEBEB"/>
            </w:tcBorders>
            <w:shd w:val="clear" w:color="auto" w:fill="EBEBEB"/>
          </w:tcPr>
          <w:p>
            <w:pPr>
              <w:spacing w:after="0"/>
              <w:rPr>
                <w:sz w:val="9"/>
                <w:szCs w:val="9"/>
                <w:color w:val="auto"/>
              </w:rPr>
            </w:pPr>
          </w:p>
        </w:tc>
        <w:tc>
          <w:tcPr>
            <w:tcW w:w="960" w:type="dxa"/>
            <w:vAlign w:val="bottom"/>
            <w:tcBorders>
              <w:bottom w:val="single" w:sz="8" w:color="EBEBEB"/>
            </w:tcBorders>
            <w:shd w:val="clear" w:color="auto" w:fill="EBEBEB"/>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140" w:type="dxa"/>
            <w:vAlign w:val="bottom"/>
            <w:shd w:val="clear" w:color="auto" w:fill="FAFAFA"/>
          </w:tcPr>
          <w:p>
            <w:pPr>
              <w:spacing w:after="0"/>
              <w:rPr>
                <w:sz w:val="17"/>
                <w:szCs w:val="17"/>
                <w:color w:val="auto"/>
              </w:rPr>
            </w:pPr>
          </w:p>
        </w:tc>
        <w:tc>
          <w:tcPr>
            <w:tcW w:w="3140" w:type="dxa"/>
            <w:vAlign w:val="bottom"/>
            <w:gridSpan w:val="2"/>
            <w:shd w:val="clear" w:color="auto" w:fill="FAFAFA"/>
          </w:tcPr>
          <w:p>
            <w:pPr>
              <w:ind w:left="100"/>
              <w:spacing w:after="0"/>
              <w:rPr>
                <w:sz w:val="20"/>
                <w:szCs w:val="20"/>
                <w:color w:val="auto"/>
              </w:rPr>
            </w:pPr>
            <w:r>
              <w:rPr>
                <w:rFonts w:ascii="Arial" w:cs="Arial" w:eastAsia="Arial" w:hAnsi="Arial"/>
                <w:sz w:val="14"/>
                <w:szCs w:val="14"/>
                <w:color w:val="auto"/>
              </w:rPr>
              <w:t>Fully diluted shares of common stock (issued</w:t>
            </w:r>
          </w:p>
        </w:tc>
        <w:tc>
          <w:tcPr>
            <w:tcW w:w="1120" w:type="dxa"/>
            <w:vAlign w:val="bottom"/>
            <w:vMerge w:val="restart"/>
            <w:shd w:val="clear" w:color="auto" w:fill="FAFAFA"/>
          </w:tcPr>
          <w:p>
            <w:pPr>
              <w:ind w:left="106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FAFAFA"/>
          </w:tcPr>
          <w:p>
            <w:pPr>
              <w:jc w:val="right"/>
              <w:spacing w:after="0"/>
              <w:rPr>
                <w:sz w:val="20"/>
                <w:szCs w:val="20"/>
                <w:color w:val="auto"/>
              </w:rPr>
            </w:pPr>
            <w:r>
              <w:rPr>
                <w:rFonts w:ascii="Arial" w:cs="Arial" w:eastAsia="Arial" w:hAnsi="Arial"/>
                <w:sz w:val="14"/>
                <w:szCs w:val="14"/>
                <w:color w:val="auto"/>
              </w:rPr>
              <w:t>54,973,197</w:t>
            </w:r>
          </w:p>
        </w:tc>
        <w:tc>
          <w:tcPr>
            <w:tcW w:w="120" w:type="dxa"/>
            <w:vAlign w:val="bottom"/>
            <w:shd w:val="clear" w:color="auto" w:fill="FAFAFA"/>
          </w:tcPr>
          <w:p>
            <w:pPr>
              <w:spacing w:after="0"/>
              <w:rPr>
                <w:sz w:val="17"/>
                <w:szCs w:val="17"/>
                <w:color w:val="auto"/>
              </w:rPr>
            </w:pPr>
          </w:p>
        </w:tc>
        <w:tc>
          <w:tcPr>
            <w:tcW w:w="900" w:type="dxa"/>
            <w:vAlign w:val="bottom"/>
            <w:vMerge w:val="restart"/>
            <w:shd w:val="clear" w:color="auto" w:fill="FAFAFA"/>
          </w:tcPr>
          <w:p>
            <w:pPr>
              <w:jc w:val="right"/>
              <w:spacing w:after="0"/>
              <w:rPr>
                <w:sz w:val="20"/>
                <w:szCs w:val="20"/>
                <w:color w:val="auto"/>
              </w:rPr>
            </w:pPr>
            <w:r>
              <w:rPr>
                <w:rFonts w:ascii="Arial" w:cs="Arial" w:eastAsia="Arial" w:hAnsi="Arial"/>
                <w:sz w:val="14"/>
                <w:szCs w:val="14"/>
                <w:color w:val="auto"/>
              </w:rPr>
              <w:t>​ 10,994,639</w:t>
            </w:r>
          </w:p>
        </w:tc>
        <w:tc>
          <w:tcPr>
            <w:tcW w:w="200" w:type="dxa"/>
            <w:vAlign w:val="bottom"/>
            <w:vMerge w:val="restart"/>
            <w:shd w:val="clear" w:color="auto" w:fill="FAFAFA"/>
          </w:tcPr>
          <w:p>
            <w:pPr>
              <w:ind w:left="16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FAFAFA"/>
          </w:tcPr>
          <w:p>
            <w:pPr>
              <w:jc w:val="right"/>
              <w:ind w:right="7"/>
              <w:spacing w:after="0"/>
              <w:rPr>
                <w:sz w:val="20"/>
                <w:szCs w:val="20"/>
                <w:color w:val="auto"/>
              </w:rPr>
            </w:pPr>
            <w:r>
              <w:rPr>
                <w:rFonts w:ascii="Arial" w:cs="Arial" w:eastAsia="Arial" w:hAnsi="Arial"/>
                <w:sz w:val="14"/>
                <w:szCs w:val="14"/>
                <w:color w:val="auto"/>
              </w:rPr>
              <w:t>5,497,319</w:t>
            </w:r>
          </w:p>
        </w:tc>
        <w:tc>
          <w:tcPr>
            <w:tcW w:w="120" w:type="dxa"/>
            <w:vAlign w:val="bottom"/>
            <w:shd w:val="clear" w:color="auto" w:fill="FAFAFA"/>
          </w:tcPr>
          <w:p>
            <w:pPr>
              <w:spacing w:after="0"/>
              <w:rPr>
                <w:sz w:val="17"/>
                <w:szCs w:val="17"/>
                <w:color w:val="auto"/>
              </w:rPr>
            </w:pPr>
          </w:p>
        </w:tc>
        <w:tc>
          <w:tcPr>
            <w:tcW w:w="860" w:type="dxa"/>
            <w:vAlign w:val="bottom"/>
            <w:vMerge w:val="restart"/>
            <w:shd w:val="clear" w:color="auto" w:fill="FAFAFA"/>
          </w:tcPr>
          <w:p>
            <w:pPr>
              <w:jc w:val="right"/>
              <w:spacing w:after="0"/>
              <w:rPr>
                <w:sz w:val="20"/>
                <w:szCs w:val="20"/>
                <w:color w:val="auto"/>
              </w:rPr>
            </w:pPr>
            <w:r>
              <w:rPr>
                <w:rFonts w:ascii="Arial" w:cs="Arial" w:eastAsia="Arial" w:hAnsi="Arial"/>
                <w:sz w:val="14"/>
                <w:szCs w:val="14"/>
                <w:color w:val="auto"/>
              </w:rPr>
              <w:t>​ 3,664,878</w:t>
            </w:r>
          </w:p>
        </w:tc>
        <w:tc>
          <w:tcPr>
            <w:tcW w:w="120" w:type="dxa"/>
            <w:vAlign w:val="bottom"/>
            <w:shd w:val="clear" w:color="auto" w:fill="FAFAFA"/>
          </w:tcPr>
          <w:p>
            <w:pPr>
              <w:spacing w:after="0"/>
              <w:rPr>
                <w:sz w:val="17"/>
                <w:szCs w:val="17"/>
                <w:color w:val="auto"/>
              </w:rPr>
            </w:pPr>
          </w:p>
        </w:tc>
        <w:tc>
          <w:tcPr>
            <w:tcW w:w="960" w:type="dxa"/>
            <w:vAlign w:val="bottom"/>
            <w:vMerge w:val="restart"/>
            <w:shd w:val="clear" w:color="auto" w:fill="FAFAFA"/>
          </w:tcPr>
          <w:p>
            <w:pPr>
              <w:jc w:val="right"/>
              <w:ind w:right="67"/>
              <w:spacing w:after="0"/>
              <w:rPr>
                <w:sz w:val="20"/>
                <w:szCs w:val="20"/>
                <w:color w:val="auto"/>
              </w:rPr>
            </w:pPr>
            <w:r>
              <w:rPr>
                <w:rFonts w:ascii="Arial" w:cs="Arial" w:eastAsia="Arial" w:hAnsi="Arial"/>
                <w:sz w:val="14"/>
                <w:szCs w:val="14"/>
                <w:color w:val="auto"/>
              </w:rPr>
              <w:t>​ 2,748,659</w:t>
            </w:r>
          </w:p>
        </w:tc>
        <w:tc>
          <w:tcPr>
            <w:tcW w:w="0" w:type="dxa"/>
            <w:vAlign w:val="bottom"/>
          </w:tcPr>
          <w:p>
            <w:pPr>
              <w:spacing w:after="0"/>
              <w:rPr>
                <w:sz w:val="1"/>
                <w:szCs w:val="1"/>
                <w:color w:val="auto"/>
              </w:rPr>
            </w:pPr>
          </w:p>
        </w:tc>
      </w:tr>
      <w:tr>
        <w:trPr>
          <w:trHeight w:val="126"/>
        </w:trPr>
        <w:tc>
          <w:tcPr>
            <w:tcW w:w="140" w:type="dxa"/>
            <w:vAlign w:val="bottom"/>
            <w:shd w:val="clear" w:color="auto" w:fill="FAFAFA"/>
          </w:tcPr>
          <w:p>
            <w:pPr>
              <w:spacing w:after="0"/>
              <w:rPr>
                <w:sz w:val="10"/>
                <w:szCs w:val="10"/>
                <w:color w:val="auto"/>
              </w:rPr>
            </w:pPr>
          </w:p>
        </w:tc>
        <w:tc>
          <w:tcPr>
            <w:tcW w:w="3140" w:type="dxa"/>
            <w:vAlign w:val="bottom"/>
            <w:gridSpan w:val="2"/>
            <w:vMerge w:val="restart"/>
            <w:shd w:val="clear" w:color="auto" w:fill="FAFAFA"/>
          </w:tcPr>
          <w:p>
            <w:pPr>
              <w:ind w:left="100"/>
              <w:spacing w:after="0"/>
              <w:rPr>
                <w:sz w:val="20"/>
                <w:szCs w:val="20"/>
                <w:color w:val="auto"/>
              </w:rPr>
            </w:pPr>
            <w:r>
              <w:rPr>
                <w:rFonts w:ascii="Arial" w:cs="Arial" w:eastAsia="Arial" w:hAnsi="Arial"/>
                <w:sz w:val="14"/>
                <w:szCs w:val="14"/>
                <w:color w:val="auto"/>
              </w:rPr>
              <w:t>and reserved for issuance)</w:t>
            </w:r>
            <w:r>
              <w:rPr>
                <w:rFonts w:ascii="Arial" w:cs="Arial" w:eastAsia="Arial" w:hAnsi="Arial"/>
                <w:sz w:val="23"/>
                <w:szCs w:val="23"/>
                <w:color w:val="auto"/>
                <w:vertAlign w:val="superscript"/>
              </w:rPr>
              <w:t>(1)</w:t>
            </w:r>
          </w:p>
        </w:tc>
        <w:tc>
          <w:tcPr>
            <w:tcW w:w="1120" w:type="dxa"/>
            <w:vAlign w:val="bottom"/>
            <w:vMerge w:val="continue"/>
            <w:shd w:val="clear" w:color="auto" w:fill="FAFAFA"/>
          </w:tcPr>
          <w:p>
            <w:pPr>
              <w:spacing w:after="0"/>
              <w:rPr>
                <w:sz w:val="10"/>
                <w:szCs w:val="10"/>
                <w:color w:val="auto"/>
              </w:rPr>
            </w:pPr>
          </w:p>
        </w:tc>
        <w:tc>
          <w:tcPr>
            <w:tcW w:w="880" w:type="dxa"/>
            <w:vAlign w:val="bottom"/>
            <w:vMerge w:val="continue"/>
            <w:shd w:val="clear" w:color="auto" w:fill="FAFAFA"/>
          </w:tcPr>
          <w:p>
            <w:pPr>
              <w:spacing w:after="0"/>
              <w:rPr>
                <w:sz w:val="10"/>
                <w:szCs w:val="10"/>
                <w:color w:val="auto"/>
              </w:rPr>
            </w:pPr>
          </w:p>
        </w:tc>
        <w:tc>
          <w:tcPr>
            <w:tcW w:w="120" w:type="dxa"/>
            <w:vAlign w:val="bottom"/>
            <w:shd w:val="clear" w:color="auto" w:fill="FAFAFA"/>
          </w:tcPr>
          <w:p>
            <w:pPr>
              <w:spacing w:after="0"/>
              <w:rPr>
                <w:sz w:val="10"/>
                <w:szCs w:val="10"/>
                <w:color w:val="auto"/>
              </w:rPr>
            </w:pPr>
          </w:p>
        </w:tc>
        <w:tc>
          <w:tcPr>
            <w:tcW w:w="900" w:type="dxa"/>
            <w:vAlign w:val="bottom"/>
            <w:vMerge w:val="continue"/>
            <w:shd w:val="clear" w:color="auto" w:fill="FAFAFA"/>
          </w:tcPr>
          <w:p>
            <w:pPr>
              <w:spacing w:after="0"/>
              <w:rPr>
                <w:sz w:val="10"/>
                <w:szCs w:val="10"/>
                <w:color w:val="auto"/>
              </w:rPr>
            </w:pPr>
          </w:p>
        </w:tc>
        <w:tc>
          <w:tcPr>
            <w:tcW w:w="200" w:type="dxa"/>
            <w:vAlign w:val="bottom"/>
            <w:vMerge w:val="continue"/>
            <w:shd w:val="clear" w:color="auto" w:fill="FAFAFA"/>
          </w:tcPr>
          <w:p>
            <w:pPr>
              <w:spacing w:after="0"/>
              <w:rPr>
                <w:sz w:val="10"/>
                <w:szCs w:val="10"/>
                <w:color w:val="auto"/>
              </w:rPr>
            </w:pPr>
          </w:p>
        </w:tc>
        <w:tc>
          <w:tcPr>
            <w:tcW w:w="840" w:type="dxa"/>
            <w:vAlign w:val="bottom"/>
            <w:vMerge w:val="continue"/>
            <w:shd w:val="clear" w:color="auto" w:fill="FAFAFA"/>
          </w:tcPr>
          <w:p>
            <w:pPr>
              <w:spacing w:after="0"/>
              <w:rPr>
                <w:sz w:val="10"/>
                <w:szCs w:val="10"/>
                <w:color w:val="auto"/>
              </w:rPr>
            </w:pPr>
          </w:p>
        </w:tc>
        <w:tc>
          <w:tcPr>
            <w:tcW w:w="120" w:type="dxa"/>
            <w:vAlign w:val="bottom"/>
            <w:shd w:val="clear" w:color="auto" w:fill="FAFAFA"/>
          </w:tcPr>
          <w:p>
            <w:pPr>
              <w:spacing w:after="0"/>
              <w:rPr>
                <w:sz w:val="10"/>
                <w:szCs w:val="10"/>
                <w:color w:val="auto"/>
              </w:rPr>
            </w:pPr>
          </w:p>
        </w:tc>
        <w:tc>
          <w:tcPr>
            <w:tcW w:w="860" w:type="dxa"/>
            <w:vAlign w:val="bottom"/>
            <w:vMerge w:val="continue"/>
            <w:shd w:val="clear" w:color="auto" w:fill="FAFAFA"/>
          </w:tcPr>
          <w:p>
            <w:pPr>
              <w:spacing w:after="0"/>
              <w:rPr>
                <w:sz w:val="10"/>
                <w:szCs w:val="10"/>
                <w:color w:val="auto"/>
              </w:rPr>
            </w:pPr>
          </w:p>
        </w:tc>
        <w:tc>
          <w:tcPr>
            <w:tcW w:w="120" w:type="dxa"/>
            <w:vAlign w:val="bottom"/>
            <w:shd w:val="clear" w:color="auto" w:fill="FAFAFA"/>
          </w:tcPr>
          <w:p>
            <w:pPr>
              <w:spacing w:after="0"/>
              <w:rPr>
                <w:sz w:val="10"/>
                <w:szCs w:val="10"/>
                <w:color w:val="auto"/>
              </w:rPr>
            </w:pPr>
          </w:p>
        </w:tc>
        <w:tc>
          <w:tcPr>
            <w:tcW w:w="960" w:type="dxa"/>
            <w:vAlign w:val="bottom"/>
            <w:vMerge w:val="continue"/>
            <w:shd w:val="clear" w:color="auto" w:fill="FAFAFA"/>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40" w:type="dxa"/>
            <w:vAlign w:val="bottom"/>
            <w:shd w:val="clear" w:color="auto" w:fill="FAFAFA"/>
          </w:tcPr>
          <w:p>
            <w:pPr>
              <w:spacing w:after="0"/>
              <w:rPr>
                <w:sz w:val="12"/>
                <w:szCs w:val="12"/>
                <w:color w:val="auto"/>
              </w:rPr>
            </w:pPr>
          </w:p>
        </w:tc>
        <w:tc>
          <w:tcPr>
            <w:tcW w:w="3140" w:type="dxa"/>
            <w:vAlign w:val="bottom"/>
            <w:gridSpan w:val="2"/>
            <w:vMerge w:val="continue"/>
            <w:shd w:val="clear" w:color="auto" w:fill="FAFAFA"/>
          </w:tcPr>
          <w:p>
            <w:pPr>
              <w:spacing w:after="0"/>
              <w:rPr>
                <w:sz w:val="12"/>
                <w:szCs w:val="12"/>
                <w:color w:val="auto"/>
              </w:rPr>
            </w:pPr>
          </w:p>
        </w:tc>
        <w:tc>
          <w:tcPr>
            <w:tcW w:w="1120" w:type="dxa"/>
            <w:vAlign w:val="bottom"/>
            <w:shd w:val="clear" w:color="auto" w:fill="FAFAFA"/>
          </w:tcPr>
          <w:p>
            <w:pPr>
              <w:spacing w:after="0"/>
              <w:rPr>
                <w:sz w:val="12"/>
                <w:szCs w:val="12"/>
                <w:color w:val="auto"/>
              </w:rPr>
            </w:pPr>
          </w:p>
        </w:tc>
        <w:tc>
          <w:tcPr>
            <w:tcW w:w="880" w:type="dxa"/>
            <w:vAlign w:val="bottom"/>
            <w:shd w:val="clear" w:color="auto" w:fill="FAFAFA"/>
          </w:tcPr>
          <w:p>
            <w:pPr>
              <w:spacing w:after="0"/>
              <w:rPr>
                <w:sz w:val="12"/>
                <w:szCs w:val="12"/>
                <w:color w:val="auto"/>
              </w:rPr>
            </w:pPr>
          </w:p>
        </w:tc>
        <w:tc>
          <w:tcPr>
            <w:tcW w:w="120" w:type="dxa"/>
            <w:vAlign w:val="bottom"/>
            <w:shd w:val="clear" w:color="auto" w:fill="FAFAFA"/>
          </w:tcPr>
          <w:p>
            <w:pPr>
              <w:spacing w:after="0"/>
              <w:rPr>
                <w:sz w:val="12"/>
                <w:szCs w:val="12"/>
                <w:color w:val="auto"/>
              </w:rPr>
            </w:pPr>
          </w:p>
        </w:tc>
        <w:tc>
          <w:tcPr>
            <w:tcW w:w="900" w:type="dxa"/>
            <w:vAlign w:val="bottom"/>
            <w:shd w:val="clear" w:color="auto" w:fill="FAFAFA"/>
          </w:tcPr>
          <w:p>
            <w:pPr>
              <w:spacing w:after="0"/>
              <w:rPr>
                <w:sz w:val="12"/>
                <w:szCs w:val="12"/>
                <w:color w:val="auto"/>
              </w:rPr>
            </w:pPr>
          </w:p>
        </w:tc>
        <w:tc>
          <w:tcPr>
            <w:tcW w:w="200" w:type="dxa"/>
            <w:vAlign w:val="bottom"/>
            <w:shd w:val="clear" w:color="auto" w:fill="FAFAFA"/>
          </w:tcPr>
          <w:p>
            <w:pPr>
              <w:spacing w:after="0"/>
              <w:rPr>
                <w:sz w:val="12"/>
                <w:szCs w:val="12"/>
                <w:color w:val="auto"/>
              </w:rPr>
            </w:pPr>
          </w:p>
        </w:tc>
        <w:tc>
          <w:tcPr>
            <w:tcW w:w="840" w:type="dxa"/>
            <w:vAlign w:val="bottom"/>
            <w:shd w:val="clear" w:color="auto" w:fill="FAFAFA"/>
          </w:tcPr>
          <w:p>
            <w:pPr>
              <w:spacing w:after="0"/>
              <w:rPr>
                <w:sz w:val="12"/>
                <w:szCs w:val="12"/>
                <w:color w:val="auto"/>
              </w:rPr>
            </w:pPr>
          </w:p>
        </w:tc>
        <w:tc>
          <w:tcPr>
            <w:tcW w:w="120" w:type="dxa"/>
            <w:vAlign w:val="bottom"/>
            <w:shd w:val="clear" w:color="auto" w:fill="FAFAFA"/>
          </w:tcPr>
          <w:p>
            <w:pPr>
              <w:spacing w:after="0"/>
              <w:rPr>
                <w:sz w:val="12"/>
                <w:szCs w:val="12"/>
                <w:color w:val="auto"/>
              </w:rPr>
            </w:pPr>
          </w:p>
        </w:tc>
        <w:tc>
          <w:tcPr>
            <w:tcW w:w="860" w:type="dxa"/>
            <w:vAlign w:val="bottom"/>
            <w:shd w:val="clear" w:color="auto" w:fill="FAFAFA"/>
          </w:tcPr>
          <w:p>
            <w:pPr>
              <w:spacing w:after="0"/>
              <w:rPr>
                <w:sz w:val="12"/>
                <w:szCs w:val="12"/>
                <w:color w:val="auto"/>
              </w:rPr>
            </w:pPr>
          </w:p>
        </w:tc>
        <w:tc>
          <w:tcPr>
            <w:tcW w:w="120" w:type="dxa"/>
            <w:vAlign w:val="bottom"/>
            <w:shd w:val="clear" w:color="auto" w:fill="FAFAFA"/>
          </w:tcPr>
          <w:p>
            <w:pPr>
              <w:spacing w:after="0"/>
              <w:rPr>
                <w:sz w:val="12"/>
                <w:szCs w:val="12"/>
                <w:color w:val="auto"/>
              </w:rPr>
            </w:pPr>
          </w:p>
        </w:tc>
        <w:tc>
          <w:tcPr>
            <w:tcW w:w="960" w:type="dxa"/>
            <w:vAlign w:val="bottom"/>
            <w:shd w:val="clear" w:color="auto" w:fill="FAFAFA"/>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40" w:type="dxa"/>
            <w:vAlign w:val="bottom"/>
            <w:shd w:val="clear" w:color="auto" w:fill="EBEBEB"/>
          </w:tcPr>
          <w:p>
            <w:pPr>
              <w:spacing w:after="0"/>
              <w:rPr>
                <w:sz w:val="17"/>
                <w:szCs w:val="17"/>
                <w:color w:val="auto"/>
              </w:rPr>
            </w:pPr>
          </w:p>
        </w:tc>
        <w:tc>
          <w:tcPr>
            <w:tcW w:w="3140" w:type="dxa"/>
            <w:vAlign w:val="bottom"/>
            <w:gridSpan w:val="2"/>
            <w:shd w:val="clear" w:color="auto" w:fill="EBEBEB"/>
          </w:tcPr>
          <w:p>
            <w:pPr>
              <w:ind w:left="100"/>
              <w:spacing w:after="0"/>
              <w:rPr>
                <w:sz w:val="20"/>
                <w:szCs w:val="20"/>
                <w:color w:val="auto"/>
              </w:rPr>
            </w:pPr>
            <w:r>
              <w:rPr>
                <w:rFonts w:ascii="Arial" w:cs="Arial" w:eastAsia="Arial" w:hAnsi="Arial"/>
                <w:sz w:val="14"/>
                <w:szCs w:val="14"/>
                <w:color w:val="auto"/>
              </w:rPr>
              <w:t>Shares of common stock authorized but not</w:t>
            </w:r>
          </w:p>
        </w:tc>
        <w:tc>
          <w:tcPr>
            <w:tcW w:w="1120" w:type="dxa"/>
            <w:vAlign w:val="bottom"/>
            <w:shd w:val="clear" w:color="auto" w:fill="EBEBEB"/>
          </w:tcPr>
          <w:p>
            <w:pPr>
              <w:spacing w:after="0"/>
              <w:rPr>
                <w:sz w:val="17"/>
                <w:szCs w:val="17"/>
                <w:color w:val="auto"/>
              </w:rPr>
            </w:pPr>
          </w:p>
        </w:tc>
        <w:tc>
          <w:tcPr>
            <w:tcW w:w="88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​845,026,803</w:t>
            </w:r>
          </w:p>
        </w:tc>
        <w:tc>
          <w:tcPr>
            <w:tcW w:w="120" w:type="dxa"/>
            <w:vAlign w:val="bottom"/>
            <w:shd w:val="clear" w:color="auto" w:fill="EBEBEB"/>
          </w:tcPr>
          <w:p>
            <w:pPr>
              <w:spacing w:after="0"/>
              <w:rPr>
                <w:sz w:val="17"/>
                <w:szCs w:val="17"/>
                <w:color w:val="auto"/>
              </w:rPr>
            </w:pPr>
          </w:p>
        </w:tc>
        <w:tc>
          <w:tcPr>
            <w:tcW w:w="90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​169,005,361</w:t>
            </w:r>
          </w:p>
        </w:tc>
        <w:tc>
          <w:tcPr>
            <w:tcW w:w="200" w:type="dxa"/>
            <w:vAlign w:val="bottom"/>
            <w:shd w:val="clear" w:color="auto" w:fill="EBEBEB"/>
          </w:tcPr>
          <w:p>
            <w:pPr>
              <w:spacing w:after="0"/>
              <w:rPr>
                <w:sz w:val="17"/>
                <w:szCs w:val="17"/>
                <w:color w:val="auto"/>
              </w:rPr>
            </w:pPr>
          </w:p>
        </w:tc>
        <w:tc>
          <w:tcPr>
            <w:tcW w:w="84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​84,502,681</w:t>
            </w:r>
          </w:p>
        </w:tc>
        <w:tc>
          <w:tcPr>
            <w:tcW w:w="120" w:type="dxa"/>
            <w:vAlign w:val="bottom"/>
            <w:shd w:val="clear" w:color="auto" w:fill="EBEBEB"/>
          </w:tcPr>
          <w:p>
            <w:pPr>
              <w:spacing w:after="0"/>
              <w:rPr>
                <w:sz w:val="17"/>
                <w:szCs w:val="17"/>
                <w:color w:val="auto"/>
              </w:rPr>
            </w:pPr>
          </w:p>
        </w:tc>
        <w:tc>
          <w:tcPr>
            <w:tcW w:w="86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​56,335,122</w:t>
            </w:r>
          </w:p>
        </w:tc>
        <w:tc>
          <w:tcPr>
            <w:tcW w:w="120" w:type="dxa"/>
            <w:vAlign w:val="bottom"/>
            <w:shd w:val="clear" w:color="auto" w:fill="EBEBEB"/>
          </w:tcPr>
          <w:p>
            <w:pPr>
              <w:spacing w:after="0"/>
              <w:rPr>
                <w:sz w:val="17"/>
                <w:szCs w:val="17"/>
                <w:color w:val="auto"/>
              </w:rPr>
            </w:pPr>
          </w:p>
        </w:tc>
        <w:tc>
          <w:tcPr>
            <w:tcW w:w="960" w:type="dxa"/>
            <w:vAlign w:val="bottom"/>
            <w:vMerge w:val="restart"/>
            <w:shd w:val="clear" w:color="auto" w:fill="EBEBEB"/>
          </w:tcPr>
          <w:p>
            <w:pPr>
              <w:jc w:val="right"/>
              <w:ind w:right="67"/>
              <w:spacing w:after="0"/>
              <w:rPr>
                <w:sz w:val="20"/>
                <w:szCs w:val="20"/>
                <w:color w:val="auto"/>
              </w:rPr>
            </w:pPr>
            <w:r>
              <w:rPr>
                <w:rFonts w:ascii="Arial" w:cs="Arial" w:eastAsia="Arial" w:hAnsi="Arial"/>
                <w:sz w:val="14"/>
                <w:szCs w:val="14"/>
                <w:color w:val="auto"/>
              </w:rPr>
              <w:t>​ 42,251,341</w:t>
            </w:r>
          </w:p>
        </w:tc>
        <w:tc>
          <w:tcPr>
            <w:tcW w:w="0" w:type="dxa"/>
            <w:vAlign w:val="bottom"/>
          </w:tcPr>
          <w:p>
            <w:pPr>
              <w:spacing w:after="0"/>
              <w:rPr>
                <w:sz w:val="1"/>
                <w:szCs w:val="1"/>
                <w:color w:val="auto"/>
              </w:rPr>
            </w:pPr>
          </w:p>
        </w:tc>
      </w:tr>
      <w:tr>
        <w:trPr>
          <w:trHeight w:val="109"/>
        </w:trPr>
        <w:tc>
          <w:tcPr>
            <w:tcW w:w="140" w:type="dxa"/>
            <w:vAlign w:val="bottom"/>
            <w:shd w:val="clear" w:color="auto" w:fill="EBEBEB"/>
          </w:tcPr>
          <w:p>
            <w:pPr>
              <w:spacing w:after="0"/>
              <w:rPr>
                <w:sz w:val="9"/>
                <w:szCs w:val="9"/>
                <w:color w:val="auto"/>
              </w:rPr>
            </w:pPr>
          </w:p>
        </w:tc>
        <w:tc>
          <w:tcPr>
            <w:tcW w:w="3140" w:type="dxa"/>
            <w:vAlign w:val="bottom"/>
            <w:gridSpan w:val="2"/>
            <w:vMerge w:val="restart"/>
            <w:shd w:val="clear" w:color="auto" w:fill="EBEBEB"/>
          </w:tcPr>
          <w:p>
            <w:pPr>
              <w:ind w:left="100"/>
              <w:spacing w:after="0"/>
              <w:rPr>
                <w:sz w:val="20"/>
                <w:szCs w:val="20"/>
                <w:color w:val="auto"/>
              </w:rPr>
            </w:pPr>
            <w:r>
              <w:rPr>
                <w:rFonts w:ascii="Arial" w:cs="Arial" w:eastAsia="Arial" w:hAnsi="Arial"/>
                <w:sz w:val="14"/>
                <w:szCs w:val="14"/>
                <w:color w:val="auto"/>
              </w:rPr>
              <w:t>issued or reserved for issuance</w:t>
            </w:r>
          </w:p>
        </w:tc>
        <w:tc>
          <w:tcPr>
            <w:tcW w:w="1120" w:type="dxa"/>
            <w:vAlign w:val="bottom"/>
            <w:shd w:val="clear" w:color="auto" w:fill="EBEBEB"/>
          </w:tcPr>
          <w:p>
            <w:pPr>
              <w:spacing w:after="0"/>
              <w:rPr>
                <w:sz w:val="9"/>
                <w:szCs w:val="9"/>
                <w:color w:val="auto"/>
              </w:rPr>
            </w:pPr>
          </w:p>
        </w:tc>
        <w:tc>
          <w:tcPr>
            <w:tcW w:w="880" w:type="dxa"/>
            <w:vAlign w:val="bottom"/>
            <w:vMerge w:val="continue"/>
            <w:shd w:val="clear" w:color="auto" w:fill="EBEBEB"/>
          </w:tcPr>
          <w:p>
            <w:pPr>
              <w:spacing w:after="0"/>
              <w:rPr>
                <w:sz w:val="9"/>
                <w:szCs w:val="9"/>
                <w:color w:val="auto"/>
              </w:rPr>
            </w:pPr>
          </w:p>
        </w:tc>
        <w:tc>
          <w:tcPr>
            <w:tcW w:w="120" w:type="dxa"/>
            <w:vAlign w:val="bottom"/>
            <w:shd w:val="clear" w:color="auto" w:fill="EBEBEB"/>
          </w:tcPr>
          <w:p>
            <w:pPr>
              <w:spacing w:after="0"/>
              <w:rPr>
                <w:sz w:val="9"/>
                <w:szCs w:val="9"/>
                <w:color w:val="auto"/>
              </w:rPr>
            </w:pPr>
          </w:p>
        </w:tc>
        <w:tc>
          <w:tcPr>
            <w:tcW w:w="900" w:type="dxa"/>
            <w:vAlign w:val="bottom"/>
            <w:vMerge w:val="continue"/>
            <w:shd w:val="clear" w:color="auto" w:fill="EBEBEB"/>
          </w:tcPr>
          <w:p>
            <w:pPr>
              <w:spacing w:after="0"/>
              <w:rPr>
                <w:sz w:val="9"/>
                <w:szCs w:val="9"/>
                <w:color w:val="auto"/>
              </w:rPr>
            </w:pPr>
          </w:p>
        </w:tc>
        <w:tc>
          <w:tcPr>
            <w:tcW w:w="200" w:type="dxa"/>
            <w:vAlign w:val="bottom"/>
            <w:shd w:val="clear" w:color="auto" w:fill="EBEBEB"/>
          </w:tcPr>
          <w:p>
            <w:pPr>
              <w:spacing w:after="0"/>
              <w:rPr>
                <w:sz w:val="9"/>
                <w:szCs w:val="9"/>
                <w:color w:val="auto"/>
              </w:rPr>
            </w:pPr>
          </w:p>
        </w:tc>
        <w:tc>
          <w:tcPr>
            <w:tcW w:w="840" w:type="dxa"/>
            <w:vAlign w:val="bottom"/>
            <w:vMerge w:val="continue"/>
            <w:shd w:val="clear" w:color="auto" w:fill="EBEBEB"/>
          </w:tcPr>
          <w:p>
            <w:pPr>
              <w:spacing w:after="0"/>
              <w:rPr>
                <w:sz w:val="9"/>
                <w:szCs w:val="9"/>
                <w:color w:val="auto"/>
              </w:rPr>
            </w:pPr>
          </w:p>
        </w:tc>
        <w:tc>
          <w:tcPr>
            <w:tcW w:w="120" w:type="dxa"/>
            <w:vAlign w:val="bottom"/>
            <w:shd w:val="clear" w:color="auto" w:fill="EBEBEB"/>
          </w:tcPr>
          <w:p>
            <w:pPr>
              <w:spacing w:after="0"/>
              <w:rPr>
                <w:sz w:val="9"/>
                <w:szCs w:val="9"/>
                <w:color w:val="auto"/>
              </w:rPr>
            </w:pPr>
          </w:p>
        </w:tc>
        <w:tc>
          <w:tcPr>
            <w:tcW w:w="860" w:type="dxa"/>
            <w:vAlign w:val="bottom"/>
            <w:vMerge w:val="continue"/>
            <w:shd w:val="clear" w:color="auto" w:fill="EBEBEB"/>
          </w:tcPr>
          <w:p>
            <w:pPr>
              <w:spacing w:after="0"/>
              <w:rPr>
                <w:sz w:val="9"/>
                <w:szCs w:val="9"/>
                <w:color w:val="auto"/>
              </w:rPr>
            </w:pPr>
          </w:p>
        </w:tc>
        <w:tc>
          <w:tcPr>
            <w:tcW w:w="120" w:type="dxa"/>
            <w:vAlign w:val="bottom"/>
            <w:shd w:val="clear" w:color="auto" w:fill="EBEBEB"/>
          </w:tcPr>
          <w:p>
            <w:pPr>
              <w:spacing w:after="0"/>
              <w:rPr>
                <w:sz w:val="9"/>
                <w:szCs w:val="9"/>
                <w:color w:val="auto"/>
              </w:rPr>
            </w:pPr>
          </w:p>
        </w:tc>
        <w:tc>
          <w:tcPr>
            <w:tcW w:w="960" w:type="dxa"/>
            <w:vAlign w:val="bottom"/>
            <w:vMerge w:val="continue"/>
            <w:shd w:val="clear" w:color="auto" w:fill="EBEBEB"/>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40" w:type="dxa"/>
            <w:vAlign w:val="bottom"/>
            <w:tcBorders>
              <w:bottom w:val="single" w:sz="8" w:color="EBEBEB"/>
            </w:tcBorders>
            <w:shd w:val="clear" w:color="auto" w:fill="EBEBEB"/>
          </w:tcPr>
          <w:p>
            <w:pPr>
              <w:spacing w:after="0"/>
              <w:rPr>
                <w:sz w:val="9"/>
                <w:szCs w:val="9"/>
                <w:color w:val="auto"/>
              </w:rPr>
            </w:pPr>
          </w:p>
        </w:tc>
        <w:tc>
          <w:tcPr>
            <w:tcW w:w="3140" w:type="dxa"/>
            <w:vAlign w:val="bottom"/>
            <w:tcBorders>
              <w:bottom w:val="single" w:sz="8" w:color="EBEBEB"/>
            </w:tcBorders>
            <w:gridSpan w:val="2"/>
            <w:vMerge w:val="continue"/>
            <w:shd w:val="clear" w:color="auto" w:fill="EBEBEB"/>
          </w:tcPr>
          <w:p>
            <w:pPr>
              <w:spacing w:after="0"/>
              <w:rPr>
                <w:sz w:val="9"/>
                <w:szCs w:val="9"/>
                <w:color w:val="auto"/>
              </w:rPr>
            </w:pPr>
          </w:p>
        </w:tc>
        <w:tc>
          <w:tcPr>
            <w:tcW w:w="1120" w:type="dxa"/>
            <w:vAlign w:val="bottom"/>
            <w:tcBorders>
              <w:bottom w:val="single" w:sz="8" w:color="EBEBEB"/>
            </w:tcBorders>
            <w:shd w:val="clear" w:color="auto" w:fill="EBEBEB"/>
          </w:tcPr>
          <w:p>
            <w:pPr>
              <w:spacing w:after="0"/>
              <w:rPr>
                <w:sz w:val="9"/>
                <w:szCs w:val="9"/>
                <w:color w:val="auto"/>
              </w:rPr>
            </w:pPr>
          </w:p>
        </w:tc>
        <w:tc>
          <w:tcPr>
            <w:tcW w:w="880" w:type="dxa"/>
            <w:vAlign w:val="bottom"/>
            <w:tcBorders>
              <w:bottom w:val="single" w:sz="8" w:color="EBEBEB"/>
            </w:tcBorders>
            <w:shd w:val="clear" w:color="auto" w:fill="EBEBEB"/>
          </w:tcPr>
          <w:p>
            <w:pPr>
              <w:spacing w:after="0"/>
              <w:rPr>
                <w:sz w:val="9"/>
                <w:szCs w:val="9"/>
                <w:color w:val="auto"/>
              </w:rPr>
            </w:pPr>
          </w:p>
        </w:tc>
        <w:tc>
          <w:tcPr>
            <w:tcW w:w="120" w:type="dxa"/>
            <w:vAlign w:val="bottom"/>
            <w:tcBorders>
              <w:bottom w:val="single" w:sz="8" w:color="EBEBEB"/>
            </w:tcBorders>
            <w:shd w:val="clear" w:color="auto" w:fill="EBEBEB"/>
          </w:tcPr>
          <w:p>
            <w:pPr>
              <w:spacing w:after="0"/>
              <w:rPr>
                <w:sz w:val="9"/>
                <w:szCs w:val="9"/>
                <w:color w:val="auto"/>
              </w:rPr>
            </w:pPr>
          </w:p>
        </w:tc>
        <w:tc>
          <w:tcPr>
            <w:tcW w:w="900" w:type="dxa"/>
            <w:vAlign w:val="bottom"/>
            <w:tcBorders>
              <w:bottom w:val="single" w:sz="8" w:color="EBEBEB"/>
            </w:tcBorders>
            <w:shd w:val="clear" w:color="auto" w:fill="EBEBEB"/>
          </w:tcPr>
          <w:p>
            <w:pPr>
              <w:spacing w:after="0"/>
              <w:rPr>
                <w:sz w:val="9"/>
                <w:szCs w:val="9"/>
                <w:color w:val="auto"/>
              </w:rPr>
            </w:pPr>
          </w:p>
        </w:tc>
        <w:tc>
          <w:tcPr>
            <w:tcW w:w="200" w:type="dxa"/>
            <w:vAlign w:val="bottom"/>
            <w:tcBorders>
              <w:bottom w:val="single" w:sz="8" w:color="EBEBEB"/>
            </w:tcBorders>
            <w:shd w:val="clear" w:color="auto" w:fill="EBEBEB"/>
          </w:tcPr>
          <w:p>
            <w:pPr>
              <w:spacing w:after="0"/>
              <w:rPr>
                <w:sz w:val="9"/>
                <w:szCs w:val="9"/>
                <w:color w:val="auto"/>
              </w:rPr>
            </w:pPr>
          </w:p>
        </w:tc>
        <w:tc>
          <w:tcPr>
            <w:tcW w:w="840" w:type="dxa"/>
            <w:vAlign w:val="bottom"/>
            <w:tcBorders>
              <w:bottom w:val="single" w:sz="8" w:color="EBEBEB"/>
            </w:tcBorders>
            <w:shd w:val="clear" w:color="auto" w:fill="EBEBEB"/>
          </w:tcPr>
          <w:p>
            <w:pPr>
              <w:spacing w:after="0"/>
              <w:rPr>
                <w:sz w:val="9"/>
                <w:szCs w:val="9"/>
                <w:color w:val="auto"/>
              </w:rPr>
            </w:pPr>
          </w:p>
        </w:tc>
        <w:tc>
          <w:tcPr>
            <w:tcW w:w="120" w:type="dxa"/>
            <w:vAlign w:val="bottom"/>
            <w:tcBorders>
              <w:bottom w:val="single" w:sz="8" w:color="EBEBEB"/>
            </w:tcBorders>
            <w:shd w:val="clear" w:color="auto" w:fill="EBEBEB"/>
          </w:tcPr>
          <w:p>
            <w:pPr>
              <w:spacing w:after="0"/>
              <w:rPr>
                <w:sz w:val="9"/>
                <w:szCs w:val="9"/>
                <w:color w:val="auto"/>
              </w:rPr>
            </w:pPr>
          </w:p>
        </w:tc>
        <w:tc>
          <w:tcPr>
            <w:tcW w:w="860" w:type="dxa"/>
            <w:vAlign w:val="bottom"/>
            <w:tcBorders>
              <w:bottom w:val="single" w:sz="8" w:color="EBEBEB"/>
            </w:tcBorders>
            <w:shd w:val="clear" w:color="auto" w:fill="EBEBEB"/>
          </w:tcPr>
          <w:p>
            <w:pPr>
              <w:spacing w:after="0"/>
              <w:rPr>
                <w:sz w:val="9"/>
                <w:szCs w:val="9"/>
                <w:color w:val="auto"/>
              </w:rPr>
            </w:pPr>
          </w:p>
        </w:tc>
        <w:tc>
          <w:tcPr>
            <w:tcW w:w="120" w:type="dxa"/>
            <w:vAlign w:val="bottom"/>
            <w:tcBorders>
              <w:bottom w:val="single" w:sz="8" w:color="EBEBEB"/>
            </w:tcBorders>
            <w:shd w:val="clear" w:color="auto" w:fill="EBEBEB"/>
          </w:tcPr>
          <w:p>
            <w:pPr>
              <w:spacing w:after="0"/>
              <w:rPr>
                <w:sz w:val="9"/>
                <w:szCs w:val="9"/>
                <w:color w:val="auto"/>
              </w:rPr>
            </w:pPr>
          </w:p>
        </w:tc>
        <w:tc>
          <w:tcPr>
            <w:tcW w:w="960" w:type="dxa"/>
            <w:vAlign w:val="bottom"/>
            <w:tcBorders>
              <w:bottom w:val="single" w:sz="8" w:color="EBEBEB"/>
            </w:tcBorders>
            <w:shd w:val="clear" w:color="auto" w:fill="EBEBEB"/>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140" w:type="dxa"/>
            <w:vAlign w:val="bottom"/>
            <w:shd w:val="clear" w:color="auto" w:fill="FAFAFA"/>
          </w:tcPr>
          <w:p>
            <w:pPr>
              <w:spacing w:after="0"/>
              <w:rPr>
                <w:sz w:val="17"/>
                <w:szCs w:val="17"/>
                <w:color w:val="auto"/>
              </w:rPr>
            </w:pPr>
          </w:p>
        </w:tc>
        <w:tc>
          <w:tcPr>
            <w:tcW w:w="3140" w:type="dxa"/>
            <w:vAlign w:val="bottom"/>
            <w:gridSpan w:val="2"/>
            <w:shd w:val="clear" w:color="auto" w:fill="FAFAFA"/>
          </w:tcPr>
          <w:p>
            <w:pPr>
              <w:ind w:left="100"/>
              <w:spacing w:after="0"/>
              <w:rPr>
                <w:sz w:val="20"/>
                <w:szCs w:val="20"/>
                <w:color w:val="auto"/>
              </w:rPr>
            </w:pPr>
            <w:r>
              <w:rPr>
                <w:rFonts w:ascii="Arial" w:cs="Arial" w:eastAsia="Arial" w:hAnsi="Arial"/>
                <w:sz w:val="14"/>
                <w:szCs w:val="14"/>
                <w:color w:val="auto"/>
              </w:rPr>
              <w:t>Percentage of shares of common stock</w:t>
            </w:r>
          </w:p>
        </w:tc>
        <w:tc>
          <w:tcPr>
            <w:tcW w:w="1120" w:type="dxa"/>
            <w:vAlign w:val="bottom"/>
            <w:shd w:val="clear" w:color="auto" w:fill="FAFAFA"/>
          </w:tcPr>
          <w:p>
            <w:pPr>
              <w:spacing w:after="0"/>
              <w:rPr>
                <w:sz w:val="17"/>
                <w:szCs w:val="17"/>
                <w:color w:val="auto"/>
              </w:rPr>
            </w:pPr>
          </w:p>
        </w:tc>
        <w:tc>
          <w:tcPr>
            <w:tcW w:w="880" w:type="dxa"/>
            <w:vAlign w:val="bottom"/>
            <w:shd w:val="clear" w:color="auto" w:fill="FAFAFA"/>
          </w:tcPr>
          <w:p>
            <w:pPr>
              <w:spacing w:after="0"/>
              <w:rPr>
                <w:sz w:val="17"/>
                <w:szCs w:val="17"/>
                <w:color w:val="auto"/>
              </w:rPr>
            </w:pPr>
          </w:p>
        </w:tc>
        <w:tc>
          <w:tcPr>
            <w:tcW w:w="120" w:type="dxa"/>
            <w:vAlign w:val="bottom"/>
            <w:shd w:val="clear" w:color="auto" w:fill="FAFAFA"/>
          </w:tcPr>
          <w:p>
            <w:pPr>
              <w:spacing w:after="0"/>
              <w:rPr>
                <w:sz w:val="17"/>
                <w:szCs w:val="17"/>
                <w:color w:val="auto"/>
              </w:rPr>
            </w:pPr>
          </w:p>
        </w:tc>
        <w:tc>
          <w:tcPr>
            <w:tcW w:w="900" w:type="dxa"/>
            <w:vAlign w:val="bottom"/>
            <w:shd w:val="clear" w:color="auto" w:fill="FAFAFA"/>
          </w:tcPr>
          <w:p>
            <w:pPr>
              <w:spacing w:after="0"/>
              <w:rPr>
                <w:sz w:val="17"/>
                <w:szCs w:val="17"/>
                <w:color w:val="auto"/>
              </w:rPr>
            </w:pPr>
          </w:p>
        </w:tc>
        <w:tc>
          <w:tcPr>
            <w:tcW w:w="200" w:type="dxa"/>
            <w:vAlign w:val="bottom"/>
            <w:shd w:val="clear" w:color="auto" w:fill="FAFAFA"/>
          </w:tcPr>
          <w:p>
            <w:pPr>
              <w:spacing w:after="0"/>
              <w:rPr>
                <w:sz w:val="17"/>
                <w:szCs w:val="17"/>
                <w:color w:val="auto"/>
              </w:rPr>
            </w:pPr>
          </w:p>
        </w:tc>
        <w:tc>
          <w:tcPr>
            <w:tcW w:w="840" w:type="dxa"/>
            <w:vAlign w:val="bottom"/>
            <w:shd w:val="clear" w:color="auto" w:fill="FAFAFA"/>
          </w:tcPr>
          <w:p>
            <w:pPr>
              <w:spacing w:after="0"/>
              <w:rPr>
                <w:sz w:val="17"/>
                <w:szCs w:val="17"/>
                <w:color w:val="auto"/>
              </w:rPr>
            </w:pPr>
          </w:p>
        </w:tc>
        <w:tc>
          <w:tcPr>
            <w:tcW w:w="120" w:type="dxa"/>
            <w:vAlign w:val="bottom"/>
            <w:shd w:val="clear" w:color="auto" w:fill="FAFAFA"/>
          </w:tcPr>
          <w:p>
            <w:pPr>
              <w:spacing w:after="0"/>
              <w:rPr>
                <w:sz w:val="17"/>
                <w:szCs w:val="17"/>
                <w:color w:val="auto"/>
              </w:rPr>
            </w:pPr>
          </w:p>
        </w:tc>
        <w:tc>
          <w:tcPr>
            <w:tcW w:w="860" w:type="dxa"/>
            <w:vAlign w:val="bottom"/>
            <w:shd w:val="clear" w:color="auto" w:fill="FAFAFA"/>
          </w:tcPr>
          <w:p>
            <w:pPr>
              <w:spacing w:after="0"/>
              <w:rPr>
                <w:sz w:val="17"/>
                <w:szCs w:val="17"/>
                <w:color w:val="auto"/>
              </w:rPr>
            </w:pPr>
          </w:p>
        </w:tc>
        <w:tc>
          <w:tcPr>
            <w:tcW w:w="120" w:type="dxa"/>
            <w:vAlign w:val="bottom"/>
            <w:shd w:val="clear" w:color="auto" w:fill="FAFAFA"/>
          </w:tcPr>
          <w:p>
            <w:pPr>
              <w:spacing w:after="0"/>
              <w:rPr>
                <w:sz w:val="17"/>
                <w:szCs w:val="17"/>
                <w:color w:val="auto"/>
              </w:rPr>
            </w:pPr>
          </w:p>
        </w:tc>
        <w:tc>
          <w:tcPr>
            <w:tcW w:w="960" w:type="dxa"/>
            <w:vAlign w:val="bottom"/>
            <w:shd w:val="clear" w:color="auto" w:fill="FAFAFA"/>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FAFAFA"/>
          </w:tcPr>
          <w:p>
            <w:pPr>
              <w:spacing w:after="0"/>
              <w:rPr>
                <w:sz w:val="14"/>
                <w:szCs w:val="14"/>
                <w:color w:val="auto"/>
              </w:rPr>
            </w:pPr>
          </w:p>
        </w:tc>
        <w:tc>
          <w:tcPr>
            <w:tcW w:w="3140" w:type="dxa"/>
            <w:vAlign w:val="bottom"/>
            <w:gridSpan w:val="2"/>
            <w:shd w:val="clear" w:color="auto" w:fill="FAFAFA"/>
          </w:tcPr>
          <w:p>
            <w:pPr>
              <w:ind w:left="100"/>
              <w:spacing w:after="0"/>
              <w:rPr>
                <w:sz w:val="20"/>
                <w:szCs w:val="20"/>
                <w:color w:val="auto"/>
              </w:rPr>
            </w:pPr>
            <w:r>
              <w:rPr>
                <w:rFonts w:ascii="Arial" w:cs="Arial" w:eastAsia="Arial" w:hAnsi="Arial"/>
                <w:sz w:val="14"/>
                <w:szCs w:val="14"/>
                <w:color w:val="auto"/>
              </w:rPr>
              <w:t>authorized but not issued or reserved for</w:t>
            </w:r>
          </w:p>
        </w:tc>
        <w:tc>
          <w:tcPr>
            <w:tcW w:w="1120" w:type="dxa"/>
            <w:vAlign w:val="bottom"/>
            <w:shd w:val="clear" w:color="auto" w:fill="FAFAFA"/>
          </w:tcPr>
          <w:p>
            <w:pPr>
              <w:spacing w:after="0"/>
              <w:rPr>
                <w:sz w:val="14"/>
                <w:szCs w:val="14"/>
                <w:color w:val="auto"/>
              </w:rPr>
            </w:pPr>
          </w:p>
        </w:tc>
        <w:tc>
          <w:tcPr>
            <w:tcW w:w="880" w:type="dxa"/>
            <w:vAlign w:val="bottom"/>
            <w:shd w:val="clear" w:color="auto" w:fill="FAFAFA"/>
          </w:tcPr>
          <w:p>
            <w:pPr>
              <w:jc w:val="right"/>
              <w:spacing w:after="0"/>
              <w:rPr>
                <w:sz w:val="20"/>
                <w:szCs w:val="20"/>
                <w:color w:val="auto"/>
              </w:rPr>
            </w:pPr>
            <w:r>
              <w:rPr>
                <w:rFonts w:ascii="Arial" w:cs="Arial" w:eastAsia="Arial" w:hAnsi="Arial"/>
                <w:sz w:val="14"/>
                <w:szCs w:val="14"/>
                <w:color w:val="auto"/>
              </w:rPr>
              <w:t>93.9%</w:t>
            </w:r>
          </w:p>
        </w:tc>
        <w:tc>
          <w:tcPr>
            <w:tcW w:w="120" w:type="dxa"/>
            <w:vAlign w:val="bottom"/>
            <w:shd w:val="clear" w:color="auto" w:fill="FAFAFA"/>
          </w:tcPr>
          <w:p>
            <w:pPr>
              <w:ind w:lef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FAFAFA"/>
          </w:tcPr>
          <w:p>
            <w:pPr>
              <w:jc w:val="right"/>
              <w:spacing w:after="0"/>
              <w:rPr>
                <w:sz w:val="20"/>
                <w:szCs w:val="20"/>
                <w:color w:val="auto"/>
              </w:rPr>
            </w:pPr>
            <w:r>
              <w:rPr>
                <w:rFonts w:ascii="Arial" w:cs="Arial" w:eastAsia="Arial" w:hAnsi="Arial"/>
                <w:sz w:val="14"/>
                <w:szCs w:val="14"/>
                <w:color w:val="auto"/>
              </w:rPr>
              <w:t>93.9%</w:t>
            </w:r>
          </w:p>
        </w:tc>
        <w:tc>
          <w:tcPr>
            <w:tcW w:w="200" w:type="dxa"/>
            <w:vAlign w:val="bottom"/>
            <w:shd w:val="clear" w:color="auto" w:fill="FAFAFA"/>
          </w:tcPr>
          <w:p>
            <w:pPr>
              <w:ind w:lef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93.9%</w:t>
            </w:r>
          </w:p>
        </w:tc>
        <w:tc>
          <w:tcPr>
            <w:tcW w:w="120" w:type="dxa"/>
            <w:vAlign w:val="bottom"/>
            <w:shd w:val="clear" w:color="auto" w:fill="FAFAFA"/>
          </w:tcPr>
          <w:p>
            <w:pPr>
              <w:ind w:lef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93.9%</w:t>
            </w:r>
          </w:p>
        </w:tc>
        <w:tc>
          <w:tcPr>
            <w:tcW w:w="120" w:type="dxa"/>
            <w:vAlign w:val="bottom"/>
            <w:shd w:val="clear" w:color="auto" w:fill="FAFAFA"/>
          </w:tcPr>
          <w:p>
            <w:pPr>
              <w:ind w:lef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FAFAFA"/>
          </w:tcPr>
          <w:p>
            <w:pPr>
              <w:jc w:val="right"/>
              <w:ind w:right="67"/>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71"/>
        </w:trPr>
        <w:tc>
          <w:tcPr>
            <w:tcW w:w="140" w:type="dxa"/>
            <w:vAlign w:val="bottom"/>
            <w:shd w:val="clear" w:color="auto" w:fill="FAFAFA"/>
          </w:tcPr>
          <w:p>
            <w:pPr>
              <w:spacing w:after="0"/>
              <w:rPr>
                <w:sz w:val="14"/>
                <w:szCs w:val="14"/>
                <w:color w:val="auto"/>
              </w:rPr>
            </w:pPr>
          </w:p>
        </w:tc>
        <w:tc>
          <w:tcPr>
            <w:tcW w:w="3140" w:type="dxa"/>
            <w:vAlign w:val="bottom"/>
            <w:gridSpan w:val="2"/>
            <w:shd w:val="clear" w:color="auto" w:fill="FAFAFA"/>
          </w:tcPr>
          <w:p>
            <w:pPr>
              <w:ind w:left="100"/>
              <w:spacing w:after="0"/>
              <w:rPr>
                <w:sz w:val="20"/>
                <w:szCs w:val="20"/>
                <w:color w:val="auto"/>
              </w:rPr>
            </w:pPr>
            <w:r>
              <w:rPr>
                <w:rFonts w:ascii="Arial" w:cs="Arial" w:eastAsia="Arial" w:hAnsi="Arial"/>
                <w:sz w:val="14"/>
                <w:szCs w:val="14"/>
                <w:color w:val="auto"/>
              </w:rPr>
              <w:t>issuance</w:t>
            </w:r>
          </w:p>
        </w:tc>
        <w:tc>
          <w:tcPr>
            <w:tcW w:w="1120" w:type="dxa"/>
            <w:vAlign w:val="bottom"/>
            <w:shd w:val="clear" w:color="auto" w:fill="FAFAFA"/>
          </w:tcPr>
          <w:p>
            <w:pPr>
              <w:spacing w:after="0"/>
              <w:rPr>
                <w:sz w:val="14"/>
                <w:szCs w:val="14"/>
                <w:color w:val="auto"/>
              </w:rPr>
            </w:pPr>
          </w:p>
        </w:tc>
        <w:tc>
          <w:tcPr>
            <w:tcW w:w="880" w:type="dxa"/>
            <w:vAlign w:val="bottom"/>
            <w:shd w:val="clear" w:color="auto" w:fill="FAFAFA"/>
          </w:tcPr>
          <w:p>
            <w:pPr>
              <w:spacing w:after="0"/>
              <w:rPr>
                <w:sz w:val="14"/>
                <w:szCs w:val="14"/>
                <w:color w:val="auto"/>
              </w:rPr>
            </w:pPr>
          </w:p>
        </w:tc>
        <w:tc>
          <w:tcPr>
            <w:tcW w:w="120" w:type="dxa"/>
            <w:vAlign w:val="bottom"/>
            <w:shd w:val="clear" w:color="auto" w:fill="FAFAFA"/>
          </w:tcPr>
          <w:p>
            <w:pPr>
              <w:spacing w:after="0"/>
              <w:rPr>
                <w:sz w:val="14"/>
                <w:szCs w:val="14"/>
                <w:color w:val="auto"/>
              </w:rPr>
            </w:pPr>
          </w:p>
        </w:tc>
        <w:tc>
          <w:tcPr>
            <w:tcW w:w="900" w:type="dxa"/>
            <w:vAlign w:val="bottom"/>
            <w:shd w:val="clear" w:color="auto" w:fill="FAFAFA"/>
          </w:tcPr>
          <w:p>
            <w:pPr>
              <w:spacing w:after="0"/>
              <w:rPr>
                <w:sz w:val="14"/>
                <w:szCs w:val="14"/>
                <w:color w:val="auto"/>
              </w:rPr>
            </w:pPr>
          </w:p>
        </w:tc>
        <w:tc>
          <w:tcPr>
            <w:tcW w:w="200" w:type="dxa"/>
            <w:vAlign w:val="bottom"/>
            <w:shd w:val="clear" w:color="auto" w:fill="FAFAFA"/>
          </w:tcPr>
          <w:p>
            <w:pPr>
              <w:spacing w:after="0"/>
              <w:rPr>
                <w:sz w:val="14"/>
                <w:szCs w:val="14"/>
                <w:color w:val="auto"/>
              </w:rPr>
            </w:pPr>
          </w:p>
        </w:tc>
        <w:tc>
          <w:tcPr>
            <w:tcW w:w="840" w:type="dxa"/>
            <w:vAlign w:val="bottom"/>
            <w:shd w:val="clear" w:color="auto" w:fill="FAFAFA"/>
          </w:tcPr>
          <w:p>
            <w:pPr>
              <w:spacing w:after="0"/>
              <w:rPr>
                <w:sz w:val="14"/>
                <w:szCs w:val="14"/>
                <w:color w:val="auto"/>
              </w:rPr>
            </w:pPr>
          </w:p>
        </w:tc>
        <w:tc>
          <w:tcPr>
            <w:tcW w:w="120" w:type="dxa"/>
            <w:vAlign w:val="bottom"/>
            <w:shd w:val="clear" w:color="auto" w:fill="FAFAFA"/>
          </w:tcPr>
          <w:p>
            <w:pPr>
              <w:spacing w:after="0"/>
              <w:rPr>
                <w:sz w:val="14"/>
                <w:szCs w:val="14"/>
                <w:color w:val="auto"/>
              </w:rPr>
            </w:pPr>
          </w:p>
        </w:tc>
        <w:tc>
          <w:tcPr>
            <w:tcW w:w="860" w:type="dxa"/>
            <w:vAlign w:val="bottom"/>
            <w:shd w:val="clear" w:color="auto" w:fill="FAFAFA"/>
          </w:tcPr>
          <w:p>
            <w:pPr>
              <w:spacing w:after="0"/>
              <w:rPr>
                <w:sz w:val="14"/>
                <w:szCs w:val="14"/>
                <w:color w:val="auto"/>
              </w:rPr>
            </w:pPr>
          </w:p>
        </w:tc>
        <w:tc>
          <w:tcPr>
            <w:tcW w:w="120" w:type="dxa"/>
            <w:vAlign w:val="bottom"/>
            <w:shd w:val="clear" w:color="auto" w:fill="FAFAFA"/>
          </w:tcPr>
          <w:p>
            <w:pPr>
              <w:spacing w:after="0"/>
              <w:rPr>
                <w:sz w:val="14"/>
                <w:szCs w:val="14"/>
                <w:color w:val="auto"/>
              </w:rPr>
            </w:pPr>
          </w:p>
        </w:tc>
        <w:tc>
          <w:tcPr>
            <w:tcW w:w="960" w:type="dxa"/>
            <w:vAlign w:val="bottom"/>
            <w:shd w:val="clear" w:color="auto" w:fill="FAFAFA"/>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0" w:type="dxa"/>
            <w:vAlign w:val="bottom"/>
            <w:shd w:val="clear" w:color="auto" w:fill="FAFAFA"/>
          </w:tcPr>
          <w:p>
            <w:pPr>
              <w:spacing w:after="0"/>
              <w:rPr>
                <w:sz w:val="4"/>
                <w:szCs w:val="4"/>
                <w:color w:val="auto"/>
              </w:rPr>
            </w:pPr>
          </w:p>
        </w:tc>
        <w:tc>
          <w:tcPr>
            <w:tcW w:w="560" w:type="dxa"/>
            <w:vAlign w:val="bottom"/>
            <w:shd w:val="clear" w:color="auto" w:fill="FAFAFA"/>
          </w:tcPr>
          <w:p>
            <w:pPr>
              <w:spacing w:after="0"/>
              <w:rPr>
                <w:sz w:val="4"/>
                <w:szCs w:val="4"/>
                <w:color w:val="auto"/>
              </w:rPr>
            </w:pPr>
          </w:p>
        </w:tc>
        <w:tc>
          <w:tcPr>
            <w:tcW w:w="2580" w:type="dxa"/>
            <w:vAlign w:val="bottom"/>
            <w:shd w:val="clear" w:color="auto" w:fill="FAFAFA"/>
          </w:tcPr>
          <w:p>
            <w:pPr>
              <w:spacing w:after="0"/>
              <w:rPr>
                <w:sz w:val="4"/>
                <w:szCs w:val="4"/>
                <w:color w:val="auto"/>
              </w:rPr>
            </w:pPr>
          </w:p>
        </w:tc>
        <w:tc>
          <w:tcPr>
            <w:tcW w:w="1120" w:type="dxa"/>
            <w:vAlign w:val="bottom"/>
            <w:shd w:val="clear" w:color="auto" w:fill="FAFAFA"/>
          </w:tcPr>
          <w:p>
            <w:pPr>
              <w:spacing w:after="0"/>
              <w:rPr>
                <w:sz w:val="4"/>
                <w:szCs w:val="4"/>
                <w:color w:val="auto"/>
              </w:rPr>
            </w:pPr>
          </w:p>
        </w:tc>
        <w:tc>
          <w:tcPr>
            <w:tcW w:w="880" w:type="dxa"/>
            <w:vAlign w:val="bottom"/>
            <w:shd w:val="clear" w:color="auto" w:fill="FAFAFA"/>
          </w:tcPr>
          <w:p>
            <w:pPr>
              <w:spacing w:after="0"/>
              <w:rPr>
                <w:sz w:val="4"/>
                <w:szCs w:val="4"/>
                <w:color w:val="auto"/>
              </w:rPr>
            </w:pPr>
          </w:p>
        </w:tc>
        <w:tc>
          <w:tcPr>
            <w:tcW w:w="120" w:type="dxa"/>
            <w:vAlign w:val="bottom"/>
            <w:shd w:val="clear" w:color="auto" w:fill="FAFAFA"/>
          </w:tcPr>
          <w:p>
            <w:pPr>
              <w:spacing w:after="0"/>
              <w:rPr>
                <w:sz w:val="4"/>
                <w:szCs w:val="4"/>
                <w:color w:val="auto"/>
              </w:rPr>
            </w:pPr>
          </w:p>
        </w:tc>
        <w:tc>
          <w:tcPr>
            <w:tcW w:w="900" w:type="dxa"/>
            <w:vAlign w:val="bottom"/>
            <w:shd w:val="clear" w:color="auto" w:fill="FAFAFA"/>
          </w:tcPr>
          <w:p>
            <w:pPr>
              <w:spacing w:after="0"/>
              <w:rPr>
                <w:sz w:val="4"/>
                <w:szCs w:val="4"/>
                <w:color w:val="auto"/>
              </w:rPr>
            </w:pPr>
          </w:p>
        </w:tc>
        <w:tc>
          <w:tcPr>
            <w:tcW w:w="200" w:type="dxa"/>
            <w:vAlign w:val="bottom"/>
            <w:shd w:val="clear" w:color="auto" w:fill="FAFAFA"/>
          </w:tcPr>
          <w:p>
            <w:pPr>
              <w:spacing w:after="0"/>
              <w:rPr>
                <w:sz w:val="4"/>
                <w:szCs w:val="4"/>
                <w:color w:val="auto"/>
              </w:rPr>
            </w:pPr>
          </w:p>
        </w:tc>
        <w:tc>
          <w:tcPr>
            <w:tcW w:w="840" w:type="dxa"/>
            <w:vAlign w:val="bottom"/>
            <w:shd w:val="clear" w:color="auto" w:fill="FAFAFA"/>
          </w:tcPr>
          <w:p>
            <w:pPr>
              <w:spacing w:after="0"/>
              <w:rPr>
                <w:sz w:val="4"/>
                <w:szCs w:val="4"/>
                <w:color w:val="auto"/>
              </w:rPr>
            </w:pPr>
          </w:p>
        </w:tc>
        <w:tc>
          <w:tcPr>
            <w:tcW w:w="120" w:type="dxa"/>
            <w:vAlign w:val="bottom"/>
            <w:shd w:val="clear" w:color="auto" w:fill="FAFAFA"/>
          </w:tcPr>
          <w:p>
            <w:pPr>
              <w:spacing w:after="0"/>
              <w:rPr>
                <w:sz w:val="4"/>
                <w:szCs w:val="4"/>
                <w:color w:val="auto"/>
              </w:rPr>
            </w:pPr>
          </w:p>
        </w:tc>
        <w:tc>
          <w:tcPr>
            <w:tcW w:w="860" w:type="dxa"/>
            <w:vAlign w:val="bottom"/>
            <w:shd w:val="clear" w:color="auto" w:fill="FAFAFA"/>
          </w:tcPr>
          <w:p>
            <w:pPr>
              <w:spacing w:after="0"/>
              <w:rPr>
                <w:sz w:val="4"/>
                <w:szCs w:val="4"/>
                <w:color w:val="auto"/>
              </w:rPr>
            </w:pPr>
          </w:p>
        </w:tc>
        <w:tc>
          <w:tcPr>
            <w:tcW w:w="120" w:type="dxa"/>
            <w:vAlign w:val="bottom"/>
            <w:shd w:val="clear" w:color="auto" w:fill="FAFAFA"/>
          </w:tcPr>
          <w:p>
            <w:pPr>
              <w:spacing w:after="0"/>
              <w:rPr>
                <w:sz w:val="4"/>
                <w:szCs w:val="4"/>
                <w:color w:val="auto"/>
              </w:rPr>
            </w:pPr>
          </w:p>
        </w:tc>
        <w:tc>
          <w:tcPr>
            <w:tcW w:w="960" w:type="dxa"/>
            <w:vAlign w:val="bottom"/>
            <w:shd w:val="clear" w:color="auto" w:fill="FAFAFA"/>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-2990850</wp:posOffset>
            </wp:positionV>
            <wp:extent cx="24860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860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-2776855</wp:posOffset>
            </wp:positionV>
            <wp:extent cx="59664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-2579370</wp:posOffset>
            </wp:positionV>
            <wp:extent cx="59664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-2296795</wp:posOffset>
            </wp:positionV>
            <wp:extent cx="59664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-2116455</wp:posOffset>
            </wp:positionV>
            <wp:extent cx="59664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-1936750</wp:posOffset>
            </wp:positionV>
            <wp:extent cx="59664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-1653540</wp:posOffset>
            </wp:positionV>
            <wp:extent cx="59664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-1250950</wp:posOffset>
            </wp:positionV>
            <wp:extent cx="59664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-967740</wp:posOffset>
            </wp:positionV>
            <wp:extent cx="59664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-668020</wp:posOffset>
            </wp:positionV>
            <wp:extent cx="59664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-385445</wp:posOffset>
            </wp:positionV>
            <wp:extent cx="59664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240" w:right="320" w:hanging="234"/>
        <w:spacing w:after="0" w:line="285" w:lineRule="auto"/>
        <w:tabs>
          <w:tab w:leader="none" w:pos="240" w:val="left"/>
        </w:tabs>
        <w:numPr>
          <w:ilvl w:val="0"/>
          <w:numId w:val="27"/>
        </w:numPr>
        <w:rPr>
          <w:rFonts w:ascii="Arial" w:cs="Arial" w:eastAsia="Arial" w:hAnsi="Arial"/>
          <w:sz w:val="14"/>
          <w:szCs w:val="14"/>
          <w:color w:val="255993"/>
        </w:rPr>
      </w:pPr>
      <w:r>
        <w:rPr>
          <w:rFonts w:ascii="Arial" w:cs="Arial" w:eastAsia="Arial" w:hAnsi="Arial"/>
          <w:sz w:val="14"/>
          <w:szCs w:val="14"/>
          <w:color w:val="255993"/>
        </w:rPr>
        <w:t>Includes shares issuable upon exercise of awards under our 2014 Equity Incentive Plan, 2020 Equity Incentive Plan, 2020 Employee Stock Purchase Plan, and 2024 Inducement Equity Incentive Plan (the “Plans”).</w:t>
      </w:r>
    </w:p>
    <w:p>
      <w:pPr>
        <w:spacing w:after="0" w:line="158"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30</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EFFECT ON EQUITY COMPENSATION PLANS, OUTSTANDING OPTIONS AND RSUs</w:t>
      </w:r>
    </w:p>
    <w:p>
      <w:pPr>
        <w:spacing w:after="0" w:line="11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As shown in the table above, if the Reverse Stock Split is approved and effected, the total number of shares of common stock reserved for issuance under our equity incentive plans would be reduced in proportion to the ratio selected by our board of directors. As of March 24, 2025, there were a total of (1) 183,987 shares of common stock reserved for issuance upon the exercise of stock options outstanding under the 2014 Equity Incentive Plan, (2) 9,028,805 shares of common stock reserved for issuance upon the exercise of applicable stock options and 1,201,480 shares reserved for restricted stock units outstanding under the 2020 Equity Incentive Plan (3) 400,000 shares of common stock reserved for issuance upon the exercise of stock options outstanding under the 2024 Inducement Equity Incentive Plan, (4) 3,037,627 shares of common stock reserved for issuance under future equity awards granted under the 2020 Equity Incentive Plan, plus our 2020 Equity Incentive Plan includes provisions providing for an annual increase in the number of shares of common stock available for future issuance on the first day of each fiscal year, equal to the least of: (A) 3,230,000 shares of common stock; (B) 5% of the outstanding shares of common stock as of the last day of the immediately preceding fiscal year; and (C) such lesser number of shares determined by the board of directors, (5) 1,728,853 shares reserved for future issuance under the 2020 Employee Stock Purchase Plan (including shares that may be purchased pursuant to options outstanding in the current offering period), plus our 2020 Employee Stock Purchase Plan includes provisions providing for an annual increase in the number of shares of common stock available for future issuance on the first day of each fiscal year, equal to the least of: (A) 1% of the outstanding shares of common stock as of the last day of the immediately preceding fiscal year; (B) 646,000 shares; and (C) such lesser number of shares determined by the board of directors and (6) 350,000 shares reserved for issuance under future equity awards granted under the 2024 Inducement Equity Incentive Plan. Following the Reverse Stock Split, if any, all shares of common stock available for issuance upon the exercise of outstanding equity awards under each Plan and shares remaining available for future awards under each Plan (other than our 2014 Equity Incentive Plan, which is no longer in use) would be converted at the Effective Time into one-fifth, one-tenth, one-fifteenth or one-twentieth of the number of such shares immediately preceding the Reverse Stock Split (with the result, if not a whole share, rounded down to the nearest whole share).</w:t>
      </w:r>
    </w:p>
    <w:p>
      <w:pPr>
        <w:spacing w:after="0" w:line="30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Under the terms of our outstanding options and RSUs, the Reverse Stock Split would adjust and proportionately reduce the number of shares of common stock issuable upon exercise or settlement, as applicable, of such options and RSUs in the same ratio of the Reverse Stock Split (with the result, if not a whole share, rounded down to the nearest whole share) and, correspondingly, would proportionately increase the exercise price of such options (with the result, if not a whole cent, rounded up to the nearest whole cent). This will result in approximately the same aggregate price being required to be paid upon exercise as immediately preceding the Reverse Stock Split. The number of shares of common stock issuable upon exercise or settlement of outstanding options and RSUs and the exercise price related thereto, as applicable, would be equitably adjusted in accordance with the terms of the Plans, which may include rounding down the number of shares of common stock issuable to the nearest whole share.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ACCOUNTING MATTERS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Reverse Stock Split will not affect the par value of a share of our common stock. As a result, as of the Effective Time, the stated capital attributable to common stock on our balance sheet will be reduced proportionately based on the Reverse Stock Split ratio (including a retroactive adjustment of prior periods), and the additional paid-in capital account will be credited with the amount by which the stated capital is reduced. Reported per share net income or loss will be higher because there will be fewer shares of common stock outstanding.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MECHANICS OF THE REVERSE STOCK SPLIT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EFFECT ON BENEFICIAL HOLDERS (I.E., STOCKHOLDERS WHO HOLD IN “STREET NAME”)</w:t>
      </w:r>
    </w:p>
    <w:p>
      <w:pPr>
        <w:spacing w:after="0" w:line="113"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Upon the Reverse Stock Split, we intend to treat common stock held by stockholders in “street name,” through a bank, broker or other nominee, in the same manner as stockholders whose shares are registered in their own names. Banks, brokers or other nominees will be instructed to effect the Reverse Stock Split for their customers holding common stock in “street name.” However, these banks, brokers or other nominees may have different procedures than registered stockholders for processing the Reverse Stock Split. If you hold shares of common stock with a bank, broker or other nominee and have any questions in this regard, you are encouraged to contact your bank, broker or other nominee.</w:t>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31</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EFFECT ON REGISTERED “BOOK-ENTRY” HOLDERS OF COMMON STOCK</w:t>
      </w:r>
    </w:p>
    <w:p>
      <w:pPr>
        <w:spacing w:after="0" w:line="113"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Stockholders may hold some or all of their common stock electronically in book-entry form with our transfer agent, Computershare Trust Company, N.A. These stockholders will not have stock certificates evidencing their ownership of common stock. They are, however, provided with a statement reflecting the number of shares of common stock registered in their accounts. If you hold registered common stock in book-entry form, you do not need to take any action to receive your post-split shares, if applicable. If a stockholder is entitled to post-Reverse Stock Split shares, a transaction statement will automatically be sent to the stockholder’s address of record indicating the number of shares of common stock held following the Reverse Stock Split.</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EFFECT ON HOLDERS OF STOCK CERTIFICATES</w:t>
      </w:r>
    </w:p>
    <w:p>
      <w:pPr>
        <w:spacing w:after="0" w:line="11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Stockholders may hold stock certificates representing some or all of their common stock. As of the Effective Time, each certificate representing pre-split shares of common stock will, until surrendered and exchanged, be deemed to represent only the relevant number of post-split shares of common stock as a result and at the time of the Reverse Stock Split. If applicable to you, as soon as practicable after the Effective Time, our transfer agent, Computershare Trust Company, N.A., will mail you a letter of transmittal. Upon receipt of your properly completed and executed letter of transmittal and your stock certificate(s), you will be issued the appropriate number of shares of the Company’s common stock either as stock certificates (including legends, if appropriate) or electronically in book-entry form, as determined by the Company.</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FRACTIONAL SHARES</w:t>
      </w:r>
    </w:p>
    <w:p>
      <w:pPr>
        <w:spacing w:after="0" w:line="11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will not issue fractional shares in connection with the Reverse Stock Split. Instead, any fractional share that would otherwise result from the Reverse Stock Split because the stockholder owns a number of shares not evenly divisible by the ratio would instead settle in cash. The cash amount to be paid to each stockholder would be equal to the resulting fractional interest in one share of our common stock to which the stockholder would otherwise be entitled, multiplied by the closing trading price of our common stock on the trading day immediately preceding the Effective Time (as adjusted to give effect to the Reverse Stock Split), without interest. We do not anticipate that the aggregate cash amount paid by the Company for fractional interests will be material to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PROCEDURE FOR IMPLEMENTING THE REVERSE STOCK SPLIT</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Effective Time, if the Reverse Stock Split is approved by stockholders and implemented by us, will be the date and time set forth in the applicable Certificate of Amendment that is filed with the Delaware Secretary of State. If the Reverse Stock Split Proposal is approved and the board of directors determines to proceed with the Reverse Stock Split, the exact timing of the filing of the applicable Certificate of Amendment will be determined by our board of directors. By approving the Reverse Stock Split Proposal, the stockholders will approve each of the four (4) amendments proposed by the board of directors. The Certificate of Amendment filed with the Secretary of State of the State of Delaware will include only that amendment determined by the board of directors to be in the best interests of the Company and its stockholders. The other three (3) proposed amendments will be abandoned pursuant to Section 242(c) of the Delaware General Corporation Law.</w:t>
      </w:r>
    </w:p>
    <w:p>
      <w:pPr>
        <w:spacing w:after="0" w:line="11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If, at any time prior to the filing of any Certificate of Amendment with the Delaware Secretary of State, notwithstanding stockholder approval, and without further action by the stockholders, the board of directors, in its sole discretion, determines that it is in our best interests and the best interests of our stockholders to delay the filing of the Certificate of Amendment or abandon the Reverse Stock Split Proposal, the Reverse Stock Split Proposal may be delayed or abandoned. We reserve the right to abandon any three</w:t>
      </w:r>
    </w:p>
    <w:p>
      <w:pPr>
        <w:spacing w:after="0" w:line="2" w:lineRule="exact"/>
        <w:rPr>
          <w:sz w:val="20"/>
          <w:szCs w:val="20"/>
          <w:color w:val="auto"/>
        </w:rPr>
      </w:pPr>
    </w:p>
    <w:p>
      <w:pPr>
        <w:ind w:right="100" w:firstLine="6"/>
        <w:spacing w:after="0" w:line="250" w:lineRule="auto"/>
        <w:tabs>
          <w:tab w:leader="none" w:pos="2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proposed amendments or the Reverse Stock Split Proposal in its entirety without further action by our stockholders at any time before the effectiveness of the filing with the Secretary of the State of Delaware of the Certificate of Amendment, even if the authority to effect the Reverse Stock Split Proposal has been approved by our stockholders at the Annual Meeting. By voting in favor of the Reverse Stock Split Proposal, you are expressly also authorizing the board of directors to delay, not to proceed with, and abandon, any three (3) proposed amendments or the Reverse Stock Split Proposal in its entirety if it should so decide, in its sole discretion.</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If a Reverse Stock Split is effected, then after the Effective Time, our common stock will have a new Committee on Uniform Securities Identification Procedures (“CUSIP”) number, which is a number used to identify our equity securities, and stock certificates with the older CUSIP number will need to be exchanged for stock certificates with the new CUSIP number by following the procedures described below. After the Reverse Stock Split, we will continue to be subject to the periodic reporting and other requirements of the</w:t>
      </w:r>
    </w:p>
    <w:p>
      <w:pPr>
        <w:spacing w:after="0" w:line="185"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32</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Exchange Act. We currently expect that our common stock will continue to be listed on Nasdaq under the symbol “ATHA” subject to any future change of listing of our securities, although it will be considered a new listing with a new CUSIP number. The Reverse Stock Split is not intended to be, and we do not believe that it will have the effect of, a “going private transaction” covered by Rule 13e-3 under the Exchange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NO APPRAISAL RIGHTS</w:t>
      </w:r>
    </w:p>
    <w:p>
      <w:pPr>
        <w:spacing w:after="0" w:line="149"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Under the Delaware General Corporation Law, stockholders are not entitled to dissenter’s or appraisal rights with respect to the Reverse Stock Split, and we will not independently provide stockholders with any such rights.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MATERIAL U.S. FEDERAL INCOME TAX CONSIDERATIONS OF THE REVERSE STOCK SPLIT</w:t>
      </w:r>
    </w:p>
    <w:p>
      <w:pPr>
        <w:spacing w:after="0" w:line="149"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following discussion is a summary of material U.S. federal income tax consequences of the Reverse Stock Split to stockholders but does not purport to be a complete analysis of all potential tax effects that may be relevant to stockholders. The effects of other U.S. federal tax laws, such as estate and gift tax laws, and any applicable state, local, or foreign tax laws are not discussed. This discussion is based on the Internal Revenue Code of 1986 (the “Code”), U.S. Treasury Regulations promulgated thereunder, judicial decisions, and published rulings and administrative pronouncements of the Internal Revenue Service (the “IRS”), in effect as of the date of this proxy statement. These authorities may change or be subject to differing interpretations. Any such change may be applied retroactively in a manner that could adversely affect a holder of our common stock. We have not sought, and will not seek, any ruling from the IRS or an opinion of tax counsel with respect to the matters discussed herein. The discussion below regarding the U.S. federal income tax consequences of the Reverse Stock Split is not binding on the IRS or the courts. Accordingly, each stockholder is urged to consult with his, her or its own tax advisor with respect to the tax consequences of the Reverse Stock Split.</w:t>
      </w:r>
    </w:p>
    <w:p>
      <w:pPr>
        <w:spacing w:after="0" w:line="10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This summary is limited to U.S. stockholders who hold shares of our common stock prior to the Reverse Stock Split (the “Old Shares”), and the shares of our common stock immediately after the Reverse Stock Split (the “New Shares”), as a “capital asset” within the meaning of Section 1221 of the Code (generally, property held for investment). This discussion does not address all U.S. federal income tax consequences relevant to the particular circumstances of a stockholder. In addition, it does not address consequences relevant to stockholders that are subject to particular rules, including:</w:t>
      </w:r>
    </w:p>
    <w:p>
      <w:pPr>
        <w:spacing w:after="0" w:line="126" w:lineRule="exact"/>
        <w:rPr>
          <w:sz w:val="20"/>
          <w:szCs w:val="20"/>
          <w:color w:val="auto"/>
        </w:rPr>
      </w:pPr>
    </w:p>
    <w:p>
      <w:pPr>
        <w:ind w:left="140" w:hanging="134"/>
        <w:spacing w:after="0"/>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persons subject to the alternative minimum tax or Medicare contribution tax on net investment income;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persons whose functional currency is not the U.S. dollar;</w:t>
      </w:r>
    </w:p>
    <w:p>
      <w:pPr>
        <w:spacing w:after="0" w:line="59" w:lineRule="exact"/>
        <w:rPr>
          <w:rFonts w:ascii="Arial" w:cs="Arial" w:eastAsia="Arial" w:hAnsi="Arial"/>
          <w:sz w:val="16"/>
          <w:szCs w:val="16"/>
          <w:color w:val="255993"/>
        </w:rPr>
      </w:pPr>
    </w:p>
    <w:p>
      <w:pPr>
        <w:ind w:left="140" w:right="580" w:hanging="134"/>
        <w:spacing w:after="0" w:line="281" w:lineRule="auto"/>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persons holding our common stock as part of a hedge, straddle, or other risk reduction strategy or as part of a conversion transaction or other integrated investment;</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persons who are former U.S. citizens or long-term residents;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persons who are not U.S. Holders (as defined below);</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banks, insurance companies, and other financial institutions;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mutual funds, real estate investment trusts or regulated investment companies;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brokers, dealers, or traders in securities;</w:t>
      </w:r>
    </w:p>
    <w:p>
      <w:pPr>
        <w:spacing w:after="0" w:line="59" w:lineRule="exact"/>
        <w:rPr>
          <w:rFonts w:ascii="Arial" w:cs="Arial" w:eastAsia="Arial" w:hAnsi="Arial"/>
          <w:sz w:val="16"/>
          <w:szCs w:val="16"/>
          <w:color w:val="255993"/>
        </w:rPr>
      </w:pPr>
    </w:p>
    <w:p>
      <w:pPr>
        <w:ind w:left="140" w:right="520" w:hanging="134"/>
        <w:spacing w:after="0" w:line="281" w:lineRule="auto"/>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partnerships, other entities or arrangements treated as partnerships for U.S. federal income tax purposes, and other pass-through entities (and investors therein);</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tax-exempt organizations or governmental organizations;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persons deemed to sell our common stock under the constructive sale provisions of the Code;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persons who hold or receive our common stock pursuant to the exercise of any stock options or otherwise as compensation;</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persons who are subject to special tax accounting rules under Section 451(b) of the Code;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persons who hold our common stock as “qualified small business stock” pursuant to Section 1202 of the Code;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tax-qualified retirement plans.</w:t>
      </w:r>
    </w:p>
    <w:p>
      <w:pPr>
        <w:spacing w:after="0" w:line="154"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This discussion is limited to stockholders that are U.S. Holders. For purposes of this discussion, a “U.S. Holder” is a beneficial owner of our common stock that, for U.S. federal income tax purposes, is or is treated as:</w:t>
      </w:r>
    </w:p>
    <w:p>
      <w:pPr>
        <w:spacing w:after="0" w:line="16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33</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140" w:hanging="134"/>
        <w:spacing w:after="0"/>
        <w:tabs>
          <w:tab w:leader="none" w:pos="140" w:val="left"/>
        </w:tabs>
        <w:numPr>
          <w:ilvl w:val="0"/>
          <w:numId w:val="30"/>
        </w:numPr>
        <w:rPr>
          <w:rFonts w:ascii="Arial" w:cs="Arial" w:eastAsia="Arial" w:hAnsi="Arial"/>
          <w:sz w:val="16"/>
          <w:szCs w:val="16"/>
          <w:color w:val="255993"/>
        </w:rPr>
      </w:pPr>
      <w:r>
        <w:rPr>
          <w:rFonts w:ascii="Arial" w:cs="Arial" w:eastAsia="Arial" w:hAnsi="Arial"/>
          <w:sz w:val="16"/>
          <w:szCs w:val="16"/>
          <w:color w:val="auto"/>
        </w:rPr>
        <w:t>an individual who is a citizen or resident of the United States;</w:t>
      </w:r>
    </w:p>
    <w:p>
      <w:pPr>
        <w:spacing w:after="0" w:line="59" w:lineRule="exact"/>
        <w:rPr>
          <w:rFonts w:ascii="Arial" w:cs="Arial" w:eastAsia="Arial" w:hAnsi="Arial"/>
          <w:sz w:val="16"/>
          <w:szCs w:val="16"/>
          <w:color w:val="255993"/>
        </w:rPr>
      </w:pPr>
    </w:p>
    <w:p>
      <w:pPr>
        <w:ind w:left="140" w:right="40" w:hanging="134"/>
        <w:spacing w:after="0" w:line="281" w:lineRule="auto"/>
        <w:tabs>
          <w:tab w:leader="none" w:pos="140" w:val="left"/>
        </w:tabs>
        <w:numPr>
          <w:ilvl w:val="0"/>
          <w:numId w:val="30"/>
        </w:numPr>
        <w:rPr>
          <w:rFonts w:ascii="Arial" w:cs="Arial" w:eastAsia="Arial" w:hAnsi="Arial"/>
          <w:sz w:val="16"/>
          <w:szCs w:val="16"/>
          <w:color w:val="255993"/>
        </w:rPr>
      </w:pPr>
      <w:r>
        <w:rPr>
          <w:rFonts w:ascii="Arial" w:cs="Arial" w:eastAsia="Arial" w:hAnsi="Arial"/>
          <w:sz w:val="16"/>
          <w:szCs w:val="16"/>
          <w:color w:val="auto"/>
        </w:rPr>
        <w:t>a corporation (or other entity taxable as a corporation for U.S. Federal income tax purposes) created or organized under the laws of the United States, any state thereof, or the District of Columbia;</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30"/>
        </w:numPr>
        <w:rPr>
          <w:rFonts w:ascii="Arial" w:cs="Arial" w:eastAsia="Arial" w:hAnsi="Arial"/>
          <w:sz w:val="16"/>
          <w:szCs w:val="16"/>
          <w:color w:val="255993"/>
        </w:rPr>
      </w:pPr>
      <w:r>
        <w:rPr>
          <w:rFonts w:ascii="Arial" w:cs="Arial" w:eastAsia="Arial" w:hAnsi="Arial"/>
          <w:sz w:val="16"/>
          <w:szCs w:val="16"/>
          <w:color w:val="auto"/>
        </w:rPr>
        <w:t>an estate, the income of which is subject to U.S. federal income tax regardless of its source; or</w:t>
      </w:r>
    </w:p>
    <w:p>
      <w:pPr>
        <w:spacing w:after="0" w:line="59" w:lineRule="exact"/>
        <w:rPr>
          <w:rFonts w:ascii="Arial" w:cs="Arial" w:eastAsia="Arial" w:hAnsi="Arial"/>
          <w:sz w:val="16"/>
          <w:szCs w:val="16"/>
          <w:color w:val="255993"/>
        </w:rPr>
      </w:pPr>
    </w:p>
    <w:p>
      <w:pPr>
        <w:ind w:left="140" w:right="220" w:hanging="134"/>
        <w:spacing w:after="0" w:line="259" w:lineRule="auto"/>
        <w:tabs>
          <w:tab w:leader="none" w:pos="140" w:val="left"/>
        </w:tabs>
        <w:numPr>
          <w:ilvl w:val="0"/>
          <w:numId w:val="30"/>
        </w:numPr>
        <w:rPr>
          <w:rFonts w:ascii="Arial" w:cs="Arial" w:eastAsia="Arial" w:hAnsi="Arial"/>
          <w:sz w:val="16"/>
          <w:szCs w:val="16"/>
          <w:color w:val="255993"/>
        </w:rPr>
      </w:pPr>
      <w:r>
        <w:rPr>
          <w:rFonts w:ascii="Arial" w:cs="Arial" w:eastAsia="Arial" w:hAnsi="Arial"/>
          <w:sz w:val="16"/>
          <w:szCs w:val="16"/>
          <w:color w:val="auto"/>
        </w:rPr>
        <w:t>a trust if either a court within the United States is able to exercise primary supervision over the administration of such trust and one or more U.S. persons (within the meaning of Section 7701(a)(30) of the Code) have the authority to control all substantial decisions of such trust, or the trust has a valid election in effect under applicable Treasury Regulations to be treated as a U.S. person for U.S. federal income tax purposes.</w:t>
      </w:r>
    </w:p>
    <w:p>
      <w:pPr>
        <w:spacing w:after="0" w:line="9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1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 addition, the following discussion does not address the tax consequences of the Reverse Stock Split under state, local and foreign tax laws. Furthermore, the following discussion does not address any tax consequences of transactions effectuated before, after or at the same time as the Reverse Stock Split, whether or not they are in connection with the Reverse Stock Split.</w:t>
      </w:r>
    </w:p>
    <w:p>
      <w:pPr>
        <w:spacing w:after="0" w:line="104" w:lineRule="exact"/>
        <w:rPr>
          <w:sz w:val="20"/>
          <w:szCs w:val="20"/>
          <w:color w:val="auto"/>
        </w:rPr>
      </w:pPr>
    </w:p>
    <w:p>
      <w:pPr>
        <w:ind w:right="320"/>
        <w:spacing w:after="0" w:line="263" w:lineRule="auto"/>
        <w:rPr>
          <w:sz w:val="20"/>
          <w:szCs w:val="20"/>
          <w:color w:val="auto"/>
        </w:rPr>
      </w:pPr>
      <w:r>
        <w:rPr>
          <w:rFonts w:ascii="Arial" w:cs="Arial" w:eastAsia="Arial" w:hAnsi="Arial"/>
          <w:sz w:val="16"/>
          <w:szCs w:val="16"/>
          <w:b w:val="1"/>
          <w:bCs w:val="1"/>
          <w:color w:val="255993"/>
        </w:rPr>
        <w:t>STOCKHOLDERS SHOULD CONSULT THEIR TAX ADVISORS WITH RESPECT TO THE APPLICATION OF THE U.S. FEDERAL INCOME TAX LAWS TO THEIR PARTICULAR SITUATIONS AS WELL AS ANY TAX CONSEQUENCES OF THE REVERSE STOCK SPLIT ARISING UNDER THE U.S. FEDERAL ESTATE OR GIFT TAX LAWS OR UNDER THE LAWS OF ANY STATE, LOCAL OR NON-U.S. TAX JURISDICTION OR UNDER ANY APPLICABLE INCOME TAX TREATY.</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U.S. FEDERAL INCOME TAX CONSEQUENCES OF THE REVERSE STOCK SPLIT TO U.S. STOCKHOLDERS</w:t>
      </w:r>
    </w:p>
    <w:p>
      <w:pPr>
        <w:spacing w:after="0" w:line="11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Reverse Stock Split is intended to constitute a “recapitalization” within the meaning of Section 368(a)(1)(E) of the Code for U.S. federal income tax purposes. If so treated, in general, and except as described below with respect to cash in lieu of fractional shares, no gain or loss should be recognized by a U.S. stockholder upon such stockholder’s exchange, or deemed exchange, of Old Shares for New Shares pursuant to the Reverse Stock Split. Accordingly, the aggregate tax basis of the New Shares received in the Reverse Stock Split should be the same as such stockholder's aggregate tax basis in the Old Shares being exchanged (excluding the portion of the tax basis allocable to any fractional share), and the holding period for the New Shares received should include the holding period for the Old Shares being exchanged. Special tax basis and holding period rules may apply to holders that acquired different blocks of stock at different prices or at different times. Stockholders should consult their own tax advisors as to the applicability of these special rules to their particular circumstances.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CASH IN LIEU OF FRACTIONAL SHARES</w:t>
      </w:r>
    </w:p>
    <w:p>
      <w:pPr>
        <w:spacing w:after="0" w:line="11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 U.S. stockholder who receives cash in lieu of a fractional share of New Shares pursuant to the Reverse Stock Split will be treated as having received the fractional share pursuant to the Reverse Stock Split and then as having sold such fractional share for cash. Such a U.S. stockholder should generally recognize capital gain or loss in an amount equal to the difference between the amount of cash received and the U.S. stockholder’s tax basis in the Old Shares being exchanged that is allocated to the fractional share of New Shares. The capital gain or loss should be long-term capital gain or loss if the U.S. stockholder’s holding period for such Old Shares being exchanged that is allocated to the fractional share of New Shares exceeded one year at the Effective Time. The deductibility of net capital losses by individuals and corporations is subject to limitations. U.S. stockholders are advised to consult their tax advisors regarding the tax treatment of their receipt of cash in lieu of a fractional share of common stock pursuant to the Reverse Stock Split.</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INFORMATION REPORTING AND BACKUP WITHHOLDING</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Information returns generally will be required to be filed with the IRS with respect to the payment of cash in lieu of a fractional share of New Shares pursuant to the Reverse Stock Split, unless a U.S. stockholder is an exempt recipient. In addition, U.S. stockholders may be subject to a backup withholding tax (at the current applicable rate of 24%) on the payment of such cash if they do not provide their taxpayer identification numbers and complete an IRS Form W-9 in the manner required or otherwise fail to comply with applicable</w:t>
      </w:r>
    </w:p>
    <w:p>
      <w:pPr>
        <w:spacing w:after="0" w:line="185"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34</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backup withholding tax rules. Backup withholding is not an additional tax. Any amounts withheld under the backup withholding rules may be refunded or allowed as a credit against the U.S. stockholder’s federal income tax liability, if any, provided the required information is timely furnished to the IRS. U.S. stockholders should consult their own tax advisors regarding their qualification for an exemption from backup withholding and the procedures for obtaining such an exemption.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VOTE REQUIRED</w:t>
      </w:r>
    </w:p>
    <w:p>
      <w:pPr>
        <w:spacing w:after="0" w:line="14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affirmative vote of a majority of the voting power of the shares cast, affirmatively or negatively, is required for approval of the Reverse Stock Split Proposal, in accordance with Section 242(d)(2) of the DGCL. You may vote “FOR,” “AGAINST,” or “ABSTAIN” on this proposal.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966460" cy="9772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6460" cy="977265"/>
                    </a:xfrm>
                    <a:prstGeom prst="rect">
                      <a:avLst/>
                    </a:prstGeom>
                    <a:noFill/>
                  </pic:spPr>
                </pic:pic>
              </a:graphicData>
            </a:graphic>
          </wp:anchor>
        </w:drawing>
      </w:r>
    </w:p>
    <w:p>
      <w:pPr>
        <w:spacing w:after="0" w:line="349"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Board Recommendation</w:t>
      </w:r>
    </w:p>
    <w:p>
      <w:pPr>
        <w:spacing w:after="0" w:line="239" w:lineRule="exact"/>
        <w:rPr>
          <w:sz w:val="20"/>
          <w:szCs w:val="20"/>
          <w:color w:val="auto"/>
        </w:rPr>
      </w:pPr>
    </w:p>
    <w:p>
      <w:pPr>
        <w:ind w:left="1600"/>
        <w:spacing w:after="0"/>
        <w:rPr>
          <w:sz w:val="20"/>
          <w:szCs w:val="20"/>
          <w:color w:val="auto"/>
        </w:rPr>
      </w:pPr>
      <w:r>
        <w:rPr>
          <w:rFonts w:ascii="Arial" w:cs="Arial" w:eastAsia="Arial" w:hAnsi="Arial"/>
          <w:sz w:val="14"/>
          <w:szCs w:val="14"/>
          <w:color w:val="255993"/>
        </w:rPr>
        <w:t xml:space="preserve">Our Board of Directors recommends a vote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the approval of the proposed amendments to our amended and</w:t>
      </w:r>
    </w:p>
    <w:p>
      <w:pPr>
        <w:spacing w:after="0" w:line="15" w:lineRule="exact"/>
        <w:rPr>
          <w:sz w:val="20"/>
          <w:szCs w:val="20"/>
          <w:color w:val="auto"/>
        </w:rPr>
      </w:pPr>
    </w:p>
    <w:p>
      <w:pPr>
        <w:ind w:left="1600" w:right="400" w:hanging="1599"/>
        <w:spacing w:after="0" w:line="235" w:lineRule="auto"/>
        <w:tabs>
          <w:tab w:leader="none" w:pos="15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4"/>
          <w:szCs w:val="14"/>
          <w:color w:val="255993"/>
        </w:rPr>
        <w:t>restated certificate of incorporation to effect a reverse stock split and reduce the total number of authorized shares of common stock.</w:t>
      </w:r>
    </w:p>
    <w:p>
      <w:pPr>
        <w:spacing w:after="0" w:line="200" w:lineRule="exact"/>
        <w:rPr>
          <w:sz w:val="20"/>
          <w:szCs w:val="20"/>
          <w:color w:val="auto"/>
        </w:rPr>
      </w:pPr>
    </w:p>
    <w:p>
      <w:pPr>
        <w:spacing w:after="0" w:line="285"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35</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Executive Officers</w:t>
      </w:r>
    </w:p>
    <w:p>
      <w:pPr>
        <w:spacing w:after="0" w:line="35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table sets forth certain information about our executive officers as of April 4, 2025. There are no family relationships among any of our directors or executive officers.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120" w:type="dxa"/>
            <w:vAlign w:val="bottom"/>
            <w:shd w:val="clear" w:color="auto" w:fill="255993"/>
          </w:tcPr>
          <w:p>
            <w:pPr>
              <w:spacing w:after="0"/>
              <w:rPr>
                <w:sz w:val="24"/>
                <w:szCs w:val="24"/>
                <w:color w:val="auto"/>
              </w:rPr>
            </w:pPr>
          </w:p>
        </w:tc>
        <w:tc>
          <w:tcPr>
            <w:tcW w:w="2660" w:type="dxa"/>
            <w:vAlign w:val="bottom"/>
            <w:shd w:val="clear" w:color="auto" w:fill="255993"/>
          </w:tcPr>
          <w:p>
            <w:pPr>
              <w:ind w:left="80"/>
              <w:spacing w:after="0"/>
              <w:rPr>
                <w:sz w:val="20"/>
                <w:szCs w:val="20"/>
                <w:color w:val="auto"/>
              </w:rPr>
            </w:pPr>
            <w:r>
              <w:rPr>
                <w:rFonts w:ascii="Arial" w:cs="Arial" w:eastAsia="Arial" w:hAnsi="Arial"/>
                <w:sz w:val="14"/>
                <w:szCs w:val="14"/>
                <w:b w:val="1"/>
                <w:bCs w:val="1"/>
                <w:color w:val="FFFFFF"/>
              </w:rPr>
              <w:t>Executive Officers</w:t>
            </w:r>
          </w:p>
        </w:tc>
        <w:tc>
          <w:tcPr>
            <w:tcW w:w="1560" w:type="dxa"/>
            <w:vAlign w:val="bottom"/>
            <w:shd w:val="clear" w:color="auto" w:fill="255993"/>
          </w:tcPr>
          <w:p>
            <w:pPr>
              <w:jc w:val="center"/>
              <w:ind w:left="808"/>
              <w:spacing w:after="0"/>
              <w:rPr>
                <w:sz w:val="20"/>
                <w:szCs w:val="20"/>
                <w:color w:val="auto"/>
              </w:rPr>
            </w:pPr>
            <w:r>
              <w:rPr>
                <w:rFonts w:ascii="Arial" w:cs="Arial" w:eastAsia="Arial" w:hAnsi="Arial"/>
                <w:sz w:val="14"/>
                <w:szCs w:val="14"/>
                <w:b w:val="1"/>
                <w:bCs w:val="1"/>
                <w:color w:val="FFFFFF"/>
              </w:rPr>
              <w:t>Age</w:t>
            </w:r>
          </w:p>
        </w:tc>
        <w:tc>
          <w:tcPr>
            <w:tcW w:w="5060" w:type="dxa"/>
            <w:vAlign w:val="bottom"/>
            <w:shd w:val="clear" w:color="auto" w:fill="255993"/>
          </w:tcPr>
          <w:p>
            <w:pPr>
              <w:ind w:left="200"/>
              <w:spacing w:after="0"/>
              <w:rPr>
                <w:sz w:val="20"/>
                <w:szCs w:val="20"/>
                <w:color w:val="auto"/>
              </w:rPr>
            </w:pPr>
            <w:r>
              <w:rPr>
                <w:rFonts w:ascii="Arial" w:cs="Arial" w:eastAsia="Arial" w:hAnsi="Arial"/>
                <w:sz w:val="14"/>
                <w:szCs w:val="14"/>
                <w:b w:val="1"/>
                <w:bCs w:val="1"/>
                <w:color w:val="FFFFFF"/>
              </w:rPr>
              <w:t>Position</w:t>
            </w:r>
          </w:p>
        </w:tc>
        <w:tc>
          <w:tcPr>
            <w:tcW w:w="0" w:type="dxa"/>
            <w:vAlign w:val="bottom"/>
          </w:tcPr>
          <w:p>
            <w:pPr>
              <w:spacing w:after="0"/>
              <w:rPr>
                <w:sz w:val="1"/>
                <w:szCs w:val="1"/>
                <w:color w:val="auto"/>
              </w:rPr>
            </w:pPr>
          </w:p>
        </w:tc>
      </w:tr>
      <w:tr>
        <w:trPr>
          <w:trHeight w:val="70"/>
        </w:trPr>
        <w:tc>
          <w:tcPr>
            <w:tcW w:w="120" w:type="dxa"/>
            <w:vAlign w:val="bottom"/>
            <w:shd w:val="clear" w:color="auto" w:fill="255993"/>
          </w:tcPr>
          <w:p>
            <w:pPr>
              <w:spacing w:after="0"/>
              <w:rPr>
                <w:sz w:val="6"/>
                <w:szCs w:val="6"/>
                <w:color w:val="auto"/>
              </w:rPr>
            </w:pPr>
          </w:p>
        </w:tc>
        <w:tc>
          <w:tcPr>
            <w:tcW w:w="2660" w:type="dxa"/>
            <w:vAlign w:val="bottom"/>
            <w:shd w:val="clear" w:color="auto" w:fill="255993"/>
          </w:tcPr>
          <w:p>
            <w:pPr>
              <w:spacing w:after="0"/>
              <w:rPr>
                <w:sz w:val="6"/>
                <w:szCs w:val="6"/>
                <w:color w:val="auto"/>
              </w:rPr>
            </w:pPr>
          </w:p>
        </w:tc>
        <w:tc>
          <w:tcPr>
            <w:tcW w:w="1560" w:type="dxa"/>
            <w:vAlign w:val="bottom"/>
            <w:shd w:val="clear" w:color="auto" w:fill="255993"/>
          </w:tcPr>
          <w:p>
            <w:pPr>
              <w:spacing w:after="0"/>
              <w:rPr>
                <w:sz w:val="6"/>
                <w:szCs w:val="6"/>
                <w:color w:val="auto"/>
              </w:rPr>
            </w:pPr>
          </w:p>
        </w:tc>
        <w:tc>
          <w:tcPr>
            <w:tcW w:w="5060" w:type="dxa"/>
            <w:vAlign w:val="bottom"/>
            <w:shd w:val="clear" w:color="auto" w:fill="255993"/>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20" w:type="dxa"/>
            <w:vAlign w:val="bottom"/>
            <w:shd w:val="clear" w:color="auto" w:fill="EBEBEB"/>
          </w:tcPr>
          <w:p>
            <w:pPr>
              <w:spacing w:after="0"/>
              <w:rPr>
                <w:sz w:val="21"/>
                <w:szCs w:val="21"/>
                <w:color w:val="auto"/>
              </w:rPr>
            </w:pPr>
          </w:p>
        </w:tc>
        <w:tc>
          <w:tcPr>
            <w:tcW w:w="2660" w:type="dxa"/>
            <w:vAlign w:val="bottom"/>
            <w:shd w:val="clear" w:color="auto" w:fill="EBEBEB"/>
          </w:tcPr>
          <w:p>
            <w:pPr>
              <w:ind w:left="80"/>
              <w:spacing w:after="0"/>
              <w:rPr>
                <w:sz w:val="20"/>
                <w:szCs w:val="20"/>
                <w:color w:val="auto"/>
              </w:rPr>
            </w:pPr>
            <w:r>
              <w:rPr>
                <w:rFonts w:ascii="Arial" w:cs="Arial" w:eastAsia="Arial" w:hAnsi="Arial"/>
                <w:sz w:val="14"/>
                <w:szCs w:val="14"/>
                <w:color w:val="auto"/>
              </w:rPr>
              <w:t>Mark Litton, Ph.D.</w:t>
            </w:r>
          </w:p>
        </w:tc>
        <w:tc>
          <w:tcPr>
            <w:tcW w:w="1560" w:type="dxa"/>
            <w:vAlign w:val="bottom"/>
            <w:shd w:val="clear" w:color="auto" w:fill="EBEBEB"/>
          </w:tcPr>
          <w:p>
            <w:pPr>
              <w:jc w:val="center"/>
              <w:ind w:left="808"/>
              <w:spacing w:after="0"/>
              <w:rPr>
                <w:sz w:val="20"/>
                <w:szCs w:val="20"/>
                <w:color w:val="auto"/>
              </w:rPr>
            </w:pPr>
            <w:r>
              <w:rPr>
                <w:rFonts w:ascii="Arial" w:cs="Arial" w:eastAsia="Arial" w:hAnsi="Arial"/>
                <w:sz w:val="14"/>
                <w:szCs w:val="14"/>
                <w:color w:val="auto"/>
              </w:rPr>
              <w:t>57</w:t>
            </w:r>
          </w:p>
        </w:tc>
        <w:tc>
          <w:tcPr>
            <w:tcW w:w="5060" w:type="dxa"/>
            <w:vAlign w:val="bottom"/>
            <w:shd w:val="clear" w:color="auto" w:fill="EBEBEB"/>
          </w:tcPr>
          <w:p>
            <w:pPr>
              <w:ind w:left="200"/>
              <w:spacing w:after="0"/>
              <w:rPr>
                <w:sz w:val="20"/>
                <w:szCs w:val="20"/>
                <w:color w:val="auto"/>
              </w:rPr>
            </w:pPr>
            <w:r>
              <w:rPr>
                <w:rFonts w:ascii="Arial" w:cs="Arial" w:eastAsia="Arial" w:hAnsi="Arial"/>
                <w:sz w:val="14"/>
                <w:szCs w:val="14"/>
                <w:color w:val="auto"/>
              </w:rPr>
              <w:t>President, Chief Executive Officer and Director</w:t>
            </w:r>
          </w:p>
        </w:tc>
        <w:tc>
          <w:tcPr>
            <w:tcW w:w="0" w:type="dxa"/>
            <w:vAlign w:val="bottom"/>
          </w:tcPr>
          <w:p>
            <w:pPr>
              <w:spacing w:after="0"/>
              <w:rPr>
                <w:sz w:val="1"/>
                <w:szCs w:val="1"/>
                <w:color w:val="auto"/>
              </w:rPr>
            </w:pPr>
          </w:p>
        </w:tc>
      </w:tr>
      <w:tr>
        <w:trPr>
          <w:trHeight w:val="75"/>
        </w:trPr>
        <w:tc>
          <w:tcPr>
            <w:tcW w:w="120" w:type="dxa"/>
            <w:vAlign w:val="bottom"/>
            <w:shd w:val="clear" w:color="auto" w:fill="EBEBEB"/>
          </w:tcPr>
          <w:p>
            <w:pPr>
              <w:spacing w:after="0"/>
              <w:rPr>
                <w:sz w:val="6"/>
                <w:szCs w:val="6"/>
                <w:color w:val="auto"/>
              </w:rPr>
            </w:pPr>
          </w:p>
        </w:tc>
        <w:tc>
          <w:tcPr>
            <w:tcW w:w="2660" w:type="dxa"/>
            <w:vAlign w:val="bottom"/>
            <w:shd w:val="clear" w:color="auto" w:fill="EBEBEB"/>
          </w:tcPr>
          <w:p>
            <w:pPr>
              <w:spacing w:after="0"/>
              <w:rPr>
                <w:sz w:val="6"/>
                <w:szCs w:val="6"/>
                <w:color w:val="auto"/>
              </w:rPr>
            </w:pPr>
          </w:p>
        </w:tc>
        <w:tc>
          <w:tcPr>
            <w:tcW w:w="1560" w:type="dxa"/>
            <w:vAlign w:val="bottom"/>
            <w:shd w:val="clear" w:color="auto" w:fill="EBEBEB"/>
          </w:tcPr>
          <w:p>
            <w:pPr>
              <w:spacing w:after="0"/>
              <w:rPr>
                <w:sz w:val="6"/>
                <w:szCs w:val="6"/>
                <w:color w:val="auto"/>
              </w:rPr>
            </w:pPr>
          </w:p>
        </w:tc>
        <w:tc>
          <w:tcPr>
            <w:tcW w:w="5060" w:type="dxa"/>
            <w:vAlign w:val="bottom"/>
            <w:shd w:val="clear" w:color="auto" w:fill="EBEBEB"/>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20" w:type="dxa"/>
            <w:vAlign w:val="bottom"/>
            <w:shd w:val="clear" w:color="auto" w:fill="FAFAFA"/>
          </w:tcPr>
          <w:p>
            <w:pPr>
              <w:spacing w:after="0"/>
              <w:rPr>
                <w:sz w:val="21"/>
                <w:szCs w:val="21"/>
                <w:color w:val="auto"/>
              </w:rPr>
            </w:pPr>
          </w:p>
        </w:tc>
        <w:tc>
          <w:tcPr>
            <w:tcW w:w="2660" w:type="dxa"/>
            <w:vAlign w:val="bottom"/>
            <w:shd w:val="clear" w:color="auto" w:fill="FAFAFA"/>
          </w:tcPr>
          <w:p>
            <w:pPr>
              <w:ind w:left="80"/>
              <w:spacing w:after="0"/>
              <w:rPr>
                <w:sz w:val="20"/>
                <w:szCs w:val="20"/>
                <w:color w:val="auto"/>
              </w:rPr>
            </w:pPr>
            <w:r>
              <w:rPr>
                <w:rFonts w:ascii="Arial" w:cs="Arial" w:eastAsia="Arial" w:hAnsi="Arial"/>
                <w:sz w:val="14"/>
                <w:szCs w:val="14"/>
                <w:color w:val="auto"/>
              </w:rPr>
              <w:t>Javier San Martin, M.D.</w:t>
            </w:r>
          </w:p>
        </w:tc>
        <w:tc>
          <w:tcPr>
            <w:tcW w:w="1560" w:type="dxa"/>
            <w:vAlign w:val="bottom"/>
            <w:shd w:val="clear" w:color="auto" w:fill="FAFAFA"/>
          </w:tcPr>
          <w:p>
            <w:pPr>
              <w:jc w:val="center"/>
              <w:ind w:left="808"/>
              <w:spacing w:after="0"/>
              <w:rPr>
                <w:sz w:val="20"/>
                <w:szCs w:val="20"/>
                <w:color w:val="auto"/>
              </w:rPr>
            </w:pPr>
            <w:r>
              <w:rPr>
                <w:rFonts w:ascii="Arial" w:cs="Arial" w:eastAsia="Arial" w:hAnsi="Arial"/>
                <w:sz w:val="14"/>
                <w:szCs w:val="14"/>
                <w:color w:val="auto"/>
              </w:rPr>
              <w:t>60</w:t>
            </w:r>
          </w:p>
        </w:tc>
        <w:tc>
          <w:tcPr>
            <w:tcW w:w="5060" w:type="dxa"/>
            <w:vAlign w:val="bottom"/>
            <w:shd w:val="clear" w:color="auto" w:fill="FAFAFA"/>
          </w:tcPr>
          <w:p>
            <w:pPr>
              <w:ind w:left="200"/>
              <w:spacing w:after="0"/>
              <w:rPr>
                <w:sz w:val="20"/>
                <w:szCs w:val="20"/>
                <w:color w:val="auto"/>
              </w:rPr>
            </w:pPr>
            <w:r>
              <w:rPr>
                <w:rFonts w:ascii="Arial" w:cs="Arial" w:eastAsia="Arial" w:hAnsi="Arial"/>
                <w:sz w:val="14"/>
                <w:szCs w:val="14"/>
                <w:color w:val="auto"/>
              </w:rPr>
              <w:t>Chief Medical Officer</w:t>
            </w:r>
          </w:p>
        </w:tc>
        <w:tc>
          <w:tcPr>
            <w:tcW w:w="0" w:type="dxa"/>
            <w:vAlign w:val="bottom"/>
          </w:tcPr>
          <w:p>
            <w:pPr>
              <w:spacing w:after="0"/>
              <w:rPr>
                <w:sz w:val="1"/>
                <w:szCs w:val="1"/>
                <w:color w:val="auto"/>
              </w:rPr>
            </w:pPr>
          </w:p>
        </w:tc>
      </w:tr>
      <w:tr>
        <w:trPr>
          <w:trHeight w:val="76"/>
        </w:trPr>
        <w:tc>
          <w:tcPr>
            <w:tcW w:w="120" w:type="dxa"/>
            <w:vAlign w:val="bottom"/>
            <w:shd w:val="clear" w:color="auto" w:fill="FAFAFA"/>
          </w:tcPr>
          <w:p>
            <w:pPr>
              <w:spacing w:after="0"/>
              <w:rPr>
                <w:sz w:val="6"/>
                <w:szCs w:val="6"/>
                <w:color w:val="auto"/>
              </w:rPr>
            </w:pPr>
          </w:p>
        </w:tc>
        <w:tc>
          <w:tcPr>
            <w:tcW w:w="2660" w:type="dxa"/>
            <w:vAlign w:val="bottom"/>
            <w:shd w:val="clear" w:color="auto" w:fill="FAFAFA"/>
          </w:tcPr>
          <w:p>
            <w:pPr>
              <w:spacing w:after="0"/>
              <w:rPr>
                <w:sz w:val="6"/>
                <w:szCs w:val="6"/>
                <w:color w:val="auto"/>
              </w:rPr>
            </w:pPr>
          </w:p>
        </w:tc>
        <w:tc>
          <w:tcPr>
            <w:tcW w:w="1560" w:type="dxa"/>
            <w:vAlign w:val="bottom"/>
            <w:shd w:val="clear" w:color="auto" w:fill="FAFAFA"/>
          </w:tcPr>
          <w:p>
            <w:pPr>
              <w:spacing w:after="0"/>
              <w:rPr>
                <w:sz w:val="6"/>
                <w:szCs w:val="6"/>
                <w:color w:val="auto"/>
              </w:rPr>
            </w:pPr>
          </w:p>
        </w:tc>
        <w:tc>
          <w:tcPr>
            <w:tcW w:w="5060" w:type="dxa"/>
            <w:vAlign w:val="bottom"/>
            <w:shd w:val="clear" w:color="auto" w:fill="FAFAFA"/>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20" w:type="dxa"/>
            <w:vAlign w:val="bottom"/>
            <w:shd w:val="clear" w:color="auto" w:fill="EBEBEB"/>
          </w:tcPr>
          <w:p>
            <w:pPr>
              <w:spacing w:after="0"/>
              <w:rPr>
                <w:sz w:val="21"/>
                <w:szCs w:val="21"/>
                <w:color w:val="auto"/>
              </w:rPr>
            </w:pPr>
          </w:p>
        </w:tc>
        <w:tc>
          <w:tcPr>
            <w:tcW w:w="2660" w:type="dxa"/>
            <w:vAlign w:val="bottom"/>
            <w:shd w:val="clear" w:color="auto" w:fill="EBEBEB"/>
          </w:tcPr>
          <w:p>
            <w:pPr>
              <w:ind w:left="80"/>
              <w:spacing w:after="0"/>
              <w:rPr>
                <w:sz w:val="20"/>
                <w:szCs w:val="20"/>
                <w:color w:val="auto"/>
              </w:rPr>
            </w:pPr>
            <w:r>
              <w:rPr>
                <w:rFonts w:ascii="Arial" w:cs="Arial" w:eastAsia="Arial" w:hAnsi="Arial"/>
                <w:sz w:val="14"/>
                <w:szCs w:val="14"/>
                <w:color w:val="auto"/>
              </w:rPr>
              <w:t>Kevin Church, Ph.D.</w:t>
            </w:r>
          </w:p>
        </w:tc>
        <w:tc>
          <w:tcPr>
            <w:tcW w:w="1560" w:type="dxa"/>
            <w:vAlign w:val="bottom"/>
            <w:shd w:val="clear" w:color="auto" w:fill="EBEBEB"/>
          </w:tcPr>
          <w:p>
            <w:pPr>
              <w:jc w:val="center"/>
              <w:ind w:left="808"/>
              <w:spacing w:after="0"/>
              <w:rPr>
                <w:sz w:val="20"/>
                <w:szCs w:val="20"/>
                <w:color w:val="auto"/>
              </w:rPr>
            </w:pPr>
            <w:r>
              <w:rPr>
                <w:rFonts w:ascii="Arial" w:cs="Arial" w:eastAsia="Arial" w:hAnsi="Arial"/>
                <w:sz w:val="14"/>
                <w:szCs w:val="14"/>
                <w:color w:val="auto"/>
              </w:rPr>
              <w:t>40</w:t>
            </w:r>
          </w:p>
        </w:tc>
        <w:tc>
          <w:tcPr>
            <w:tcW w:w="5060" w:type="dxa"/>
            <w:vAlign w:val="bottom"/>
            <w:shd w:val="clear" w:color="auto" w:fill="EBEBEB"/>
          </w:tcPr>
          <w:p>
            <w:pPr>
              <w:ind w:left="200"/>
              <w:spacing w:after="0"/>
              <w:rPr>
                <w:sz w:val="20"/>
                <w:szCs w:val="20"/>
                <w:color w:val="auto"/>
              </w:rPr>
            </w:pPr>
            <w:r>
              <w:rPr>
                <w:rFonts w:ascii="Arial" w:cs="Arial" w:eastAsia="Arial" w:hAnsi="Arial"/>
                <w:sz w:val="14"/>
                <w:szCs w:val="14"/>
                <w:color w:val="auto"/>
              </w:rPr>
              <w:t>Chief Scientific Officer</w:t>
            </w:r>
          </w:p>
        </w:tc>
        <w:tc>
          <w:tcPr>
            <w:tcW w:w="0" w:type="dxa"/>
            <w:vAlign w:val="bottom"/>
          </w:tcPr>
          <w:p>
            <w:pPr>
              <w:spacing w:after="0"/>
              <w:rPr>
                <w:sz w:val="1"/>
                <w:szCs w:val="1"/>
                <w:color w:val="auto"/>
              </w:rPr>
            </w:pPr>
          </w:p>
        </w:tc>
      </w:tr>
      <w:tr>
        <w:trPr>
          <w:trHeight w:val="76"/>
        </w:trPr>
        <w:tc>
          <w:tcPr>
            <w:tcW w:w="120" w:type="dxa"/>
            <w:vAlign w:val="bottom"/>
            <w:shd w:val="clear" w:color="auto" w:fill="EBEBEB"/>
          </w:tcPr>
          <w:p>
            <w:pPr>
              <w:spacing w:after="0"/>
              <w:rPr>
                <w:sz w:val="6"/>
                <w:szCs w:val="6"/>
                <w:color w:val="auto"/>
              </w:rPr>
            </w:pPr>
          </w:p>
        </w:tc>
        <w:tc>
          <w:tcPr>
            <w:tcW w:w="2660" w:type="dxa"/>
            <w:vAlign w:val="bottom"/>
            <w:shd w:val="clear" w:color="auto" w:fill="EBEBEB"/>
          </w:tcPr>
          <w:p>
            <w:pPr>
              <w:spacing w:after="0"/>
              <w:rPr>
                <w:sz w:val="6"/>
                <w:szCs w:val="6"/>
                <w:color w:val="auto"/>
              </w:rPr>
            </w:pPr>
          </w:p>
        </w:tc>
        <w:tc>
          <w:tcPr>
            <w:tcW w:w="1560" w:type="dxa"/>
            <w:vAlign w:val="bottom"/>
            <w:shd w:val="clear" w:color="auto" w:fill="EBEBEB"/>
          </w:tcPr>
          <w:p>
            <w:pPr>
              <w:spacing w:after="0"/>
              <w:rPr>
                <w:sz w:val="6"/>
                <w:szCs w:val="6"/>
                <w:color w:val="auto"/>
              </w:rPr>
            </w:pPr>
          </w:p>
        </w:tc>
        <w:tc>
          <w:tcPr>
            <w:tcW w:w="5060" w:type="dxa"/>
            <w:vAlign w:val="bottom"/>
            <w:shd w:val="clear" w:color="auto" w:fill="EBEBEB"/>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120" w:type="dxa"/>
            <w:vAlign w:val="bottom"/>
            <w:shd w:val="clear" w:color="auto" w:fill="FAFAFA"/>
          </w:tcPr>
          <w:p>
            <w:pPr>
              <w:spacing w:after="0"/>
              <w:rPr>
                <w:sz w:val="19"/>
                <w:szCs w:val="19"/>
                <w:color w:val="auto"/>
              </w:rPr>
            </w:pPr>
          </w:p>
        </w:tc>
        <w:tc>
          <w:tcPr>
            <w:tcW w:w="2660" w:type="dxa"/>
            <w:vAlign w:val="bottom"/>
            <w:vMerge w:val="restart"/>
            <w:shd w:val="clear" w:color="auto" w:fill="FAFAFA"/>
          </w:tcPr>
          <w:p>
            <w:pPr>
              <w:ind w:left="80"/>
              <w:spacing w:after="0"/>
              <w:rPr>
                <w:sz w:val="20"/>
                <w:szCs w:val="20"/>
                <w:color w:val="auto"/>
              </w:rPr>
            </w:pPr>
            <w:r>
              <w:rPr>
                <w:rFonts w:ascii="Arial" w:cs="Arial" w:eastAsia="Arial" w:hAnsi="Arial"/>
                <w:sz w:val="14"/>
                <w:szCs w:val="14"/>
                <w:color w:val="auto"/>
              </w:rPr>
              <w:t>Mark Worthington</w:t>
            </w:r>
          </w:p>
        </w:tc>
        <w:tc>
          <w:tcPr>
            <w:tcW w:w="1560" w:type="dxa"/>
            <w:vAlign w:val="bottom"/>
            <w:vMerge w:val="restart"/>
            <w:shd w:val="clear" w:color="auto" w:fill="FAFAFA"/>
          </w:tcPr>
          <w:p>
            <w:pPr>
              <w:jc w:val="center"/>
              <w:ind w:left="808"/>
              <w:spacing w:after="0"/>
              <w:rPr>
                <w:sz w:val="20"/>
                <w:szCs w:val="20"/>
                <w:color w:val="auto"/>
              </w:rPr>
            </w:pPr>
            <w:r>
              <w:rPr>
                <w:rFonts w:ascii="Arial" w:cs="Arial" w:eastAsia="Arial" w:hAnsi="Arial"/>
                <w:sz w:val="14"/>
                <w:szCs w:val="14"/>
                <w:color w:val="auto"/>
              </w:rPr>
              <w:t>59</w:t>
            </w:r>
          </w:p>
        </w:tc>
        <w:tc>
          <w:tcPr>
            <w:tcW w:w="5060" w:type="dxa"/>
            <w:vAlign w:val="bottom"/>
            <w:shd w:val="clear" w:color="auto" w:fill="FAFAFA"/>
          </w:tcPr>
          <w:p>
            <w:pPr>
              <w:ind w:left="200"/>
              <w:spacing w:after="0"/>
              <w:rPr>
                <w:sz w:val="20"/>
                <w:szCs w:val="20"/>
                <w:color w:val="auto"/>
              </w:rPr>
            </w:pPr>
            <w:r>
              <w:rPr>
                <w:rFonts w:ascii="Arial" w:cs="Arial" w:eastAsia="Arial" w:hAnsi="Arial"/>
                <w:sz w:val="14"/>
                <w:szCs w:val="14"/>
                <w:color w:val="auto"/>
              </w:rPr>
              <w:t>General Counsel, Chief Compliance Officer and Corporate</w:t>
            </w:r>
          </w:p>
        </w:tc>
        <w:tc>
          <w:tcPr>
            <w:tcW w:w="0" w:type="dxa"/>
            <w:vAlign w:val="bottom"/>
          </w:tcPr>
          <w:p>
            <w:pPr>
              <w:spacing w:after="0"/>
              <w:rPr>
                <w:sz w:val="1"/>
                <w:szCs w:val="1"/>
                <w:color w:val="auto"/>
              </w:rPr>
            </w:pPr>
          </w:p>
        </w:tc>
      </w:tr>
      <w:tr>
        <w:trPr>
          <w:trHeight w:val="109"/>
        </w:trPr>
        <w:tc>
          <w:tcPr>
            <w:tcW w:w="120" w:type="dxa"/>
            <w:vAlign w:val="bottom"/>
            <w:shd w:val="clear" w:color="auto" w:fill="FAFAFA"/>
          </w:tcPr>
          <w:p>
            <w:pPr>
              <w:spacing w:after="0"/>
              <w:rPr>
                <w:sz w:val="9"/>
                <w:szCs w:val="9"/>
                <w:color w:val="auto"/>
              </w:rPr>
            </w:pPr>
          </w:p>
        </w:tc>
        <w:tc>
          <w:tcPr>
            <w:tcW w:w="2660" w:type="dxa"/>
            <w:vAlign w:val="bottom"/>
            <w:vMerge w:val="continue"/>
            <w:shd w:val="clear" w:color="auto" w:fill="FAFAFA"/>
          </w:tcPr>
          <w:p>
            <w:pPr>
              <w:spacing w:after="0"/>
              <w:rPr>
                <w:sz w:val="9"/>
                <w:szCs w:val="9"/>
                <w:color w:val="auto"/>
              </w:rPr>
            </w:pPr>
          </w:p>
        </w:tc>
        <w:tc>
          <w:tcPr>
            <w:tcW w:w="1560" w:type="dxa"/>
            <w:vAlign w:val="bottom"/>
            <w:vMerge w:val="continue"/>
            <w:shd w:val="clear" w:color="auto" w:fill="FAFAFA"/>
          </w:tcPr>
          <w:p>
            <w:pPr>
              <w:spacing w:after="0"/>
              <w:rPr>
                <w:sz w:val="9"/>
                <w:szCs w:val="9"/>
                <w:color w:val="auto"/>
              </w:rPr>
            </w:pPr>
          </w:p>
        </w:tc>
        <w:tc>
          <w:tcPr>
            <w:tcW w:w="5060" w:type="dxa"/>
            <w:vAlign w:val="bottom"/>
            <w:vMerge w:val="restart"/>
            <w:shd w:val="clear" w:color="auto" w:fill="FAFAFA"/>
          </w:tcPr>
          <w:p>
            <w:pPr>
              <w:ind w:left="200"/>
              <w:spacing w:after="0"/>
              <w:rPr>
                <w:sz w:val="20"/>
                <w:szCs w:val="20"/>
                <w:color w:val="auto"/>
              </w:rPr>
            </w:pPr>
            <w:r>
              <w:rPr>
                <w:rFonts w:ascii="Arial" w:cs="Arial" w:eastAsia="Arial" w:hAnsi="Arial"/>
                <w:sz w:val="14"/>
                <w:szCs w:val="14"/>
                <w:color w:val="auto"/>
              </w:rPr>
              <w:t>Secretary</w:t>
            </w:r>
          </w:p>
        </w:tc>
        <w:tc>
          <w:tcPr>
            <w:tcW w:w="0" w:type="dxa"/>
            <w:vAlign w:val="bottom"/>
          </w:tcPr>
          <w:p>
            <w:pPr>
              <w:spacing w:after="0"/>
              <w:rPr>
                <w:sz w:val="1"/>
                <w:szCs w:val="1"/>
                <w:color w:val="auto"/>
              </w:rPr>
            </w:pPr>
          </w:p>
        </w:tc>
      </w:tr>
      <w:tr>
        <w:trPr>
          <w:trHeight w:val="81"/>
        </w:trPr>
        <w:tc>
          <w:tcPr>
            <w:tcW w:w="120" w:type="dxa"/>
            <w:vAlign w:val="bottom"/>
            <w:shd w:val="clear" w:color="auto" w:fill="FAFAFA"/>
          </w:tcPr>
          <w:p>
            <w:pPr>
              <w:spacing w:after="0"/>
              <w:rPr>
                <w:sz w:val="7"/>
                <w:szCs w:val="7"/>
                <w:color w:val="auto"/>
              </w:rPr>
            </w:pPr>
          </w:p>
        </w:tc>
        <w:tc>
          <w:tcPr>
            <w:tcW w:w="2660" w:type="dxa"/>
            <w:vAlign w:val="bottom"/>
            <w:shd w:val="clear" w:color="auto" w:fill="FAFAFA"/>
          </w:tcPr>
          <w:p>
            <w:pPr>
              <w:spacing w:after="0"/>
              <w:rPr>
                <w:sz w:val="7"/>
                <w:szCs w:val="7"/>
                <w:color w:val="auto"/>
              </w:rPr>
            </w:pPr>
          </w:p>
        </w:tc>
        <w:tc>
          <w:tcPr>
            <w:tcW w:w="1560" w:type="dxa"/>
            <w:vAlign w:val="bottom"/>
            <w:shd w:val="clear" w:color="auto" w:fill="FAFAFA"/>
          </w:tcPr>
          <w:p>
            <w:pPr>
              <w:spacing w:after="0"/>
              <w:rPr>
                <w:sz w:val="7"/>
                <w:szCs w:val="7"/>
                <w:color w:val="auto"/>
              </w:rPr>
            </w:pPr>
          </w:p>
        </w:tc>
        <w:tc>
          <w:tcPr>
            <w:tcW w:w="5060" w:type="dxa"/>
            <w:vAlign w:val="bottom"/>
            <w:vMerge w:val="continue"/>
            <w:shd w:val="clear" w:color="auto" w:fill="FAFAFA"/>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20" w:type="dxa"/>
            <w:vAlign w:val="bottom"/>
            <w:shd w:val="clear" w:color="auto" w:fill="FAFAFA"/>
          </w:tcPr>
          <w:p>
            <w:pPr>
              <w:spacing w:after="0"/>
              <w:rPr>
                <w:sz w:val="6"/>
                <w:szCs w:val="6"/>
                <w:color w:val="auto"/>
              </w:rPr>
            </w:pPr>
          </w:p>
        </w:tc>
        <w:tc>
          <w:tcPr>
            <w:tcW w:w="2660" w:type="dxa"/>
            <w:vAlign w:val="bottom"/>
            <w:shd w:val="clear" w:color="auto" w:fill="FAFAFA"/>
          </w:tcPr>
          <w:p>
            <w:pPr>
              <w:spacing w:after="0"/>
              <w:rPr>
                <w:sz w:val="6"/>
                <w:szCs w:val="6"/>
                <w:color w:val="auto"/>
              </w:rPr>
            </w:pPr>
          </w:p>
        </w:tc>
        <w:tc>
          <w:tcPr>
            <w:tcW w:w="1560" w:type="dxa"/>
            <w:vAlign w:val="bottom"/>
            <w:shd w:val="clear" w:color="auto" w:fill="FAFAFA"/>
          </w:tcPr>
          <w:p>
            <w:pPr>
              <w:spacing w:after="0"/>
              <w:rPr>
                <w:sz w:val="6"/>
                <w:szCs w:val="6"/>
                <w:color w:val="auto"/>
              </w:rPr>
            </w:pPr>
          </w:p>
        </w:tc>
        <w:tc>
          <w:tcPr>
            <w:tcW w:w="5060" w:type="dxa"/>
            <w:vAlign w:val="bottom"/>
            <w:shd w:val="clear" w:color="auto" w:fill="FAFAFA"/>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20" w:type="dxa"/>
            <w:vAlign w:val="bottom"/>
            <w:shd w:val="clear" w:color="auto" w:fill="EBEBEB"/>
          </w:tcPr>
          <w:p>
            <w:pPr>
              <w:spacing w:after="0"/>
              <w:rPr>
                <w:sz w:val="19"/>
                <w:szCs w:val="19"/>
                <w:color w:val="auto"/>
              </w:rPr>
            </w:pPr>
          </w:p>
        </w:tc>
        <w:tc>
          <w:tcPr>
            <w:tcW w:w="2660" w:type="dxa"/>
            <w:vAlign w:val="bottom"/>
            <w:shd w:val="clear" w:color="auto" w:fill="EBEBEB"/>
          </w:tcPr>
          <w:p>
            <w:pPr>
              <w:ind w:left="80"/>
              <w:spacing w:after="0"/>
              <w:rPr>
                <w:sz w:val="20"/>
                <w:szCs w:val="20"/>
                <w:color w:val="auto"/>
              </w:rPr>
            </w:pPr>
            <w:r>
              <w:rPr>
                <w:rFonts w:ascii="Arial" w:cs="Arial" w:eastAsia="Arial" w:hAnsi="Arial"/>
                <w:sz w:val="14"/>
                <w:szCs w:val="14"/>
                <w:color w:val="auto"/>
              </w:rPr>
              <w:t>Robert Renninger</w:t>
            </w:r>
          </w:p>
        </w:tc>
        <w:tc>
          <w:tcPr>
            <w:tcW w:w="1560" w:type="dxa"/>
            <w:vAlign w:val="bottom"/>
            <w:shd w:val="clear" w:color="auto" w:fill="EBEBEB"/>
          </w:tcPr>
          <w:p>
            <w:pPr>
              <w:jc w:val="center"/>
              <w:ind w:left="808"/>
              <w:spacing w:after="0"/>
              <w:rPr>
                <w:sz w:val="20"/>
                <w:szCs w:val="20"/>
                <w:color w:val="auto"/>
              </w:rPr>
            </w:pPr>
            <w:r>
              <w:rPr>
                <w:rFonts w:ascii="Arial" w:cs="Arial" w:eastAsia="Arial" w:hAnsi="Arial"/>
                <w:sz w:val="14"/>
                <w:szCs w:val="14"/>
                <w:color w:val="auto"/>
              </w:rPr>
              <w:t>41</w:t>
            </w:r>
          </w:p>
        </w:tc>
        <w:tc>
          <w:tcPr>
            <w:tcW w:w="5060" w:type="dxa"/>
            <w:vAlign w:val="bottom"/>
            <w:shd w:val="clear" w:color="auto" w:fill="EBEBEB"/>
          </w:tcPr>
          <w:p>
            <w:pPr>
              <w:ind w:left="200"/>
              <w:spacing w:after="0"/>
              <w:rPr>
                <w:sz w:val="20"/>
                <w:szCs w:val="20"/>
                <w:color w:val="auto"/>
              </w:rPr>
            </w:pPr>
            <w:r>
              <w:rPr>
                <w:rFonts w:ascii="Arial" w:cs="Arial" w:eastAsia="Arial" w:hAnsi="Arial"/>
                <w:sz w:val="14"/>
                <w:szCs w:val="14"/>
                <w:color w:val="auto"/>
              </w:rPr>
              <w:t>Senior Vice President, Finance and Accounting</w:t>
            </w:r>
          </w:p>
        </w:tc>
        <w:tc>
          <w:tcPr>
            <w:tcW w:w="0" w:type="dxa"/>
            <w:vAlign w:val="bottom"/>
          </w:tcPr>
          <w:p>
            <w:pPr>
              <w:spacing w:after="0"/>
              <w:rPr>
                <w:sz w:val="1"/>
                <w:szCs w:val="1"/>
                <w:color w:val="auto"/>
              </w:rPr>
            </w:pPr>
          </w:p>
        </w:tc>
      </w:tr>
      <w:tr>
        <w:trPr>
          <w:trHeight w:val="95"/>
        </w:trPr>
        <w:tc>
          <w:tcPr>
            <w:tcW w:w="120" w:type="dxa"/>
            <w:vAlign w:val="bottom"/>
            <w:shd w:val="clear" w:color="auto" w:fill="EBEBEB"/>
          </w:tcPr>
          <w:p>
            <w:pPr>
              <w:spacing w:after="0"/>
              <w:rPr>
                <w:sz w:val="8"/>
                <w:szCs w:val="8"/>
                <w:color w:val="auto"/>
              </w:rPr>
            </w:pPr>
          </w:p>
        </w:tc>
        <w:tc>
          <w:tcPr>
            <w:tcW w:w="2660" w:type="dxa"/>
            <w:vAlign w:val="bottom"/>
            <w:shd w:val="clear" w:color="auto" w:fill="EBEBEB"/>
          </w:tcPr>
          <w:p>
            <w:pPr>
              <w:spacing w:after="0"/>
              <w:rPr>
                <w:sz w:val="8"/>
                <w:szCs w:val="8"/>
                <w:color w:val="auto"/>
              </w:rPr>
            </w:pPr>
          </w:p>
        </w:tc>
        <w:tc>
          <w:tcPr>
            <w:tcW w:w="1560" w:type="dxa"/>
            <w:vAlign w:val="bottom"/>
            <w:shd w:val="clear" w:color="auto" w:fill="EBEBEB"/>
          </w:tcPr>
          <w:p>
            <w:pPr>
              <w:spacing w:after="0"/>
              <w:rPr>
                <w:sz w:val="8"/>
                <w:szCs w:val="8"/>
                <w:color w:val="auto"/>
              </w:rPr>
            </w:pPr>
          </w:p>
        </w:tc>
        <w:tc>
          <w:tcPr>
            <w:tcW w:w="5060" w:type="dxa"/>
            <w:vAlign w:val="bottom"/>
            <w:shd w:val="clear" w:color="auto" w:fill="EBEBEB"/>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-1139825</wp:posOffset>
            </wp:positionV>
            <wp:extent cx="59664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-934085</wp:posOffset>
            </wp:positionV>
            <wp:extent cx="59664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-728345</wp:posOffset>
            </wp:positionV>
            <wp:extent cx="59664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-521970</wp:posOffset>
            </wp:positionV>
            <wp:extent cx="59664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-213995</wp:posOffset>
            </wp:positionV>
            <wp:extent cx="59664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OFFICERS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Dr. Litton’s biography is listed in the section titled “</w:t>
      </w:r>
      <w:r>
        <w:rPr>
          <w:rFonts w:ascii="Arial" w:cs="Arial" w:eastAsia="Arial" w:hAnsi="Arial"/>
          <w:sz w:val="16"/>
          <w:szCs w:val="16"/>
          <w:i w:val="1"/>
          <w:iCs w:val="1"/>
          <w:color w:val="auto"/>
        </w:rPr>
        <w:t>Board of Directors and Corporate Governance – Nominees for Director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882650" cy="8826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pacing w:after="0" w:line="3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255993"/>
        </w:rPr>
        <w:t>Javier San Martin</w:t>
      </w:r>
    </w:p>
    <w:p>
      <w:pPr>
        <w:spacing w:after="0" w:line="29"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4"/>
          <w:szCs w:val="14"/>
          <w:b w:val="1"/>
          <w:bCs w:val="1"/>
          <w:color w:val="auto"/>
        </w:rPr>
        <w:t>AGE: 60 </w:t>
        <w:tab/>
        <w:t>EXECUTIVE OFFICER SINCE: APRIL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139065</wp:posOffset>
            </wp:positionV>
            <wp:extent cx="89154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Javier San Martin has served as our Chief Medical Officer since April 2024. Prior to that, he served as Chief</w:t>
      </w:r>
    </w:p>
    <w:p>
      <w:pPr>
        <w:spacing w:after="0" w:line="21" w:lineRule="exact"/>
        <w:rPr>
          <w:sz w:val="20"/>
          <w:szCs w:val="20"/>
          <w:color w:val="auto"/>
        </w:rPr>
      </w:pPr>
    </w:p>
    <w:p>
      <w:pPr>
        <w:ind w:left="1620" w:hanging="1619"/>
        <w:spacing w:after="0" w:line="218" w:lineRule="auto"/>
        <w:tabs>
          <w:tab w:leader="none" w:pos="1600" w:val="left"/>
        </w:tabs>
        <w:rPr>
          <w:sz w:val="20"/>
          <w:szCs w:val="20"/>
          <w:color w:val="auto"/>
        </w:rPr>
      </w:pPr>
      <w:r>
        <w:rPr>
          <w:rFonts w:ascii="Arial" w:cs="Arial" w:eastAsia="Arial" w:hAnsi="Arial"/>
          <w:sz w:val="32"/>
          <w:szCs w:val="32"/>
          <w:color w:val="auto"/>
          <w:vertAlign w:val="subscript"/>
        </w:rPr>
        <w:t> </w:t>
      </w:r>
      <w:r>
        <w:rPr>
          <w:sz w:val="20"/>
          <w:szCs w:val="20"/>
          <w:color w:val="auto"/>
        </w:rPr>
        <w:tab/>
      </w:r>
      <w:r>
        <w:rPr>
          <w:rFonts w:ascii="Arial" w:cs="Arial" w:eastAsia="Arial" w:hAnsi="Arial"/>
          <w:sz w:val="16"/>
          <w:szCs w:val="16"/>
          <w:color w:val="auto"/>
        </w:rPr>
        <w:t>Medical Officer at Arrowhead Pharmaceuticals, a biopharmaceutical company, from November 2019 to January 2024, where he guided development teams to advance that company’s RNAi-based therapeutics in the metabolic and liver disease area. Prior to Arrowhead, he served as Senior Vice President and Head of Global Clinical Development at Ultragenyx Pharmaceutical, a biopharmaceutical company, from 2013 to 2019, where he led the development of Crysvita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(burosumab-twza), the first drug approved to treat the rare, inherited disease of x-linked hypophosphatemia. Before that, Dr. San Martin served as Senior Vice President of Clinical Development at Alder Biopharmaceuticals, from 2012 to 2013, where he managed medical, regulatory, and clinical operations. Earlier, he led two major development programs as Global Development Leader for Amgen’s Bone Therapeutic Area and directed the anti-sclerostin antibody clinical program Eventiy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(romosozumab-aqqg) through the end of Phase 2 and was responsible for development and approval of Prolia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(denosumab) for the treatment of postmenopausal osteoporosis. Prior to Amgen, Dr. San Martin spent seven years at Eli Lilly working on Phase 3b and Phase 4 clinical trials to support the successful launch and medical affairs activities for Evista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Forteo</w:t>
      </w:r>
      <w:r>
        <w:rPr>
          <w:rFonts w:ascii="Arial" w:cs="Arial" w:eastAsia="Arial" w:hAnsi="Arial"/>
          <w:sz w:val="20"/>
          <w:szCs w:val="20"/>
          <w:color w:val="auto"/>
          <w:vertAlign w:val="superscript"/>
        </w:rPr>
        <w:t>®</w:t>
      </w:r>
      <w:r>
        <w:rPr>
          <w:rFonts w:ascii="Arial" w:cs="Arial" w:eastAsia="Arial" w:hAnsi="Arial"/>
          <w:sz w:val="16"/>
          <w:szCs w:val="16"/>
          <w:color w:val="auto"/>
        </w:rPr>
        <w:t>. Dr. San Martin received his medical degree from the University of Buenos Aires Medical School and completed his residence in internal medicine at CEMIC University of Buenos Aires.</w:t>
      </w:r>
    </w:p>
    <w:p>
      <w:pPr>
        <w:spacing w:after="0" w:line="253"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36</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529590</wp:posOffset>
            </wp:positionV>
            <wp:extent cx="882650" cy="8826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255993"/>
        </w:rPr>
        <w:t>Kevin Church, Ph.D.</w:t>
      </w:r>
    </w:p>
    <w:p>
      <w:pPr>
        <w:spacing w:after="0" w:line="3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4"/>
          <w:szCs w:val="14"/>
          <w:b w:val="1"/>
          <w:bCs w:val="1"/>
          <w:color w:val="auto"/>
        </w:rPr>
        <w:t>AGE: 40 </w:t>
        <w:tab/>
        <w:t>EXECUTIVE OFFICER SINCE: JULY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152400</wp:posOffset>
            </wp:positionV>
            <wp:extent cx="89154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Kevin Church, Ph.D., has served as our chief scientific officer since January 2023. Prior to this, Dr. Church</w:t>
      </w:r>
    </w:p>
    <w:p>
      <w:pPr>
        <w:spacing w:after="0" w:line="21" w:lineRule="exact"/>
        <w:rPr>
          <w:sz w:val="20"/>
          <w:szCs w:val="20"/>
          <w:color w:val="auto"/>
        </w:rPr>
      </w:pPr>
    </w:p>
    <w:p>
      <w:pPr>
        <w:ind w:left="1620" w:right="20" w:hanging="1619"/>
        <w:spacing w:after="0" w:line="227" w:lineRule="auto"/>
        <w:tabs>
          <w:tab w:leader="none" w:pos="1600" w:val="left"/>
        </w:tabs>
        <w:rPr>
          <w:sz w:val="20"/>
          <w:szCs w:val="20"/>
          <w:color w:val="auto"/>
        </w:rPr>
      </w:pPr>
      <w:r>
        <w:rPr>
          <w:rFonts w:ascii="Arial" w:cs="Arial" w:eastAsia="Arial" w:hAnsi="Arial"/>
          <w:sz w:val="32"/>
          <w:szCs w:val="32"/>
          <w:color w:val="auto"/>
          <w:vertAlign w:val="subscript"/>
        </w:rPr>
        <w:t> </w:t>
      </w:r>
      <w:r>
        <w:rPr>
          <w:sz w:val="20"/>
          <w:szCs w:val="20"/>
          <w:color w:val="auto"/>
        </w:rPr>
        <w:tab/>
      </w:r>
      <w:r>
        <w:rPr>
          <w:rFonts w:ascii="Arial" w:cs="Arial" w:eastAsia="Arial" w:hAnsi="Arial"/>
          <w:sz w:val="16"/>
          <w:szCs w:val="16"/>
          <w:color w:val="auto"/>
        </w:rPr>
        <w:t>held various roles at the Company, including executive vice president of research from October 2021 to January 2023, vice president of discovery from July 2020 to October 2021, director of discovery from July 2018 to July 2020, senior research scientist from February 2018 to July 2018, and research scientist from July 2016 to February 2018.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882650" cy="8826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255993"/>
        </w:rPr>
        <w:t>Athira Pharma, Inc.</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55993"/>
        </w:rPr>
        <w:t>Mark Worthington</w:t>
      </w:r>
    </w:p>
    <w:p>
      <w:pPr>
        <w:spacing w:after="0" w:line="49"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AGE: 59 </w:t>
        <w:tab/>
        <w:t>EXECUTIVE OFFICER SINCE: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89154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Mark Worthington has served as our general counsel since June 2021, after working with us as outside corporate counsel for several years. Prior to joining the Company, Mr. Worthington served as a partner with Summit Law Group in Seattle, Washington from September 1997 to May 2021, where he practiced corporate and securities law, chaired the corporate/securities practice and served as the co-managing partner.</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Mr. Worthington has advised private and public life sciences and other companies on a wide range of corporate governance, compliance and transactional matters, including public offerings, mergers and acquisitions, and joint ventures, and worked closely with executive management teams on strategic business and legal matters. Mr. Worthington received his J.D. from University of California College of the Law, San Francisco, in 1993 and his B.A. in American Studies from Stanford University in 1988.</w:t>
      </w:r>
    </w:p>
    <w:p>
      <w:pPr>
        <w:spacing w:after="0" w:line="242" w:lineRule="exact"/>
        <w:rPr>
          <w:sz w:val="20"/>
          <w:szCs w:val="20"/>
          <w:color w:val="auto"/>
        </w:rPr>
      </w:pPr>
    </w:p>
    <w:p>
      <w:pPr>
        <w:jc w:val="both"/>
        <w:ind w:left="3000"/>
        <w:spacing w:after="0"/>
        <w:tabs>
          <w:tab w:leader="none" w:pos="6340" w:val="left"/>
        </w:tabs>
        <w:rPr>
          <w:sz w:val="20"/>
          <w:szCs w:val="20"/>
          <w:color w:val="auto"/>
        </w:rPr>
      </w:pPr>
      <w:r>
        <w:rPr>
          <w:rFonts w:ascii="Arial" w:cs="Arial" w:eastAsia="Arial" w:hAnsi="Arial"/>
          <w:sz w:val="14"/>
          <w:szCs w:val="14"/>
          <w:b w:val="1"/>
          <w:bCs w:val="1"/>
          <w:color w:val="255993"/>
        </w:rPr>
        <w:t>37</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126365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240" w:space="380"/>
            <w:col w:w="7780"/>
          </w:cols>
          <w:pgMar w:left="1240" w:top="114" w:right="12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529590</wp:posOffset>
            </wp:positionV>
            <wp:extent cx="882650" cy="8826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255993"/>
        </w:rPr>
        <w:t>Athira Pharma,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55993"/>
        </w:rPr>
        <w:t>Robert Renninger</w:t>
      </w:r>
    </w:p>
    <w:p>
      <w:pPr>
        <w:spacing w:after="0" w:line="35"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AGE: 41 </w:t>
        <w:tab/>
        <w:t>EXECUTIVE OFFICER SINCE: OCTOBER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89154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Robert Renninger has served as our senior vice president, finance and accounting, since February 2025, and previously served as our vice president of finance from January 2022 to February 2025, as our senior director of finance from September 2020 to January 2022, and as our director of finance from July 2020 to September 2020. Mr. Renninger served as financial controller of Infobip (formerly OpenMarket), a global communications platform, from July 2019 to July 2020. He also served as technical controller of Baker Hughes, an energy company, from September 2017 to May 2019. Mr. Renninger also served in various roles at Ernst &amp; Young, LLP, a global accounting firm, from September 2007 through September 2017, including most recently as senior manager. Mr. Renninger received his Master of accounting from the University of Michigan in 2007 and his B.A. in accounting from Seattle University in 2006. Mr. Renninger has over</w:t>
      </w:r>
    </w:p>
    <w:p>
      <w:pPr>
        <w:spacing w:after="0" w:line="6"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15 years of experience serving in various finance, accounting, and auditing positions for companies in the pharmaceutical, technology, and energy sectors.</w:t>
      </w:r>
    </w:p>
    <w:p>
      <w:pPr>
        <w:spacing w:after="0" w:line="231" w:lineRule="exact"/>
        <w:rPr>
          <w:sz w:val="20"/>
          <w:szCs w:val="20"/>
          <w:color w:val="auto"/>
        </w:rPr>
      </w:pPr>
    </w:p>
    <w:p>
      <w:pPr>
        <w:jc w:val="both"/>
        <w:ind w:left="3000"/>
        <w:spacing w:after="0"/>
        <w:tabs>
          <w:tab w:leader="none" w:pos="6340" w:val="left"/>
        </w:tabs>
        <w:rPr>
          <w:sz w:val="20"/>
          <w:szCs w:val="20"/>
          <w:color w:val="auto"/>
        </w:rPr>
      </w:pPr>
      <w:r>
        <w:rPr>
          <w:rFonts w:ascii="Arial" w:cs="Arial" w:eastAsia="Arial" w:hAnsi="Arial"/>
          <w:sz w:val="14"/>
          <w:szCs w:val="14"/>
          <w:b w:val="1"/>
          <w:bCs w:val="1"/>
          <w:color w:val="255993"/>
        </w:rPr>
        <w:t>38</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118110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240" w:space="380"/>
            <w:col w:w="7780"/>
          </w:cols>
          <w:pgMar w:left="1240" w:top="114" w:right="12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Executive Compensation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PROCESSES AND PROCEDURES FOR COMPENSATION DECISIONS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programs are designed to:</w:t>
      </w:r>
    </w:p>
    <w:p>
      <w:pPr>
        <w:spacing w:after="0" w:line="167" w:lineRule="exact"/>
        <w:rPr>
          <w:sz w:val="20"/>
          <w:szCs w:val="20"/>
          <w:color w:val="auto"/>
        </w:rPr>
      </w:pPr>
    </w:p>
    <w:p>
      <w:pPr>
        <w:ind w:left="140" w:hanging="134"/>
        <w:spacing w:after="0"/>
        <w:tabs>
          <w:tab w:leader="none" w:pos="140" w:val="left"/>
        </w:tabs>
        <w:numPr>
          <w:ilvl w:val="0"/>
          <w:numId w:val="31"/>
        </w:numPr>
        <w:rPr>
          <w:rFonts w:ascii="Arial" w:cs="Arial" w:eastAsia="Arial" w:hAnsi="Arial"/>
          <w:sz w:val="16"/>
          <w:szCs w:val="16"/>
          <w:color w:val="255993"/>
        </w:rPr>
      </w:pPr>
      <w:r>
        <w:rPr>
          <w:rFonts w:ascii="Arial" w:cs="Arial" w:eastAsia="Arial" w:hAnsi="Arial"/>
          <w:sz w:val="16"/>
          <w:szCs w:val="16"/>
          <w:color w:val="auto"/>
        </w:rPr>
        <w:t>attract, motivate, incentivize and retain employees at the executive level who contribute to our long-term success;</w:t>
      </w:r>
    </w:p>
    <w:p>
      <w:pPr>
        <w:spacing w:after="0" w:line="59" w:lineRule="exact"/>
        <w:rPr>
          <w:rFonts w:ascii="Arial" w:cs="Arial" w:eastAsia="Arial" w:hAnsi="Arial"/>
          <w:sz w:val="16"/>
          <w:szCs w:val="16"/>
          <w:color w:val="255993"/>
        </w:rPr>
      </w:pPr>
    </w:p>
    <w:p>
      <w:pPr>
        <w:ind w:left="140" w:right="240" w:hanging="134"/>
        <w:spacing w:after="0" w:line="281" w:lineRule="auto"/>
        <w:tabs>
          <w:tab w:leader="none" w:pos="140" w:val="left"/>
        </w:tabs>
        <w:numPr>
          <w:ilvl w:val="0"/>
          <w:numId w:val="31"/>
        </w:numPr>
        <w:rPr>
          <w:rFonts w:ascii="Arial" w:cs="Arial" w:eastAsia="Arial" w:hAnsi="Arial"/>
          <w:sz w:val="16"/>
          <w:szCs w:val="16"/>
          <w:color w:val="255993"/>
        </w:rPr>
      </w:pPr>
      <w:r>
        <w:rPr>
          <w:rFonts w:ascii="Arial" w:cs="Arial" w:eastAsia="Arial" w:hAnsi="Arial"/>
          <w:sz w:val="16"/>
          <w:szCs w:val="16"/>
          <w:color w:val="auto"/>
        </w:rPr>
        <w:t>provide compensation packages to our executives that are fair and competitive and reward high levels of performance and the achievement of our business objectives; and</w:t>
      </w:r>
    </w:p>
    <w:p>
      <w:pPr>
        <w:spacing w:after="0" w:line="1" w:lineRule="exact"/>
        <w:rPr>
          <w:rFonts w:ascii="Arial" w:cs="Arial" w:eastAsia="Arial" w:hAnsi="Arial"/>
          <w:sz w:val="16"/>
          <w:szCs w:val="16"/>
          <w:color w:val="255993"/>
        </w:rPr>
      </w:pPr>
    </w:p>
    <w:p>
      <w:pPr>
        <w:ind w:left="140" w:right="620" w:hanging="134"/>
        <w:spacing w:after="0" w:line="286" w:lineRule="auto"/>
        <w:tabs>
          <w:tab w:leader="none" w:pos="140" w:val="left"/>
        </w:tabs>
        <w:numPr>
          <w:ilvl w:val="0"/>
          <w:numId w:val="31"/>
        </w:numPr>
        <w:rPr>
          <w:rFonts w:ascii="Arial" w:cs="Arial" w:eastAsia="Arial" w:hAnsi="Arial"/>
          <w:sz w:val="16"/>
          <w:szCs w:val="16"/>
          <w:color w:val="255993"/>
        </w:rPr>
      </w:pPr>
      <w:r>
        <w:rPr>
          <w:rFonts w:ascii="Arial" w:cs="Arial" w:eastAsia="Arial" w:hAnsi="Arial"/>
          <w:sz w:val="16"/>
          <w:szCs w:val="16"/>
          <w:color w:val="auto"/>
        </w:rPr>
        <w:t>more closely align our executives’ interests with those of our stockholders by focusing on long-term equity incentives that correlate with the growth of sustainable long-term value for our stockholders.</w:t>
      </w:r>
    </w:p>
    <w:p>
      <w:pPr>
        <w:spacing w:after="0" w:line="88" w:lineRule="exact"/>
        <w:rPr>
          <w:sz w:val="20"/>
          <w:szCs w:val="20"/>
          <w:color w:val="auto"/>
        </w:rPr>
      </w:pPr>
    </w:p>
    <w:p>
      <w:pPr>
        <w:jc w:val="both"/>
        <w:ind w:right="700"/>
        <w:spacing w:after="0" w:line="286" w:lineRule="auto"/>
        <w:rPr>
          <w:sz w:val="20"/>
          <w:szCs w:val="20"/>
          <w:color w:val="auto"/>
        </w:rPr>
      </w:pPr>
      <w:r>
        <w:rPr>
          <w:rFonts w:ascii="Arial" w:cs="Arial" w:eastAsia="Arial" w:hAnsi="Arial"/>
          <w:sz w:val="16"/>
          <w:szCs w:val="16"/>
          <w:color w:val="auto"/>
        </w:rPr>
        <w:t>Our compensation committee is responsible for making compensation decisions for executive officers other than our chief executive officer, but may, in its discretion, choose to make compensation recommendations to the full board of directors.</w:t>
      </w:r>
    </w:p>
    <w:p>
      <w:pPr>
        <w:spacing w:after="0" w:line="8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board of directors has retained Pearl Meyer &amp; Partners, LLC, a compensation consulting firm, to provide recommendations based on research and analysis of executive compensation in companies in similar industries at a similar size and stage of corporate development, with the goal of ensuring that the compensation we offer to our executives is competitive and fair. Typically, our chief executive officer and principal financial and accounting officer will prepare and present recommendations at compensation committee meetings based on the compensation consultant recommendations, our chief executive officer’s own assessment of Company and individual performance and incentive and retention needs, and a representative from the compensation consultant will usually be present in the meetings to respond to committee questions. Our compensation committee considers the recommendations for cash and stock-based compensation and approves such compensation for the executive team, excluding the chief executive officer, and recommends such compensation to the board of directors for the chief executive officer. With regard to incentive compensation, our compensation committee evaluates the achievement of defined goals by the executive team, excluding the chief executive officer, and recommends to the board of directors with respect to the achievement of defined goals for the chief executive officer.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COMPENSATION</w:t>
      </w:r>
    </w:p>
    <w:p>
      <w:pPr>
        <w:spacing w:after="0" w:line="10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This section discusses the material components of the executive compensation program for our named executive officers who are named in the subsection titled “—2023 – 2024 Summary Compensation Table” below. For 2024, our “named executive officers” and their positions were as follows:</w:t>
      </w:r>
    </w:p>
    <w:p>
      <w:pPr>
        <w:spacing w:after="0" w:line="117" w:lineRule="exact"/>
        <w:rPr>
          <w:sz w:val="20"/>
          <w:szCs w:val="20"/>
          <w:color w:val="auto"/>
        </w:rPr>
      </w:pPr>
    </w:p>
    <w:p>
      <w:pPr>
        <w:ind w:left="140" w:hanging="134"/>
        <w:spacing w:after="0"/>
        <w:tabs>
          <w:tab w:leader="none" w:pos="140" w:val="left"/>
        </w:tabs>
        <w:numPr>
          <w:ilvl w:val="0"/>
          <w:numId w:val="32"/>
        </w:numPr>
        <w:rPr>
          <w:rFonts w:ascii="Arial" w:cs="Arial" w:eastAsia="Arial" w:hAnsi="Arial"/>
          <w:sz w:val="16"/>
          <w:szCs w:val="16"/>
          <w:color w:val="255993"/>
        </w:rPr>
      </w:pPr>
      <w:r>
        <w:rPr>
          <w:rFonts w:ascii="Arial" w:cs="Arial" w:eastAsia="Arial" w:hAnsi="Arial"/>
          <w:sz w:val="16"/>
          <w:szCs w:val="16"/>
          <w:color w:val="auto"/>
        </w:rPr>
        <w:t>Mark Litton, Ph.D., our president and chief executive officer;</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2"/>
        </w:numPr>
        <w:rPr>
          <w:rFonts w:ascii="Arial" w:cs="Arial" w:eastAsia="Arial" w:hAnsi="Arial"/>
          <w:sz w:val="16"/>
          <w:szCs w:val="16"/>
          <w:color w:val="255993"/>
        </w:rPr>
      </w:pPr>
      <w:r>
        <w:rPr>
          <w:rFonts w:ascii="Arial" w:cs="Arial" w:eastAsia="Arial" w:hAnsi="Arial"/>
          <w:sz w:val="16"/>
          <w:szCs w:val="16"/>
          <w:color w:val="auto"/>
        </w:rPr>
        <w:t>Kevin Church, Ph.D., our chief scientific officer;</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2"/>
        </w:numPr>
        <w:rPr>
          <w:rFonts w:ascii="Arial" w:cs="Arial" w:eastAsia="Arial" w:hAnsi="Arial"/>
          <w:sz w:val="16"/>
          <w:szCs w:val="16"/>
          <w:color w:val="255993"/>
        </w:rPr>
      </w:pPr>
      <w:r>
        <w:rPr>
          <w:rFonts w:ascii="Arial" w:cs="Arial" w:eastAsia="Arial" w:hAnsi="Arial"/>
          <w:sz w:val="16"/>
          <w:szCs w:val="16"/>
          <w:color w:val="auto"/>
        </w:rPr>
        <w:t>Mark Worthington, our general counsel, chief compliance officer and corporate secretary;</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2"/>
        </w:numPr>
        <w:rPr>
          <w:rFonts w:ascii="Arial" w:cs="Arial" w:eastAsia="Arial" w:hAnsi="Arial"/>
          <w:sz w:val="16"/>
          <w:szCs w:val="16"/>
          <w:color w:val="255993"/>
        </w:rPr>
      </w:pPr>
      <w:r>
        <w:rPr>
          <w:rFonts w:ascii="Arial" w:cs="Arial" w:eastAsia="Arial" w:hAnsi="Arial"/>
          <w:sz w:val="16"/>
          <w:szCs w:val="16"/>
          <w:color w:val="auto"/>
        </w:rPr>
        <w:t>Andrew Gengos, our former chief financial officer and chief business officer;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2"/>
        </w:numPr>
        <w:rPr>
          <w:rFonts w:ascii="Arial" w:cs="Arial" w:eastAsia="Arial" w:hAnsi="Arial"/>
          <w:sz w:val="16"/>
          <w:szCs w:val="16"/>
          <w:color w:val="255993"/>
        </w:rPr>
      </w:pPr>
      <w:r>
        <w:rPr>
          <w:rFonts w:ascii="Arial" w:cs="Arial" w:eastAsia="Arial" w:hAnsi="Arial"/>
          <w:sz w:val="16"/>
          <w:szCs w:val="16"/>
          <w:color w:val="auto"/>
        </w:rPr>
        <w:t>Rachel Lenington, our former chief operating officer and chief development officer.</w:t>
      </w:r>
    </w:p>
    <w:p>
      <w:pPr>
        <w:spacing w:after="0" w:line="22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39</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2023 – 2024 SUMMARY COMPENSATION TABLE</w:t>
      </w:r>
    </w:p>
    <w:p>
      <w:pPr>
        <w:spacing w:after="0" w:line="10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following table represents information regarding the total compensation awarded to, earned by or paid to our named executive officers for the years ended December 31, 2024 and December 31,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1820" w:type="dxa"/>
            <w:vAlign w:val="bottom"/>
            <w:shd w:val="clear" w:color="auto" w:fill="255993"/>
          </w:tcPr>
          <w:p>
            <w:pPr>
              <w:spacing w:after="0"/>
              <w:rPr>
                <w:sz w:val="24"/>
                <w:szCs w:val="24"/>
                <w:color w:val="auto"/>
              </w:rPr>
            </w:pPr>
          </w:p>
        </w:tc>
        <w:tc>
          <w:tcPr>
            <w:tcW w:w="120" w:type="dxa"/>
            <w:vAlign w:val="bottom"/>
            <w:shd w:val="clear" w:color="auto" w:fill="255993"/>
          </w:tcPr>
          <w:p>
            <w:pPr>
              <w:spacing w:after="0"/>
              <w:rPr>
                <w:sz w:val="24"/>
                <w:szCs w:val="24"/>
                <w:color w:val="auto"/>
              </w:rPr>
            </w:pPr>
          </w:p>
        </w:tc>
        <w:tc>
          <w:tcPr>
            <w:tcW w:w="340" w:type="dxa"/>
            <w:vAlign w:val="bottom"/>
            <w:shd w:val="clear" w:color="auto" w:fill="255993"/>
          </w:tcPr>
          <w:p>
            <w:pPr>
              <w:spacing w:after="0"/>
              <w:rPr>
                <w:sz w:val="24"/>
                <w:szCs w:val="24"/>
                <w:color w:val="auto"/>
              </w:rPr>
            </w:pPr>
          </w:p>
        </w:tc>
        <w:tc>
          <w:tcPr>
            <w:tcW w:w="140" w:type="dxa"/>
            <w:vAlign w:val="bottom"/>
            <w:shd w:val="clear" w:color="auto" w:fill="255993"/>
          </w:tcPr>
          <w:p>
            <w:pPr>
              <w:spacing w:after="0"/>
              <w:rPr>
                <w:sz w:val="24"/>
                <w:szCs w:val="24"/>
                <w:color w:val="auto"/>
              </w:rPr>
            </w:pPr>
          </w:p>
        </w:tc>
        <w:tc>
          <w:tcPr>
            <w:tcW w:w="800" w:type="dxa"/>
            <w:vAlign w:val="bottom"/>
            <w:shd w:val="clear" w:color="auto" w:fill="255993"/>
          </w:tcPr>
          <w:p>
            <w:pPr>
              <w:spacing w:after="0"/>
              <w:rPr>
                <w:sz w:val="24"/>
                <w:szCs w:val="24"/>
                <w:color w:val="auto"/>
              </w:rPr>
            </w:pPr>
          </w:p>
        </w:tc>
        <w:tc>
          <w:tcPr>
            <w:tcW w:w="720" w:type="dxa"/>
            <w:vAlign w:val="bottom"/>
            <w:shd w:val="clear" w:color="auto" w:fill="255993"/>
          </w:tcPr>
          <w:p>
            <w:pPr>
              <w:spacing w:after="0"/>
              <w:rPr>
                <w:sz w:val="24"/>
                <w:szCs w:val="24"/>
                <w:color w:val="auto"/>
              </w:rPr>
            </w:pPr>
          </w:p>
        </w:tc>
        <w:tc>
          <w:tcPr>
            <w:tcW w:w="820" w:type="dxa"/>
            <w:vAlign w:val="bottom"/>
            <w:shd w:val="clear" w:color="auto" w:fill="255993"/>
          </w:tcPr>
          <w:p>
            <w:pPr>
              <w:spacing w:after="0"/>
              <w:rPr>
                <w:sz w:val="24"/>
                <w:szCs w:val="24"/>
                <w:color w:val="auto"/>
              </w:rPr>
            </w:pPr>
          </w:p>
        </w:tc>
        <w:tc>
          <w:tcPr>
            <w:tcW w:w="880" w:type="dxa"/>
            <w:vAlign w:val="bottom"/>
            <w:shd w:val="clear" w:color="auto" w:fill="255993"/>
          </w:tcPr>
          <w:p>
            <w:pPr>
              <w:spacing w:after="0"/>
              <w:rPr>
                <w:sz w:val="24"/>
                <w:szCs w:val="24"/>
                <w:color w:val="auto"/>
              </w:rPr>
            </w:pPr>
          </w:p>
        </w:tc>
        <w:tc>
          <w:tcPr>
            <w:tcW w:w="1360" w:type="dxa"/>
            <w:vAlign w:val="bottom"/>
            <w:shd w:val="clear" w:color="auto" w:fill="255993"/>
          </w:tcPr>
          <w:p>
            <w:pPr>
              <w:jc w:val="right"/>
              <w:ind w:right="85"/>
              <w:spacing w:after="0"/>
              <w:rPr>
                <w:sz w:val="20"/>
                <w:szCs w:val="20"/>
                <w:color w:val="auto"/>
              </w:rPr>
            </w:pPr>
            <w:r>
              <w:rPr>
                <w:rFonts w:ascii="Arial" w:cs="Arial" w:eastAsia="Arial" w:hAnsi="Arial"/>
                <w:sz w:val="16"/>
                <w:szCs w:val="16"/>
                <w:b w:val="1"/>
                <w:bCs w:val="1"/>
                <w:color w:val="FFFFFF"/>
              </w:rPr>
              <w:t>Non-equity</w:t>
            </w:r>
          </w:p>
        </w:tc>
        <w:tc>
          <w:tcPr>
            <w:tcW w:w="1440" w:type="dxa"/>
            <w:vAlign w:val="bottom"/>
            <w:shd w:val="clear" w:color="auto" w:fill="255993"/>
          </w:tcPr>
          <w:p>
            <w:pPr>
              <w:spacing w:after="0"/>
              <w:rPr>
                <w:sz w:val="24"/>
                <w:szCs w:val="24"/>
                <w:color w:val="auto"/>
              </w:rPr>
            </w:pPr>
          </w:p>
        </w:tc>
        <w:tc>
          <w:tcPr>
            <w:tcW w:w="960" w:type="dxa"/>
            <w:vAlign w:val="bottom"/>
            <w:shd w:val="clear" w:color="auto" w:fill="255993"/>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20" w:type="dxa"/>
            <w:vAlign w:val="bottom"/>
            <w:shd w:val="clear" w:color="auto" w:fill="255993"/>
          </w:tcPr>
          <w:p>
            <w:pPr>
              <w:spacing w:after="0"/>
              <w:rPr>
                <w:sz w:val="17"/>
                <w:szCs w:val="17"/>
                <w:color w:val="auto"/>
              </w:rPr>
            </w:pPr>
          </w:p>
        </w:tc>
        <w:tc>
          <w:tcPr>
            <w:tcW w:w="120" w:type="dxa"/>
            <w:vAlign w:val="bottom"/>
            <w:shd w:val="clear" w:color="auto" w:fill="255993"/>
          </w:tcPr>
          <w:p>
            <w:pPr>
              <w:spacing w:after="0"/>
              <w:rPr>
                <w:sz w:val="17"/>
                <w:szCs w:val="17"/>
                <w:color w:val="auto"/>
              </w:rPr>
            </w:pPr>
          </w:p>
        </w:tc>
        <w:tc>
          <w:tcPr>
            <w:tcW w:w="340" w:type="dxa"/>
            <w:vAlign w:val="bottom"/>
            <w:shd w:val="clear" w:color="auto" w:fill="255993"/>
          </w:tcPr>
          <w:p>
            <w:pPr>
              <w:spacing w:after="0"/>
              <w:rPr>
                <w:sz w:val="17"/>
                <w:szCs w:val="17"/>
                <w:color w:val="auto"/>
              </w:rPr>
            </w:pPr>
          </w:p>
        </w:tc>
        <w:tc>
          <w:tcPr>
            <w:tcW w:w="140" w:type="dxa"/>
            <w:vAlign w:val="bottom"/>
            <w:shd w:val="clear" w:color="auto" w:fill="255993"/>
          </w:tcPr>
          <w:p>
            <w:pPr>
              <w:spacing w:after="0"/>
              <w:rPr>
                <w:sz w:val="17"/>
                <w:szCs w:val="17"/>
                <w:color w:val="auto"/>
              </w:rPr>
            </w:pPr>
          </w:p>
        </w:tc>
        <w:tc>
          <w:tcPr>
            <w:tcW w:w="800" w:type="dxa"/>
            <w:vAlign w:val="bottom"/>
            <w:shd w:val="clear" w:color="auto" w:fill="255993"/>
          </w:tcPr>
          <w:p>
            <w:pPr>
              <w:spacing w:after="0"/>
              <w:rPr>
                <w:sz w:val="17"/>
                <w:szCs w:val="17"/>
                <w:color w:val="auto"/>
              </w:rPr>
            </w:pPr>
          </w:p>
        </w:tc>
        <w:tc>
          <w:tcPr>
            <w:tcW w:w="720" w:type="dxa"/>
            <w:vAlign w:val="bottom"/>
            <w:shd w:val="clear" w:color="auto" w:fill="255993"/>
          </w:tcPr>
          <w:p>
            <w:pPr>
              <w:spacing w:after="0"/>
              <w:rPr>
                <w:sz w:val="17"/>
                <w:szCs w:val="17"/>
                <w:color w:val="auto"/>
              </w:rPr>
            </w:pPr>
          </w:p>
        </w:tc>
        <w:tc>
          <w:tcPr>
            <w:tcW w:w="820" w:type="dxa"/>
            <w:vAlign w:val="bottom"/>
            <w:shd w:val="clear" w:color="auto" w:fill="255993"/>
          </w:tcPr>
          <w:p>
            <w:pPr>
              <w:jc w:val="right"/>
              <w:ind w:right="86"/>
              <w:spacing w:after="0"/>
              <w:rPr>
                <w:sz w:val="20"/>
                <w:szCs w:val="20"/>
                <w:color w:val="auto"/>
              </w:rPr>
            </w:pPr>
            <w:r>
              <w:rPr>
                <w:rFonts w:ascii="Arial" w:cs="Arial" w:eastAsia="Arial" w:hAnsi="Arial"/>
                <w:sz w:val="16"/>
                <w:szCs w:val="16"/>
                <w:b w:val="1"/>
                <w:bCs w:val="1"/>
                <w:color w:val="FFFFFF"/>
              </w:rPr>
              <w:t>Stock</w:t>
            </w:r>
          </w:p>
        </w:tc>
        <w:tc>
          <w:tcPr>
            <w:tcW w:w="880" w:type="dxa"/>
            <w:vAlign w:val="bottom"/>
            <w:shd w:val="clear" w:color="auto" w:fill="255993"/>
          </w:tcPr>
          <w:p>
            <w:pPr>
              <w:jc w:val="right"/>
              <w:ind w:right="86"/>
              <w:spacing w:after="0"/>
              <w:rPr>
                <w:sz w:val="20"/>
                <w:szCs w:val="20"/>
                <w:color w:val="auto"/>
              </w:rPr>
            </w:pPr>
            <w:r>
              <w:rPr>
                <w:rFonts w:ascii="Arial" w:cs="Arial" w:eastAsia="Arial" w:hAnsi="Arial"/>
                <w:sz w:val="16"/>
                <w:szCs w:val="16"/>
                <w:b w:val="1"/>
                <w:bCs w:val="1"/>
                <w:color w:val="FFFFFF"/>
              </w:rPr>
              <w:t>Option</w:t>
            </w:r>
          </w:p>
        </w:tc>
        <w:tc>
          <w:tcPr>
            <w:tcW w:w="1360" w:type="dxa"/>
            <w:vAlign w:val="bottom"/>
            <w:shd w:val="clear" w:color="auto" w:fill="255993"/>
          </w:tcPr>
          <w:p>
            <w:pPr>
              <w:jc w:val="right"/>
              <w:ind w:right="45"/>
              <w:spacing w:after="0"/>
              <w:rPr>
                <w:sz w:val="20"/>
                <w:szCs w:val="20"/>
                <w:color w:val="auto"/>
              </w:rPr>
            </w:pPr>
            <w:r>
              <w:rPr>
                <w:rFonts w:ascii="Arial" w:cs="Arial" w:eastAsia="Arial" w:hAnsi="Arial"/>
                <w:sz w:val="16"/>
                <w:szCs w:val="16"/>
                <w:b w:val="1"/>
                <w:bCs w:val="1"/>
                <w:color w:val="FFFFFF"/>
              </w:rPr>
              <w:t>Incentive Plan</w:t>
            </w:r>
          </w:p>
        </w:tc>
        <w:tc>
          <w:tcPr>
            <w:tcW w:w="1440" w:type="dxa"/>
            <w:vAlign w:val="bottom"/>
            <w:shd w:val="clear" w:color="auto" w:fill="255993"/>
          </w:tcPr>
          <w:p>
            <w:pPr>
              <w:jc w:val="right"/>
              <w:ind w:right="187"/>
              <w:spacing w:after="0"/>
              <w:rPr>
                <w:sz w:val="20"/>
                <w:szCs w:val="20"/>
                <w:color w:val="auto"/>
              </w:rPr>
            </w:pPr>
            <w:r>
              <w:rPr>
                <w:rFonts w:ascii="Arial" w:cs="Arial" w:eastAsia="Arial" w:hAnsi="Arial"/>
                <w:sz w:val="16"/>
                <w:szCs w:val="16"/>
                <w:b w:val="1"/>
                <w:bCs w:val="1"/>
                <w:color w:val="FFFFFF"/>
              </w:rPr>
              <w:t>All Other</w:t>
            </w:r>
          </w:p>
        </w:tc>
        <w:tc>
          <w:tcPr>
            <w:tcW w:w="960" w:type="dxa"/>
            <w:vAlign w:val="bottom"/>
            <w:shd w:val="clear" w:color="auto" w:fill="255993"/>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255993"/>
          </w:tcPr>
          <w:p>
            <w:pPr>
              <w:ind w:left="160"/>
              <w:spacing w:after="0"/>
              <w:rPr>
                <w:sz w:val="20"/>
                <w:szCs w:val="20"/>
                <w:color w:val="auto"/>
              </w:rPr>
            </w:pPr>
            <w:r>
              <w:rPr>
                <w:rFonts w:ascii="Arial" w:cs="Arial" w:eastAsia="Arial" w:hAnsi="Arial"/>
                <w:sz w:val="16"/>
                <w:szCs w:val="16"/>
                <w:b w:val="1"/>
                <w:bCs w:val="1"/>
                <w:color w:val="FFFFFF"/>
              </w:rPr>
              <w:t>Name and</w:t>
            </w:r>
          </w:p>
        </w:tc>
        <w:tc>
          <w:tcPr>
            <w:tcW w:w="120" w:type="dxa"/>
            <w:vAlign w:val="bottom"/>
            <w:shd w:val="clear" w:color="auto" w:fill="255993"/>
          </w:tcPr>
          <w:p>
            <w:pPr>
              <w:spacing w:after="0"/>
              <w:rPr>
                <w:sz w:val="16"/>
                <w:szCs w:val="16"/>
                <w:color w:val="auto"/>
              </w:rPr>
            </w:pPr>
          </w:p>
        </w:tc>
        <w:tc>
          <w:tcPr>
            <w:tcW w:w="340" w:type="dxa"/>
            <w:vAlign w:val="bottom"/>
            <w:shd w:val="clear" w:color="auto" w:fill="255993"/>
          </w:tcPr>
          <w:p>
            <w:pPr>
              <w:spacing w:after="0"/>
              <w:rPr>
                <w:sz w:val="16"/>
                <w:szCs w:val="16"/>
                <w:color w:val="auto"/>
              </w:rPr>
            </w:pPr>
          </w:p>
        </w:tc>
        <w:tc>
          <w:tcPr>
            <w:tcW w:w="140" w:type="dxa"/>
            <w:vAlign w:val="bottom"/>
            <w:shd w:val="clear" w:color="auto" w:fill="255993"/>
          </w:tcPr>
          <w:p>
            <w:pPr>
              <w:spacing w:after="0"/>
              <w:rPr>
                <w:sz w:val="16"/>
                <w:szCs w:val="16"/>
                <w:color w:val="auto"/>
              </w:rPr>
            </w:pPr>
          </w:p>
        </w:tc>
        <w:tc>
          <w:tcPr>
            <w:tcW w:w="800" w:type="dxa"/>
            <w:vAlign w:val="bottom"/>
            <w:shd w:val="clear" w:color="auto" w:fill="255993"/>
          </w:tcPr>
          <w:p>
            <w:pPr>
              <w:jc w:val="right"/>
              <w:ind w:right="87"/>
              <w:spacing w:after="0"/>
              <w:rPr>
                <w:sz w:val="20"/>
                <w:szCs w:val="20"/>
                <w:color w:val="auto"/>
              </w:rPr>
            </w:pPr>
            <w:r>
              <w:rPr>
                <w:rFonts w:ascii="Arial" w:cs="Arial" w:eastAsia="Arial" w:hAnsi="Arial"/>
                <w:sz w:val="16"/>
                <w:szCs w:val="16"/>
                <w:b w:val="1"/>
                <w:bCs w:val="1"/>
                <w:color w:val="FFFFFF"/>
              </w:rPr>
              <w:t>Salary</w:t>
            </w:r>
          </w:p>
        </w:tc>
        <w:tc>
          <w:tcPr>
            <w:tcW w:w="720" w:type="dxa"/>
            <w:vAlign w:val="bottom"/>
            <w:shd w:val="clear" w:color="auto" w:fill="255993"/>
          </w:tcPr>
          <w:p>
            <w:pPr>
              <w:jc w:val="right"/>
              <w:ind w:right="47"/>
              <w:spacing w:after="0"/>
              <w:rPr>
                <w:sz w:val="20"/>
                <w:szCs w:val="20"/>
                <w:color w:val="auto"/>
              </w:rPr>
            </w:pPr>
            <w:r>
              <w:rPr>
                <w:rFonts w:ascii="Arial" w:cs="Arial" w:eastAsia="Arial" w:hAnsi="Arial"/>
                <w:sz w:val="16"/>
                <w:szCs w:val="16"/>
                <w:b w:val="1"/>
                <w:bCs w:val="1"/>
                <w:color w:val="FFFFFF"/>
              </w:rPr>
              <w:t>Bonus</w:t>
            </w:r>
          </w:p>
        </w:tc>
        <w:tc>
          <w:tcPr>
            <w:tcW w:w="820" w:type="dxa"/>
            <w:vAlign w:val="bottom"/>
            <w:shd w:val="clear" w:color="auto" w:fill="255993"/>
          </w:tcPr>
          <w:p>
            <w:pPr>
              <w:jc w:val="right"/>
              <w:ind w:right="46"/>
              <w:spacing w:after="0"/>
              <w:rPr>
                <w:sz w:val="20"/>
                <w:szCs w:val="20"/>
                <w:color w:val="auto"/>
              </w:rPr>
            </w:pPr>
            <w:r>
              <w:rPr>
                <w:rFonts w:ascii="Arial" w:cs="Arial" w:eastAsia="Arial" w:hAnsi="Arial"/>
                <w:sz w:val="16"/>
                <w:szCs w:val="16"/>
                <w:b w:val="1"/>
                <w:bCs w:val="1"/>
                <w:color w:val="FFFFFF"/>
              </w:rPr>
              <w:t>Awards</w:t>
            </w:r>
          </w:p>
        </w:tc>
        <w:tc>
          <w:tcPr>
            <w:tcW w:w="880" w:type="dxa"/>
            <w:vAlign w:val="bottom"/>
            <w:shd w:val="clear" w:color="auto" w:fill="255993"/>
          </w:tcPr>
          <w:p>
            <w:pPr>
              <w:jc w:val="right"/>
              <w:ind w:right="86"/>
              <w:spacing w:after="0"/>
              <w:rPr>
                <w:sz w:val="20"/>
                <w:szCs w:val="20"/>
                <w:color w:val="auto"/>
              </w:rPr>
            </w:pPr>
            <w:r>
              <w:rPr>
                <w:rFonts w:ascii="Arial" w:cs="Arial" w:eastAsia="Arial" w:hAnsi="Arial"/>
                <w:sz w:val="16"/>
                <w:szCs w:val="16"/>
                <w:b w:val="1"/>
                <w:bCs w:val="1"/>
                <w:color w:val="FFFFFF"/>
              </w:rPr>
              <w:t>Awards</w:t>
            </w:r>
          </w:p>
        </w:tc>
        <w:tc>
          <w:tcPr>
            <w:tcW w:w="1360" w:type="dxa"/>
            <w:vAlign w:val="bottom"/>
            <w:shd w:val="clear" w:color="auto" w:fill="255993"/>
          </w:tcPr>
          <w:p>
            <w:pPr>
              <w:jc w:val="right"/>
              <w:ind w:right="45"/>
              <w:spacing w:after="0"/>
              <w:rPr>
                <w:sz w:val="20"/>
                <w:szCs w:val="20"/>
                <w:color w:val="auto"/>
              </w:rPr>
            </w:pPr>
            <w:r>
              <w:rPr>
                <w:rFonts w:ascii="Arial" w:cs="Arial" w:eastAsia="Arial" w:hAnsi="Arial"/>
                <w:sz w:val="16"/>
                <w:szCs w:val="16"/>
                <w:b w:val="1"/>
                <w:bCs w:val="1"/>
                <w:color w:val="FFFFFF"/>
              </w:rPr>
              <w:t>Compensation</w:t>
            </w:r>
          </w:p>
        </w:tc>
        <w:tc>
          <w:tcPr>
            <w:tcW w:w="1440" w:type="dxa"/>
            <w:vAlign w:val="bottom"/>
            <w:shd w:val="clear" w:color="auto" w:fill="255993"/>
          </w:tcPr>
          <w:p>
            <w:pPr>
              <w:jc w:val="right"/>
              <w:ind w:right="147"/>
              <w:spacing w:after="0"/>
              <w:rPr>
                <w:sz w:val="20"/>
                <w:szCs w:val="20"/>
                <w:color w:val="auto"/>
              </w:rPr>
            </w:pPr>
            <w:r>
              <w:rPr>
                <w:rFonts w:ascii="Arial" w:cs="Arial" w:eastAsia="Arial" w:hAnsi="Arial"/>
                <w:sz w:val="16"/>
                <w:szCs w:val="16"/>
                <w:b w:val="1"/>
                <w:bCs w:val="1"/>
                <w:color w:val="FFFFFF"/>
              </w:rPr>
              <w:t>Compensation</w:t>
            </w:r>
          </w:p>
        </w:tc>
        <w:tc>
          <w:tcPr>
            <w:tcW w:w="960" w:type="dxa"/>
            <w:vAlign w:val="bottom"/>
            <w:shd w:val="clear" w:color="auto" w:fill="255993"/>
          </w:tcPr>
          <w:p>
            <w:pPr>
              <w:jc w:val="right"/>
              <w:ind w:right="87"/>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324"/>
        </w:trPr>
        <w:tc>
          <w:tcPr>
            <w:tcW w:w="1820" w:type="dxa"/>
            <w:vAlign w:val="bottom"/>
            <w:shd w:val="clear" w:color="auto" w:fill="255993"/>
          </w:tcPr>
          <w:p>
            <w:pPr>
              <w:ind w:left="160"/>
              <w:spacing w:after="0"/>
              <w:rPr>
                <w:sz w:val="20"/>
                <w:szCs w:val="20"/>
                <w:color w:val="auto"/>
              </w:rPr>
            </w:pPr>
            <w:r>
              <w:rPr>
                <w:rFonts w:ascii="Arial" w:cs="Arial" w:eastAsia="Arial" w:hAnsi="Arial"/>
                <w:sz w:val="16"/>
                <w:szCs w:val="16"/>
                <w:b w:val="1"/>
                <w:bCs w:val="1"/>
                <w:color w:val="FFFFFF"/>
              </w:rPr>
              <w:t>Principal Position</w:t>
            </w:r>
          </w:p>
        </w:tc>
        <w:tc>
          <w:tcPr>
            <w:tcW w:w="120" w:type="dxa"/>
            <w:vAlign w:val="bottom"/>
            <w:shd w:val="clear" w:color="auto" w:fill="255993"/>
          </w:tcPr>
          <w:p>
            <w:pPr>
              <w:spacing w:after="0"/>
              <w:rPr>
                <w:sz w:val="24"/>
                <w:szCs w:val="24"/>
                <w:color w:val="auto"/>
              </w:rPr>
            </w:pPr>
          </w:p>
        </w:tc>
        <w:tc>
          <w:tcPr>
            <w:tcW w:w="480" w:type="dxa"/>
            <w:vAlign w:val="bottom"/>
            <w:gridSpan w:val="2"/>
            <w:shd w:val="clear" w:color="auto" w:fill="255993"/>
          </w:tcPr>
          <w:p>
            <w:pPr>
              <w:spacing w:after="0"/>
              <w:rPr>
                <w:sz w:val="20"/>
                <w:szCs w:val="20"/>
                <w:color w:val="auto"/>
              </w:rPr>
            </w:pPr>
            <w:r>
              <w:rPr>
                <w:rFonts w:ascii="Arial" w:cs="Arial" w:eastAsia="Arial" w:hAnsi="Arial"/>
                <w:sz w:val="16"/>
                <w:szCs w:val="16"/>
                <w:b w:val="1"/>
                <w:bCs w:val="1"/>
                <w:color w:val="FFFFFF"/>
              </w:rPr>
              <w:t>Year</w:t>
            </w:r>
          </w:p>
        </w:tc>
        <w:tc>
          <w:tcPr>
            <w:tcW w:w="800" w:type="dxa"/>
            <w:vAlign w:val="bottom"/>
            <w:shd w:val="clear" w:color="auto" w:fill="255993"/>
          </w:tcPr>
          <w:p>
            <w:pPr>
              <w:jc w:val="right"/>
              <w:ind w:right="47"/>
              <w:spacing w:after="0"/>
              <w:rPr>
                <w:sz w:val="20"/>
                <w:szCs w:val="20"/>
                <w:color w:val="auto"/>
              </w:rPr>
            </w:pPr>
            <w:r>
              <w:rPr>
                <w:rFonts w:ascii="Arial" w:cs="Arial" w:eastAsia="Arial" w:hAnsi="Arial"/>
                <w:sz w:val="16"/>
                <w:szCs w:val="16"/>
                <w:b w:val="1"/>
                <w:bCs w:val="1"/>
                <w:color w:val="FFFFFF"/>
              </w:rPr>
              <w:t>($)</w:t>
            </w:r>
          </w:p>
        </w:tc>
        <w:tc>
          <w:tcPr>
            <w:tcW w:w="720" w:type="dxa"/>
            <w:vAlign w:val="bottom"/>
            <w:shd w:val="clear" w:color="auto" w:fill="255993"/>
          </w:tcPr>
          <w:p>
            <w:pPr>
              <w:jc w:val="right"/>
              <w:ind w:right="47"/>
              <w:spacing w:after="0"/>
              <w:rPr>
                <w:sz w:val="20"/>
                <w:szCs w:val="20"/>
                <w:color w:val="auto"/>
              </w:rPr>
            </w:pPr>
            <w:r>
              <w:rPr>
                <w:rFonts w:ascii="Arial" w:cs="Arial" w:eastAsia="Arial" w:hAnsi="Arial"/>
                <w:sz w:val="16"/>
                <w:szCs w:val="16"/>
                <w:b w:val="1"/>
                <w:bCs w:val="1"/>
                <w:color w:val="FFFFFF"/>
              </w:rPr>
              <w:t>($)</w:t>
            </w:r>
          </w:p>
        </w:tc>
        <w:tc>
          <w:tcPr>
            <w:tcW w:w="820" w:type="dxa"/>
            <w:vAlign w:val="bottom"/>
            <w:shd w:val="clear" w:color="auto" w:fill="255993"/>
          </w:tcPr>
          <w:p>
            <w:pPr>
              <w:jc w:val="right"/>
              <w:ind w:right="46"/>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(1)</w:t>
            </w:r>
          </w:p>
        </w:tc>
        <w:tc>
          <w:tcPr>
            <w:tcW w:w="880" w:type="dxa"/>
            <w:vAlign w:val="bottom"/>
            <w:shd w:val="clear" w:color="auto" w:fill="255993"/>
          </w:tcPr>
          <w:p>
            <w:pPr>
              <w:jc w:val="right"/>
              <w:ind w:right="46"/>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(2)</w:t>
            </w:r>
          </w:p>
        </w:tc>
        <w:tc>
          <w:tcPr>
            <w:tcW w:w="1360" w:type="dxa"/>
            <w:vAlign w:val="bottom"/>
            <w:shd w:val="clear" w:color="auto" w:fill="255993"/>
          </w:tcPr>
          <w:p>
            <w:pPr>
              <w:jc w:val="right"/>
              <w:ind w:right="45"/>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(3)</w:t>
            </w:r>
          </w:p>
        </w:tc>
        <w:tc>
          <w:tcPr>
            <w:tcW w:w="1440" w:type="dxa"/>
            <w:vAlign w:val="bottom"/>
            <w:shd w:val="clear" w:color="auto" w:fill="255993"/>
          </w:tcPr>
          <w:p>
            <w:pPr>
              <w:jc w:val="right"/>
              <w:ind w:right="147"/>
              <w:spacing w:after="0"/>
              <w:rPr>
                <w:sz w:val="20"/>
                <w:szCs w:val="20"/>
                <w:color w:val="auto"/>
              </w:rPr>
            </w:pPr>
            <w:r>
              <w:rPr>
                <w:rFonts w:ascii="Arial" w:cs="Arial" w:eastAsia="Arial" w:hAnsi="Arial"/>
                <w:sz w:val="16"/>
                <w:szCs w:val="16"/>
                <w:b w:val="1"/>
                <w:bCs w:val="1"/>
                <w:color w:val="FFFFFF"/>
              </w:rPr>
              <w:t>($)</w:t>
            </w:r>
          </w:p>
        </w:tc>
        <w:tc>
          <w:tcPr>
            <w:tcW w:w="960" w:type="dxa"/>
            <w:vAlign w:val="bottom"/>
            <w:shd w:val="clear" w:color="auto" w:fill="255993"/>
          </w:tcPr>
          <w:p>
            <w:pPr>
              <w:jc w:val="right"/>
              <w:ind w:right="27"/>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378"/>
        </w:trPr>
        <w:tc>
          <w:tcPr>
            <w:tcW w:w="1820" w:type="dxa"/>
            <w:vAlign w:val="bottom"/>
            <w:shd w:val="clear" w:color="auto" w:fill="EBEBEB"/>
          </w:tcPr>
          <w:p>
            <w:pPr>
              <w:ind w:left="160"/>
              <w:spacing w:after="0"/>
              <w:rPr>
                <w:sz w:val="20"/>
                <w:szCs w:val="20"/>
                <w:color w:val="auto"/>
              </w:rPr>
            </w:pPr>
            <w:r>
              <w:rPr>
                <w:rFonts w:ascii="Arial" w:cs="Arial" w:eastAsia="Arial" w:hAnsi="Arial"/>
                <w:sz w:val="14"/>
                <w:szCs w:val="14"/>
                <w:b w:val="1"/>
                <w:bCs w:val="1"/>
                <w:color w:val="auto"/>
              </w:rPr>
              <w:t>Mark Litton, Ph.D.,</w:t>
            </w:r>
          </w:p>
        </w:tc>
        <w:tc>
          <w:tcPr>
            <w:tcW w:w="120" w:type="dxa"/>
            <w:vAlign w:val="bottom"/>
            <w:shd w:val="clear" w:color="auto" w:fill="EBEBEB"/>
          </w:tcPr>
          <w:p>
            <w:pPr>
              <w:spacing w:after="0"/>
              <w:rPr>
                <w:sz w:val="24"/>
                <w:szCs w:val="24"/>
                <w:color w:val="auto"/>
              </w:rPr>
            </w:pPr>
          </w:p>
        </w:tc>
        <w:tc>
          <w:tcPr>
            <w:tcW w:w="480" w:type="dxa"/>
            <w:vAlign w:val="bottom"/>
            <w:gridSpan w:val="2"/>
            <w:shd w:val="clear" w:color="auto" w:fill="EBEBEB"/>
          </w:tcPr>
          <w:p>
            <w:pPr>
              <w:ind w:left="20"/>
              <w:spacing w:after="0"/>
              <w:rPr>
                <w:sz w:val="20"/>
                <w:szCs w:val="20"/>
                <w:color w:val="auto"/>
              </w:rPr>
            </w:pPr>
            <w:r>
              <w:rPr>
                <w:rFonts w:ascii="Arial" w:cs="Arial" w:eastAsia="Arial" w:hAnsi="Arial"/>
                <w:sz w:val="14"/>
                <w:szCs w:val="14"/>
                <w:color w:val="auto"/>
              </w:rPr>
              <w:t>2024</w:t>
            </w:r>
          </w:p>
        </w:tc>
        <w:tc>
          <w:tcPr>
            <w:tcW w:w="80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625,000</w:t>
            </w:r>
          </w:p>
        </w:tc>
        <w:tc>
          <w:tcPr>
            <w:tcW w:w="72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w:t>
            </w:r>
          </w:p>
        </w:tc>
        <w:tc>
          <w:tcPr>
            <w:tcW w:w="820" w:type="dxa"/>
            <w:vAlign w:val="bottom"/>
            <w:shd w:val="clear" w:color="auto" w:fill="EBEBEB"/>
          </w:tcPr>
          <w:p>
            <w:pPr>
              <w:jc w:val="right"/>
              <w:ind w:right="46"/>
              <w:spacing w:after="0"/>
              <w:rPr>
                <w:sz w:val="20"/>
                <w:szCs w:val="20"/>
                <w:color w:val="auto"/>
              </w:rPr>
            </w:pPr>
            <w:r>
              <w:rPr>
                <w:rFonts w:ascii="Arial" w:cs="Arial" w:eastAsia="Arial" w:hAnsi="Arial"/>
                <w:sz w:val="14"/>
                <w:szCs w:val="14"/>
                <w:color w:val="auto"/>
              </w:rPr>
              <w:t>138,353</w:t>
            </w:r>
          </w:p>
        </w:tc>
        <w:tc>
          <w:tcPr>
            <w:tcW w:w="880" w:type="dxa"/>
            <w:vAlign w:val="bottom"/>
            <w:shd w:val="clear" w:color="auto" w:fill="EBEBEB"/>
          </w:tcPr>
          <w:p>
            <w:pPr>
              <w:jc w:val="right"/>
              <w:ind w:right="46"/>
              <w:spacing w:after="0"/>
              <w:rPr>
                <w:sz w:val="20"/>
                <w:szCs w:val="20"/>
                <w:color w:val="auto"/>
              </w:rPr>
            </w:pPr>
            <w:r>
              <w:rPr>
                <w:rFonts w:ascii="Arial" w:cs="Arial" w:eastAsia="Arial" w:hAnsi="Arial"/>
                <w:sz w:val="14"/>
                <w:szCs w:val="14"/>
                <w:color w:val="auto"/>
              </w:rPr>
              <w:t>1,991,260</w:t>
            </w:r>
          </w:p>
        </w:tc>
        <w:tc>
          <w:tcPr>
            <w:tcW w:w="1360" w:type="dxa"/>
            <w:vAlign w:val="bottom"/>
            <w:shd w:val="clear" w:color="auto" w:fill="EBEBEB"/>
          </w:tcPr>
          <w:p>
            <w:pPr>
              <w:jc w:val="right"/>
              <w:ind w:right="45"/>
              <w:spacing w:after="0"/>
              <w:rPr>
                <w:sz w:val="20"/>
                <w:szCs w:val="20"/>
                <w:color w:val="auto"/>
              </w:rPr>
            </w:pPr>
            <w:r>
              <w:rPr>
                <w:rFonts w:ascii="Arial" w:cs="Arial" w:eastAsia="Arial" w:hAnsi="Arial"/>
                <w:sz w:val="14"/>
                <w:szCs w:val="14"/>
                <w:color w:val="auto"/>
              </w:rPr>
              <w:t>395,313</w:t>
            </w:r>
          </w:p>
        </w:tc>
        <w:tc>
          <w:tcPr>
            <w:tcW w:w="1440" w:type="dxa"/>
            <w:vAlign w:val="bottom"/>
            <w:shd w:val="clear" w:color="auto" w:fill="EBEBEB"/>
          </w:tcPr>
          <w:p>
            <w:pPr>
              <w:jc w:val="right"/>
              <w:ind w:right="147"/>
              <w:spacing w:after="0"/>
              <w:rPr>
                <w:sz w:val="20"/>
                <w:szCs w:val="20"/>
                <w:color w:val="auto"/>
              </w:rPr>
            </w:pPr>
            <w:r>
              <w:rPr>
                <w:rFonts w:ascii="Arial" w:cs="Arial" w:eastAsia="Arial" w:hAnsi="Arial"/>
                <w:sz w:val="14"/>
                <w:szCs w:val="14"/>
                <w:color w:val="auto"/>
              </w:rPr>
              <w:t>25,085</w:t>
            </w:r>
            <w:r>
              <w:rPr>
                <w:rFonts w:ascii="Arial" w:cs="Arial" w:eastAsia="Arial" w:hAnsi="Arial"/>
                <w:sz w:val="23"/>
                <w:szCs w:val="23"/>
                <w:color w:val="auto"/>
                <w:vertAlign w:val="superscript"/>
              </w:rPr>
              <w:t>(4)</w:t>
            </w:r>
          </w:p>
        </w:tc>
        <w:tc>
          <w:tcPr>
            <w:tcW w:w="96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3,175,009</w:t>
            </w:r>
          </w:p>
        </w:tc>
        <w:tc>
          <w:tcPr>
            <w:tcW w:w="0" w:type="dxa"/>
            <w:vAlign w:val="bottom"/>
          </w:tcPr>
          <w:p>
            <w:pPr>
              <w:spacing w:after="0"/>
              <w:rPr>
                <w:sz w:val="1"/>
                <w:szCs w:val="1"/>
                <w:color w:val="auto"/>
              </w:rPr>
            </w:pPr>
          </w:p>
        </w:tc>
      </w:tr>
      <w:tr>
        <w:trPr>
          <w:trHeight w:val="112"/>
        </w:trPr>
        <w:tc>
          <w:tcPr>
            <w:tcW w:w="1820" w:type="dxa"/>
            <w:vAlign w:val="bottom"/>
            <w:shd w:val="clear" w:color="auto" w:fill="EBEBEB"/>
          </w:tcPr>
          <w:p>
            <w:pPr>
              <w:ind w:left="160"/>
              <w:spacing w:after="0" w:line="113" w:lineRule="exact"/>
              <w:rPr>
                <w:sz w:val="20"/>
                <w:szCs w:val="20"/>
                <w:color w:val="auto"/>
              </w:rPr>
            </w:pPr>
            <w:r>
              <w:rPr>
                <w:rFonts w:ascii="Arial" w:cs="Arial" w:eastAsia="Arial" w:hAnsi="Arial"/>
                <w:sz w:val="13"/>
                <w:szCs w:val="13"/>
                <w:color w:val="auto"/>
              </w:rPr>
              <w:t>President and</w:t>
            </w:r>
          </w:p>
        </w:tc>
        <w:tc>
          <w:tcPr>
            <w:tcW w:w="120" w:type="dxa"/>
            <w:vAlign w:val="bottom"/>
            <w:shd w:val="clear" w:color="auto" w:fill="EBEBEB"/>
          </w:tcPr>
          <w:p>
            <w:pPr>
              <w:spacing w:after="0"/>
              <w:rPr>
                <w:sz w:val="9"/>
                <w:szCs w:val="9"/>
                <w:color w:val="auto"/>
              </w:rPr>
            </w:pPr>
          </w:p>
        </w:tc>
        <w:tc>
          <w:tcPr>
            <w:tcW w:w="340" w:type="dxa"/>
            <w:vAlign w:val="bottom"/>
            <w:shd w:val="clear" w:color="auto" w:fill="EBEBEB"/>
          </w:tcPr>
          <w:p>
            <w:pPr>
              <w:spacing w:after="0"/>
              <w:rPr>
                <w:sz w:val="9"/>
                <w:szCs w:val="9"/>
                <w:color w:val="auto"/>
              </w:rPr>
            </w:pPr>
          </w:p>
        </w:tc>
        <w:tc>
          <w:tcPr>
            <w:tcW w:w="140" w:type="dxa"/>
            <w:vAlign w:val="bottom"/>
            <w:shd w:val="clear" w:color="auto" w:fill="EBEBEB"/>
          </w:tcPr>
          <w:p>
            <w:pPr>
              <w:spacing w:after="0"/>
              <w:rPr>
                <w:sz w:val="9"/>
                <w:szCs w:val="9"/>
                <w:color w:val="auto"/>
              </w:rPr>
            </w:pPr>
          </w:p>
        </w:tc>
        <w:tc>
          <w:tcPr>
            <w:tcW w:w="800" w:type="dxa"/>
            <w:vAlign w:val="bottom"/>
            <w:shd w:val="clear" w:color="auto" w:fill="EBEBEB"/>
          </w:tcPr>
          <w:p>
            <w:pPr>
              <w:spacing w:after="0"/>
              <w:rPr>
                <w:sz w:val="9"/>
                <w:szCs w:val="9"/>
                <w:color w:val="auto"/>
              </w:rPr>
            </w:pPr>
          </w:p>
        </w:tc>
        <w:tc>
          <w:tcPr>
            <w:tcW w:w="720" w:type="dxa"/>
            <w:vAlign w:val="bottom"/>
            <w:shd w:val="clear" w:color="auto" w:fill="EBEBEB"/>
          </w:tcPr>
          <w:p>
            <w:pPr>
              <w:spacing w:after="0"/>
              <w:rPr>
                <w:sz w:val="9"/>
                <w:szCs w:val="9"/>
                <w:color w:val="auto"/>
              </w:rPr>
            </w:pPr>
          </w:p>
        </w:tc>
        <w:tc>
          <w:tcPr>
            <w:tcW w:w="820" w:type="dxa"/>
            <w:vAlign w:val="bottom"/>
            <w:shd w:val="clear" w:color="auto" w:fill="EBEBEB"/>
          </w:tcPr>
          <w:p>
            <w:pPr>
              <w:spacing w:after="0"/>
              <w:rPr>
                <w:sz w:val="9"/>
                <w:szCs w:val="9"/>
                <w:color w:val="auto"/>
              </w:rPr>
            </w:pPr>
          </w:p>
        </w:tc>
        <w:tc>
          <w:tcPr>
            <w:tcW w:w="880" w:type="dxa"/>
            <w:vAlign w:val="bottom"/>
            <w:shd w:val="clear" w:color="auto" w:fill="EBEBEB"/>
          </w:tcPr>
          <w:p>
            <w:pPr>
              <w:spacing w:after="0"/>
              <w:rPr>
                <w:sz w:val="9"/>
                <w:szCs w:val="9"/>
                <w:color w:val="auto"/>
              </w:rPr>
            </w:pPr>
          </w:p>
        </w:tc>
        <w:tc>
          <w:tcPr>
            <w:tcW w:w="1360" w:type="dxa"/>
            <w:vAlign w:val="bottom"/>
            <w:shd w:val="clear" w:color="auto" w:fill="EBEBEB"/>
          </w:tcPr>
          <w:p>
            <w:pPr>
              <w:spacing w:after="0"/>
              <w:rPr>
                <w:sz w:val="9"/>
                <w:szCs w:val="9"/>
                <w:color w:val="auto"/>
              </w:rPr>
            </w:pPr>
          </w:p>
        </w:tc>
        <w:tc>
          <w:tcPr>
            <w:tcW w:w="1440" w:type="dxa"/>
            <w:vAlign w:val="bottom"/>
            <w:shd w:val="clear" w:color="auto" w:fill="EBEBEB"/>
          </w:tcPr>
          <w:p>
            <w:pPr>
              <w:spacing w:after="0"/>
              <w:rPr>
                <w:sz w:val="9"/>
                <w:szCs w:val="9"/>
                <w:color w:val="auto"/>
              </w:rPr>
            </w:pPr>
          </w:p>
        </w:tc>
        <w:tc>
          <w:tcPr>
            <w:tcW w:w="960" w:type="dxa"/>
            <w:vAlign w:val="bottom"/>
            <w:shd w:val="clear" w:color="auto" w:fill="EBEBEB"/>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820" w:type="dxa"/>
            <w:vAlign w:val="bottom"/>
            <w:shd w:val="clear" w:color="auto" w:fill="EBEBEB"/>
          </w:tcPr>
          <w:p>
            <w:pPr>
              <w:ind w:left="160"/>
              <w:spacing w:after="0"/>
              <w:rPr>
                <w:sz w:val="20"/>
                <w:szCs w:val="20"/>
                <w:color w:val="auto"/>
              </w:rPr>
            </w:pPr>
            <w:r>
              <w:rPr>
                <w:rFonts w:ascii="Arial" w:cs="Arial" w:eastAsia="Arial" w:hAnsi="Arial"/>
                <w:sz w:val="14"/>
                <w:szCs w:val="14"/>
                <w:color w:val="auto"/>
              </w:rPr>
              <w:t>Chief Executive</w:t>
            </w:r>
          </w:p>
        </w:tc>
        <w:tc>
          <w:tcPr>
            <w:tcW w:w="120" w:type="dxa"/>
            <w:vAlign w:val="bottom"/>
            <w:shd w:val="clear" w:color="auto" w:fill="EBEBEB"/>
          </w:tcPr>
          <w:p>
            <w:pPr>
              <w:spacing w:after="0"/>
              <w:rPr>
                <w:sz w:val="14"/>
                <w:szCs w:val="14"/>
                <w:color w:val="auto"/>
              </w:rPr>
            </w:pPr>
          </w:p>
        </w:tc>
        <w:tc>
          <w:tcPr>
            <w:tcW w:w="340" w:type="dxa"/>
            <w:vAlign w:val="bottom"/>
            <w:shd w:val="clear" w:color="auto" w:fill="EBEBEB"/>
          </w:tcPr>
          <w:p>
            <w:pPr>
              <w:spacing w:after="0"/>
              <w:rPr>
                <w:sz w:val="14"/>
                <w:szCs w:val="14"/>
                <w:color w:val="auto"/>
              </w:rPr>
            </w:pPr>
          </w:p>
        </w:tc>
        <w:tc>
          <w:tcPr>
            <w:tcW w:w="140" w:type="dxa"/>
            <w:vAlign w:val="bottom"/>
            <w:shd w:val="clear" w:color="auto" w:fill="EBEBEB"/>
          </w:tcPr>
          <w:p>
            <w:pPr>
              <w:spacing w:after="0"/>
              <w:rPr>
                <w:sz w:val="14"/>
                <w:szCs w:val="14"/>
                <w:color w:val="auto"/>
              </w:rPr>
            </w:pPr>
          </w:p>
        </w:tc>
        <w:tc>
          <w:tcPr>
            <w:tcW w:w="800" w:type="dxa"/>
            <w:vAlign w:val="bottom"/>
            <w:shd w:val="clear" w:color="auto" w:fill="EBEBEB"/>
          </w:tcPr>
          <w:p>
            <w:pPr>
              <w:spacing w:after="0"/>
              <w:rPr>
                <w:sz w:val="14"/>
                <w:szCs w:val="14"/>
                <w:color w:val="auto"/>
              </w:rPr>
            </w:pPr>
          </w:p>
        </w:tc>
        <w:tc>
          <w:tcPr>
            <w:tcW w:w="720" w:type="dxa"/>
            <w:vAlign w:val="bottom"/>
            <w:shd w:val="clear" w:color="auto" w:fill="EBEBEB"/>
          </w:tcPr>
          <w:p>
            <w:pPr>
              <w:spacing w:after="0"/>
              <w:rPr>
                <w:sz w:val="14"/>
                <w:szCs w:val="14"/>
                <w:color w:val="auto"/>
              </w:rPr>
            </w:pPr>
          </w:p>
        </w:tc>
        <w:tc>
          <w:tcPr>
            <w:tcW w:w="820" w:type="dxa"/>
            <w:vAlign w:val="bottom"/>
            <w:shd w:val="clear" w:color="auto" w:fill="EBEBEB"/>
          </w:tcPr>
          <w:p>
            <w:pPr>
              <w:spacing w:after="0"/>
              <w:rPr>
                <w:sz w:val="14"/>
                <w:szCs w:val="14"/>
                <w:color w:val="auto"/>
              </w:rPr>
            </w:pPr>
          </w:p>
        </w:tc>
        <w:tc>
          <w:tcPr>
            <w:tcW w:w="880" w:type="dxa"/>
            <w:vAlign w:val="bottom"/>
            <w:shd w:val="clear" w:color="auto" w:fill="EBEBEB"/>
          </w:tcPr>
          <w:p>
            <w:pPr>
              <w:spacing w:after="0"/>
              <w:rPr>
                <w:sz w:val="14"/>
                <w:szCs w:val="14"/>
                <w:color w:val="auto"/>
              </w:rPr>
            </w:pPr>
          </w:p>
        </w:tc>
        <w:tc>
          <w:tcPr>
            <w:tcW w:w="1360" w:type="dxa"/>
            <w:vAlign w:val="bottom"/>
            <w:shd w:val="clear" w:color="auto" w:fill="EBEBEB"/>
          </w:tcPr>
          <w:p>
            <w:pPr>
              <w:spacing w:after="0"/>
              <w:rPr>
                <w:sz w:val="14"/>
                <w:szCs w:val="14"/>
                <w:color w:val="auto"/>
              </w:rPr>
            </w:pPr>
          </w:p>
        </w:tc>
        <w:tc>
          <w:tcPr>
            <w:tcW w:w="1440" w:type="dxa"/>
            <w:vAlign w:val="bottom"/>
            <w:shd w:val="clear" w:color="auto" w:fill="EBEBEB"/>
          </w:tcPr>
          <w:p>
            <w:pPr>
              <w:spacing w:after="0"/>
              <w:rPr>
                <w:sz w:val="14"/>
                <w:szCs w:val="14"/>
                <w:color w:val="auto"/>
              </w:rPr>
            </w:pPr>
          </w:p>
        </w:tc>
        <w:tc>
          <w:tcPr>
            <w:tcW w:w="96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EBEBEB"/>
          </w:tcPr>
          <w:p>
            <w:pPr>
              <w:ind w:left="16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EBEBEB"/>
          </w:tcPr>
          <w:p>
            <w:pPr>
              <w:spacing w:after="0"/>
              <w:rPr>
                <w:sz w:val="16"/>
                <w:szCs w:val="16"/>
                <w:color w:val="auto"/>
              </w:rPr>
            </w:pPr>
          </w:p>
        </w:tc>
        <w:tc>
          <w:tcPr>
            <w:tcW w:w="480" w:type="dxa"/>
            <w:vAlign w:val="bottom"/>
            <w:gridSpan w:val="2"/>
            <w:vMerge w:val="restart"/>
            <w:shd w:val="clear" w:color="auto" w:fill="EBEBEB"/>
          </w:tcPr>
          <w:p>
            <w:pPr>
              <w:ind w:left="20"/>
              <w:spacing w:after="0"/>
              <w:rPr>
                <w:sz w:val="20"/>
                <w:szCs w:val="20"/>
                <w:color w:val="auto"/>
              </w:rPr>
            </w:pPr>
            <w:r>
              <w:rPr>
                <w:rFonts w:ascii="Arial" w:cs="Arial" w:eastAsia="Arial" w:hAnsi="Arial"/>
                <w:sz w:val="14"/>
                <w:szCs w:val="14"/>
                <w:color w:val="auto"/>
              </w:rPr>
              <w:t>2023</w:t>
            </w:r>
          </w:p>
        </w:tc>
        <w:tc>
          <w:tcPr>
            <w:tcW w:w="800" w:type="dxa"/>
            <w:vAlign w:val="bottom"/>
            <w:vMerge w:val="restart"/>
            <w:shd w:val="clear" w:color="auto" w:fill="EBEBEB"/>
          </w:tcPr>
          <w:p>
            <w:pPr>
              <w:jc w:val="right"/>
              <w:ind w:right="47"/>
              <w:spacing w:after="0"/>
              <w:rPr>
                <w:sz w:val="20"/>
                <w:szCs w:val="20"/>
                <w:color w:val="auto"/>
              </w:rPr>
            </w:pPr>
            <w:r>
              <w:rPr>
                <w:rFonts w:ascii="Arial" w:cs="Arial" w:eastAsia="Arial" w:hAnsi="Arial"/>
                <w:sz w:val="14"/>
                <w:szCs w:val="14"/>
                <w:color w:val="auto"/>
              </w:rPr>
              <w:t>585,000</w:t>
            </w:r>
          </w:p>
        </w:tc>
        <w:tc>
          <w:tcPr>
            <w:tcW w:w="720" w:type="dxa"/>
            <w:vAlign w:val="bottom"/>
            <w:vMerge w:val="restart"/>
            <w:shd w:val="clear" w:color="auto" w:fill="EBEBEB"/>
          </w:tcPr>
          <w:p>
            <w:pPr>
              <w:jc w:val="right"/>
              <w:ind w:right="47"/>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EBEBEB"/>
          </w:tcPr>
          <w:p>
            <w:pPr>
              <w:jc w:val="right"/>
              <w:ind w:right="46"/>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BEBEB"/>
          </w:tcPr>
          <w:p>
            <w:pPr>
              <w:jc w:val="right"/>
              <w:ind w:right="46"/>
              <w:spacing w:after="0"/>
              <w:rPr>
                <w:sz w:val="20"/>
                <w:szCs w:val="20"/>
                <w:color w:val="auto"/>
              </w:rPr>
            </w:pPr>
            <w:r>
              <w:rPr>
                <w:rFonts w:ascii="Arial" w:cs="Arial" w:eastAsia="Arial" w:hAnsi="Arial"/>
                <w:sz w:val="14"/>
                <w:szCs w:val="14"/>
                <w:color w:val="auto"/>
              </w:rPr>
              <w:t>1,378,860</w:t>
            </w:r>
          </w:p>
        </w:tc>
        <w:tc>
          <w:tcPr>
            <w:tcW w:w="1360" w:type="dxa"/>
            <w:vAlign w:val="bottom"/>
            <w:vMerge w:val="restart"/>
            <w:shd w:val="clear" w:color="auto" w:fill="EBEBEB"/>
          </w:tcPr>
          <w:p>
            <w:pPr>
              <w:jc w:val="right"/>
              <w:ind w:right="45"/>
              <w:spacing w:after="0"/>
              <w:rPr>
                <w:sz w:val="20"/>
                <w:szCs w:val="20"/>
                <w:color w:val="auto"/>
              </w:rPr>
            </w:pPr>
            <w:r>
              <w:rPr>
                <w:rFonts w:ascii="Arial" w:cs="Arial" w:eastAsia="Arial" w:hAnsi="Arial"/>
                <w:sz w:val="14"/>
                <w:szCs w:val="14"/>
                <w:color w:val="auto"/>
              </w:rPr>
              <w:t>297,619</w:t>
            </w:r>
          </w:p>
        </w:tc>
        <w:tc>
          <w:tcPr>
            <w:tcW w:w="1440" w:type="dxa"/>
            <w:vAlign w:val="bottom"/>
            <w:vMerge w:val="restart"/>
            <w:shd w:val="clear" w:color="auto" w:fill="EBEBEB"/>
          </w:tcPr>
          <w:p>
            <w:pPr>
              <w:jc w:val="right"/>
              <w:ind w:right="147"/>
              <w:spacing w:after="0"/>
              <w:rPr>
                <w:sz w:val="20"/>
                <w:szCs w:val="20"/>
                <w:color w:val="auto"/>
              </w:rPr>
            </w:pPr>
            <w:r>
              <w:rPr>
                <w:rFonts w:ascii="Arial" w:cs="Arial" w:eastAsia="Arial" w:hAnsi="Arial"/>
                <w:sz w:val="14"/>
                <w:szCs w:val="14"/>
                <w:color w:val="auto"/>
              </w:rPr>
              <w:t>15,058</w:t>
            </w:r>
            <w:r>
              <w:rPr>
                <w:rFonts w:ascii="Arial" w:cs="Arial" w:eastAsia="Arial" w:hAnsi="Arial"/>
                <w:sz w:val="23"/>
                <w:szCs w:val="23"/>
                <w:color w:val="auto"/>
                <w:vertAlign w:val="superscript"/>
              </w:rPr>
              <w:t>(4)</w:t>
            </w:r>
          </w:p>
        </w:tc>
        <w:tc>
          <w:tcPr>
            <w:tcW w:w="960" w:type="dxa"/>
            <w:vAlign w:val="bottom"/>
            <w:vMerge w:val="restart"/>
            <w:shd w:val="clear" w:color="auto" w:fill="EBEBEB"/>
          </w:tcPr>
          <w:p>
            <w:pPr>
              <w:jc w:val="right"/>
              <w:ind w:right="27"/>
              <w:spacing w:after="0"/>
              <w:rPr>
                <w:sz w:val="20"/>
                <w:szCs w:val="20"/>
                <w:color w:val="auto"/>
              </w:rPr>
            </w:pPr>
            <w:r>
              <w:rPr>
                <w:rFonts w:ascii="Arial" w:cs="Arial" w:eastAsia="Arial" w:hAnsi="Arial"/>
                <w:sz w:val="14"/>
                <w:szCs w:val="14"/>
                <w:color w:val="auto"/>
              </w:rPr>
              <w:t>2,276,537</w:t>
            </w:r>
          </w:p>
        </w:tc>
        <w:tc>
          <w:tcPr>
            <w:tcW w:w="0" w:type="dxa"/>
            <w:vAlign w:val="bottom"/>
          </w:tcPr>
          <w:p>
            <w:pPr>
              <w:spacing w:after="0"/>
              <w:rPr>
                <w:sz w:val="1"/>
                <w:szCs w:val="1"/>
                <w:color w:val="auto"/>
              </w:rPr>
            </w:pPr>
          </w:p>
        </w:tc>
      </w:tr>
      <w:tr>
        <w:trPr>
          <w:trHeight w:val="174"/>
        </w:trPr>
        <w:tc>
          <w:tcPr>
            <w:tcW w:w="1820" w:type="dxa"/>
            <w:vAlign w:val="bottom"/>
            <w:shd w:val="clear" w:color="auto" w:fill="EBEBEB"/>
          </w:tcPr>
          <w:p>
            <w:pPr>
              <w:spacing w:after="0"/>
              <w:rPr>
                <w:sz w:val="15"/>
                <w:szCs w:val="15"/>
                <w:color w:val="auto"/>
              </w:rPr>
            </w:pPr>
          </w:p>
        </w:tc>
        <w:tc>
          <w:tcPr>
            <w:tcW w:w="120" w:type="dxa"/>
            <w:vAlign w:val="bottom"/>
            <w:shd w:val="clear" w:color="auto" w:fill="EBEBEB"/>
          </w:tcPr>
          <w:p>
            <w:pPr>
              <w:spacing w:after="0"/>
              <w:rPr>
                <w:sz w:val="15"/>
                <w:szCs w:val="15"/>
                <w:color w:val="auto"/>
              </w:rPr>
            </w:pPr>
          </w:p>
        </w:tc>
        <w:tc>
          <w:tcPr>
            <w:tcW w:w="480" w:type="dxa"/>
            <w:vAlign w:val="bottom"/>
            <w:gridSpan w:val="2"/>
            <w:vMerge w:val="continue"/>
            <w:shd w:val="clear" w:color="auto" w:fill="EBEBEB"/>
          </w:tcPr>
          <w:p>
            <w:pPr>
              <w:spacing w:after="0"/>
              <w:rPr>
                <w:sz w:val="15"/>
                <w:szCs w:val="15"/>
                <w:color w:val="auto"/>
              </w:rPr>
            </w:pPr>
          </w:p>
        </w:tc>
        <w:tc>
          <w:tcPr>
            <w:tcW w:w="800" w:type="dxa"/>
            <w:vAlign w:val="bottom"/>
            <w:vMerge w:val="continue"/>
            <w:shd w:val="clear" w:color="auto" w:fill="EBEBEB"/>
          </w:tcPr>
          <w:p>
            <w:pPr>
              <w:spacing w:after="0"/>
              <w:rPr>
                <w:sz w:val="15"/>
                <w:szCs w:val="15"/>
                <w:color w:val="auto"/>
              </w:rPr>
            </w:pPr>
          </w:p>
        </w:tc>
        <w:tc>
          <w:tcPr>
            <w:tcW w:w="720" w:type="dxa"/>
            <w:vAlign w:val="bottom"/>
            <w:vMerge w:val="continue"/>
            <w:shd w:val="clear" w:color="auto" w:fill="EBEBEB"/>
          </w:tcPr>
          <w:p>
            <w:pPr>
              <w:spacing w:after="0"/>
              <w:rPr>
                <w:sz w:val="15"/>
                <w:szCs w:val="15"/>
                <w:color w:val="auto"/>
              </w:rPr>
            </w:pPr>
          </w:p>
        </w:tc>
        <w:tc>
          <w:tcPr>
            <w:tcW w:w="820" w:type="dxa"/>
            <w:vAlign w:val="bottom"/>
            <w:vMerge w:val="continue"/>
            <w:shd w:val="clear" w:color="auto" w:fill="EBEBEB"/>
          </w:tcPr>
          <w:p>
            <w:pPr>
              <w:spacing w:after="0"/>
              <w:rPr>
                <w:sz w:val="15"/>
                <w:szCs w:val="15"/>
                <w:color w:val="auto"/>
              </w:rPr>
            </w:pPr>
          </w:p>
        </w:tc>
        <w:tc>
          <w:tcPr>
            <w:tcW w:w="880" w:type="dxa"/>
            <w:vAlign w:val="bottom"/>
            <w:vMerge w:val="continue"/>
            <w:shd w:val="clear" w:color="auto" w:fill="EBEBEB"/>
          </w:tcPr>
          <w:p>
            <w:pPr>
              <w:spacing w:after="0"/>
              <w:rPr>
                <w:sz w:val="15"/>
                <w:szCs w:val="15"/>
                <w:color w:val="auto"/>
              </w:rPr>
            </w:pPr>
          </w:p>
        </w:tc>
        <w:tc>
          <w:tcPr>
            <w:tcW w:w="1360" w:type="dxa"/>
            <w:vAlign w:val="bottom"/>
            <w:vMerge w:val="continue"/>
            <w:shd w:val="clear" w:color="auto" w:fill="EBEBEB"/>
          </w:tcPr>
          <w:p>
            <w:pPr>
              <w:spacing w:after="0"/>
              <w:rPr>
                <w:sz w:val="15"/>
                <w:szCs w:val="15"/>
                <w:color w:val="auto"/>
              </w:rPr>
            </w:pPr>
          </w:p>
        </w:tc>
        <w:tc>
          <w:tcPr>
            <w:tcW w:w="1440" w:type="dxa"/>
            <w:vAlign w:val="bottom"/>
            <w:vMerge w:val="continue"/>
            <w:shd w:val="clear" w:color="auto" w:fill="EBEBEB"/>
          </w:tcPr>
          <w:p>
            <w:pPr>
              <w:spacing w:after="0"/>
              <w:rPr>
                <w:sz w:val="15"/>
                <w:szCs w:val="15"/>
                <w:color w:val="auto"/>
              </w:rPr>
            </w:pPr>
          </w:p>
        </w:tc>
        <w:tc>
          <w:tcPr>
            <w:tcW w:w="960" w:type="dxa"/>
            <w:vAlign w:val="bottom"/>
            <w:vMerge w:val="continue"/>
            <w:shd w:val="clear" w:color="auto" w:fill="EBEBEB"/>
          </w:tcPr>
          <w:p>
            <w:pPr>
              <w:spacing w:after="0"/>
              <w:rPr>
                <w:sz w:val="15"/>
                <w:szCs w:val="15"/>
                <w:color w:val="auto"/>
              </w:rPr>
            </w:pPr>
          </w:p>
        </w:tc>
        <w:tc>
          <w:tcPr>
            <w:tcW w:w="0" w:type="dxa"/>
            <w:vAlign w:val="bottom"/>
          </w:tcPr>
          <w:p>
            <w:pPr>
              <w:spacing w:after="0"/>
              <w:rPr>
                <w:sz w:val="1"/>
                <w:szCs w:val="1"/>
                <w:color w:val="auto"/>
              </w:rPr>
            </w:pPr>
          </w:p>
        </w:tc>
      </w:tr>
      <w:tr>
        <w:trPr>
          <w:trHeight w:val="477"/>
        </w:trPr>
        <w:tc>
          <w:tcPr>
            <w:tcW w:w="1820" w:type="dxa"/>
            <w:vAlign w:val="bottom"/>
          </w:tcPr>
          <w:p>
            <w:pPr>
              <w:ind w:left="160"/>
              <w:spacing w:after="0"/>
              <w:rPr>
                <w:sz w:val="20"/>
                <w:szCs w:val="20"/>
                <w:color w:val="auto"/>
              </w:rPr>
            </w:pPr>
            <w:r>
              <w:rPr>
                <w:rFonts w:ascii="Arial" w:cs="Arial" w:eastAsia="Arial" w:hAnsi="Arial"/>
                <w:sz w:val="14"/>
                <w:szCs w:val="14"/>
                <w:b w:val="1"/>
                <w:bCs w:val="1"/>
                <w:color w:val="auto"/>
              </w:rPr>
              <w:t>Kevin Church, Ph.D.,</w:t>
            </w:r>
          </w:p>
        </w:tc>
        <w:tc>
          <w:tcPr>
            <w:tcW w:w="600" w:type="dxa"/>
            <w:vAlign w:val="bottom"/>
            <w:gridSpan w:val="3"/>
          </w:tcPr>
          <w:p>
            <w:pPr>
              <w:ind w:left="140"/>
              <w:spacing w:after="0"/>
              <w:rPr>
                <w:sz w:val="20"/>
                <w:szCs w:val="20"/>
                <w:color w:val="auto"/>
              </w:rPr>
            </w:pPr>
            <w:r>
              <w:rPr>
                <w:rFonts w:ascii="Arial" w:cs="Arial" w:eastAsia="Arial" w:hAnsi="Arial"/>
                <w:sz w:val="14"/>
                <w:szCs w:val="14"/>
                <w:color w:val="auto"/>
              </w:rPr>
              <w:t>2024</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450,000</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6"/>
              <w:spacing w:after="0"/>
              <w:rPr>
                <w:sz w:val="20"/>
                <w:szCs w:val="20"/>
                <w:color w:val="auto"/>
              </w:rPr>
            </w:pPr>
            <w:r>
              <w:rPr>
                <w:rFonts w:ascii="Arial" w:cs="Arial" w:eastAsia="Arial" w:hAnsi="Arial"/>
                <w:sz w:val="14"/>
                <w:szCs w:val="14"/>
                <w:color w:val="auto"/>
              </w:rPr>
              <w:t>49,489</w:t>
            </w:r>
          </w:p>
        </w:tc>
        <w:tc>
          <w:tcPr>
            <w:tcW w:w="880" w:type="dxa"/>
            <w:vAlign w:val="bottom"/>
          </w:tcPr>
          <w:p>
            <w:pPr>
              <w:jc w:val="right"/>
              <w:ind w:right="46"/>
              <w:spacing w:after="0"/>
              <w:rPr>
                <w:sz w:val="20"/>
                <w:szCs w:val="20"/>
                <w:color w:val="auto"/>
              </w:rPr>
            </w:pPr>
            <w:r>
              <w:rPr>
                <w:rFonts w:ascii="Arial" w:cs="Arial" w:eastAsia="Arial" w:hAnsi="Arial"/>
                <w:sz w:val="14"/>
                <w:szCs w:val="14"/>
                <w:color w:val="auto"/>
              </w:rPr>
              <w:t>606,498</w:t>
            </w:r>
          </w:p>
        </w:tc>
        <w:tc>
          <w:tcPr>
            <w:tcW w:w="1360" w:type="dxa"/>
            <w:vAlign w:val="bottom"/>
          </w:tcPr>
          <w:p>
            <w:pPr>
              <w:jc w:val="right"/>
              <w:ind w:right="45"/>
              <w:spacing w:after="0"/>
              <w:rPr>
                <w:sz w:val="20"/>
                <w:szCs w:val="20"/>
                <w:color w:val="auto"/>
              </w:rPr>
            </w:pPr>
            <w:r>
              <w:rPr>
                <w:rFonts w:ascii="Arial" w:cs="Arial" w:eastAsia="Arial" w:hAnsi="Arial"/>
                <w:sz w:val="14"/>
                <w:szCs w:val="14"/>
                <w:color w:val="auto"/>
              </w:rPr>
              <w:t>207,000</w:t>
            </w:r>
          </w:p>
        </w:tc>
        <w:tc>
          <w:tcPr>
            <w:tcW w:w="1440" w:type="dxa"/>
            <w:vAlign w:val="bottom"/>
          </w:tcPr>
          <w:p>
            <w:pPr>
              <w:jc w:val="right"/>
              <w:ind w:right="147"/>
              <w:spacing w:after="0"/>
              <w:rPr>
                <w:sz w:val="20"/>
                <w:szCs w:val="20"/>
                <w:color w:val="auto"/>
              </w:rPr>
            </w:pPr>
            <w:r>
              <w:rPr>
                <w:rFonts w:ascii="Arial" w:cs="Arial" w:eastAsia="Arial" w:hAnsi="Arial"/>
                <w:sz w:val="14"/>
                <w:szCs w:val="14"/>
                <w:color w:val="auto"/>
              </w:rPr>
              <w:t>23,085</w:t>
            </w:r>
            <w:r>
              <w:rPr>
                <w:rFonts w:ascii="Arial" w:cs="Arial" w:eastAsia="Arial" w:hAnsi="Arial"/>
                <w:sz w:val="23"/>
                <w:szCs w:val="23"/>
                <w:color w:val="auto"/>
                <w:vertAlign w:val="superscript"/>
              </w:rPr>
              <w:t>(4)</w:t>
            </w: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1,336,071</w:t>
            </w:r>
          </w:p>
        </w:tc>
        <w:tc>
          <w:tcPr>
            <w:tcW w:w="0" w:type="dxa"/>
            <w:vAlign w:val="bottom"/>
          </w:tcPr>
          <w:p>
            <w:pPr>
              <w:spacing w:after="0"/>
              <w:rPr>
                <w:sz w:val="1"/>
                <w:szCs w:val="1"/>
                <w:color w:val="auto"/>
              </w:rPr>
            </w:pPr>
          </w:p>
        </w:tc>
      </w:tr>
      <w:tr>
        <w:trPr>
          <w:trHeight w:val="190"/>
        </w:trPr>
        <w:tc>
          <w:tcPr>
            <w:tcW w:w="1820" w:type="dxa"/>
            <w:vAlign w:val="bottom"/>
          </w:tcPr>
          <w:p>
            <w:pPr>
              <w:ind w:left="160"/>
              <w:spacing w:after="0"/>
              <w:rPr>
                <w:sz w:val="20"/>
                <w:szCs w:val="20"/>
                <w:color w:val="auto"/>
              </w:rPr>
            </w:pPr>
            <w:r>
              <w:rPr>
                <w:rFonts w:ascii="Arial" w:cs="Arial" w:eastAsia="Arial" w:hAnsi="Arial"/>
                <w:sz w:val="14"/>
                <w:szCs w:val="14"/>
                <w:color w:val="auto"/>
              </w:rPr>
              <w:t>Chief Scientific Officer</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1820" w:type="dxa"/>
            <w:vAlign w:val="bottom"/>
          </w:tcPr>
          <w:p>
            <w:pPr>
              <w:spacing w:after="0"/>
              <w:rPr>
                <w:sz w:val="24"/>
                <w:szCs w:val="24"/>
                <w:color w:val="auto"/>
              </w:rPr>
            </w:pPr>
          </w:p>
        </w:tc>
        <w:tc>
          <w:tcPr>
            <w:tcW w:w="600" w:type="dxa"/>
            <w:vAlign w:val="bottom"/>
            <w:gridSpan w:val="3"/>
          </w:tcPr>
          <w:p>
            <w:pPr>
              <w:ind w:left="140"/>
              <w:spacing w:after="0"/>
              <w:rPr>
                <w:sz w:val="20"/>
                <w:szCs w:val="20"/>
                <w:color w:val="auto"/>
              </w:rPr>
            </w:pPr>
            <w:r>
              <w:rPr>
                <w:rFonts w:ascii="Arial" w:cs="Arial" w:eastAsia="Arial" w:hAnsi="Arial"/>
                <w:sz w:val="14"/>
                <w:szCs w:val="14"/>
                <w:color w:val="auto"/>
              </w:rPr>
              <w:t>2023</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420,000</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6"/>
              <w:spacing w:after="0"/>
              <w:rPr>
                <w:sz w:val="20"/>
                <w:szCs w:val="20"/>
                <w:color w:val="auto"/>
              </w:rPr>
            </w:pPr>
            <w:r>
              <w:rPr>
                <w:rFonts w:ascii="Arial" w:cs="Arial" w:eastAsia="Arial" w:hAnsi="Arial"/>
                <w:sz w:val="14"/>
                <w:szCs w:val="14"/>
                <w:color w:val="auto"/>
              </w:rPr>
              <w:t>399,000</w:t>
            </w:r>
          </w:p>
        </w:tc>
        <w:tc>
          <w:tcPr>
            <w:tcW w:w="1360" w:type="dxa"/>
            <w:vAlign w:val="bottom"/>
          </w:tcPr>
          <w:p>
            <w:pPr>
              <w:jc w:val="right"/>
              <w:ind w:right="45"/>
              <w:spacing w:after="0"/>
              <w:rPr>
                <w:sz w:val="20"/>
                <w:szCs w:val="20"/>
                <w:color w:val="auto"/>
              </w:rPr>
            </w:pPr>
            <w:r>
              <w:rPr>
                <w:rFonts w:ascii="Arial" w:cs="Arial" w:eastAsia="Arial" w:hAnsi="Arial"/>
                <w:sz w:val="14"/>
                <w:szCs w:val="14"/>
                <w:color w:val="auto"/>
              </w:rPr>
              <w:t>155,400</w:t>
            </w:r>
          </w:p>
        </w:tc>
        <w:tc>
          <w:tcPr>
            <w:tcW w:w="1440" w:type="dxa"/>
            <w:vAlign w:val="bottom"/>
          </w:tcPr>
          <w:p>
            <w:pPr>
              <w:jc w:val="right"/>
              <w:ind w:right="147"/>
              <w:spacing w:after="0"/>
              <w:rPr>
                <w:sz w:val="20"/>
                <w:szCs w:val="20"/>
                <w:color w:val="auto"/>
              </w:rPr>
            </w:pPr>
            <w:r>
              <w:rPr>
                <w:rFonts w:ascii="Arial" w:cs="Arial" w:eastAsia="Arial" w:hAnsi="Arial"/>
                <w:sz w:val="14"/>
                <w:szCs w:val="14"/>
                <w:color w:val="auto"/>
              </w:rPr>
              <w:t>17,485</w:t>
            </w:r>
            <w:r>
              <w:rPr>
                <w:rFonts w:ascii="Arial" w:cs="Arial" w:eastAsia="Arial" w:hAnsi="Arial"/>
                <w:sz w:val="23"/>
                <w:szCs w:val="23"/>
                <w:color w:val="auto"/>
                <w:vertAlign w:val="superscript"/>
              </w:rPr>
              <w:t>(4)</w:t>
            </w: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991,884</w:t>
            </w:r>
          </w:p>
        </w:tc>
        <w:tc>
          <w:tcPr>
            <w:tcW w:w="0" w:type="dxa"/>
            <w:vAlign w:val="bottom"/>
          </w:tcPr>
          <w:p>
            <w:pPr>
              <w:spacing w:after="0"/>
              <w:rPr>
                <w:sz w:val="1"/>
                <w:szCs w:val="1"/>
                <w:color w:val="auto"/>
              </w:rPr>
            </w:pPr>
          </w:p>
        </w:tc>
      </w:tr>
      <w:tr>
        <w:trPr>
          <w:trHeight w:val="378"/>
        </w:trPr>
        <w:tc>
          <w:tcPr>
            <w:tcW w:w="1820" w:type="dxa"/>
            <w:vAlign w:val="bottom"/>
            <w:shd w:val="clear" w:color="auto" w:fill="EBEBEB"/>
          </w:tcPr>
          <w:p>
            <w:pPr>
              <w:ind w:left="160"/>
              <w:spacing w:after="0"/>
              <w:rPr>
                <w:sz w:val="20"/>
                <w:szCs w:val="20"/>
                <w:color w:val="auto"/>
              </w:rPr>
            </w:pPr>
            <w:r>
              <w:rPr>
                <w:rFonts w:ascii="Arial" w:cs="Arial" w:eastAsia="Arial" w:hAnsi="Arial"/>
                <w:sz w:val="14"/>
                <w:szCs w:val="14"/>
                <w:b w:val="1"/>
                <w:bCs w:val="1"/>
                <w:color w:val="auto"/>
              </w:rPr>
              <w:t>Mark Worthington,</w:t>
            </w:r>
          </w:p>
        </w:tc>
        <w:tc>
          <w:tcPr>
            <w:tcW w:w="120" w:type="dxa"/>
            <w:vAlign w:val="bottom"/>
            <w:shd w:val="clear" w:color="auto" w:fill="EBEBEB"/>
          </w:tcPr>
          <w:p>
            <w:pPr>
              <w:spacing w:after="0"/>
              <w:rPr>
                <w:sz w:val="24"/>
                <w:szCs w:val="24"/>
                <w:color w:val="auto"/>
              </w:rPr>
            </w:pPr>
          </w:p>
        </w:tc>
        <w:tc>
          <w:tcPr>
            <w:tcW w:w="480" w:type="dxa"/>
            <w:vAlign w:val="bottom"/>
            <w:gridSpan w:val="2"/>
            <w:shd w:val="clear" w:color="auto" w:fill="EBEBEB"/>
          </w:tcPr>
          <w:p>
            <w:pPr>
              <w:ind w:left="20"/>
              <w:spacing w:after="0"/>
              <w:rPr>
                <w:sz w:val="20"/>
                <w:szCs w:val="20"/>
                <w:color w:val="auto"/>
              </w:rPr>
            </w:pPr>
            <w:r>
              <w:rPr>
                <w:rFonts w:ascii="Arial" w:cs="Arial" w:eastAsia="Arial" w:hAnsi="Arial"/>
                <w:sz w:val="14"/>
                <w:szCs w:val="14"/>
                <w:color w:val="auto"/>
              </w:rPr>
              <w:t>2024</w:t>
            </w:r>
          </w:p>
        </w:tc>
        <w:tc>
          <w:tcPr>
            <w:tcW w:w="80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450,000</w:t>
            </w:r>
          </w:p>
        </w:tc>
        <w:tc>
          <w:tcPr>
            <w:tcW w:w="72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w:t>
            </w:r>
          </w:p>
        </w:tc>
        <w:tc>
          <w:tcPr>
            <w:tcW w:w="820" w:type="dxa"/>
            <w:vAlign w:val="bottom"/>
            <w:shd w:val="clear" w:color="auto" w:fill="EBEBEB"/>
          </w:tcPr>
          <w:p>
            <w:pPr>
              <w:jc w:val="right"/>
              <w:ind w:right="46"/>
              <w:spacing w:after="0"/>
              <w:rPr>
                <w:sz w:val="20"/>
                <w:szCs w:val="20"/>
                <w:color w:val="auto"/>
              </w:rPr>
            </w:pPr>
            <w:r>
              <w:rPr>
                <w:rFonts w:ascii="Arial" w:cs="Arial" w:eastAsia="Arial" w:hAnsi="Arial"/>
                <w:sz w:val="14"/>
                <w:szCs w:val="14"/>
                <w:color w:val="auto"/>
              </w:rPr>
              <w:t>49,489</w:t>
            </w:r>
          </w:p>
        </w:tc>
        <w:tc>
          <w:tcPr>
            <w:tcW w:w="880" w:type="dxa"/>
            <w:vAlign w:val="bottom"/>
            <w:shd w:val="clear" w:color="auto" w:fill="EBEBEB"/>
          </w:tcPr>
          <w:p>
            <w:pPr>
              <w:jc w:val="right"/>
              <w:ind w:right="46"/>
              <w:spacing w:after="0"/>
              <w:rPr>
                <w:sz w:val="20"/>
                <w:szCs w:val="20"/>
                <w:color w:val="auto"/>
              </w:rPr>
            </w:pPr>
            <w:r>
              <w:rPr>
                <w:rFonts w:ascii="Arial" w:cs="Arial" w:eastAsia="Arial" w:hAnsi="Arial"/>
                <w:sz w:val="14"/>
                <w:szCs w:val="14"/>
                <w:color w:val="auto"/>
              </w:rPr>
              <w:t>606,498</w:t>
            </w:r>
          </w:p>
        </w:tc>
        <w:tc>
          <w:tcPr>
            <w:tcW w:w="1360" w:type="dxa"/>
            <w:vAlign w:val="bottom"/>
            <w:shd w:val="clear" w:color="auto" w:fill="EBEBEB"/>
          </w:tcPr>
          <w:p>
            <w:pPr>
              <w:jc w:val="right"/>
              <w:ind w:right="45"/>
              <w:spacing w:after="0"/>
              <w:rPr>
                <w:sz w:val="20"/>
                <w:szCs w:val="20"/>
                <w:color w:val="auto"/>
              </w:rPr>
            </w:pPr>
            <w:r>
              <w:rPr>
                <w:rFonts w:ascii="Arial" w:cs="Arial" w:eastAsia="Arial" w:hAnsi="Arial"/>
                <w:sz w:val="14"/>
                <w:szCs w:val="14"/>
                <w:color w:val="auto"/>
              </w:rPr>
              <w:t>207,000</w:t>
            </w:r>
          </w:p>
        </w:tc>
        <w:tc>
          <w:tcPr>
            <w:tcW w:w="1440" w:type="dxa"/>
            <w:vAlign w:val="bottom"/>
            <w:shd w:val="clear" w:color="auto" w:fill="EBEBEB"/>
          </w:tcPr>
          <w:p>
            <w:pPr>
              <w:jc w:val="right"/>
              <w:ind w:right="147"/>
              <w:spacing w:after="0"/>
              <w:rPr>
                <w:sz w:val="20"/>
                <w:szCs w:val="20"/>
                <w:color w:val="auto"/>
              </w:rPr>
            </w:pPr>
            <w:r>
              <w:rPr>
                <w:rFonts w:ascii="Arial" w:cs="Arial" w:eastAsia="Arial" w:hAnsi="Arial"/>
                <w:sz w:val="14"/>
                <w:szCs w:val="14"/>
                <w:color w:val="auto"/>
              </w:rPr>
              <w:t>24,523</w:t>
            </w:r>
            <w:r>
              <w:rPr>
                <w:rFonts w:ascii="Arial" w:cs="Arial" w:eastAsia="Arial" w:hAnsi="Arial"/>
                <w:sz w:val="23"/>
                <w:szCs w:val="23"/>
                <w:color w:val="auto"/>
                <w:vertAlign w:val="superscript"/>
              </w:rPr>
              <w:t>(4)</w:t>
            </w:r>
          </w:p>
        </w:tc>
        <w:tc>
          <w:tcPr>
            <w:tcW w:w="96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1,337,509</w:t>
            </w:r>
          </w:p>
        </w:tc>
        <w:tc>
          <w:tcPr>
            <w:tcW w:w="0" w:type="dxa"/>
            <w:vAlign w:val="bottom"/>
          </w:tcPr>
          <w:p>
            <w:pPr>
              <w:spacing w:after="0"/>
              <w:rPr>
                <w:sz w:val="1"/>
                <w:szCs w:val="1"/>
                <w:color w:val="auto"/>
              </w:rPr>
            </w:pPr>
          </w:p>
        </w:tc>
      </w:tr>
      <w:tr>
        <w:trPr>
          <w:trHeight w:val="112"/>
        </w:trPr>
        <w:tc>
          <w:tcPr>
            <w:tcW w:w="1820" w:type="dxa"/>
            <w:vAlign w:val="bottom"/>
            <w:shd w:val="clear" w:color="auto" w:fill="EBEBEB"/>
          </w:tcPr>
          <w:p>
            <w:pPr>
              <w:ind w:left="160"/>
              <w:spacing w:after="0" w:line="113" w:lineRule="exact"/>
              <w:rPr>
                <w:sz w:val="20"/>
                <w:szCs w:val="20"/>
                <w:color w:val="auto"/>
              </w:rPr>
            </w:pPr>
            <w:r>
              <w:rPr>
                <w:rFonts w:ascii="Arial" w:cs="Arial" w:eastAsia="Arial" w:hAnsi="Arial"/>
                <w:sz w:val="13"/>
                <w:szCs w:val="13"/>
                <w:color w:val="auto"/>
              </w:rPr>
              <w:t>General Counsel, Chief</w:t>
            </w:r>
          </w:p>
        </w:tc>
        <w:tc>
          <w:tcPr>
            <w:tcW w:w="120" w:type="dxa"/>
            <w:vAlign w:val="bottom"/>
            <w:shd w:val="clear" w:color="auto" w:fill="EBEBEB"/>
          </w:tcPr>
          <w:p>
            <w:pPr>
              <w:spacing w:after="0"/>
              <w:rPr>
                <w:sz w:val="9"/>
                <w:szCs w:val="9"/>
                <w:color w:val="auto"/>
              </w:rPr>
            </w:pPr>
          </w:p>
        </w:tc>
        <w:tc>
          <w:tcPr>
            <w:tcW w:w="340" w:type="dxa"/>
            <w:vAlign w:val="bottom"/>
            <w:shd w:val="clear" w:color="auto" w:fill="EBEBEB"/>
          </w:tcPr>
          <w:p>
            <w:pPr>
              <w:spacing w:after="0"/>
              <w:rPr>
                <w:sz w:val="9"/>
                <w:szCs w:val="9"/>
                <w:color w:val="auto"/>
              </w:rPr>
            </w:pPr>
          </w:p>
        </w:tc>
        <w:tc>
          <w:tcPr>
            <w:tcW w:w="140" w:type="dxa"/>
            <w:vAlign w:val="bottom"/>
            <w:shd w:val="clear" w:color="auto" w:fill="EBEBEB"/>
          </w:tcPr>
          <w:p>
            <w:pPr>
              <w:spacing w:after="0"/>
              <w:rPr>
                <w:sz w:val="9"/>
                <w:szCs w:val="9"/>
                <w:color w:val="auto"/>
              </w:rPr>
            </w:pPr>
          </w:p>
        </w:tc>
        <w:tc>
          <w:tcPr>
            <w:tcW w:w="800" w:type="dxa"/>
            <w:vAlign w:val="bottom"/>
            <w:shd w:val="clear" w:color="auto" w:fill="EBEBEB"/>
          </w:tcPr>
          <w:p>
            <w:pPr>
              <w:spacing w:after="0"/>
              <w:rPr>
                <w:sz w:val="9"/>
                <w:szCs w:val="9"/>
                <w:color w:val="auto"/>
              </w:rPr>
            </w:pPr>
          </w:p>
        </w:tc>
        <w:tc>
          <w:tcPr>
            <w:tcW w:w="720" w:type="dxa"/>
            <w:vAlign w:val="bottom"/>
            <w:shd w:val="clear" w:color="auto" w:fill="EBEBEB"/>
          </w:tcPr>
          <w:p>
            <w:pPr>
              <w:spacing w:after="0"/>
              <w:rPr>
                <w:sz w:val="9"/>
                <w:szCs w:val="9"/>
                <w:color w:val="auto"/>
              </w:rPr>
            </w:pPr>
          </w:p>
        </w:tc>
        <w:tc>
          <w:tcPr>
            <w:tcW w:w="820" w:type="dxa"/>
            <w:vAlign w:val="bottom"/>
            <w:shd w:val="clear" w:color="auto" w:fill="EBEBEB"/>
          </w:tcPr>
          <w:p>
            <w:pPr>
              <w:spacing w:after="0"/>
              <w:rPr>
                <w:sz w:val="9"/>
                <w:szCs w:val="9"/>
                <w:color w:val="auto"/>
              </w:rPr>
            </w:pPr>
          </w:p>
        </w:tc>
        <w:tc>
          <w:tcPr>
            <w:tcW w:w="880" w:type="dxa"/>
            <w:vAlign w:val="bottom"/>
            <w:shd w:val="clear" w:color="auto" w:fill="EBEBEB"/>
          </w:tcPr>
          <w:p>
            <w:pPr>
              <w:spacing w:after="0"/>
              <w:rPr>
                <w:sz w:val="9"/>
                <w:szCs w:val="9"/>
                <w:color w:val="auto"/>
              </w:rPr>
            </w:pPr>
          </w:p>
        </w:tc>
        <w:tc>
          <w:tcPr>
            <w:tcW w:w="1360" w:type="dxa"/>
            <w:vAlign w:val="bottom"/>
            <w:shd w:val="clear" w:color="auto" w:fill="EBEBEB"/>
          </w:tcPr>
          <w:p>
            <w:pPr>
              <w:spacing w:after="0"/>
              <w:rPr>
                <w:sz w:val="9"/>
                <w:szCs w:val="9"/>
                <w:color w:val="auto"/>
              </w:rPr>
            </w:pPr>
          </w:p>
        </w:tc>
        <w:tc>
          <w:tcPr>
            <w:tcW w:w="1440" w:type="dxa"/>
            <w:vAlign w:val="bottom"/>
            <w:shd w:val="clear" w:color="auto" w:fill="EBEBEB"/>
          </w:tcPr>
          <w:p>
            <w:pPr>
              <w:spacing w:after="0"/>
              <w:rPr>
                <w:sz w:val="9"/>
                <w:szCs w:val="9"/>
                <w:color w:val="auto"/>
              </w:rPr>
            </w:pPr>
          </w:p>
        </w:tc>
        <w:tc>
          <w:tcPr>
            <w:tcW w:w="960" w:type="dxa"/>
            <w:vAlign w:val="bottom"/>
            <w:shd w:val="clear" w:color="auto" w:fill="EBEBEB"/>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820" w:type="dxa"/>
            <w:vAlign w:val="bottom"/>
            <w:shd w:val="clear" w:color="auto" w:fill="EBEBEB"/>
          </w:tcPr>
          <w:p>
            <w:pPr>
              <w:ind w:left="160"/>
              <w:spacing w:after="0"/>
              <w:rPr>
                <w:sz w:val="20"/>
                <w:szCs w:val="20"/>
                <w:color w:val="auto"/>
              </w:rPr>
            </w:pPr>
            <w:r>
              <w:rPr>
                <w:rFonts w:ascii="Arial" w:cs="Arial" w:eastAsia="Arial" w:hAnsi="Arial"/>
                <w:sz w:val="14"/>
                <w:szCs w:val="14"/>
                <w:color w:val="auto"/>
              </w:rPr>
              <w:t>Compliance Officer and</w:t>
            </w:r>
          </w:p>
        </w:tc>
        <w:tc>
          <w:tcPr>
            <w:tcW w:w="120" w:type="dxa"/>
            <w:vAlign w:val="bottom"/>
            <w:shd w:val="clear" w:color="auto" w:fill="EBEBEB"/>
          </w:tcPr>
          <w:p>
            <w:pPr>
              <w:spacing w:after="0"/>
              <w:rPr>
                <w:sz w:val="14"/>
                <w:szCs w:val="14"/>
                <w:color w:val="auto"/>
              </w:rPr>
            </w:pPr>
          </w:p>
        </w:tc>
        <w:tc>
          <w:tcPr>
            <w:tcW w:w="340" w:type="dxa"/>
            <w:vAlign w:val="bottom"/>
            <w:shd w:val="clear" w:color="auto" w:fill="EBEBEB"/>
          </w:tcPr>
          <w:p>
            <w:pPr>
              <w:spacing w:after="0"/>
              <w:rPr>
                <w:sz w:val="14"/>
                <w:szCs w:val="14"/>
                <w:color w:val="auto"/>
              </w:rPr>
            </w:pPr>
          </w:p>
        </w:tc>
        <w:tc>
          <w:tcPr>
            <w:tcW w:w="140" w:type="dxa"/>
            <w:vAlign w:val="bottom"/>
            <w:shd w:val="clear" w:color="auto" w:fill="EBEBEB"/>
          </w:tcPr>
          <w:p>
            <w:pPr>
              <w:spacing w:after="0"/>
              <w:rPr>
                <w:sz w:val="14"/>
                <w:szCs w:val="14"/>
                <w:color w:val="auto"/>
              </w:rPr>
            </w:pPr>
          </w:p>
        </w:tc>
        <w:tc>
          <w:tcPr>
            <w:tcW w:w="800" w:type="dxa"/>
            <w:vAlign w:val="bottom"/>
            <w:shd w:val="clear" w:color="auto" w:fill="EBEBEB"/>
          </w:tcPr>
          <w:p>
            <w:pPr>
              <w:spacing w:after="0"/>
              <w:rPr>
                <w:sz w:val="14"/>
                <w:szCs w:val="14"/>
                <w:color w:val="auto"/>
              </w:rPr>
            </w:pPr>
          </w:p>
        </w:tc>
        <w:tc>
          <w:tcPr>
            <w:tcW w:w="720" w:type="dxa"/>
            <w:vAlign w:val="bottom"/>
            <w:shd w:val="clear" w:color="auto" w:fill="EBEBEB"/>
          </w:tcPr>
          <w:p>
            <w:pPr>
              <w:spacing w:after="0"/>
              <w:rPr>
                <w:sz w:val="14"/>
                <w:szCs w:val="14"/>
                <w:color w:val="auto"/>
              </w:rPr>
            </w:pPr>
          </w:p>
        </w:tc>
        <w:tc>
          <w:tcPr>
            <w:tcW w:w="820" w:type="dxa"/>
            <w:vAlign w:val="bottom"/>
            <w:shd w:val="clear" w:color="auto" w:fill="EBEBEB"/>
          </w:tcPr>
          <w:p>
            <w:pPr>
              <w:spacing w:after="0"/>
              <w:rPr>
                <w:sz w:val="14"/>
                <w:szCs w:val="14"/>
                <w:color w:val="auto"/>
              </w:rPr>
            </w:pPr>
          </w:p>
        </w:tc>
        <w:tc>
          <w:tcPr>
            <w:tcW w:w="880" w:type="dxa"/>
            <w:vAlign w:val="bottom"/>
            <w:shd w:val="clear" w:color="auto" w:fill="EBEBEB"/>
          </w:tcPr>
          <w:p>
            <w:pPr>
              <w:spacing w:after="0"/>
              <w:rPr>
                <w:sz w:val="14"/>
                <w:szCs w:val="14"/>
                <w:color w:val="auto"/>
              </w:rPr>
            </w:pPr>
          </w:p>
        </w:tc>
        <w:tc>
          <w:tcPr>
            <w:tcW w:w="1360" w:type="dxa"/>
            <w:vAlign w:val="bottom"/>
            <w:shd w:val="clear" w:color="auto" w:fill="EBEBEB"/>
          </w:tcPr>
          <w:p>
            <w:pPr>
              <w:spacing w:after="0"/>
              <w:rPr>
                <w:sz w:val="14"/>
                <w:szCs w:val="14"/>
                <w:color w:val="auto"/>
              </w:rPr>
            </w:pPr>
          </w:p>
        </w:tc>
        <w:tc>
          <w:tcPr>
            <w:tcW w:w="1440" w:type="dxa"/>
            <w:vAlign w:val="bottom"/>
            <w:shd w:val="clear" w:color="auto" w:fill="EBEBEB"/>
          </w:tcPr>
          <w:p>
            <w:pPr>
              <w:spacing w:after="0"/>
              <w:rPr>
                <w:sz w:val="14"/>
                <w:szCs w:val="14"/>
                <w:color w:val="auto"/>
              </w:rPr>
            </w:pPr>
          </w:p>
        </w:tc>
        <w:tc>
          <w:tcPr>
            <w:tcW w:w="96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EBEBEB"/>
          </w:tcPr>
          <w:p>
            <w:pPr>
              <w:ind w:left="160"/>
              <w:spacing w:after="0"/>
              <w:rPr>
                <w:sz w:val="20"/>
                <w:szCs w:val="20"/>
                <w:color w:val="auto"/>
              </w:rPr>
            </w:pPr>
            <w:r>
              <w:rPr>
                <w:rFonts w:ascii="Arial" w:cs="Arial" w:eastAsia="Arial" w:hAnsi="Arial"/>
                <w:sz w:val="14"/>
                <w:szCs w:val="14"/>
                <w:color w:val="auto"/>
              </w:rPr>
              <w:t>Corporate Secretary</w:t>
            </w:r>
          </w:p>
        </w:tc>
        <w:tc>
          <w:tcPr>
            <w:tcW w:w="120" w:type="dxa"/>
            <w:vAlign w:val="bottom"/>
            <w:shd w:val="clear" w:color="auto" w:fill="EBEBEB"/>
          </w:tcPr>
          <w:p>
            <w:pPr>
              <w:spacing w:after="0"/>
              <w:rPr>
                <w:sz w:val="16"/>
                <w:szCs w:val="16"/>
                <w:color w:val="auto"/>
              </w:rPr>
            </w:pPr>
          </w:p>
        </w:tc>
        <w:tc>
          <w:tcPr>
            <w:tcW w:w="480" w:type="dxa"/>
            <w:vAlign w:val="bottom"/>
            <w:gridSpan w:val="2"/>
            <w:vMerge w:val="restart"/>
            <w:shd w:val="clear" w:color="auto" w:fill="EBEBEB"/>
          </w:tcPr>
          <w:p>
            <w:pPr>
              <w:ind w:left="20"/>
              <w:spacing w:after="0"/>
              <w:rPr>
                <w:sz w:val="20"/>
                <w:szCs w:val="20"/>
                <w:color w:val="auto"/>
              </w:rPr>
            </w:pPr>
            <w:r>
              <w:rPr>
                <w:rFonts w:ascii="Arial" w:cs="Arial" w:eastAsia="Arial" w:hAnsi="Arial"/>
                <w:sz w:val="14"/>
                <w:szCs w:val="14"/>
                <w:color w:val="auto"/>
              </w:rPr>
              <w:t>2023</w:t>
            </w:r>
          </w:p>
        </w:tc>
        <w:tc>
          <w:tcPr>
            <w:tcW w:w="800" w:type="dxa"/>
            <w:vAlign w:val="bottom"/>
            <w:vMerge w:val="restart"/>
            <w:shd w:val="clear" w:color="auto" w:fill="EBEBEB"/>
          </w:tcPr>
          <w:p>
            <w:pPr>
              <w:jc w:val="right"/>
              <w:ind w:right="47"/>
              <w:spacing w:after="0"/>
              <w:rPr>
                <w:sz w:val="20"/>
                <w:szCs w:val="20"/>
                <w:color w:val="auto"/>
              </w:rPr>
            </w:pPr>
            <w:r>
              <w:rPr>
                <w:rFonts w:ascii="Arial" w:cs="Arial" w:eastAsia="Arial" w:hAnsi="Arial"/>
                <w:sz w:val="14"/>
                <w:szCs w:val="14"/>
                <w:color w:val="auto"/>
              </w:rPr>
              <w:t>435,000</w:t>
            </w:r>
          </w:p>
        </w:tc>
        <w:tc>
          <w:tcPr>
            <w:tcW w:w="720" w:type="dxa"/>
            <w:vAlign w:val="bottom"/>
            <w:vMerge w:val="restart"/>
            <w:shd w:val="clear" w:color="auto" w:fill="EBEBEB"/>
          </w:tcPr>
          <w:p>
            <w:pPr>
              <w:jc w:val="right"/>
              <w:ind w:right="47"/>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EBEBEB"/>
          </w:tcPr>
          <w:p>
            <w:pPr>
              <w:jc w:val="right"/>
              <w:ind w:right="46"/>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BEBEB"/>
          </w:tcPr>
          <w:p>
            <w:pPr>
              <w:jc w:val="right"/>
              <w:ind w:right="46"/>
              <w:spacing w:after="0"/>
              <w:rPr>
                <w:sz w:val="20"/>
                <w:szCs w:val="20"/>
                <w:color w:val="auto"/>
              </w:rPr>
            </w:pPr>
            <w:r>
              <w:rPr>
                <w:rFonts w:ascii="Arial" w:cs="Arial" w:eastAsia="Arial" w:hAnsi="Arial"/>
                <w:sz w:val="14"/>
                <w:szCs w:val="14"/>
                <w:color w:val="auto"/>
              </w:rPr>
              <w:t>399,000</w:t>
            </w:r>
          </w:p>
        </w:tc>
        <w:tc>
          <w:tcPr>
            <w:tcW w:w="1360" w:type="dxa"/>
            <w:vAlign w:val="bottom"/>
            <w:vMerge w:val="restart"/>
            <w:shd w:val="clear" w:color="auto" w:fill="EBEBEB"/>
          </w:tcPr>
          <w:p>
            <w:pPr>
              <w:jc w:val="right"/>
              <w:ind w:right="45"/>
              <w:spacing w:after="0"/>
              <w:rPr>
                <w:sz w:val="20"/>
                <w:szCs w:val="20"/>
                <w:color w:val="auto"/>
              </w:rPr>
            </w:pPr>
            <w:r>
              <w:rPr>
                <w:rFonts w:ascii="Arial" w:cs="Arial" w:eastAsia="Arial" w:hAnsi="Arial"/>
                <w:sz w:val="14"/>
                <w:szCs w:val="14"/>
                <w:color w:val="auto"/>
              </w:rPr>
              <w:t>160,950</w:t>
            </w:r>
          </w:p>
        </w:tc>
        <w:tc>
          <w:tcPr>
            <w:tcW w:w="1440" w:type="dxa"/>
            <w:vAlign w:val="bottom"/>
            <w:vMerge w:val="restart"/>
            <w:shd w:val="clear" w:color="auto" w:fill="EBEBEB"/>
          </w:tcPr>
          <w:p>
            <w:pPr>
              <w:jc w:val="right"/>
              <w:ind w:right="147"/>
              <w:spacing w:after="0"/>
              <w:rPr>
                <w:sz w:val="20"/>
                <w:szCs w:val="20"/>
                <w:color w:val="auto"/>
              </w:rPr>
            </w:pPr>
            <w:r>
              <w:rPr>
                <w:rFonts w:ascii="Arial" w:cs="Arial" w:eastAsia="Arial" w:hAnsi="Arial"/>
                <w:sz w:val="14"/>
                <w:szCs w:val="14"/>
                <w:color w:val="auto"/>
              </w:rPr>
              <w:t>19,735</w:t>
            </w:r>
            <w:r>
              <w:rPr>
                <w:rFonts w:ascii="Arial" w:cs="Arial" w:eastAsia="Arial" w:hAnsi="Arial"/>
                <w:sz w:val="23"/>
                <w:szCs w:val="23"/>
                <w:color w:val="auto"/>
                <w:vertAlign w:val="superscript"/>
              </w:rPr>
              <w:t>(4)</w:t>
            </w:r>
          </w:p>
        </w:tc>
        <w:tc>
          <w:tcPr>
            <w:tcW w:w="960" w:type="dxa"/>
            <w:vAlign w:val="bottom"/>
            <w:vMerge w:val="restart"/>
            <w:shd w:val="clear" w:color="auto" w:fill="EBEBEB"/>
          </w:tcPr>
          <w:p>
            <w:pPr>
              <w:jc w:val="right"/>
              <w:ind w:right="27"/>
              <w:spacing w:after="0"/>
              <w:rPr>
                <w:sz w:val="20"/>
                <w:szCs w:val="20"/>
                <w:color w:val="auto"/>
              </w:rPr>
            </w:pPr>
            <w:r>
              <w:rPr>
                <w:rFonts w:ascii="Arial" w:cs="Arial" w:eastAsia="Arial" w:hAnsi="Arial"/>
                <w:sz w:val="14"/>
                <w:szCs w:val="14"/>
                <w:color w:val="auto"/>
              </w:rPr>
              <w:t>1,014,684</w:t>
            </w:r>
          </w:p>
        </w:tc>
        <w:tc>
          <w:tcPr>
            <w:tcW w:w="0" w:type="dxa"/>
            <w:vAlign w:val="bottom"/>
          </w:tcPr>
          <w:p>
            <w:pPr>
              <w:spacing w:after="0"/>
              <w:rPr>
                <w:sz w:val="1"/>
                <w:szCs w:val="1"/>
                <w:color w:val="auto"/>
              </w:rPr>
            </w:pPr>
          </w:p>
        </w:tc>
      </w:tr>
      <w:tr>
        <w:trPr>
          <w:trHeight w:val="174"/>
        </w:trPr>
        <w:tc>
          <w:tcPr>
            <w:tcW w:w="1820" w:type="dxa"/>
            <w:vAlign w:val="bottom"/>
            <w:shd w:val="clear" w:color="auto" w:fill="EBEBEB"/>
          </w:tcPr>
          <w:p>
            <w:pPr>
              <w:spacing w:after="0"/>
              <w:rPr>
                <w:sz w:val="15"/>
                <w:szCs w:val="15"/>
                <w:color w:val="auto"/>
              </w:rPr>
            </w:pPr>
          </w:p>
        </w:tc>
        <w:tc>
          <w:tcPr>
            <w:tcW w:w="120" w:type="dxa"/>
            <w:vAlign w:val="bottom"/>
            <w:shd w:val="clear" w:color="auto" w:fill="EBEBEB"/>
          </w:tcPr>
          <w:p>
            <w:pPr>
              <w:spacing w:after="0"/>
              <w:rPr>
                <w:sz w:val="15"/>
                <w:szCs w:val="15"/>
                <w:color w:val="auto"/>
              </w:rPr>
            </w:pPr>
          </w:p>
        </w:tc>
        <w:tc>
          <w:tcPr>
            <w:tcW w:w="480" w:type="dxa"/>
            <w:vAlign w:val="bottom"/>
            <w:gridSpan w:val="2"/>
            <w:vMerge w:val="continue"/>
            <w:shd w:val="clear" w:color="auto" w:fill="EBEBEB"/>
          </w:tcPr>
          <w:p>
            <w:pPr>
              <w:spacing w:after="0"/>
              <w:rPr>
                <w:sz w:val="15"/>
                <w:szCs w:val="15"/>
                <w:color w:val="auto"/>
              </w:rPr>
            </w:pPr>
          </w:p>
        </w:tc>
        <w:tc>
          <w:tcPr>
            <w:tcW w:w="800" w:type="dxa"/>
            <w:vAlign w:val="bottom"/>
            <w:vMerge w:val="continue"/>
            <w:shd w:val="clear" w:color="auto" w:fill="EBEBEB"/>
          </w:tcPr>
          <w:p>
            <w:pPr>
              <w:spacing w:after="0"/>
              <w:rPr>
                <w:sz w:val="15"/>
                <w:szCs w:val="15"/>
                <w:color w:val="auto"/>
              </w:rPr>
            </w:pPr>
          </w:p>
        </w:tc>
        <w:tc>
          <w:tcPr>
            <w:tcW w:w="720" w:type="dxa"/>
            <w:vAlign w:val="bottom"/>
            <w:vMerge w:val="continue"/>
            <w:shd w:val="clear" w:color="auto" w:fill="EBEBEB"/>
          </w:tcPr>
          <w:p>
            <w:pPr>
              <w:spacing w:after="0"/>
              <w:rPr>
                <w:sz w:val="15"/>
                <w:szCs w:val="15"/>
                <w:color w:val="auto"/>
              </w:rPr>
            </w:pPr>
          </w:p>
        </w:tc>
        <w:tc>
          <w:tcPr>
            <w:tcW w:w="820" w:type="dxa"/>
            <w:vAlign w:val="bottom"/>
            <w:vMerge w:val="continue"/>
            <w:shd w:val="clear" w:color="auto" w:fill="EBEBEB"/>
          </w:tcPr>
          <w:p>
            <w:pPr>
              <w:spacing w:after="0"/>
              <w:rPr>
                <w:sz w:val="15"/>
                <w:szCs w:val="15"/>
                <w:color w:val="auto"/>
              </w:rPr>
            </w:pPr>
          </w:p>
        </w:tc>
        <w:tc>
          <w:tcPr>
            <w:tcW w:w="880" w:type="dxa"/>
            <w:vAlign w:val="bottom"/>
            <w:vMerge w:val="continue"/>
            <w:shd w:val="clear" w:color="auto" w:fill="EBEBEB"/>
          </w:tcPr>
          <w:p>
            <w:pPr>
              <w:spacing w:after="0"/>
              <w:rPr>
                <w:sz w:val="15"/>
                <w:szCs w:val="15"/>
                <w:color w:val="auto"/>
              </w:rPr>
            </w:pPr>
          </w:p>
        </w:tc>
        <w:tc>
          <w:tcPr>
            <w:tcW w:w="1360" w:type="dxa"/>
            <w:vAlign w:val="bottom"/>
            <w:vMerge w:val="continue"/>
            <w:shd w:val="clear" w:color="auto" w:fill="EBEBEB"/>
          </w:tcPr>
          <w:p>
            <w:pPr>
              <w:spacing w:after="0"/>
              <w:rPr>
                <w:sz w:val="15"/>
                <w:szCs w:val="15"/>
                <w:color w:val="auto"/>
              </w:rPr>
            </w:pPr>
          </w:p>
        </w:tc>
        <w:tc>
          <w:tcPr>
            <w:tcW w:w="1440" w:type="dxa"/>
            <w:vAlign w:val="bottom"/>
            <w:vMerge w:val="continue"/>
            <w:shd w:val="clear" w:color="auto" w:fill="EBEBEB"/>
          </w:tcPr>
          <w:p>
            <w:pPr>
              <w:spacing w:after="0"/>
              <w:rPr>
                <w:sz w:val="15"/>
                <w:szCs w:val="15"/>
                <w:color w:val="auto"/>
              </w:rPr>
            </w:pPr>
          </w:p>
        </w:tc>
        <w:tc>
          <w:tcPr>
            <w:tcW w:w="960" w:type="dxa"/>
            <w:vAlign w:val="bottom"/>
            <w:vMerge w:val="continue"/>
            <w:shd w:val="clear" w:color="auto" w:fill="EBEBEB"/>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1820" w:type="dxa"/>
            <w:vAlign w:val="bottom"/>
          </w:tcPr>
          <w:p>
            <w:pPr>
              <w:ind w:left="160"/>
              <w:spacing w:after="0"/>
              <w:rPr>
                <w:sz w:val="20"/>
                <w:szCs w:val="20"/>
                <w:color w:val="auto"/>
              </w:rPr>
            </w:pPr>
            <w:r>
              <w:rPr>
                <w:rFonts w:ascii="Arial" w:cs="Arial" w:eastAsia="Arial" w:hAnsi="Arial"/>
                <w:sz w:val="14"/>
                <w:szCs w:val="14"/>
                <w:b w:val="1"/>
                <w:bCs w:val="1"/>
                <w:color w:val="auto"/>
              </w:rPr>
              <w:t>Andrew Gengos,</w:t>
            </w:r>
          </w:p>
        </w:tc>
        <w:tc>
          <w:tcPr>
            <w:tcW w:w="600" w:type="dxa"/>
            <w:vAlign w:val="bottom"/>
            <w:gridSpan w:val="3"/>
          </w:tcPr>
          <w:p>
            <w:pPr>
              <w:ind w:left="140"/>
              <w:spacing w:after="0"/>
              <w:rPr>
                <w:sz w:val="20"/>
                <w:szCs w:val="20"/>
                <w:color w:val="auto"/>
              </w:rPr>
            </w:pPr>
            <w:r>
              <w:rPr>
                <w:rFonts w:ascii="Arial" w:cs="Arial" w:eastAsia="Arial" w:hAnsi="Arial"/>
                <w:sz w:val="14"/>
                <w:szCs w:val="14"/>
                <w:color w:val="auto"/>
              </w:rPr>
              <w:t>2024</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365,615</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6"/>
              <w:spacing w:after="0"/>
              <w:rPr>
                <w:sz w:val="20"/>
                <w:szCs w:val="20"/>
                <w:color w:val="auto"/>
              </w:rPr>
            </w:pPr>
            <w:r>
              <w:rPr>
                <w:rFonts w:ascii="Arial" w:cs="Arial" w:eastAsia="Arial" w:hAnsi="Arial"/>
                <w:sz w:val="14"/>
                <w:szCs w:val="14"/>
                <w:color w:val="auto"/>
              </w:rPr>
              <w:t>723,500</w:t>
            </w:r>
          </w:p>
        </w:tc>
        <w:tc>
          <w:tcPr>
            <w:tcW w:w="1360" w:type="dxa"/>
            <w:vAlign w:val="bottom"/>
          </w:tcPr>
          <w:p>
            <w:pPr>
              <w:jc w:val="right"/>
              <w:ind w:right="45"/>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47"/>
              <w:spacing w:after="0"/>
              <w:rPr>
                <w:sz w:val="20"/>
                <w:szCs w:val="20"/>
                <w:color w:val="auto"/>
              </w:rPr>
            </w:pPr>
            <w:r>
              <w:rPr>
                <w:rFonts w:ascii="Arial" w:cs="Arial" w:eastAsia="Arial" w:hAnsi="Arial"/>
                <w:sz w:val="14"/>
                <w:szCs w:val="14"/>
                <w:color w:val="auto"/>
              </w:rPr>
              <w:t>370,593</w:t>
            </w:r>
            <w:r>
              <w:rPr>
                <w:rFonts w:ascii="Arial" w:cs="Arial" w:eastAsia="Arial" w:hAnsi="Arial"/>
                <w:sz w:val="23"/>
                <w:szCs w:val="23"/>
                <w:color w:val="auto"/>
                <w:vertAlign w:val="superscript"/>
              </w:rPr>
              <w:t>(5)</w:t>
            </w: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1,459,708</w:t>
            </w:r>
          </w:p>
        </w:tc>
        <w:tc>
          <w:tcPr>
            <w:tcW w:w="0" w:type="dxa"/>
            <w:vAlign w:val="bottom"/>
          </w:tcPr>
          <w:p>
            <w:pPr>
              <w:spacing w:after="0"/>
              <w:rPr>
                <w:sz w:val="1"/>
                <w:szCs w:val="1"/>
                <w:color w:val="auto"/>
              </w:rPr>
            </w:pPr>
          </w:p>
        </w:tc>
      </w:tr>
      <w:tr>
        <w:trPr>
          <w:trHeight w:val="99"/>
        </w:trPr>
        <w:tc>
          <w:tcPr>
            <w:tcW w:w="1820" w:type="dxa"/>
            <w:vAlign w:val="bottom"/>
          </w:tcPr>
          <w:p>
            <w:pPr>
              <w:ind w:left="160"/>
              <w:spacing w:after="0" w:line="99" w:lineRule="exact"/>
              <w:rPr>
                <w:sz w:val="20"/>
                <w:szCs w:val="20"/>
                <w:color w:val="auto"/>
              </w:rPr>
            </w:pPr>
            <w:r>
              <w:rPr>
                <w:rFonts w:ascii="Arial" w:cs="Arial" w:eastAsia="Arial" w:hAnsi="Arial"/>
                <w:sz w:val="11"/>
                <w:szCs w:val="11"/>
                <w:color w:val="auto"/>
              </w:rPr>
              <w:t>Former Chief Financial</w:t>
            </w: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160"/>
              <w:spacing w:after="0"/>
              <w:rPr>
                <w:sz w:val="20"/>
                <w:szCs w:val="20"/>
                <w:color w:val="auto"/>
              </w:rPr>
            </w:pPr>
            <w:r>
              <w:rPr>
                <w:rFonts w:ascii="Arial" w:cs="Arial" w:eastAsia="Arial" w:hAnsi="Arial"/>
                <w:sz w:val="14"/>
                <w:szCs w:val="14"/>
                <w:color w:val="auto"/>
              </w:rPr>
              <w:t>Officer and Chief</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20" w:type="dxa"/>
            <w:vAlign w:val="bottom"/>
          </w:tcPr>
          <w:p>
            <w:pPr>
              <w:ind w:left="160"/>
              <w:spacing w:after="0"/>
              <w:rPr>
                <w:sz w:val="20"/>
                <w:szCs w:val="20"/>
                <w:color w:val="auto"/>
              </w:rPr>
            </w:pPr>
            <w:r>
              <w:rPr>
                <w:rFonts w:ascii="Arial" w:cs="Arial" w:eastAsia="Arial" w:hAnsi="Arial"/>
                <w:sz w:val="14"/>
                <w:szCs w:val="14"/>
                <w:color w:val="auto"/>
              </w:rPr>
              <w:t>Business Officer</w:t>
            </w:r>
          </w:p>
        </w:tc>
        <w:tc>
          <w:tcPr>
            <w:tcW w:w="600" w:type="dxa"/>
            <w:vAlign w:val="bottom"/>
            <w:gridSpan w:val="3"/>
            <w:vMerge w:val="restart"/>
          </w:tcPr>
          <w:p>
            <w:pPr>
              <w:ind w:left="140"/>
              <w:spacing w:after="0"/>
              <w:rPr>
                <w:sz w:val="20"/>
                <w:szCs w:val="20"/>
                <w:color w:val="auto"/>
              </w:rPr>
            </w:pPr>
            <w:r>
              <w:rPr>
                <w:rFonts w:ascii="Arial" w:cs="Arial" w:eastAsia="Arial" w:hAnsi="Arial"/>
                <w:sz w:val="14"/>
                <w:szCs w:val="14"/>
                <w:color w:val="auto"/>
              </w:rPr>
              <w:t>2023</w:t>
            </w:r>
          </w:p>
        </w:tc>
        <w:tc>
          <w:tcPr>
            <w:tcW w:w="800" w:type="dxa"/>
            <w:vAlign w:val="bottom"/>
            <w:vMerge w:val="restart"/>
          </w:tcPr>
          <w:p>
            <w:pPr>
              <w:jc w:val="right"/>
              <w:ind w:right="47"/>
              <w:spacing w:after="0"/>
              <w:rPr>
                <w:sz w:val="20"/>
                <w:szCs w:val="20"/>
                <w:color w:val="auto"/>
              </w:rPr>
            </w:pPr>
            <w:r>
              <w:rPr>
                <w:rFonts w:ascii="Arial" w:cs="Arial" w:eastAsia="Arial" w:hAnsi="Arial"/>
                <w:sz w:val="14"/>
                <w:szCs w:val="14"/>
                <w:color w:val="auto"/>
              </w:rPr>
              <w:t>289,135</w:t>
            </w:r>
          </w:p>
        </w:tc>
        <w:tc>
          <w:tcPr>
            <w:tcW w:w="72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6"/>
              <w:spacing w:after="0"/>
              <w:rPr>
                <w:sz w:val="20"/>
                <w:szCs w:val="20"/>
                <w:color w:val="auto"/>
              </w:rPr>
            </w:pPr>
            <w:r>
              <w:rPr>
                <w:rFonts w:ascii="Arial" w:cs="Arial" w:eastAsia="Arial" w:hAnsi="Arial"/>
                <w:sz w:val="14"/>
                <w:szCs w:val="14"/>
                <w:color w:val="auto"/>
              </w:rPr>
              <w:t>28,400</w:t>
            </w:r>
          </w:p>
        </w:tc>
        <w:tc>
          <w:tcPr>
            <w:tcW w:w="880" w:type="dxa"/>
            <w:vAlign w:val="bottom"/>
            <w:vMerge w:val="restart"/>
          </w:tcPr>
          <w:p>
            <w:pPr>
              <w:jc w:val="right"/>
              <w:ind w:right="46"/>
              <w:spacing w:after="0"/>
              <w:rPr>
                <w:sz w:val="20"/>
                <w:szCs w:val="20"/>
                <w:color w:val="auto"/>
              </w:rPr>
            </w:pPr>
            <w:r>
              <w:rPr>
                <w:rFonts w:ascii="Arial" w:cs="Arial" w:eastAsia="Arial" w:hAnsi="Arial"/>
                <w:sz w:val="14"/>
                <w:szCs w:val="14"/>
                <w:color w:val="auto"/>
              </w:rPr>
              <w:t>901,318</w:t>
            </w:r>
          </w:p>
        </w:tc>
        <w:tc>
          <w:tcPr>
            <w:tcW w:w="1360" w:type="dxa"/>
            <w:vAlign w:val="bottom"/>
            <w:vMerge w:val="restart"/>
          </w:tcPr>
          <w:p>
            <w:pPr>
              <w:jc w:val="right"/>
              <w:ind w:right="45"/>
              <w:spacing w:after="0"/>
              <w:rPr>
                <w:sz w:val="20"/>
                <w:szCs w:val="20"/>
                <w:color w:val="auto"/>
              </w:rPr>
            </w:pPr>
            <w:r>
              <w:rPr>
                <w:rFonts w:ascii="Arial" w:cs="Arial" w:eastAsia="Arial" w:hAnsi="Arial"/>
                <w:sz w:val="14"/>
                <w:szCs w:val="14"/>
                <w:color w:val="auto"/>
              </w:rPr>
              <w:t>106,980</w:t>
            </w:r>
          </w:p>
        </w:tc>
        <w:tc>
          <w:tcPr>
            <w:tcW w:w="1440" w:type="dxa"/>
            <w:vAlign w:val="bottom"/>
            <w:vMerge w:val="restart"/>
          </w:tcPr>
          <w:p>
            <w:pPr>
              <w:jc w:val="right"/>
              <w:ind w:right="147"/>
              <w:spacing w:after="0"/>
              <w:rPr>
                <w:sz w:val="20"/>
                <w:szCs w:val="20"/>
                <w:color w:val="auto"/>
              </w:rPr>
            </w:pPr>
            <w:r>
              <w:rPr>
                <w:rFonts w:ascii="Arial" w:cs="Arial" w:eastAsia="Arial" w:hAnsi="Arial"/>
                <w:sz w:val="28"/>
                <w:szCs w:val="28"/>
                <w:color w:val="auto"/>
                <w:vertAlign w:val="subscript"/>
              </w:rPr>
              <w:t>49</w:t>
            </w:r>
            <w:r>
              <w:rPr>
                <w:rFonts w:ascii="Arial" w:cs="Arial" w:eastAsia="Arial" w:hAnsi="Arial"/>
                <w:sz w:val="12"/>
                <w:szCs w:val="12"/>
                <w:color w:val="auto"/>
              </w:rPr>
              <w:t>(4)</w:t>
            </w:r>
          </w:p>
        </w:tc>
        <w:tc>
          <w:tcPr>
            <w:tcW w:w="960" w:type="dxa"/>
            <w:vAlign w:val="bottom"/>
            <w:vMerge w:val="restart"/>
          </w:tcPr>
          <w:p>
            <w:pPr>
              <w:jc w:val="right"/>
              <w:ind w:right="27"/>
              <w:spacing w:after="0"/>
              <w:rPr>
                <w:sz w:val="20"/>
                <w:szCs w:val="20"/>
                <w:color w:val="auto"/>
              </w:rPr>
            </w:pPr>
            <w:r>
              <w:rPr>
                <w:rFonts w:ascii="Arial" w:cs="Arial" w:eastAsia="Arial" w:hAnsi="Arial"/>
                <w:sz w:val="14"/>
                <w:szCs w:val="14"/>
                <w:color w:val="auto"/>
              </w:rPr>
              <w:t>1,325,881</w:t>
            </w: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1820" w:type="dxa"/>
            <w:vAlign w:val="bottom"/>
            <w:shd w:val="clear" w:color="auto" w:fill="EBEBEB"/>
          </w:tcPr>
          <w:p>
            <w:pPr>
              <w:ind w:left="160"/>
              <w:spacing w:after="0"/>
              <w:rPr>
                <w:sz w:val="20"/>
                <w:szCs w:val="20"/>
                <w:color w:val="auto"/>
              </w:rPr>
            </w:pPr>
            <w:r>
              <w:rPr>
                <w:rFonts w:ascii="Arial" w:cs="Arial" w:eastAsia="Arial" w:hAnsi="Arial"/>
                <w:sz w:val="14"/>
                <w:szCs w:val="14"/>
                <w:b w:val="1"/>
                <w:bCs w:val="1"/>
                <w:color w:val="auto"/>
              </w:rPr>
              <w:t>Rachel Lenington,</w:t>
            </w:r>
          </w:p>
        </w:tc>
        <w:tc>
          <w:tcPr>
            <w:tcW w:w="120" w:type="dxa"/>
            <w:vAlign w:val="bottom"/>
            <w:shd w:val="clear" w:color="auto" w:fill="EBEBEB"/>
          </w:tcPr>
          <w:p>
            <w:pPr>
              <w:spacing w:after="0"/>
              <w:rPr>
                <w:sz w:val="24"/>
                <w:szCs w:val="24"/>
                <w:color w:val="auto"/>
              </w:rPr>
            </w:pPr>
          </w:p>
        </w:tc>
        <w:tc>
          <w:tcPr>
            <w:tcW w:w="480" w:type="dxa"/>
            <w:vAlign w:val="bottom"/>
            <w:gridSpan w:val="2"/>
            <w:shd w:val="clear" w:color="auto" w:fill="EBEBEB"/>
          </w:tcPr>
          <w:p>
            <w:pPr>
              <w:ind w:left="20"/>
              <w:spacing w:after="0"/>
              <w:rPr>
                <w:sz w:val="20"/>
                <w:szCs w:val="20"/>
                <w:color w:val="auto"/>
              </w:rPr>
            </w:pPr>
            <w:r>
              <w:rPr>
                <w:rFonts w:ascii="Arial" w:cs="Arial" w:eastAsia="Arial" w:hAnsi="Arial"/>
                <w:sz w:val="14"/>
                <w:szCs w:val="14"/>
                <w:color w:val="auto"/>
              </w:rPr>
              <w:t>2024</w:t>
            </w:r>
          </w:p>
        </w:tc>
        <w:tc>
          <w:tcPr>
            <w:tcW w:w="80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376,923</w:t>
            </w:r>
          </w:p>
        </w:tc>
        <w:tc>
          <w:tcPr>
            <w:tcW w:w="72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w:t>
            </w:r>
          </w:p>
        </w:tc>
        <w:tc>
          <w:tcPr>
            <w:tcW w:w="820" w:type="dxa"/>
            <w:vAlign w:val="bottom"/>
            <w:shd w:val="clear" w:color="auto" w:fill="EBEBEB"/>
          </w:tcPr>
          <w:p>
            <w:pPr>
              <w:jc w:val="right"/>
              <w:ind w:right="46"/>
              <w:spacing w:after="0"/>
              <w:rPr>
                <w:sz w:val="20"/>
                <w:szCs w:val="20"/>
                <w:color w:val="auto"/>
              </w:rPr>
            </w:pPr>
            <w:r>
              <w:rPr>
                <w:rFonts w:ascii="Arial" w:cs="Arial" w:eastAsia="Arial" w:hAnsi="Arial"/>
                <w:sz w:val="14"/>
                <w:szCs w:val="14"/>
                <w:color w:val="auto"/>
              </w:rPr>
              <w:t>—</w:t>
            </w:r>
          </w:p>
        </w:tc>
        <w:tc>
          <w:tcPr>
            <w:tcW w:w="880" w:type="dxa"/>
            <w:vAlign w:val="bottom"/>
            <w:shd w:val="clear" w:color="auto" w:fill="EBEBEB"/>
          </w:tcPr>
          <w:p>
            <w:pPr>
              <w:jc w:val="right"/>
              <w:ind w:right="46"/>
              <w:spacing w:after="0"/>
              <w:rPr>
                <w:sz w:val="20"/>
                <w:szCs w:val="20"/>
                <w:color w:val="auto"/>
              </w:rPr>
            </w:pPr>
            <w:r>
              <w:rPr>
                <w:rFonts w:ascii="Arial" w:cs="Arial" w:eastAsia="Arial" w:hAnsi="Arial"/>
                <w:sz w:val="14"/>
                <w:szCs w:val="14"/>
                <w:color w:val="auto"/>
              </w:rPr>
              <w:t>775,178</w:t>
            </w:r>
          </w:p>
        </w:tc>
        <w:tc>
          <w:tcPr>
            <w:tcW w:w="1360" w:type="dxa"/>
            <w:vAlign w:val="bottom"/>
            <w:shd w:val="clear" w:color="auto" w:fill="EBEBEB"/>
          </w:tcPr>
          <w:p>
            <w:pPr>
              <w:jc w:val="right"/>
              <w:ind w:right="45"/>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B"/>
          </w:tcPr>
          <w:p>
            <w:pPr>
              <w:jc w:val="right"/>
              <w:ind w:right="147"/>
              <w:spacing w:after="0"/>
              <w:rPr>
                <w:sz w:val="20"/>
                <w:szCs w:val="20"/>
                <w:color w:val="auto"/>
              </w:rPr>
            </w:pPr>
            <w:r>
              <w:rPr>
                <w:rFonts w:ascii="Arial" w:cs="Arial" w:eastAsia="Arial" w:hAnsi="Arial"/>
                <w:sz w:val="14"/>
                <w:szCs w:val="14"/>
                <w:color w:val="auto"/>
              </w:rPr>
              <w:t>447,969</w:t>
            </w:r>
            <w:r>
              <w:rPr>
                <w:rFonts w:ascii="Arial" w:cs="Arial" w:eastAsia="Arial" w:hAnsi="Arial"/>
                <w:sz w:val="23"/>
                <w:szCs w:val="23"/>
                <w:color w:val="auto"/>
                <w:vertAlign w:val="superscript"/>
              </w:rPr>
              <w:t>(6)</w:t>
            </w:r>
          </w:p>
        </w:tc>
        <w:tc>
          <w:tcPr>
            <w:tcW w:w="96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1,600,070</w:t>
            </w:r>
          </w:p>
        </w:tc>
        <w:tc>
          <w:tcPr>
            <w:tcW w:w="0" w:type="dxa"/>
            <w:vAlign w:val="bottom"/>
          </w:tcPr>
          <w:p>
            <w:pPr>
              <w:spacing w:after="0"/>
              <w:rPr>
                <w:sz w:val="1"/>
                <w:szCs w:val="1"/>
                <w:color w:val="auto"/>
              </w:rPr>
            </w:pPr>
          </w:p>
        </w:tc>
      </w:tr>
      <w:tr>
        <w:trPr>
          <w:trHeight w:val="99"/>
        </w:trPr>
        <w:tc>
          <w:tcPr>
            <w:tcW w:w="1820" w:type="dxa"/>
            <w:vAlign w:val="bottom"/>
            <w:shd w:val="clear" w:color="auto" w:fill="EBEBEB"/>
          </w:tcPr>
          <w:p>
            <w:pPr>
              <w:ind w:left="160"/>
              <w:spacing w:after="0" w:line="99" w:lineRule="exact"/>
              <w:rPr>
                <w:sz w:val="20"/>
                <w:szCs w:val="20"/>
                <w:color w:val="auto"/>
              </w:rPr>
            </w:pPr>
            <w:r>
              <w:rPr>
                <w:rFonts w:ascii="Arial" w:cs="Arial" w:eastAsia="Arial" w:hAnsi="Arial"/>
                <w:sz w:val="11"/>
                <w:szCs w:val="11"/>
                <w:color w:val="auto"/>
              </w:rPr>
              <w:t>Former Chief Operating</w:t>
            </w:r>
          </w:p>
        </w:tc>
        <w:tc>
          <w:tcPr>
            <w:tcW w:w="120" w:type="dxa"/>
            <w:vAlign w:val="bottom"/>
            <w:shd w:val="clear" w:color="auto" w:fill="EBEBEB"/>
          </w:tcPr>
          <w:p>
            <w:pPr>
              <w:spacing w:after="0"/>
              <w:rPr>
                <w:sz w:val="8"/>
                <w:szCs w:val="8"/>
                <w:color w:val="auto"/>
              </w:rPr>
            </w:pPr>
          </w:p>
        </w:tc>
        <w:tc>
          <w:tcPr>
            <w:tcW w:w="340" w:type="dxa"/>
            <w:vAlign w:val="bottom"/>
            <w:shd w:val="clear" w:color="auto" w:fill="EBEBEB"/>
          </w:tcPr>
          <w:p>
            <w:pPr>
              <w:spacing w:after="0"/>
              <w:rPr>
                <w:sz w:val="8"/>
                <w:szCs w:val="8"/>
                <w:color w:val="auto"/>
              </w:rPr>
            </w:pPr>
          </w:p>
        </w:tc>
        <w:tc>
          <w:tcPr>
            <w:tcW w:w="140" w:type="dxa"/>
            <w:vAlign w:val="bottom"/>
            <w:shd w:val="clear" w:color="auto" w:fill="EBEBEB"/>
          </w:tcPr>
          <w:p>
            <w:pPr>
              <w:spacing w:after="0"/>
              <w:rPr>
                <w:sz w:val="8"/>
                <w:szCs w:val="8"/>
                <w:color w:val="auto"/>
              </w:rPr>
            </w:pPr>
          </w:p>
        </w:tc>
        <w:tc>
          <w:tcPr>
            <w:tcW w:w="800" w:type="dxa"/>
            <w:vAlign w:val="bottom"/>
            <w:shd w:val="clear" w:color="auto" w:fill="EBEBEB"/>
          </w:tcPr>
          <w:p>
            <w:pPr>
              <w:spacing w:after="0"/>
              <w:rPr>
                <w:sz w:val="8"/>
                <w:szCs w:val="8"/>
                <w:color w:val="auto"/>
              </w:rPr>
            </w:pPr>
          </w:p>
        </w:tc>
        <w:tc>
          <w:tcPr>
            <w:tcW w:w="720" w:type="dxa"/>
            <w:vAlign w:val="bottom"/>
            <w:shd w:val="clear" w:color="auto" w:fill="EBEBEB"/>
          </w:tcPr>
          <w:p>
            <w:pPr>
              <w:spacing w:after="0"/>
              <w:rPr>
                <w:sz w:val="8"/>
                <w:szCs w:val="8"/>
                <w:color w:val="auto"/>
              </w:rPr>
            </w:pPr>
          </w:p>
        </w:tc>
        <w:tc>
          <w:tcPr>
            <w:tcW w:w="820" w:type="dxa"/>
            <w:vAlign w:val="bottom"/>
            <w:shd w:val="clear" w:color="auto" w:fill="EBEBEB"/>
          </w:tcPr>
          <w:p>
            <w:pPr>
              <w:spacing w:after="0"/>
              <w:rPr>
                <w:sz w:val="8"/>
                <w:szCs w:val="8"/>
                <w:color w:val="auto"/>
              </w:rPr>
            </w:pPr>
          </w:p>
        </w:tc>
        <w:tc>
          <w:tcPr>
            <w:tcW w:w="880" w:type="dxa"/>
            <w:vAlign w:val="bottom"/>
            <w:shd w:val="clear" w:color="auto" w:fill="EBEBEB"/>
          </w:tcPr>
          <w:p>
            <w:pPr>
              <w:spacing w:after="0"/>
              <w:rPr>
                <w:sz w:val="8"/>
                <w:szCs w:val="8"/>
                <w:color w:val="auto"/>
              </w:rPr>
            </w:pPr>
          </w:p>
        </w:tc>
        <w:tc>
          <w:tcPr>
            <w:tcW w:w="1360" w:type="dxa"/>
            <w:vAlign w:val="bottom"/>
            <w:shd w:val="clear" w:color="auto" w:fill="EBEBEB"/>
          </w:tcPr>
          <w:p>
            <w:pPr>
              <w:spacing w:after="0"/>
              <w:rPr>
                <w:sz w:val="8"/>
                <w:szCs w:val="8"/>
                <w:color w:val="auto"/>
              </w:rPr>
            </w:pPr>
          </w:p>
        </w:tc>
        <w:tc>
          <w:tcPr>
            <w:tcW w:w="1440" w:type="dxa"/>
            <w:vAlign w:val="bottom"/>
            <w:shd w:val="clear" w:color="auto" w:fill="EBEBEB"/>
          </w:tcPr>
          <w:p>
            <w:pPr>
              <w:spacing w:after="0"/>
              <w:rPr>
                <w:sz w:val="8"/>
                <w:szCs w:val="8"/>
                <w:color w:val="auto"/>
              </w:rPr>
            </w:pPr>
          </w:p>
        </w:tc>
        <w:tc>
          <w:tcPr>
            <w:tcW w:w="960" w:type="dxa"/>
            <w:vAlign w:val="bottom"/>
            <w:shd w:val="clear" w:color="auto" w:fill="EBEBEB"/>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820" w:type="dxa"/>
            <w:vAlign w:val="bottom"/>
            <w:shd w:val="clear" w:color="auto" w:fill="EBEBEB"/>
          </w:tcPr>
          <w:p>
            <w:pPr>
              <w:ind w:left="160"/>
              <w:spacing w:after="0"/>
              <w:rPr>
                <w:sz w:val="20"/>
                <w:szCs w:val="20"/>
                <w:color w:val="auto"/>
              </w:rPr>
            </w:pPr>
            <w:r>
              <w:rPr>
                <w:rFonts w:ascii="Arial" w:cs="Arial" w:eastAsia="Arial" w:hAnsi="Arial"/>
                <w:sz w:val="14"/>
                <w:szCs w:val="14"/>
                <w:color w:val="auto"/>
              </w:rPr>
              <w:t>Officer and Chief</w:t>
            </w:r>
          </w:p>
        </w:tc>
        <w:tc>
          <w:tcPr>
            <w:tcW w:w="120" w:type="dxa"/>
            <w:vAlign w:val="bottom"/>
            <w:shd w:val="clear" w:color="auto" w:fill="EBEBEB"/>
          </w:tcPr>
          <w:p>
            <w:pPr>
              <w:spacing w:after="0"/>
              <w:rPr>
                <w:sz w:val="14"/>
                <w:szCs w:val="14"/>
                <w:color w:val="auto"/>
              </w:rPr>
            </w:pPr>
          </w:p>
        </w:tc>
        <w:tc>
          <w:tcPr>
            <w:tcW w:w="340" w:type="dxa"/>
            <w:vAlign w:val="bottom"/>
            <w:shd w:val="clear" w:color="auto" w:fill="EBEBEB"/>
          </w:tcPr>
          <w:p>
            <w:pPr>
              <w:spacing w:after="0"/>
              <w:rPr>
                <w:sz w:val="14"/>
                <w:szCs w:val="14"/>
                <w:color w:val="auto"/>
              </w:rPr>
            </w:pPr>
          </w:p>
        </w:tc>
        <w:tc>
          <w:tcPr>
            <w:tcW w:w="140" w:type="dxa"/>
            <w:vAlign w:val="bottom"/>
            <w:shd w:val="clear" w:color="auto" w:fill="EBEBEB"/>
          </w:tcPr>
          <w:p>
            <w:pPr>
              <w:spacing w:after="0"/>
              <w:rPr>
                <w:sz w:val="14"/>
                <w:szCs w:val="14"/>
                <w:color w:val="auto"/>
              </w:rPr>
            </w:pPr>
          </w:p>
        </w:tc>
        <w:tc>
          <w:tcPr>
            <w:tcW w:w="800" w:type="dxa"/>
            <w:vAlign w:val="bottom"/>
            <w:shd w:val="clear" w:color="auto" w:fill="EBEBEB"/>
          </w:tcPr>
          <w:p>
            <w:pPr>
              <w:spacing w:after="0"/>
              <w:rPr>
                <w:sz w:val="14"/>
                <w:szCs w:val="14"/>
                <w:color w:val="auto"/>
              </w:rPr>
            </w:pPr>
          </w:p>
        </w:tc>
        <w:tc>
          <w:tcPr>
            <w:tcW w:w="720" w:type="dxa"/>
            <w:vAlign w:val="bottom"/>
            <w:shd w:val="clear" w:color="auto" w:fill="EBEBEB"/>
          </w:tcPr>
          <w:p>
            <w:pPr>
              <w:spacing w:after="0"/>
              <w:rPr>
                <w:sz w:val="14"/>
                <w:szCs w:val="14"/>
                <w:color w:val="auto"/>
              </w:rPr>
            </w:pPr>
          </w:p>
        </w:tc>
        <w:tc>
          <w:tcPr>
            <w:tcW w:w="820" w:type="dxa"/>
            <w:vAlign w:val="bottom"/>
            <w:shd w:val="clear" w:color="auto" w:fill="EBEBEB"/>
          </w:tcPr>
          <w:p>
            <w:pPr>
              <w:spacing w:after="0"/>
              <w:rPr>
                <w:sz w:val="14"/>
                <w:szCs w:val="14"/>
                <w:color w:val="auto"/>
              </w:rPr>
            </w:pPr>
          </w:p>
        </w:tc>
        <w:tc>
          <w:tcPr>
            <w:tcW w:w="880" w:type="dxa"/>
            <w:vAlign w:val="bottom"/>
            <w:shd w:val="clear" w:color="auto" w:fill="EBEBEB"/>
          </w:tcPr>
          <w:p>
            <w:pPr>
              <w:spacing w:after="0"/>
              <w:rPr>
                <w:sz w:val="14"/>
                <w:szCs w:val="14"/>
                <w:color w:val="auto"/>
              </w:rPr>
            </w:pPr>
          </w:p>
        </w:tc>
        <w:tc>
          <w:tcPr>
            <w:tcW w:w="1360" w:type="dxa"/>
            <w:vAlign w:val="bottom"/>
            <w:shd w:val="clear" w:color="auto" w:fill="EBEBEB"/>
          </w:tcPr>
          <w:p>
            <w:pPr>
              <w:spacing w:after="0"/>
              <w:rPr>
                <w:sz w:val="14"/>
                <w:szCs w:val="14"/>
                <w:color w:val="auto"/>
              </w:rPr>
            </w:pPr>
          </w:p>
        </w:tc>
        <w:tc>
          <w:tcPr>
            <w:tcW w:w="1440" w:type="dxa"/>
            <w:vAlign w:val="bottom"/>
            <w:shd w:val="clear" w:color="auto" w:fill="EBEBEB"/>
          </w:tcPr>
          <w:p>
            <w:pPr>
              <w:spacing w:after="0"/>
              <w:rPr>
                <w:sz w:val="14"/>
                <w:szCs w:val="14"/>
                <w:color w:val="auto"/>
              </w:rPr>
            </w:pPr>
          </w:p>
        </w:tc>
        <w:tc>
          <w:tcPr>
            <w:tcW w:w="96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EBEBEB"/>
          </w:tcPr>
          <w:p>
            <w:pPr>
              <w:ind w:left="160"/>
              <w:spacing w:after="0"/>
              <w:rPr>
                <w:sz w:val="20"/>
                <w:szCs w:val="20"/>
                <w:color w:val="auto"/>
              </w:rPr>
            </w:pPr>
            <w:r>
              <w:rPr>
                <w:rFonts w:ascii="Arial" w:cs="Arial" w:eastAsia="Arial" w:hAnsi="Arial"/>
                <w:sz w:val="14"/>
                <w:szCs w:val="14"/>
                <w:color w:val="auto"/>
              </w:rPr>
              <w:t>Development Officer</w:t>
            </w:r>
          </w:p>
        </w:tc>
        <w:tc>
          <w:tcPr>
            <w:tcW w:w="120" w:type="dxa"/>
            <w:vAlign w:val="bottom"/>
            <w:shd w:val="clear" w:color="auto" w:fill="EBEBEB"/>
          </w:tcPr>
          <w:p>
            <w:pPr>
              <w:spacing w:after="0"/>
              <w:rPr>
                <w:sz w:val="16"/>
                <w:szCs w:val="16"/>
                <w:color w:val="auto"/>
              </w:rPr>
            </w:pPr>
          </w:p>
        </w:tc>
        <w:tc>
          <w:tcPr>
            <w:tcW w:w="340" w:type="dxa"/>
            <w:vAlign w:val="bottom"/>
            <w:vMerge w:val="restart"/>
            <w:shd w:val="clear" w:color="auto" w:fill="EBEBEB"/>
          </w:tcPr>
          <w:p>
            <w:pPr>
              <w:ind w:left="20"/>
              <w:spacing w:after="0"/>
              <w:rPr>
                <w:sz w:val="20"/>
                <w:szCs w:val="20"/>
                <w:color w:val="auto"/>
              </w:rPr>
            </w:pPr>
            <w:r>
              <w:rPr>
                <w:rFonts w:ascii="Arial" w:cs="Arial" w:eastAsia="Arial" w:hAnsi="Arial"/>
                <w:sz w:val="14"/>
                <w:szCs w:val="14"/>
                <w:color w:val="auto"/>
                <w:w w:val="96"/>
              </w:rPr>
              <w:t>2023</w:t>
            </w:r>
          </w:p>
        </w:tc>
        <w:tc>
          <w:tcPr>
            <w:tcW w:w="140" w:type="dxa"/>
            <w:vAlign w:val="bottom"/>
            <w:shd w:val="clear" w:color="auto" w:fill="EBEBEB"/>
          </w:tcPr>
          <w:p>
            <w:pPr>
              <w:spacing w:after="0"/>
              <w:rPr>
                <w:sz w:val="16"/>
                <w:szCs w:val="16"/>
                <w:color w:val="auto"/>
              </w:rPr>
            </w:pPr>
          </w:p>
        </w:tc>
        <w:tc>
          <w:tcPr>
            <w:tcW w:w="800" w:type="dxa"/>
            <w:vAlign w:val="bottom"/>
            <w:vMerge w:val="restart"/>
            <w:shd w:val="clear" w:color="auto" w:fill="EBEBEB"/>
          </w:tcPr>
          <w:p>
            <w:pPr>
              <w:jc w:val="right"/>
              <w:ind w:right="47"/>
              <w:spacing w:after="0"/>
              <w:rPr>
                <w:sz w:val="20"/>
                <w:szCs w:val="20"/>
                <w:color w:val="auto"/>
              </w:rPr>
            </w:pPr>
            <w:r>
              <w:rPr>
                <w:rFonts w:ascii="Arial" w:cs="Arial" w:eastAsia="Arial" w:hAnsi="Arial"/>
                <w:sz w:val="14"/>
                <w:szCs w:val="14"/>
                <w:color w:val="auto"/>
              </w:rPr>
              <w:t>465,000</w:t>
            </w:r>
          </w:p>
        </w:tc>
        <w:tc>
          <w:tcPr>
            <w:tcW w:w="720" w:type="dxa"/>
            <w:vAlign w:val="bottom"/>
            <w:vMerge w:val="restart"/>
            <w:shd w:val="clear" w:color="auto" w:fill="EBEBEB"/>
          </w:tcPr>
          <w:p>
            <w:pPr>
              <w:jc w:val="right"/>
              <w:ind w:right="47"/>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EBEBEB"/>
          </w:tcPr>
          <w:p>
            <w:pPr>
              <w:jc w:val="right"/>
              <w:ind w:right="46"/>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BEBEB"/>
          </w:tcPr>
          <w:p>
            <w:pPr>
              <w:jc w:val="right"/>
              <w:ind w:right="46"/>
              <w:spacing w:after="0"/>
              <w:rPr>
                <w:sz w:val="20"/>
                <w:szCs w:val="20"/>
                <w:color w:val="auto"/>
              </w:rPr>
            </w:pPr>
            <w:r>
              <w:rPr>
                <w:rFonts w:ascii="Arial" w:cs="Arial" w:eastAsia="Arial" w:hAnsi="Arial"/>
                <w:sz w:val="14"/>
                <w:szCs w:val="14"/>
                <w:color w:val="auto"/>
              </w:rPr>
              <w:t>531,999</w:t>
            </w:r>
          </w:p>
        </w:tc>
        <w:tc>
          <w:tcPr>
            <w:tcW w:w="1360" w:type="dxa"/>
            <w:vAlign w:val="bottom"/>
            <w:vMerge w:val="restart"/>
            <w:shd w:val="clear" w:color="auto" w:fill="EBEBEB"/>
          </w:tcPr>
          <w:p>
            <w:pPr>
              <w:jc w:val="right"/>
              <w:ind w:right="45"/>
              <w:spacing w:after="0"/>
              <w:rPr>
                <w:sz w:val="20"/>
                <w:szCs w:val="20"/>
                <w:color w:val="auto"/>
              </w:rPr>
            </w:pPr>
            <w:r>
              <w:rPr>
                <w:rFonts w:ascii="Arial" w:cs="Arial" w:eastAsia="Arial" w:hAnsi="Arial"/>
                <w:sz w:val="14"/>
                <w:szCs w:val="14"/>
                <w:color w:val="auto"/>
              </w:rPr>
              <w:t>210,054</w:t>
            </w:r>
          </w:p>
        </w:tc>
        <w:tc>
          <w:tcPr>
            <w:tcW w:w="1440" w:type="dxa"/>
            <w:vAlign w:val="bottom"/>
            <w:vMerge w:val="restart"/>
            <w:shd w:val="clear" w:color="auto" w:fill="EBEBEB"/>
          </w:tcPr>
          <w:p>
            <w:pPr>
              <w:jc w:val="right"/>
              <w:ind w:right="147"/>
              <w:spacing w:after="0"/>
              <w:rPr>
                <w:sz w:val="20"/>
                <w:szCs w:val="20"/>
                <w:color w:val="auto"/>
              </w:rPr>
            </w:pPr>
            <w:r>
              <w:rPr>
                <w:rFonts w:ascii="Arial" w:cs="Arial" w:eastAsia="Arial" w:hAnsi="Arial"/>
                <w:sz w:val="14"/>
                <w:szCs w:val="14"/>
                <w:color w:val="auto"/>
              </w:rPr>
              <w:t>24,149</w:t>
            </w:r>
            <w:r>
              <w:rPr>
                <w:rFonts w:ascii="Arial" w:cs="Arial" w:eastAsia="Arial" w:hAnsi="Arial"/>
                <w:sz w:val="23"/>
                <w:szCs w:val="23"/>
                <w:color w:val="auto"/>
                <w:vertAlign w:val="superscript"/>
              </w:rPr>
              <w:t>(4)</w:t>
            </w:r>
          </w:p>
        </w:tc>
        <w:tc>
          <w:tcPr>
            <w:tcW w:w="960" w:type="dxa"/>
            <w:vAlign w:val="bottom"/>
            <w:vMerge w:val="restart"/>
            <w:shd w:val="clear" w:color="auto" w:fill="EBEBEB"/>
          </w:tcPr>
          <w:p>
            <w:pPr>
              <w:jc w:val="right"/>
              <w:ind w:right="27"/>
              <w:spacing w:after="0"/>
              <w:rPr>
                <w:sz w:val="20"/>
                <w:szCs w:val="20"/>
                <w:color w:val="auto"/>
              </w:rPr>
            </w:pPr>
            <w:r>
              <w:rPr>
                <w:rFonts w:ascii="Arial" w:cs="Arial" w:eastAsia="Arial" w:hAnsi="Arial"/>
                <w:sz w:val="14"/>
                <w:szCs w:val="14"/>
                <w:color w:val="auto"/>
              </w:rPr>
              <w:t>1,231,199</w:t>
            </w:r>
          </w:p>
        </w:tc>
        <w:tc>
          <w:tcPr>
            <w:tcW w:w="0" w:type="dxa"/>
            <w:vAlign w:val="bottom"/>
          </w:tcPr>
          <w:p>
            <w:pPr>
              <w:spacing w:after="0"/>
              <w:rPr>
                <w:sz w:val="1"/>
                <w:szCs w:val="1"/>
                <w:color w:val="auto"/>
              </w:rPr>
            </w:pPr>
          </w:p>
        </w:tc>
      </w:tr>
      <w:tr>
        <w:trPr>
          <w:trHeight w:val="80"/>
        </w:trPr>
        <w:tc>
          <w:tcPr>
            <w:tcW w:w="1820" w:type="dxa"/>
            <w:vAlign w:val="bottom"/>
            <w:shd w:val="clear" w:color="auto" w:fill="EBEBEB"/>
          </w:tcPr>
          <w:p>
            <w:pPr>
              <w:spacing w:after="0"/>
              <w:rPr>
                <w:sz w:val="6"/>
                <w:szCs w:val="6"/>
                <w:color w:val="auto"/>
              </w:rPr>
            </w:pPr>
          </w:p>
        </w:tc>
        <w:tc>
          <w:tcPr>
            <w:tcW w:w="120" w:type="dxa"/>
            <w:vAlign w:val="bottom"/>
            <w:shd w:val="clear" w:color="auto" w:fill="EBEBEB"/>
          </w:tcPr>
          <w:p>
            <w:pPr>
              <w:spacing w:after="0"/>
              <w:rPr>
                <w:sz w:val="6"/>
                <w:szCs w:val="6"/>
                <w:color w:val="auto"/>
              </w:rPr>
            </w:pPr>
          </w:p>
        </w:tc>
        <w:tc>
          <w:tcPr>
            <w:tcW w:w="340" w:type="dxa"/>
            <w:vAlign w:val="bottom"/>
            <w:vMerge w:val="continue"/>
            <w:shd w:val="clear" w:color="auto" w:fill="EBEBEB"/>
          </w:tcPr>
          <w:p>
            <w:pPr>
              <w:spacing w:after="0"/>
              <w:rPr>
                <w:sz w:val="6"/>
                <w:szCs w:val="6"/>
                <w:color w:val="auto"/>
              </w:rPr>
            </w:pPr>
          </w:p>
        </w:tc>
        <w:tc>
          <w:tcPr>
            <w:tcW w:w="140" w:type="dxa"/>
            <w:vAlign w:val="bottom"/>
            <w:shd w:val="clear" w:color="auto" w:fill="EBEBEB"/>
          </w:tcPr>
          <w:p>
            <w:pPr>
              <w:spacing w:after="0"/>
              <w:rPr>
                <w:sz w:val="6"/>
                <w:szCs w:val="6"/>
                <w:color w:val="auto"/>
              </w:rPr>
            </w:pPr>
          </w:p>
        </w:tc>
        <w:tc>
          <w:tcPr>
            <w:tcW w:w="800" w:type="dxa"/>
            <w:vAlign w:val="bottom"/>
            <w:vMerge w:val="continue"/>
            <w:shd w:val="clear" w:color="auto" w:fill="EBEBEB"/>
          </w:tcPr>
          <w:p>
            <w:pPr>
              <w:spacing w:after="0"/>
              <w:rPr>
                <w:sz w:val="6"/>
                <w:szCs w:val="6"/>
                <w:color w:val="auto"/>
              </w:rPr>
            </w:pPr>
          </w:p>
        </w:tc>
        <w:tc>
          <w:tcPr>
            <w:tcW w:w="720" w:type="dxa"/>
            <w:vAlign w:val="bottom"/>
            <w:vMerge w:val="continue"/>
            <w:shd w:val="clear" w:color="auto" w:fill="EBEBEB"/>
          </w:tcPr>
          <w:p>
            <w:pPr>
              <w:spacing w:after="0"/>
              <w:rPr>
                <w:sz w:val="6"/>
                <w:szCs w:val="6"/>
                <w:color w:val="auto"/>
              </w:rPr>
            </w:pPr>
          </w:p>
        </w:tc>
        <w:tc>
          <w:tcPr>
            <w:tcW w:w="820" w:type="dxa"/>
            <w:vAlign w:val="bottom"/>
            <w:vMerge w:val="continue"/>
            <w:shd w:val="clear" w:color="auto" w:fill="EBEBEB"/>
          </w:tcPr>
          <w:p>
            <w:pPr>
              <w:spacing w:after="0"/>
              <w:rPr>
                <w:sz w:val="6"/>
                <w:szCs w:val="6"/>
                <w:color w:val="auto"/>
              </w:rPr>
            </w:pPr>
          </w:p>
        </w:tc>
        <w:tc>
          <w:tcPr>
            <w:tcW w:w="880" w:type="dxa"/>
            <w:vAlign w:val="bottom"/>
            <w:vMerge w:val="continue"/>
            <w:shd w:val="clear" w:color="auto" w:fill="EBEBEB"/>
          </w:tcPr>
          <w:p>
            <w:pPr>
              <w:spacing w:after="0"/>
              <w:rPr>
                <w:sz w:val="6"/>
                <w:szCs w:val="6"/>
                <w:color w:val="auto"/>
              </w:rPr>
            </w:pPr>
          </w:p>
        </w:tc>
        <w:tc>
          <w:tcPr>
            <w:tcW w:w="1360" w:type="dxa"/>
            <w:vAlign w:val="bottom"/>
            <w:vMerge w:val="continue"/>
            <w:shd w:val="clear" w:color="auto" w:fill="EBEBEB"/>
          </w:tcPr>
          <w:p>
            <w:pPr>
              <w:spacing w:after="0"/>
              <w:rPr>
                <w:sz w:val="6"/>
                <w:szCs w:val="6"/>
                <w:color w:val="auto"/>
              </w:rPr>
            </w:pPr>
          </w:p>
        </w:tc>
        <w:tc>
          <w:tcPr>
            <w:tcW w:w="1440" w:type="dxa"/>
            <w:vAlign w:val="bottom"/>
            <w:vMerge w:val="continue"/>
            <w:shd w:val="clear" w:color="auto" w:fill="EBEBEB"/>
          </w:tcPr>
          <w:p>
            <w:pPr>
              <w:spacing w:after="0"/>
              <w:rPr>
                <w:sz w:val="6"/>
                <w:szCs w:val="6"/>
                <w:color w:val="auto"/>
              </w:rPr>
            </w:pPr>
          </w:p>
        </w:tc>
        <w:tc>
          <w:tcPr>
            <w:tcW w:w="960" w:type="dxa"/>
            <w:vAlign w:val="bottom"/>
            <w:vMerge w:val="continue"/>
            <w:shd w:val="clear" w:color="auto" w:fill="EBEBEB"/>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820" w:type="dxa"/>
            <w:vAlign w:val="bottom"/>
            <w:shd w:val="clear" w:color="auto" w:fill="EBEBEB"/>
          </w:tcPr>
          <w:p>
            <w:pPr>
              <w:spacing w:after="0"/>
              <w:rPr>
                <w:sz w:val="8"/>
                <w:szCs w:val="8"/>
                <w:color w:val="auto"/>
              </w:rPr>
            </w:pPr>
          </w:p>
        </w:tc>
        <w:tc>
          <w:tcPr>
            <w:tcW w:w="120" w:type="dxa"/>
            <w:vAlign w:val="bottom"/>
            <w:shd w:val="clear" w:color="auto" w:fill="EBEBEB"/>
          </w:tcPr>
          <w:p>
            <w:pPr>
              <w:spacing w:after="0"/>
              <w:rPr>
                <w:sz w:val="8"/>
                <w:szCs w:val="8"/>
                <w:color w:val="auto"/>
              </w:rPr>
            </w:pPr>
          </w:p>
        </w:tc>
        <w:tc>
          <w:tcPr>
            <w:tcW w:w="340" w:type="dxa"/>
            <w:vAlign w:val="bottom"/>
            <w:shd w:val="clear" w:color="auto" w:fill="EBEBEB"/>
          </w:tcPr>
          <w:p>
            <w:pPr>
              <w:spacing w:after="0"/>
              <w:rPr>
                <w:sz w:val="8"/>
                <w:szCs w:val="8"/>
                <w:color w:val="auto"/>
              </w:rPr>
            </w:pPr>
          </w:p>
        </w:tc>
        <w:tc>
          <w:tcPr>
            <w:tcW w:w="140" w:type="dxa"/>
            <w:vAlign w:val="bottom"/>
            <w:shd w:val="clear" w:color="auto" w:fill="EBEBEB"/>
          </w:tcPr>
          <w:p>
            <w:pPr>
              <w:spacing w:after="0"/>
              <w:rPr>
                <w:sz w:val="8"/>
                <w:szCs w:val="8"/>
                <w:color w:val="auto"/>
              </w:rPr>
            </w:pPr>
          </w:p>
        </w:tc>
        <w:tc>
          <w:tcPr>
            <w:tcW w:w="800" w:type="dxa"/>
            <w:vAlign w:val="bottom"/>
            <w:shd w:val="clear" w:color="auto" w:fill="EBEBEB"/>
          </w:tcPr>
          <w:p>
            <w:pPr>
              <w:spacing w:after="0"/>
              <w:rPr>
                <w:sz w:val="8"/>
                <w:szCs w:val="8"/>
                <w:color w:val="auto"/>
              </w:rPr>
            </w:pPr>
          </w:p>
        </w:tc>
        <w:tc>
          <w:tcPr>
            <w:tcW w:w="720" w:type="dxa"/>
            <w:vAlign w:val="bottom"/>
            <w:shd w:val="clear" w:color="auto" w:fill="EBEBEB"/>
          </w:tcPr>
          <w:p>
            <w:pPr>
              <w:spacing w:after="0"/>
              <w:rPr>
                <w:sz w:val="8"/>
                <w:szCs w:val="8"/>
                <w:color w:val="auto"/>
              </w:rPr>
            </w:pPr>
          </w:p>
        </w:tc>
        <w:tc>
          <w:tcPr>
            <w:tcW w:w="820" w:type="dxa"/>
            <w:vAlign w:val="bottom"/>
            <w:shd w:val="clear" w:color="auto" w:fill="EBEBEB"/>
          </w:tcPr>
          <w:p>
            <w:pPr>
              <w:spacing w:after="0"/>
              <w:rPr>
                <w:sz w:val="8"/>
                <w:szCs w:val="8"/>
                <w:color w:val="auto"/>
              </w:rPr>
            </w:pPr>
          </w:p>
        </w:tc>
        <w:tc>
          <w:tcPr>
            <w:tcW w:w="880" w:type="dxa"/>
            <w:vAlign w:val="bottom"/>
            <w:shd w:val="clear" w:color="auto" w:fill="EBEBEB"/>
          </w:tcPr>
          <w:p>
            <w:pPr>
              <w:spacing w:after="0"/>
              <w:rPr>
                <w:sz w:val="8"/>
                <w:szCs w:val="8"/>
                <w:color w:val="auto"/>
              </w:rPr>
            </w:pPr>
          </w:p>
        </w:tc>
        <w:tc>
          <w:tcPr>
            <w:tcW w:w="1360" w:type="dxa"/>
            <w:vAlign w:val="bottom"/>
            <w:shd w:val="clear" w:color="auto" w:fill="EBEBEB"/>
          </w:tcPr>
          <w:p>
            <w:pPr>
              <w:spacing w:after="0"/>
              <w:rPr>
                <w:sz w:val="8"/>
                <w:szCs w:val="8"/>
                <w:color w:val="auto"/>
              </w:rPr>
            </w:pPr>
          </w:p>
        </w:tc>
        <w:tc>
          <w:tcPr>
            <w:tcW w:w="1440" w:type="dxa"/>
            <w:vAlign w:val="bottom"/>
            <w:shd w:val="clear" w:color="auto" w:fill="EBEBEB"/>
          </w:tcPr>
          <w:p>
            <w:pPr>
              <w:spacing w:after="0"/>
              <w:rPr>
                <w:sz w:val="8"/>
                <w:szCs w:val="8"/>
                <w:color w:val="auto"/>
              </w:rPr>
            </w:pPr>
          </w:p>
        </w:tc>
        <w:tc>
          <w:tcPr>
            <w:tcW w:w="960" w:type="dxa"/>
            <w:vAlign w:val="bottom"/>
            <w:shd w:val="clear" w:color="auto" w:fill="EBEBEB"/>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-3248025</wp:posOffset>
            </wp:positionV>
            <wp:extent cx="59664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-2596515</wp:posOffset>
            </wp:positionV>
            <wp:extent cx="48088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-1302385</wp:posOffset>
            </wp:positionV>
            <wp:extent cx="48088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08855" cy="8890"/>
                    </a:xfrm>
                    <a:prstGeom prst="rect">
                      <a:avLst/>
                    </a:prstGeom>
                    <a:noFill/>
                  </pic:spPr>
                </pic:pic>
              </a:graphicData>
            </a:graphic>
          </wp:anchor>
        </w:drawing>
      </w:r>
    </w:p>
    <w:p>
      <w:pPr>
        <w:spacing w:after="0" w:line="133" w:lineRule="exact"/>
        <w:rPr>
          <w:sz w:val="20"/>
          <w:szCs w:val="20"/>
          <w:color w:val="auto"/>
        </w:rPr>
      </w:pPr>
    </w:p>
    <w:p>
      <w:pPr>
        <w:ind w:left="320" w:right="40" w:hanging="224"/>
        <w:spacing w:after="0" w:line="249" w:lineRule="auto"/>
        <w:tabs>
          <w:tab w:leader="none" w:pos="32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In accordance with SEC rules, amounts in this column reflect the aggregate grant date fair value of time-based and performance RSU awards granted during 2023 and 2024 computed in accordance with ASC Topic 718, rather than the amounts paid or realized by the named executive officer. The performance RSU award amounts reflect the probable outcome of the performance conditions, in accordance with ASC Topic 718. For a discussion of valuation assumptions, see Note 9 and the sections titled “</w:t>
      </w:r>
      <w:r>
        <w:rPr>
          <w:rFonts w:ascii="Arial" w:cs="Arial" w:eastAsia="Arial" w:hAnsi="Arial"/>
          <w:sz w:val="14"/>
          <w:szCs w:val="14"/>
          <w:i w:val="1"/>
          <w:iCs w:val="1"/>
          <w:color w:val="255993"/>
        </w:rPr>
        <w:t>Stock-based Compensation</w:t>
      </w:r>
      <w:r>
        <w:rPr>
          <w:rFonts w:ascii="Arial" w:cs="Arial" w:eastAsia="Arial" w:hAnsi="Arial"/>
          <w:sz w:val="14"/>
          <w:szCs w:val="14"/>
          <w:color w:val="255993"/>
        </w:rPr>
        <w:t>” to our financial statements included in each of our Annual Reports on Form 10-K for the years ended December 31, 2023 and December 31, 2024. The fair value of the performance RSU awards at the grant date has been calculated assuming that the highest level of performance conditions will be achieved for each award.</w:t>
      </w:r>
    </w:p>
    <w:p>
      <w:pPr>
        <w:spacing w:after="0" w:line="226" w:lineRule="exact"/>
        <w:rPr>
          <w:rFonts w:ascii="Arial" w:cs="Arial" w:eastAsia="Arial" w:hAnsi="Arial"/>
          <w:sz w:val="14"/>
          <w:szCs w:val="14"/>
          <w:color w:val="255993"/>
        </w:rPr>
      </w:pPr>
    </w:p>
    <w:p>
      <w:pPr>
        <w:ind w:left="320" w:right="120" w:hanging="224"/>
        <w:spacing w:after="0" w:line="256" w:lineRule="auto"/>
        <w:tabs>
          <w:tab w:leader="none" w:pos="32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 xml:space="preserve">In accordance with SEC rules, amounts in this column reflect the aggregate grant date fair value of stock options granted during 2023 and 2024 computed in accordance with ASC Topic 718, rather than the amounts paid or realized by the named executive officer. For a discussion of valuation assumptions, see Note 9 and the sections titled </w:t>
      </w:r>
      <w:r>
        <w:rPr>
          <w:rFonts w:ascii="Arial" w:cs="Arial" w:eastAsia="Arial" w:hAnsi="Arial"/>
          <w:sz w:val="14"/>
          <w:szCs w:val="14"/>
          <w:i w:val="1"/>
          <w:iCs w:val="1"/>
          <w:color w:val="255993"/>
        </w:rPr>
        <w:t>“Stock-based Compensation”</w:t>
      </w:r>
      <w:r>
        <w:rPr>
          <w:rFonts w:ascii="Arial" w:cs="Arial" w:eastAsia="Arial" w:hAnsi="Arial"/>
          <w:sz w:val="14"/>
          <w:szCs w:val="14"/>
          <w:color w:val="255993"/>
        </w:rPr>
        <w:t xml:space="preserve"> to our financial statements included in each of our Annual Reports on Form 10-K for the years ended December 31, 2023 and December 31, 2024.</w:t>
      </w:r>
    </w:p>
    <w:p>
      <w:pPr>
        <w:spacing w:after="0" w:line="55" w:lineRule="exact"/>
        <w:rPr>
          <w:rFonts w:ascii="Arial" w:cs="Arial" w:eastAsia="Arial" w:hAnsi="Arial"/>
          <w:sz w:val="14"/>
          <w:szCs w:val="14"/>
          <w:color w:val="255993"/>
        </w:rPr>
      </w:pPr>
    </w:p>
    <w:p>
      <w:pPr>
        <w:ind w:left="320" w:right="720" w:hanging="224"/>
        <w:spacing w:after="0" w:line="285" w:lineRule="auto"/>
        <w:tabs>
          <w:tab w:leader="none" w:pos="32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Represents cash bonuses earned by the named executive officers pursuant to our Executive Incentive Compensation Plan for 2023 performance, paid in 2024, and for 2024 performance, paid in 2025.</w:t>
      </w:r>
    </w:p>
    <w:p>
      <w:pPr>
        <w:spacing w:after="0" w:line="22" w:lineRule="exact"/>
        <w:rPr>
          <w:rFonts w:ascii="Arial" w:cs="Arial" w:eastAsia="Arial" w:hAnsi="Arial"/>
          <w:sz w:val="14"/>
          <w:szCs w:val="14"/>
          <w:color w:val="255993"/>
        </w:rPr>
      </w:pPr>
    </w:p>
    <w:p>
      <w:pPr>
        <w:ind w:left="320" w:right="220" w:hanging="224"/>
        <w:spacing w:after="0" w:line="285" w:lineRule="auto"/>
        <w:tabs>
          <w:tab w:leader="none" w:pos="32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Represents payments made on the executive’s behalf for basic life insurance and contributions to vested and unvested defined contribution plans.</w:t>
      </w:r>
    </w:p>
    <w:p>
      <w:pPr>
        <w:spacing w:after="0" w:line="158"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40</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7820"/>
        <w:spacing w:after="0"/>
        <w:rPr>
          <w:sz w:val="20"/>
          <w:szCs w:val="20"/>
          <w:color w:val="auto"/>
        </w:rPr>
      </w:pPr>
      <w:r>
        <w:rPr>
          <w:rFonts w:ascii="Arial" w:cs="Arial" w:eastAsia="Arial" w:hAnsi="Arial"/>
          <w:sz w:val="14"/>
          <w:szCs w:val="14"/>
          <w:color w:val="25599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right="280" w:hanging="224"/>
        <w:spacing w:after="0" w:line="285" w:lineRule="auto"/>
        <w:tabs>
          <w:tab w:leader="none" w:pos="320" w:val="left"/>
        </w:tabs>
        <w:numPr>
          <w:ilvl w:val="0"/>
          <w:numId w:val="34"/>
        </w:numPr>
        <w:rPr>
          <w:rFonts w:ascii="Arial" w:cs="Arial" w:eastAsia="Arial" w:hAnsi="Arial"/>
          <w:sz w:val="14"/>
          <w:szCs w:val="14"/>
          <w:color w:val="255993"/>
        </w:rPr>
      </w:pPr>
      <w:r>
        <w:rPr>
          <w:rFonts w:ascii="Arial" w:cs="Arial" w:eastAsia="Arial" w:hAnsi="Arial"/>
          <w:sz w:val="14"/>
          <w:szCs w:val="14"/>
          <w:color w:val="255993"/>
        </w:rPr>
        <w:t>Represents payments for severance ($363,750), an outplacement stipend ($2,500), payments made on the executive’s behalf for basic life insurance ($63.45) and contributions to vested and unvested defined contribution plans ($4,279.18).</w:t>
      </w:r>
    </w:p>
    <w:p>
      <w:pPr>
        <w:spacing w:after="0" w:line="36" w:lineRule="exact"/>
        <w:rPr>
          <w:rFonts w:ascii="Arial" w:cs="Arial" w:eastAsia="Arial" w:hAnsi="Arial"/>
          <w:sz w:val="14"/>
          <w:szCs w:val="14"/>
          <w:color w:val="255993"/>
        </w:rPr>
      </w:pPr>
    </w:p>
    <w:p>
      <w:pPr>
        <w:ind w:left="320" w:right="20" w:hanging="224"/>
        <w:spacing w:after="0" w:line="285" w:lineRule="auto"/>
        <w:tabs>
          <w:tab w:leader="none" w:pos="320" w:val="left"/>
        </w:tabs>
        <w:numPr>
          <w:ilvl w:val="0"/>
          <w:numId w:val="34"/>
        </w:numPr>
        <w:rPr>
          <w:rFonts w:ascii="Arial" w:cs="Arial" w:eastAsia="Arial" w:hAnsi="Arial"/>
          <w:sz w:val="14"/>
          <w:szCs w:val="14"/>
          <w:color w:val="255993"/>
        </w:rPr>
      </w:pPr>
      <w:r>
        <w:rPr>
          <w:rFonts w:ascii="Arial" w:cs="Arial" w:eastAsia="Arial" w:hAnsi="Arial"/>
          <w:sz w:val="14"/>
          <w:szCs w:val="14"/>
          <w:color w:val="255993"/>
        </w:rPr>
        <w:t>Represents payments for consulting fees ($45,600), severance ($375,000), outplacement stipend ($2,500), payments made on the executive’s behalf for basic life insurance ($63.45) and contributions to vested and unvested defined contribution plans ($24,805.84).</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OUTSTANDING EQUITY AWARDS AT DECEMBER 31, 2024</w:t>
      </w:r>
    </w:p>
    <w:p>
      <w:pPr>
        <w:spacing w:after="0" w:line="10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following table shows grants of stock options and restricted stock units to each of our named executive officers outstanding at December 31,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100" w:type="dxa"/>
            <w:vAlign w:val="bottom"/>
            <w:shd w:val="clear" w:color="auto" w:fill="255993"/>
          </w:tcPr>
          <w:p>
            <w:pPr>
              <w:spacing w:after="0"/>
              <w:rPr>
                <w:sz w:val="24"/>
                <w:szCs w:val="24"/>
                <w:color w:val="auto"/>
              </w:rPr>
            </w:pPr>
          </w:p>
        </w:tc>
        <w:tc>
          <w:tcPr>
            <w:tcW w:w="2020" w:type="dxa"/>
            <w:vAlign w:val="bottom"/>
            <w:shd w:val="clear" w:color="auto" w:fill="255993"/>
          </w:tcPr>
          <w:p>
            <w:pPr>
              <w:spacing w:after="0"/>
              <w:rPr>
                <w:sz w:val="24"/>
                <w:szCs w:val="24"/>
                <w:color w:val="auto"/>
              </w:rPr>
            </w:pPr>
          </w:p>
        </w:tc>
        <w:tc>
          <w:tcPr>
            <w:tcW w:w="740" w:type="dxa"/>
            <w:vAlign w:val="bottom"/>
            <w:shd w:val="clear" w:color="auto" w:fill="255993"/>
          </w:tcPr>
          <w:p>
            <w:pPr>
              <w:spacing w:after="0"/>
              <w:rPr>
                <w:sz w:val="24"/>
                <w:szCs w:val="24"/>
                <w:color w:val="auto"/>
              </w:rPr>
            </w:pPr>
          </w:p>
        </w:tc>
        <w:tc>
          <w:tcPr>
            <w:tcW w:w="1120" w:type="dxa"/>
            <w:vAlign w:val="bottom"/>
            <w:shd w:val="clear" w:color="auto" w:fill="255993"/>
          </w:tcPr>
          <w:p>
            <w:pPr>
              <w:spacing w:after="0"/>
              <w:rPr>
                <w:sz w:val="24"/>
                <w:szCs w:val="24"/>
                <w:color w:val="auto"/>
              </w:rPr>
            </w:pPr>
          </w:p>
        </w:tc>
        <w:tc>
          <w:tcPr>
            <w:tcW w:w="1320" w:type="dxa"/>
            <w:vAlign w:val="bottom"/>
            <w:shd w:val="clear" w:color="auto" w:fill="255993"/>
          </w:tcPr>
          <w:p>
            <w:pPr>
              <w:spacing w:after="0"/>
              <w:rPr>
                <w:sz w:val="24"/>
                <w:szCs w:val="24"/>
                <w:color w:val="auto"/>
              </w:rPr>
            </w:pPr>
          </w:p>
        </w:tc>
        <w:tc>
          <w:tcPr>
            <w:tcW w:w="880" w:type="dxa"/>
            <w:vAlign w:val="bottom"/>
            <w:shd w:val="clear" w:color="auto" w:fill="255993"/>
          </w:tcPr>
          <w:p>
            <w:pPr>
              <w:spacing w:after="0"/>
              <w:rPr>
                <w:sz w:val="24"/>
                <w:szCs w:val="24"/>
                <w:color w:val="auto"/>
              </w:rPr>
            </w:pPr>
          </w:p>
        </w:tc>
        <w:tc>
          <w:tcPr>
            <w:tcW w:w="1140" w:type="dxa"/>
            <w:vAlign w:val="bottom"/>
            <w:shd w:val="clear" w:color="auto" w:fill="255993"/>
          </w:tcPr>
          <w:p>
            <w:pPr>
              <w:spacing w:after="0"/>
              <w:rPr>
                <w:sz w:val="24"/>
                <w:szCs w:val="24"/>
                <w:color w:val="auto"/>
              </w:rPr>
            </w:pPr>
          </w:p>
        </w:tc>
        <w:tc>
          <w:tcPr>
            <w:tcW w:w="2080" w:type="dxa"/>
            <w:vAlign w:val="bottom"/>
            <w:gridSpan w:val="2"/>
            <w:shd w:val="clear" w:color="auto" w:fill="255993"/>
          </w:tcPr>
          <w:p>
            <w:pPr>
              <w:jc w:val="right"/>
              <w:ind w:right="407"/>
              <w:spacing w:after="0"/>
              <w:rPr>
                <w:sz w:val="20"/>
                <w:szCs w:val="20"/>
                <w:color w:val="auto"/>
              </w:rPr>
            </w:pPr>
            <w:r>
              <w:rPr>
                <w:rFonts w:ascii="Arial" w:cs="Arial" w:eastAsia="Arial" w:hAnsi="Arial"/>
                <w:sz w:val="16"/>
                <w:szCs w:val="16"/>
                <w:b w:val="1"/>
                <w:bCs w:val="1"/>
                <w:color w:val="FFFFFF"/>
              </w:rPr>
              <w:t>Stock Awards</w:t>
            </w:r>
          </w:p>
        </w:tc>
        <w:tc>
          <w:tcPr>
            <w:tcW w:w="0" w:type="dxa"/>
            <w:vAlign w:val="bottom"/>
          </w:tcPr>
          <w:p>
            <w:pPr>
              <w:spacing w:after="0"/>
              <w:rPr>
                <w:sz w:val="1"/>
                <w:szCs w:val="1"/>
                <w:color w:val="auto"/>
              </w:rPr>
            </w:pPr>
          </w:p>
        </w:tc>
      </w:tr>
      <w:tr>
        <w:trPr>
          <w:trHeight w:val="223"/>
        </w:trPr>
        <w:tc>
          <w:tcPr>
            <w:tcW w:w="100" w:type="dxa"/>
            <w:vAlign w:val="bottom"/>
            <w:shd w:val="clear" w:color="auto" w:fill="255993"/>
          </w:tcPr>
          <w:p>
            <w:pPr>
              <w:spacing w:after="0"/>
              <w:rPr>
                <w:sz w:val="19"/>
                <w:szCs w:val="19"/>
                <w:color w:val="auto"/>
              </w:rPr>
            </w:pPr>
          </w:p>
        </w:tc>
        <w:tc>
          <w:tcPr>
            <w:tcW w:w="2020" w:type="dxa"/>
            <w:vAlign w:val="bottom"/>
            <w:shd w:val="clear" w:color="auto" w:fill="255993"/>
          </w:tcPr>
          <w:p>
            <w:pPr>
              <w:spacing w:after="0"/>
              <w:rPr>
                <w:sz w:val="19"/>
                <w:szCs w:val="19"/>
                <w:color w:val="auto"/>
              </w:rPr>
            </w:pPr>
          </w:p>
        </w:tc>
        <w:tc>
          <w:tcPr>
            <w:tcW w:w="740" w:type="dxa"/>
            <w:vAlign w:val="bottom"/>
            <w:shd w:val="clear" w:color="auto" w:fill="255993"/>
          </w:tcPr>
          <w:p>
            <w:pPr>
              <w:spacing w:after="0"/>
              <w:rPr>
                <w:sz w:val="19"/>
                <w:szCs w:val="19"/>
                <w:color w:val="auto"/>
              </w:rPr>
            </w:pPr>
          </w:p>
        </w:tc>
        <w:tc>
          <w:tcPr>
            <w:tcW w:w="4460" w:type="dxa"/>
            <w:vAlign w:val="bottom"/>
            <w:gridSpan w:val="4"/>
            <w:shd w:val="clear" w:color="auto" w:fill="255993"/>
          </w:tcPr>
          <w:p>
            <w:pPr>
              <w:jc w:val="right"/>
              <w:ind w:right="127"/>
              <w:spacing w:after="0"/>
              <w:rPr>
                <w:sz w:val="20"/>
                <w:szCs w:val="20"/>
                <w:color w:val="auto"/>
              </w:rPr>
            </w:pPr>
            <w:r>
              <w:rPr>
                <w:rFonts w:ascii="Arial" w:cs="Arial" w:eastAsia="Arial" w:hAnsi="Arial"/>
                <w:sz w:val="16"/>
                <w:szCs w:val="16"/>
                <w:b w:val="1"/>
                <w:bCs w:val="1"/>
                <w:color w:val="FFFFFF"/>
              </w:rPr>
              <w:t>Number of Securities Underlying Unexercised Options</w:t>
            </w:r>
          </w:p>
        </w:tc>
        <w:tc>
          <w:tcPr>
            <w:tcW w:w="2080" w:type="dxa"/>
            <w:vAlign w:val="bottom"/>
            <w:gridSpan w:val="2"/>
            <w:shd w:val="clear" w:color="auto" w:fill="255993"/>
          </w:tcPr>
          <w:p>
            <w:pPr>
              <w:ind w:left="680"/>
              <w:spacing w:after="0"/>
              <w:rPr>
                <w:sz w:val="20"/>
                <w:szCs w:val="20"/>
                <w:color w:val="auto"/>
              </w:rPr>
            </w:pPr>
            <w:r>
              <w:rPr>
                <w:rFonts w:ascii="Arial" w:cs="Arial" w:eastAsia="Arial" w:hAnsi="Arial"/>
                <w:sz w:val="16"/>
                <w:szCs w:val="16"/>
                <w:b w:val="1"/>
                <w:bCs w:val="1"/>
                <w:color w:val="FFFFFF"/>
              </w:rPr>
              <w:t>(unvested)</w:t>
            </w:r>
          </w:p>
        </w:tc>
        <w:tc>
          <w:tcPr>
            <w:tcW w:w="0" w:type="dxa"/>
            <w:vAlign w:val="bottom"/>
          </w:tcPr>
          <w:p>
            <w:pPr>
              <w:spacing w:after="0"/>
              <w:rPr>
                <w:sz w:val="1"/>
                <w:szCs w:val="1"/>
                <w:color w:val="auto"/>
              </w:rPr>
            </w:pPr>
          </w:p>
        </w:tc>
      </w:tr>
      <w:tr>
        <w:trPr>
          <w:trHeight w:val="263"/>
        </w:trPr>
        <w:tc>
          <w:tcPr>
            <w:tcW w:w="100" w:type="dxa"/>
            <w:vAlign w:val="bottom"/>
            <w:shd w:val="clear" w:color="auto" w:fill="255993"/>
          </w:tcPr>
          <w:p>
            <w:pPr>
              <w:spacing w:after="0"/>
              <w:rPr>
                <w:sz w:val="22"/>
                <w:szCs w:val="22"/>
                <w:color w:val="auto"/>
              </w:rPr>
            </w:pPr>
          </w:p>
        </w:tc>
        <w:tc>
          <w:tcPr>
            <w:tcW w:w="2020" w:type="dxa"/>
            <w:vAlign w:val="bottom"/>
            <w:shd w:val="clear" w:color="auto" w:fill="255993"/>
          </w:tcPr>
          <w:p>
            <w:pPr>
              <w:spacing w:after="0"/>
              <w:rPr>
                <w:sz w:val="22"/>
                <w:szCs w:val="22"/>
                <w:color w:val="auto"/>
              </w:rPr>
            </w:pPr>
          </w:p>
        </w:tc>
        <w:tc>
          <w:tcPr>
            <w:tcW w:w="740" w:type="dxa"/>
            <w:vAlign w:val="bottom"/>
            <w:shd w:val="clear" w:color="auto" w:fill="255993"/>
          </w:tcPr>
          <w:p>
            <w:pPr>
              <w:spacing w:after="0"/>
              <w:rPr>
                <w:sz w:val="22"/>
                <w:szCs w:val="22"/>
                <w:color w:val="auto"/>
              </w:rPr>
            </w:pPr>
          </w:p>
        </w:tc>
        <w:tc>
          <w:tcPr>
            <w:tcW w:w="1120" w:type="dxa"/>
            <w:vAlign w:val="bottom"/>
            <w:shd w:val="clear" w:color="auto" w:fill="255993"/>
          </w:tcPr>
          <w:p>
            <w:pPr>
              <w:spacing w:after="0"/>
              <w:rPr>
                <w:sz w:val="22"/>
                <w:szCs w:val="22"/>
                <w:color w:val="auto"/>
              </w:rPr>
            </w:pPr>
          </w:p>
        </w:tc>
        <w:tc>
          <w:tcPr>
            <w:tcW w:w="1320" w:type="dxa"/>
            <w:vAlign w:val="bottom"/>
            <w:shd w:val="clear" w:color="auto" w:fill="255993"/>
          </w:tcPr>
          <w:p>
            <w:pPr>
              <w:spacing w:after="0"/>
              <w:rPr>
                <w:sz w:val="22"/>
                <w:szCs w:val="22"/>
                <w:color w:val="auto"/>
              </w:rPr>
            </w:pPr>
          </w:p>
        </w:tc>
        <w:tc>
          <w:tcPr>
            <w:tcW w:w="880" w:type="dxa"/>
            <w:vAlign w:val="bottom"/>
            <w:shd w:val="clear" w:color="auto" w:fill="255993"/>
          </w:tcPr>
          <w:p>
            <w:pPr>
              <w:spacing w:after="0"/>
              <w:rPr>
                <w:sz w:val="22"/>
                <w:szCs w:val="22"/>
                <w:color w:val="auto"/>
              </w:rPr>
            </w:pPr>
          </w:p>
        </w:tc>
        <w:tc>
          <w:tcPr>
            <w:tcW w:w="1140" w:type="dxa"/>
            <w:vAlign w:val="bottom"/>
            <w:shd w:val="clear" w:color="auto" w:fill="255993"/>
          </w:tcPr>
          <w:p>
            <w:pPr>
              <w:spacing w:after="0"/>
              <w:rPr>
                <w:sz w:val="22"/>
                <w:szCs w:val="22"/>
                <w:color w:val="auto"/>
              </w:rPr>
            </w:pPr>
          </w:p>
        </w:tc>
        <w:tc>
          <w:tcPr>
            <w:tcW w:w="1140" w:type="dxa"/>
            <w:vAlign w:val="bottom"/>
            <w:shd w:val="clear" w:color="auto" w:fill="255993"/>
          </w:tcPr>
          <w:p>
            <w:pPr>
              <w:spacing w:after="0"/>
              <w:rPr>
                <w:sz w:val="22"/>
                <w:szCs w:val="22"/>
                <w:color w:val="auto"/>
              </w:rPr>
            </w:pPr>
          </w:p>
        </w:tc>
        <w:tc>
          <w:tcPr>
            <w:tcW w:w="940" w:type="dxa"/>
            <w:vAlign w:val="bottom"/>
            <w:shd w:val="clear" w:color="auto" w:fill="255993"/>
          </w:tcPr>
          <w:p>
            <w:pPr>
              <w:jc w:val="right"/>
              <w:ind w:right="87"/>
              <w:spacing w:after="0"/>
              <w:rPr>
                <w:sz w:val="20"/>
                <w:szCs w:val="20"/>
                <w:color w:val="auto"/>
              </w:rPr>
            </w:pPr>
            <w:r>
              <w:rPr>
                <w:rFonts w:ascii="Arial" w:cs="Arial" w:eastAsia="Arial" w:hAnsi="Arial"/>
                <w:sz w:val="16"/>
                <w:szCs w:val="16"/>
                <w:b w:val="1"/>
                <w:bCs w:val="1"/>
                <w:color w:val="FFFFFF"/>
              </w:rPr>
              <w:t>Market</w:t>
            </w:r>
          </w:p>
        </w:tc>
        <w:tc>
          <w:tcPr>
            <w:tcW w:w="0" w:type="dxa"/>
            <w:vAlign w:val="bottom"/>
          </w:tcPr>
          <w:p>
            <w:pPr>
              <w:spacing w:after="0"/>
              <w:rPr>
                <w:sz w:val="1"/>
                <w:szCs w:val="1"/>
                <w:color w:val="auto"/>
              </w:rPr>
            </w:pPr>
          </w:p>
        </w:tc>
      </w:tr>
      <w:tr>
        <w:trPr>
          <w:trHeight w:val="203"/>
        </w:trPr>
        <w:tc>
          <w:tcPr>
            <w:tcW w:w="100" w:type="dxa"/>
            <w:vAlign w:val="bottom"/>
            <w:shd w:val="clear" w:color="auto" w:fill="255993"/>
          </w:tcPr>
          <w:p>
            <w:pPr>
              <w:spacing w:after="0"/>
              <w:rPr>
                <w:sz w:val="17"/>
                <w:szCs w:val="17"/>
                <w:color w:val="auto"/>
              </w:rPr>
            </w:pPr>
          </w:p>
        </w:tc>
        <w:tc>
          <w:tcPr>
            <w:tcW w:w="2020" w:type="dxa"/>
            <w:vAlign w:val="bottom"/>
            <w:shd w:val="clear" w:color="auto" w:fill="255993"/>
          </w:tcPr>
          <w:p>
            <w:pPr>
              <w:spacing w:after="0"/>
              <w:rPr>
                <w:sz w:val="17"/>
                <w:szCs w:val="17"/>
                <w:color w:val="auto"/>
              </w:rPr>
            </w:pPr>
          </w:p>
        </w:tc>
        <w:tc>
          <w:tcPr>
            <w:tcW w:w="740" w:type="dxa"/>
            <w:vAlign w:val="bottom"/>
            <w:shd w:val="clear" w:color="auto" w:fill="255993"/>
          </w:tcPr>
          <w:p>
            <w:pPr>
              <w:spacing w:after="0"/>
              <w:rPr>
                <w:sz w:val="17"/>
                <w:szCs w:val="17"/>
                <w:color w:val="auto"/>
              </w:rPr>
            </w:pPr>
          </w:p>
        </w:tc>
        <w:tc>
          <w:tcPr>
            <w:tcW w:w="1120" w:type="dxa"/>
            <w:vAlign w:val="bottom"/>
            <w:shd w:val="clear" w:color="auto" w:fill="255993"/>
          </w:tcPr>
          <w:p>
            <w:pPr>
              <w:spacing w:after="0"/>
              <w:rPr>
                <w:sz w:val="17"/>
                <w:szCs w:val="17"/>
                <w:color w:val="auto"/>
              </w:rPr>
            </w:pPr>
          </w:p>
        </w:tc>
        <w:tc>
          <w:tcPr>
            <w:tcW w:w="1320" w:type="dxa"/>
            <w:vAlign w:val="bottom"/>
            <w:shd w:val="clear" w:color="auto" w:fill="255993"/>
          </w:tcPr>
          <w:p>
            <w:pPr>
              <w:spacing w:after="0"/>
              <w:rPr>
                <w:sz w:val="17"/>
                <w:szCs w:val="17"/>
                <w:color w:val="auto"/>
              </w:rPr>
            </w:pPr>
          </w:p>
        </w:tc>
        <w:tc>
          <w:tcPr>
            <w:tcW w:w="880" w:type="dxa"/>
            <w:vAlign w:val="bottom"/>
            <w:shd w:val="clear" w:color="auto" w:fill="255993"/>
          </w:tcPr>
          <w:p>
            <w:pPr>
              <w:jc w:val="right"/>
              <w:ind w:right="67"/>
              <w:spacing w:after="0"/>
              <w:rPr>
                <w:sz w:val="20"/>
                <w:szCs w:val="20"/>
                <w:color w:val="auto"/>
              </w:rPr>
            </w:pPr>
            <w:r>
              <w:rPr>
                <w:rFonts w:ascii="Arial" w:cs="Arial" w:eastAsia="Arial" w:hAnsi="Arial"/>
                <w:sz w:val="16"/>
                <w:szCs w:val="16"/>
                <w:b w:val="1"/>
                <w:bCs w:val="1"/>
                <w:color w:val="FFFFFF"/>
              </w:rPr>
              <w:t>Option</w:t>
            </w:r>
          </w:p>
        </w:tc>
        <w:tc>
          <w:tcPr>
            <w:tcW w:w="1140" w:type="dxa"/>
            <w:vAlign w:val="bottom"/>
            <w:shd w:val="clear" w:color="auto" w:fill="255993"/>
          </w:tcPr>
          <w:p>
            <w:pPr>
              <w:spacing w:after="0"/>
              <w:rPr>
                <w:sz w:val="17"/>
                <w:szCs w:val="17"/>
                <w:color w:val="auto"/>
              </w:rPr>
            </w:pPr>
          </w:p>
        </w:tc>
        <w:tc>
          <w:tcPr>
            <w:tcW w:w="1140" w:type="dxa"/>
            <w:vAlign w:val="bottom"/>
            <w:shd w:val="clear" w:color="auto" w:fill="255993"/>
          </w:tcPr>
          <w:p>
            <w:pPr>
              <w:spacing w:after="0"/>
              <w:rPr>
                <w:sz w:val="17"/>
                <w:szCs w:val="17"/>
                <w:color w:val="auto"/>
              </w:rPr>
            </w:pPr>
          </w:p>
        </w:tc>
        <w:tc>
          <w:tcPr>
            <w:tcW w:w="940" w:type="dxa"/>
            <w:vAlign w:val="bottom"/>
            <w:shd w:val="clear" w:color="auto" w:fill="255993"/>
          </w:tcPr>
          <w:p>
            <w:pPr>
              <w:jc w:val="right"/>
              <w:ind w:right="87"/>
              <w:spacing w:after="0"/>
              <w:rPr>
                <w:sz w:val="20"/>
                <w:szCs w:val="20"/>
                <w:color w:val="auto"/>
              </w:rPr>
            </w:pPr>
            <w:r>
              <w:rPr>
                <w:rFonts w:ascii="Arial" w:cs="Arial" w:eastAsia="Arial" w:hAnsi="Arial"/>
                <w:sz w:val="16"/>
                <w:szCs w:val="16"/>
                <w:b w:val="1"/>
                <w:bCs w:val="1"/>
                <w:color w:val="FFFFFF"/>
              </w:rPr>
              <w:t>value</w:t>
            </w:r>
          </w:p>
        </w:tc>
        <w:tc>
          <w:tcPr>
            <w:tcW w:w="0" w:type="dxa"/>
            <w:vAlign w:val="bottom"/>
          </w:tcPr>
          <w:p>
            <w:pPr>
              <w:spacing w:after="0"/>
              <w:rPr>
                <w:sz w:val="1"/>
                <w:szCs w:val="1"/>
                <w:color w:val="auto"/>
              </w:rPr>
            </w:pPr>
          </w:p>
        </w:tc>
      </w:tr>
      <w:tr>
        <w:trPr>
          <w:trHeight w:val="189"/>
        </w:trPr>
        <w:tc>
          <w:tcPr>
            <w:tcW w:w="100" w:type="dxa"/>
            <w:vAlign w:val="bottom"/>
            <w:shd w:val="clear" w:color="auto" w:fill="255993"/>
          </w:tcPr>
          <w:p>
            <w:pPr>
              <w:spacing w:after="0"/>
              <w:rPr>
                <w:sz w:val="16"/>
                <w:szCs w:val="16"/>
                <w:color w:val="auto"/>
              </w:rPr>
            </w:pPr>
          </w:p>
        </w:tc>
        <w:tc>
          <w:tcPr>
            <w:tcW w:w="2020" w:type="dxa"/>
            <w:vAlign w:val="bottom"/>
            <w:shd w:val="clear" w:color="auto" w:fill="255993"/>
          </w:tcPr>
          <w:p>
            <w:pPr>
              <w:spacing w:after="0"/>
              <w:rPr>
                <w:sz w:val="16"/>
                <w:szCs w:val="16"/>
                <w:color w:val="auto"/>
              </w:rPr>
            </w:pPr>
          </w:p>
        </w:tc>
        <w:tc>
          <w:tcPr>
            <w:tcW w:w="740" w:type="dxa"/>
            <w:vAlign w:val="bottom"/>
            <w:shd w:val="clear" w:color="auto" w:fill="255993"/>
          </w:tcPr>
          <w:p>
            <w:pPr>
              <w:jc w:val="right"/>
              <w:ind w:right="47"/>
              <w:spacing w:after="0"/>
              <w:rPr>
                <w:sz w:val="20"/>
                <w:szCs w:val="20"/>
                <w:color w:val="auto"/>
              </w:rPr>
            </w:pPr>
            <w:r>
              <w:rPr>
                <w:rFonts w:ascii="Arial" w:cs="Arial" w:eastAsia="Arial" w:hAnsi="Arial"/>
                <w:sz w:val="16"/>
                <w:szCs w:val="16"/>
                <w:b w:val="1"/>
                <w:bCs w:val="1"/>
                <w:color w:val="FFFFFF"/>
              </w:rPr>
              <w:t>Vesting</w:t>
            </w:r>
          </w:p>
        </w:tc>
        <w:tc>
          <w:tcPr>
            <w:tcW w:w="1120" w:type="dxa"/>
            <w:vAlign w:val="bottom"/>
            <w:shd w:val="clear" w:color="auto" w:fill="255993"/>
          </w:tcPr>
          <w:p>
            <w:pPr>
              <w:spacing w:after="0"/>
              <w:rPr>
                <w:sz w:val="16"/>
                <w:szCs w:val="16"/>
                <w:color w:val="auto"/>
              </w:rPr>
            </w:pPr>
          </w:p>
        </w:tc>
        <w:tc>
          <w:tcPr>
            <w:tcW w:w="1320" w:type="dxa"/>
            <w:vAlign w:val="bottom"/>
            <w:shd w:val="clear" w:color="auto" w:fill="255993"/>
          </w:tcPr>
          <w:p>
            <w:pPr>
              <w:spacing w:after="0"/>
              <w:rPr>
                <w:sz w:val="16"/>
                <w:szCs w:val="16"/>
                <w:color w:val="auto"/>
              </w:rPr>
            </w:pPr>
          </w:p>
        </w:tc>
        <w:tc>
          <w:tcPr>
            <w:tcW w:w="880" w:type="dxa"/>
            <w:vAlign w:val="bottom"/>
            <w:shd w:val="clear" w:color="auto" w:fill="255993"/>
          </w:tcPr>
          <w:p>
            <w:pPr>
              <w:jc w:val="right"/>
              <w:ind w:right="67"/>
              <w:spacing w:after="0"/>
              <w:rPr>
                <w:sz w:val="20"/>
                <w:szCs w:val="20"/>
                <w:color w:val="auto"/>
              </w:rPr>
            </w:pPr>
            <w:r>
              <w:rPr>
                <w:rFonts w:ascii="Arial" w:cs="Arial" w:eastAsia="Arial" w:hAnsi="Arial"/>
                <w:sz w:val="16"/>
                <w:szCs w:val="16"/>
                <w:b w:val="1"/>
                <w:bCs w:val="1"/>
                <w:color w:val="FFFFFF"/>
              </w:rPr>
              <w:t>Exercise</w:t>
            </w:r>
          </w:p>
        </w:tc>
        <w:tc>
          <w:tcPr>
            <w:tcW w:w="1140" w:type="dxa"/>
            <w:vAlign w:val="bottom"/>
            <w:shd w:val="clear" w:color="auto" w:fill="255993"/>
          </w:tcPr>
          <w:p>
            <w:pPr>
              <w:spacing w:after="0"/>
              <w:rPr>
                <w:sz w:val="16"/>
                <w:szCs w:val="16"/>
                <w:color w:val="auto"/>
              </w:rPr>
            </w:pPr>
          </w:p>
        </w:tc>
        <w:tc>
          <w:tcPr>
            <w:tcW w:w="1140" w:type="dxa"/>
            <w:vAlign w:val="bottom"/>
            <w:shd w:val="clear" w:color="auto" w:fill="255993"/>
          </w:tcPr>
          <w:p>
            <w:pPr>
              <w:jc w:val="right"/>
              <w:ind w:right="47"/>
              <w:spacing w:after="0"/>
              <w:rPr>
                <w:sz w:val="20"/>
                <w:szCs w:val="20"/>
                <w:color w:val="auto"/>
              </w:rPr>
            </w:pPr>
            <w:r>
              <w:rPr>
                <w:rFonts w:ascii="Arial" w:cs="Arial" w:eastAsia="Arial" w:hAnsi="Arial"/>
                <w:sz w:val="16"/>
                <w:szCs w:val="16"/>
                <w:b w:val="1"/>
                <w:bCs w:val="1"/>
                <w:color w:val="FFFFFF"/>
              </w:rPr>
              <w:t>Number of</w:t>
            </w:r>
          </w:p>
        </w:tc>
        <w:tc>
          <w:tcPr>
            <w:tcW w:w="940" w:type="dxa"/>
            <w:vAlign w:val="bottom"/>
            <w:shd w:val="clear" w:color="auto" w:fill="255993"/>
          </w:tcPr>
          <w:p>
            <w:pPr>
              <w:jc w:val="right"/>
              <w:ind w:right="87"/>
              <w:spacing w:after="0"/>
              <w:rPr>
                <w:sz w:val="20"/>
                <w:szCs w:val="20"/>
                <w:color w:val="auto"/>
              </w:rPr>
            </w:pPr>
            <w:r>
              <w:rPr>
                <w:rFonts w:ascii="Arial" w:cs="Arial" w:eastAsia="Arial" w:hAnsi="Arial"/>
                <w:sz w:val="16"/>
                <w:szCs w:val="16"/>
                <w:b w:val="1"/>
                <w:bCs w:val="1"/>
                <w:color w:val="FFFFFF"/>
              </w:rPr>
              <w:t>of shares</w:t>
            </w:r>
          </w:p>
        </w:tc>
        <w:tc>
          <w:tcPr>
            <w:tcW w:w="0" w:type="dxa"/>
            <w:vAlign w:val="bottom"/>
          </w:tcPr>
          <w:p>
            <w:pPr>
              <w:spacing w:after="0"/>
              <w:rPr>
                <w:sz w:val="1"/>
                <w:szCs w:val="1"/>
                <w:color w:val="auto"/>
              </w:rPr>
            </w:pPr>
          </w:p>
        </w:tc>
      </w:tr>
      <w:tr>
        <w:trPr>
          <w:trHeight w:val="189"/>
        </w:trPr>
        <w:tc>
          <w:tcPr>
            <w:tcW w:w="100" w:type="dxa"/>
            <w:vAlign w:val="bottom"/>
            <w:shd w:val="clear" w:color="auto" w:fill="255993"/>
          </w:tcPr>
          <w:p>
            <w:pPr>
              <w:spacing w:after="0"/>
              <w:rPr>
                <w:sz w:val="16"/>
                <w:szCs w:val="16"/>
                <w:color w:val="auto"/>
              </w:rPr>
            </w:pPr>
          </w:p>
        </w:tc>
        <w:tc>
          <w:tcPr>
            <w:tcW w:w="2760" w:type="dxa"/>
            <w:vAlign w:val="bottom"/>
            <w:gridSpan w:val="2"/>
            <w:shd w:val="clear" w:color="auto" w:fill="255993"/>
          </w:tcPr>
          <w:p>
            <w:pPr>
              <w:jc w:val="right"/>
              <w:ind w:right="7"/>
              <w:spacing w:after="0"/>
              <w:rPr>
                <w:sz w:val="20"/>
                <w:szCs w:val="20"/>
                <w:color w:val="auto"/>
              </w:rPr>
            </w:pPr>
            <w:r>
              <w:rPr>
                <w:rFonts w:ascii="Arial" w:cs="Arial" w:eastAsia="Arial" w:hAnsi="Arial"/>
                <w:sz w:val="16"/>
                <w:szCs w:val="16"/>
                <w:b w:val="1"/>
                <w:bCs w:val="1"/>
                <w:color w:val="FFFFFF"/>
              </w:rPr>
              <w:t>Commencement</w:t>
            </w:r>
          </w:p>
        </w:tc>
        <w:tc>
          <w:tcPr>
            <w:tcW w:w="1120" w:type="dxa"/>
            <w:vAlign w:val="bottom"/>
            <w:shd w:val="clear" w:color="auto" w:fill="255993"/>
          </w:tcPr>
          <w:p>
            <w:pPr>
              <w:jc w:val="right"/>
              <w:ind w:right="67"/>
              <w:spacing w:after="0"/>
              <w:rPr>
                <w:sz w:val="20"/>
                <w:szCs w:val="20"/>
                <w:color w:val="auto"/>
              </w:rPr>
            </w:pPr>
            <w:r>
              <w:rPr>
                <w:rFonts w:ascii="Arial" w:cs="Arial" w:eastAsia="Arial" w:hAnsi="Arial"/>
                <w:sz w:val="16"/>
                <w:szCs w:val="16"/>
                <w:b w:val="1"/>
                <w:bCs w:val="1"/>
                <w:color w:val="FFFFFF"/>
              </w:rPr>
              <w:t>Exercisable</w:t>
            </w:r>
          </w:p>
        </w:tc>
        <w:tc>
          <w:tcPr>
            <w:tcW w:w="1320" w:type="dxa"/>
            <w:vAlign w:val="bottom"/>
            <w:shd w:val="clear" w:color="auto" w:fill="255993"/>
          </w:tcPr>
          <w:p>
            <w:pPr>
              <w:jc w:val="right"/>
              <w:ind w:right="47"/>
              <w:spacing w:after="0"/>
              <w:rPr>
                <w:sz w:val="20"/>
                <w:szCs w:val="20"/>
                <w:color w:val="auto"/>
              </w:rPr>
            </w:pPr>
            <w:r>
              <w:rPr>
                <w:rFonts w:ascii="Arial" w:cs="Arial" w:eastAsia="Arial" w:hAnsi="Arial"/>
                <w:sz w:val="16"/>
                <w:szCs w:val="16"/>
                <w:b w:val="1"/>
                <w:bCs w:val="1"/>
                <w:color w:val="FFFFFF"/>
              </w:rPr>
              <w:t>Unexercisable</w:t>
            </w:r>
          </w:p>
        </w:tc>
        <w:tc>
          <w:tcPr>
            <w:tcW w:w="880" w:type="dxa"/>
            <w:vAlign w:val="bottom"/>
            <w:shd w:val="clear" w:color="auto" w:fill="255993"/>
          </w:tcPr>
          <w:p>
            <w:pPr>
              <w:jc w:val="right"/>
              <w:ind w:right="67"/>
              <w:spacing w:after="0"/>
              <w:rPr>
                <w:sz w:val="20"/>
                <w:szCs w:val="20"/>
                <w:color w:val="auto"/>
              </w:rPr>
            </w:pPr>
            <w:r>
              <w:rPr>
                <w:rFonts w:ascii="Arial" w:cs="Arial" w:eastAsia="Arial" w:hAnsi="Arial"/>
                <w:sz w:val="16"/>
                <w:szCs w:val="16"/>
                <w:b w:val="1"/>
                <w:bCs w:val="1"/>
                <w:color w:val="FFFFFF"/>
              </w:rPr>
              <w:t>Price</w:t>
            </w:r>
          </w:p>
        </w:tc>
        <w:tc>
          <w:tcPr>
            <w:tcW w:w="1140" w:type="dxa"/>
            <w:vAlign w:val="bottom"/>
            <w:shd w:val="clear" w:color="auto" w:fill="255993"/>
          </w:tcPr>
          <w:p>
            <w:pPr>
              <w:jc w:val="right"/>
              <w:ind w:right="167"/>
              <w:spacing w:after="0"/>
              <w:rPr>
                <w:sz w:val="20"/>
                <w:szCs w:val="20"/>
                <w:color w:val="auto"/>
              </w:rPr>
            </w:pPr>
            <w:r>
              <w:rPr>
                <w:rFonts w:ascii="Arial" w:cs="Arial" w:eastAsia="Arial" w:hAnsi="Arial"/>
                <w:sz w:val="16"/>
                <w:szCs w:val="16"/>
                <w:b w:val="1"/>
                <w:bCs w:val="1"/>
                <w:color w:val="FFFFFF"/>
              </w:rPr>
              <w:t>Expiration</w:t>
            </w:r>
          </w:p>
        </w:tc>
        <w:tc>
          <w:tcPr>
            <w:tcW w:w="1140" w:type="dxa"/>
            <w:vAlign w:val="bottom"/>
            <w:shd w:val="clear" w:color="auto" w:fill="255993"/>
          </w:tcPr>
          <w:p>
            <w:pPr>
              <w:jc w:val="right"/>
              <w:ind w:right="47"/>
              <w:spacing w:after="0"/>
              <w:rPr>
                <w:sz w:val="20"/>
                <w:szCs w:val="20"/>
                <w:color w:val="auto"/>
              </w:rPr>
            </w:pPr>
            <w:r>
              <w:rPr>
                <w:rFonts w:ascii="Arial" w:cs="Arial" w:eastAsia="Arial" w:hAnsi="Arial"/>
                <w:sz w:val="16"/>
                <w:szCs w:val="16"/>
                <w:b w:val="1"/>
                <w:bCs w:val="1"/>
                <w:color w:val="FFFFFF"/>
              </w:rPr>
              <w:t>shares or</w:t>
            </w:r>
          </w:p>
        </w:tc>
        <w:tc>
          <w:tcPr>
            <w:tcW w:w="940" w:type="dxa"/>
            <w:vAlign w:val="bottom"/>
            <w:shd w:val="clear" w:color="auto" w:fill="255993"/>
          </w:tcPr>
          <w:p>
            <w:pPr>
              <w:jc w:val="right"/>
              <w:ind w:right="87"/>
              <w:spacing w:after="0"/>
              <w:rPr>
                <w:sz w:val="20"/>
                <w:szCs w:val="20"/>
                <w:color w:val="auto"/>
              </w:rPr>
            </w:pPr>
            <w:r>
              <w:rPr>
                <w:rFonts w:ascii="Arial" w:cs="Arial" w:eastAsia="Arial" w:hAnsi="Arial"/>
                <w:sz w:val="16"/>
                <w:szCs w:val="16"/>
                <w:b w:val="1"/>
                <w:bCs w:val="1"/>
                <w:color w:val="FFFFFF"/>
              </w:rPr>
              <w:t>or units</w:t>
            </w:r>
          </w:p>
        </w:tc>
        <w:tc>
          <w:tcPr>
            <w:tcW w:w="0" w:type="dxa"/>
            <w:vAlign w:val="bottom"/>
          </w:tcPr>
          <w:p>
            <w:pPr>
              <w:spacing w:after="0"/>
              <w:rPr>
                <w:sz w:val="1"/>
                <w:szCs w:val="1"/>
                <w:color w:val="auto"/>
              </w:rPr>
            </w:pPr>
          </w:p>
        </w:tc>
      </w:tr>
      <w:tr>
        <w:trPr>
          <w:trHeight w:val="257"/>
        </w:trPr>
        <w:tc>
          <w:tcPr>
            <w:tcW w:w="100" w:type="dxa"/>
            <w:vAlign w:val="bottom"/>
            <w:shd w:val="clear" w:color="auto" w:fill="255993"/>
          </w:tcPr>
          <w:p>
            <w:pPr>
              <w:spacing w:after="0"/>
              <w:rPr>
                <w:sz w:val="22"/>
                <w:szCs w:val="22"/>
                <w:color w:val="auto"/>
              </w:rPr>
            </w:pPr>
          </w:p>
        </w:tc>
        <w:tc>
          <w:tcPr>
            <w:tcW w:w="2020" w:type="dxa"/>
            <w:vAlign w:val="bottom"/>
            <w:shd w:val="clear" w:color="auto" w:fill="255993"/>
          </w:tcPr>
          <w:p>
            <w:pPr>
              <w:ind w:left="60"/>
              <w:spacing w:after="0"/>
              <w:rPr>
                <w:sz w:val="20"/>
                <w:szCs w:val="20"/>
                <w:color w:val="auto"/>
              </w:rPr>
            </w:pPr>
            <w:r>
              <w:rPr>
                <w:rFonts w:ascii="Arial" w:cs="Arial" w:eastAsia="Arial" w:hAnsi="Arial"/>
                <w:sz w:val="16"/>
                <w:szCs w:val="16"/>
                <w:b w:val="1"/>
                <w:bCs w:val="1"/>
                <w:color w:val="FFFFFF"/>
              </w:rPr>
              <w:t>Name</w:t>
            </w:r>
          </w:p>
        </w:tc>
        <w:tc>
          <w:tcPr>
            <w:tcW w:w="740" w:type="dxa"/>
            <w:vAlign w:val="bottom"/>
            <w:shd w:val="clear" w:color="auto" w:fill="255993"/>
          </w:tcPr>
          <w:p>
            <w:pPr>
              <w:jc w:val="right"/>
              <w:ind w:right="7"/>
              <w:spacing w:after="0"/>
              <w:rPr>
                <w:sz w:val="20"/>
                <w:szCs w:val="20"/>
                <w:color w:val="auto"/>
              </w:rPr>
            </w:pPr>
            <w:r>
              <w:rPr>
                <w:rFonts w:ascii="Arial" w:cs="Arial" w:eastAsia="Arial" w:hAnsi="Arial"/>
                <w:sz w:val="16"/>
                <w:szCs w:val="16"/>
                <w:b w:val="1"/>
                <w:bCs w:val="1"/>
                <w:color w:val="FFFFFF"/>
              </w:rPr>
              <w:t>Date</w:t>
            </w:r>
          </w:p>
        </w:tc>
        <w:tc>
          <w:tcPr>
            <w:tcW w:w="1120" w:type="dxa"/>
            <w:vAlign w:val="bottom"/>
            <w:shd w:val="clear" w:color="auto" w:fill="255993"/>
          </w:tcPr>
          <w:p>
            <w:pPr>
              <w:jc w:val="right"/>
              <w:ind w:right="7"/>
              <w:spacing w:after="0"/>
              <w:rPr>
                <w:sz w:val="20"/>
                <w:szCs w:val="20"/>
                <w:color w:val="auto"/>
              </w:rPr>
            </w:pPr>
            <w:r>
              <w:rPr>
                <w:rFonts w:ascii="Arial" w:cs="Arial" w:eastAsia="Arial" w:hAnsi="Arial"/>
                <w:sz w:val="16"/>
                <w:szCs w:val="16"/>
                <w:b w:val="1"/>
                <w:bCs w:val="1"/>
                <w:color w:val="FFFFFF"/>
              </w:rPr>
              <w:t>(#)</w:t>
            </w:r>
          </w:p>
        </w:tc>
        <w:tc>
          <w:tcPr>
            <w:tcW w:w="1320" w:type="dxa"/>
            <w:vAlign w:val="bottom"/>
            <w:shd w:val="clear" w:color="auto" w:fill="255993"/>
          </w:tcPr>
          <w:p>
            <w:pPr>
              <w:jc w:val="right"/>
              <w:ind w:right="7"/>
              <w:spacing w:after="0"/>
              <w:rPr>
                <w:sz w:val="20"/>
                <w:szCs w:val="20"/>
                <w:color w:val="auto"/>
              </w:rPr>
            </w:pPr>
            <w:r>
              <w:rPr>
                <w:rFonts w:ascii="Arial" w:cs="Arial" w:eastAsia="Arial" w:hAnsi="Arial"/>
                <w:sz w:val="16"/>
                <w:szCs w:val="16"/>
                <w:b w:val="1"/>
                <w:bCs w:val="1"/>
                <w:color w:val="FFFFFF"/>
              </w:rPr>
              <w:t>(#)</w:t>
            </w:r>
          </w:p>
        </w:tc>
        <w:tc>
          <w:tcPr>
            <w:tcW w:w="880" w:type="dxa"/>
            <w:vAlign w:val="bottom"/>
            <w:shd w:val="clear" w:color="auto" w:fill="255993"/>
          </w:tcPr>
          <w:p>
            <w:pPr>
              <w:jc w:val="right"/>
              <w:ind w:right="27"/>
              <w:spacing w:after="0"/>
              <w:rPr>
                <w:sz w:val="20"/>
                <w:szCs w:val="20"/>
                <w:color w:val="auto"/>
              </w:rPr>
            </w:pPr>
            <w:r>
              <w:rPr>
                <w:rFonts w:ascii="Arial" w:cs="Arial" w:eastAsia="Arial" w:hAnsi="Arial"/>
                <w:sz w:val="16"/>
                <w:szCs w:val="16"/>
                <w:b w:val="1"/>
                <w:bCs w:val="1"/>
                <w:color w:val="FFFFFF"/>
              </w:rPr>
              <w:t>($)</w:t>
            </w:r>
          </w:p>
        </w:tc>
        <w:tc>
          <w:tcPr>
            <w:tcW w:w="1140" w:type="dxa"/>
            <w:vAlign w:val="bottom"/>
            <w:shd w:val="clear" w:color="auto" w:fill="255993"/>
          </w:tcPr>
          <w:p>
            <w:pPr>
              <w:jc w:val="right"/>
              <w:ind w:right="127"/>
              <w:spacing w:after="0"/>
              <w:rPr>
                <w:sz w:val="20"/>
                <w:szCs w:val="20"/>
                <w:color w:val="auto"/>
              </w:rPr>
            </w:pPr>
            <w:r>
              <w:rPr>
                <w:rFonts w:ascii="Arial" w:cs="Arial" w:eastAsia="Arial" w:hAnsi="Arial"/>
                <w:sz w:val="16"/>
                <w:szCs w:val="16"/>
                <w:b w:val="1"/>
                <w:bCs w:val="1"/>
                <w:color w:val="FFFFFF"/>
              </w:rPr>
              <w:t>Date</w:t>
            </w:r>
          </w:p>
        </w:tc>
        <w:tc>
          <w:tcPr>
            <w:tcW w:w="1140" w:type="dxa"/>
            <w:vAlign w:val="bottom"/>
            <w:shd w:val="clear" w:color="auto" w:fill="255993"/>
          </w:tcPr>
          <w:p>
            <w:pPr>
              <w:ind w:left="680"/>
              <w:spacing w:after="0"/>
              <w:rPr>
                <w:sz w:val="20"/>
                <w:szCs w:val="20"/>
                <w:color w:val="auto"/>
              </w:rPr>
            </w:pPr>
            <w:r>
              <w:rPr>
                <w:rFonts w:ascii="Arial" w:cs="Arial" w:eastAsia="Arial" w:hAnsi="Arial"/>
                <w:sz w:val="16"/>
                <w:szCs w:val="16"/>
                <w:b w:val="1"/>
                <w:bCs w:val="1"/>
                <w:color w:val="FFFFFF"/>
              </w:rPr>
              <w:t>units</w:t>
            </w:r>
          </w:p>
        </w:tc>
        <w:tc>
          <w:tcPr>
            <w:tcW w:w="940" w:type="dxa"/>
            <w:vAlign w:val="bottom"/>
            <w:shd w:val="clear" w:color="auto" w:fill="255993"/>
          </w:tcPr>
          <w:p>
            <w:pPr>
              <w:jc w:val="right"/>
              <w:ind w:right="27"/>
              <w:spacing w:after="0" w:line="256"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(6)</w:t>
            </w:r>
          </w:p>
        </w:tc>
        <w:tc>
          <w:tcPr>
            <w:tcW w:w="0" w:type="dxa"/>
            <w:vAlign w:val="bottom"/>
          </w:tcPr>
          <w:p>
            <w:pPr>
              <w:spacing w:after="0"/>
              <w:rPr>
                <w:sz w:val="1"/>
                <w:szCs w:val="1"/>
                <w:color w:val="auto"/>
              </w:rPr>
            </w:pPr>
          </w:p>
        </w:tc>
      </w:tr>
      <w:tr>
        <w:trPr>
          <w:trHeight w:val="166"/>
        </w:trPr>
        <w:tc>
          <w:tcPr>
            <w:tcW w:w="100" w:type="dxa"/>
            <w:vAlign w:val="bottom"/>
            <w:shd w:val="clear" w:color="auto" w:fill="EBEBEB"/>
          </w:tcPr>
          <w:p>
            <w:pPr>
              <w:spacing w:after="0"/>
              <w:rPr>
                <w:sz w:val="14"/>
                <w:szCs w:val="14"/>
                <w:color w:val="auto"/>
              </w:rPr>
            </w:pPr>
          </w:p>
        </w:tc>
        <w:tc>
          <w:tcPr>
            <w:tcW w:w="202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Mark Litton,</w:t>
            </w:r>
          </w:p>
        </w:tc>
        <w:tc>
          <w:tcPr>
            <w:tcW w:w="74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7/1/2019</w:t>
            </w:r>
          </w:p>
        </w:tc>
        <w:tc>
          <w:tcPr>
            <w:tcW w:w="112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100,880</w:t>
            </w:r>
          </w:p>
        </w:tc>
        <w:tc>
          <w:tcPr>
            <w:tcW w:w="132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BEBEB"/>
          </w:tcPr>
          <w:p>
            <w:pPr>
              <w:jc w:val="right"/>
              <w:ind w:right="27"/>
              <w:spacing w:after="0"/>
              <w:rPr>
                <w:sz w:val="20"/>
                <w:szCs w:val="20"/>
                <w:color w:val="auto"/>
              </w:rPr>
            </w:pPr>
            <w:r>
              <w:rPr>
                <w:rFonts w:ascii="Arial" w:cs="Arial" w:eastAsia="Arial" w:hAnsi="Arial"/>
                <w:sz w:val="14"/>
                <w:szCs w:val="14"/>
                <w:color w:val="auto"/>
              </w:rPr>
              <w:t>1.35</w:t>
            </w:r>
          </w:p>
        </w:tc>
        <w:tc>
          <w:tcPr>
            <w:tcW w:w="1140" w:type="dxa"/>
            <w:vAlign w:val="bottom"/>
            <w:vMerge w:val="restart"/>
            <w:shd w:val="clear" w:color="auto" w:fill="EBEBEB"/>
          </w:tcPr>
          <w:p>
            <w:pPr>
              <w:jc w:val="right"/>
              <w:ind w:right="127"/>
              <w:spacing w:after="0"/>
              <w:rPr>
                <w:sz w:val="20"/>
                <w:szCs w:val="20"/>
                <w:color w:val="auto"/>
              </w:rPr>
            </w:pPr>
            <w:r>
              <w:rPr>
                <w:rFonts w:ascii="Arial" w:cs="Arial" w:eastAsia="Arial" w:hAnsi="Arial"/>
                <w:sz w:val="14"/>
                <w:szCs w:val="14"/>
                <w:color w:val="auto"/>
              </w:rPr>
              <w:t>8/14/2029</w:t>
            </w:r>
          </w:p>
        </w:tc>
        <w:tc>
          <w:tcPr>
            <w:tcW w:w="114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EBEBEB"/>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00" w:type="dxa"/>
            <w:vAlign w:val="bottom"/>
            <w:shd w:val="clear" w:color="auto" w:fill="EBEBEB"/>
          </w:tcPr>
          <w:p>
            <w:pPr>
              <w:spacing w:after="0"/>
              <w:rPr>
                <w:sz w:val="9"/>
                <w:szCs w:val="9"/>
                <w:color w:val="auto"/>
              </w:rPr>
            </w:pPr>
          </w:p>
        </w:tc>
        <w:tc>
          <w:tcPr>
            <w:tcW w:w="2020" w:type="dxa"/>
            <w:vAlign w:val="bottom"/>
            <w:vMerge w:val="restart"/>
            <w:shd w:val="clear" w:color="auto" w:fill="EBEBEB"/>
          </w:tcPr>
          <w:p>
            <w:pPr>
              <w:ind w:left="60"/>
              <w:spacing w:after="0"/>
              <w:rPr>
                <w:sz w:val="20"/>
                <w:szCs w:val="20"/>
                <w:color w:val="auto"/>
              </w:rPr>
            </w:pPr>
            <w:r>
              <w:rPr>
                <w:rFonts w:ascii="Arial" w:cs="Arial" w:eastAsia="Arial" w:hAnsi="Arial"/>
                <w:sz w:val="14"/>
                <w:szCs w:val="14"/>
                <w:b w:val="1"/>
                <w:bCs w:val="1"/>
                <w:color w:val="auto"/>
              </w:rPr>
              <w:t>Ph.D.</w:t>
            </w:r>
          </w:p>
        </w:tc>
        <w:tc>
          <w:tcPr>
            <w:tcW w:w="740" w:type="dxa"/>
            <w:vAlign w:val="bottom"/>
            <w:vMerge w:val="continue"/>
            <w:shd w:val="clear" w:color="auto" w:fill="EBEBEB"/>
          </w:tcPr>
          <w:p>
            <w:pPr>
              <w:spacing w:after="0"/>
              <w:rPr>
                <w:sz w:val="9"/>
                <w:szCs w:val="9"/>
                <w:color w:val="auto"/>
              </w:rPr>
            </w:pPr>
          </w:p>
        </w:tc>
        <w:tc>
          <w:tcPr>
            <w:tcW w:w="1120" w:type="dxa"/>
            <w:vAlign w:val="bottom"/>
            <w:vMerge w:val="continue"/>
            <w:shd w:val="clear" w:color="auto" w:fill="EBEBEB"/>
          </w:tcPr>
          <w:p>
            <w:pPr>
              <w:spacing w:after="0"/>
              <w:rPr>
                <w:sz w:val="9"/>
                <w:szCs w:val="9"/>
                <w:color w:val="auto"/>
              </w:rPr>
            </w:pPr>
          </w:p>
        </w:tc>
        <w:tc>
          <w:tcPr>
            <w:tcW w:w="1320" w:type="dxa"/>
            <w:vAlign w:val="bottom"/>
            <w:vMerge w:val="continue"/>
            <w:shd w:val="clear" w:color="auto" w:fill="EBEBEB"/>
          </w:tcPr>
          <w:p>
            <w:pPr>
              <w:spacing w:after="0"/>
              <w:rPr>
                <w:sz w:val="9"/>
                <w:szCs w:val="9"/>
                <w:color w:val="auto"/>
              </w:rPr>
            </w:pPr>
          </w:p>
        </w:tc>
        <w:tc>
          <w:tcPr>
            <w:tcW w:w="880" w:type="dxa"/>
            <w:vAlign w:val="bottom"/>
            <w:vMerge w:val="continue"/>
            <w:shd w:val="clear" w:color="auto" w:fill="EBEBEB"/>
          </w:tcPr>
          <w:p>
            <w:pPr>
              <w:spacing w:after="0"/>
              <w:rPr>
                <w:sz w:val="9"/>
                <w:szCs w:val="9"/>
                <w:color w:val="auto"/>
              </w:rPr>
            </w:pPr>
          </w:p>
        </w:tc>
        <w:tc>
          <w:tcPr>
            <w:tcW w:w="1140" w:type="dxa"/>
            <w:vAlign w:val="bottom"/>
            <w:vMerge w:val="continue"/>
            <w:shd w:val="clear" w:color="auto" w:fill="EBEBEB"/>
          </w:tcPr>
          <w:p>
            <w:pPr>
              <w:spacing w:after="0"/>
              <w:rPr>
                <w:sz w:val="9"/>
                <w:szCs w:val="9"/>
                <w:color w:val="auto"/>
              </w:rPr>
            </w:pPr>
          </w:p>
        </w:tc>
        <w:tc>
          <w:tcPr>
            <w:tcW w:w="1140" w:type="dxa"/>
            <w:vAlign w:val="bottom"/>
            <w:vMerge w:val="continue"/>
            <w:shd w:val="clear" w:color="auto" w:fill="EBEBEB"/>
          </w:tcPr>
          <w:p>
            <w:pPr>
              <w:spacing w:after="0"/>
              <w:rPr>
                <w:sz w:val="9"/>
                <w:szCs w:val="9"/>
                <w:color w:val="auto"/>
              </w:rPr>
            </w:pPr>
          </w:p>
        </w:tc>
        <w:tc>
          <w:tcPr>
            <w:tcW w:w="940" w:type="dxa"/>
            <w:vAlign w:val="bottom"/>
            <w:vMerge w:val="continue"/>
            <w:shd w:val="clear" w:color="auto" w:fill="EBEBE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00" w:type="dxa"/>
            <w:vAlign w:val="bottom"/>
            <w:shd w:val="clear" w:color="auto" w:fill="EBEBEB"/>
          </w:tcPr>
          <w:p>
            <w:pPr>
              <w:spacing w:after="0"/>
              <w:rPr>
                <w:sz w:val="7"/>
                <w:szCs w:val="7"/>
                <w:color w:val="auto"/>
              </w:rPr>
            </w:pPr>
          </w:p>
        </w:tc>
        <w:tc>
          <w:tcPr>
            <w:tcW w:w="2020" w:type="dxa"/>
            <w:vAlign w:val="bottom"/>
            <w:vMerge w:val="continue"/>
            <w:shd w:val="clear" w:color="auto" w:fill="EBEBEB"/>
          </w:tcPr>
          <w:p>
            <w:pPr>
              <w:spacing w:after="0"/>
              <w:rPr>
                <w:sz w:val="7"/>
                <w:szCs w:val="7"/>
                <w:color w:val="auto"/>
              </w:rPr>
            </w:pPr>
          </w:p>
        </w:tc>
        <w:tc>
          <w:tcPr>
            <w:tcW w:w="740" w:type="dxa"/>
            <w:vAlign w:val="bottom"/>
            <w:shd w:val="clear" w:color="auto" w:fill="EBEBEB"/>
          </w:tcPr>
          <w:p>
            <w:pPr>
              <w:spacing w:after="0"/>
              <w:rPr>
                <w:sz w:val="7"/>
                <w:szCs w:val="7"/>
                <w:color w:val="auto"/>
              </w:rPr>
            </w:pPr>
          </w:p>
        </w:tc>
        <w:tc>
          <w:tcPr>
            <w:tcW w:w="1120" w:type="dxa"/>
            <w:vAlign w:val="bottom"/>
            <w:shd w:val="clear" w:color="auto" w:fill="EBEBEB"/>
          </w:tcPr>
          <w:p>
            <w:pPr>
              <w:spacing w:after="0"/>
              <w:rPr>
                <w:sz w:val="7"/>
                <w:szCs w:val="7"/>
                <w:color w:val="auto"/>
              </w:rPr>
            </w:pPr>
          </w:p>
        </w:tc>
        <w:tc>
          <w:tcPr>
            <w:tcW w:w="1320" w:type="dxa"/>
            <w:vAlign w:val="bottom"/>
            <w:shd w:val="clear" w:color="auto" w:fill="EBEBEB"/>
          </w:tcPr>
          <w:p>
            <w:pPr>
              <w:spacing w:after="0"/>
              <w:rPr>
                <w:sz w:val="7"/>
                <w:szCs w:val="7"/>
                <w:color w:val="auto"/>
              </w:rPr>
            </w:pPr>
          </w:p>
        </w:tc>
        <w:tc>
          <w:tcPr>
            <w:tcW w:w="880" w:type="dxa"/>
            <w:vAlign w:val="bottom"/>
            <w:shd w:val="clear" w:color="auto" w:fill="EBEBEB"/>
          </w:tcPr>
          <w:p>
            <w:pPr>
              <w:spacing w:after="0"/>
              <w:rPr>
                <w:sz w:val="7"/>
                <w:szCs w:val="7"/>
                <w:color w:val="auto"/>
              </w:rPr>
            </w:pPr>
          </w:p>
        </w:tc>
        <w:tc>
          <w:tcPr>
            <w:tcW w:w="1140" w:type="dxa"/>
            <w:vAlign w:val="bottom"/>
            <w:shd w:val="clear" w:color="auto" w:fill="EBEBEB"/>
          </w:tcPr>
          <w:p>
            <w:pPr>
              <w:spacing w:after="0"/>
              <w:rPr>
                <w:sz w:val="7"/>
                <w:szCs w:val="7"/>
                <w:color w:val="auto"/>
              </w:rPr>
            </w:pPr>
          </w:p>
        </w:tc>
        <w:tc>
          <w:tcPr>
            <w:tcW w:w="1140" w:type="dxa"/>
            <w:vAlign w:val="bottom"/>
            <w:shd w:val="clear" w:color="auto" w:fill="EBEBEB"/>
          </w:tcPr>
          <w:p>
            <w:pPr>
              <w:spacing w:after="0"/>
              <w:rPr>
                <w:sz w:val="7"/>
                <w:szCs w:val="7"/>
                <w:color w:val="auto"/>
              </w:rPr>
            </w:pPr>
          </w:p>
        </w:tc>
        <w:tc>
          <w:tcPr>
            <w:tcW w:w="940" w:type="dxa"/>
            <w:vAlign w:val="bottom"/>
            <w:shd w:val="clear" w:color="auto" w:fill="EBEBEB"/>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00" w:type="dxa"/>
            <w:vAlign w:val="bottom"/>
            <w:shd w:val="clear" w:color="auto" w:fill="FAFAFA"/>
          </w:tcPr>
          <w:p>
            <w:pPr>
              <w:spacing w:after="0"/>
              <w:rPr>
                <w:sz w:val="17"/>
                <w:szCs w:val="17"/>
                <w:color w:val="auto"/>
              </w:rPr>
            </w:pPr>
          </w:p>
        </w:tc>
        <w:tc>
          <w:tcPr>
            <w:tcW w:w="2020" w:type="dxa"/>
            <w:vAlign w:val="bottom"/>
            <w:shd w:val="clear" w:color="auto" w:fill="FAFAFA"/>
          </w:tcPr>
          <w:p>
            <w:pPr>
              <w:spacing w:after="0"/>
              <w:rPr>
                <w:sz w:val="17"/>
                <w:szCs w:val="17"/>
                <w:color w:val="auto"/>
              </w:rPr>
            </w:pPr>
          </w:p>
        </w:tc>
        <w:tc>
          <w:tcPr>
            <w:tcW w:w="7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8/26/2020</w:t>
            </w:r>
          </w:p>
        </w:tc>
        <w:tc>
          <w:tcPr>
            <w:tcW w:w="11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46,657</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88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17.00</w:t>
            </w:r>
          </w:p>
        </w:tc>
        <w:tc>
          <w:tcPr>
            <w:tcW w:w="1140" w:type="dxa"/>
            <w:vAlign w:val="bottom"/>
            <w:shd w:val="clear" w:color="auto" w:fill="FAFAFA"/>
          </w:tcPr>
          <w:p>
            <w:pPr>
              <w:jc w:val="right"/>
              <w:ind w:right="127"/>
              <w:spacing w:after="0"/>
              <w:rPr>
                <w:sz w:val="20"/>
                <w:szCs w:val="20"/>
                <w:color w:val="auto"/>
              </w:rPr>
            </w:pPr>
            <w:r>
              <w:rPr>
                <w:rFonts w:ascii="Arial" w:cs="Arial" w:eastAsia="Arial" w:hAnsi="Arial"/>
                <w:sz w:val="14"/>
                <w:szCs w:val="14"/>
                <w:color w:val="auto"/>
              </w:rPr>
              <w:t>9/16/2030</w:t>
            </w:r>
          </w:p>
        </w:tc>
        <w:tc>
          <w:tcPr>
            <w:tcW w:w="11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3"/>
        </w:trPr>
        <w:tc>
          <w:tcPr>
            <w:tcW w:w="100" w:type="dxa"/>
            <w:vAlign w:val="bottom"/>
            <w:shd w:val="clear" w:color="auto" w:fill="EBEBEB"/>
          </w:tcPr>
          <w:p>
            <w:pPr>
              <w:spacing w:after="0"/>
              <w:rPr>
                <w:sz w:val="20"/>
                <w:szCs w:val="20"/>
                <w:color w:val="auto"/>
              </w:rPr>
            </w:pPr>
          </w:p>
        </w:tc>
        <w:tc>
          <w:tcPr>
            <w:tcW w:w="2020" w:type="dxa"/>
            <w:vAlign w:val="bottom"/>
            <w:shd w:val="clear" w:color="auto" w:fill="EBEBEB"/>
          </w:tcPr>
          <w:p>
            <w:pPr>
              <w:spacing w:after="0"/>
              <w:rPr>
                <w:sz w:val="20"/>
                <w:szCs w:val="20"/>
                <w:color w:val="auto"/>
              </w:rPr>
            </w:pPr>
          </w:p>
        </w:tc>
        <w:tc>
          <w:tcPr>
            <w:tcW w:w="7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1/8/2021</w:t>
            </w:r>
          </w:p>
        </w:tc>
        <w:tc>
          <w:tcPr>
            <w:tcW w:w="11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63,750</w:t>
            </w:r>
          </w:p>
        </w:tc>
        <w:tc>
          <w:tcPr>
            <w:tcW w:w="1320" w:type="dxa"/>
            <w:vAlign w:val="bottom"/>
            <w:shd w:val="clear" w:color="auto" w:fill="EBEBEB"/>
          </w:tcPr>
          <w:p>
            <w:pPr>
              <w:jc w:val="right"/>
              <w:ind w:right="7"/>
              <w:spacing w:after="0" w:line="233" w:lineRule="exact"/>
              <w:rPr>
                <w:sz w:val="20"/>
                <w:szCs w:val="20"/>
                <w:color w:val="auto"/>
              </w:rPr>
            </w:pPr>
            <w:r>
              <w:rPr>
                <w:rFonts w:ascii="Arial" w:cs="Arial" w:eastAsia="Arial" w:hAnsi="Arial"/>
                <w:sz w:val="14"/>
                <w:szCs w:val="14"/>
                <w:color w:val="auto"/>
              </w:rPr>
              <w:t>21,250</w:t>
            </w:r>
            <w:r>
              <w:rPr>
                <w:rFonts w:ascii="Arial" w:cs="Arial" w:eastAsia="Arial" w:hAnsi="Arial"/>
                <w:sz w:val="23"/>
                <w:szCs w:val="23"/>
                <w:color w:val="auto"/>
                <w:vertAlign w:val="superscript"/>
              </w:rPr>
              <w:t>(1)</w:t>
            </w:r>
          </w:p>
        </w:tc>
        <w:tc>
          <w:tcPr>
            <w:tcW w:w="88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21.15</w:t>
            </w:r>
          </w:p>
        </w:tc>
        <w:tc>
          <w:tcPr>
            <w:tcW w:w="1140" w:type="dxa"/>
            <w:vAlign w:val="bottom"/>
            <w:shd w:val="clear" w:color="auto" w:fill="EBEBEB"/>
          </w:tcPr>
          <w:p>
            <w:pPr>
              <w:jc w:val="right"/>
              <w:ind w:right="127"/>
              <w:spacing w:after="0"/>
              <w:rPr>
                <w:sz w:val="20"/>
                <w:szCs w:val="20"/>
                <w:color w:val="auto"/>
              </w:rPr>
            </w:pPr>
            <w:r>
              <w:rPr>
                <w:rFonts w:ascii="Arial" w:cs="Arial" w:eastAsia="Arial" w:hAnsi="Arial"/>
                <w:sz w:val="14"/>
                <w:szCs w:val="14"/>
                <w:color w:val="auto"/>
              </w:rPr>
              <w:t>2/17/2031</w:t>
            </w:r>
          </w:p>
        </w:tc>
        <w:tc>
          <w:tcPr>
            <w:tcW w:w="11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00" w:type="dxa"/>
            <w:vAlign w:val="bottom"/>
            <w:shd w:val="clear" w:color="auto" w:fill="FAFAFA"/>
          </w:tcPr>
          <w:p>
            <w:pPr>
              <w:spacing w:after="0"/>
              <w:rPr>
                <w:sz w:val="19"/>
                <w:szCs w:val="19"/>
                <w:color w:val="auto"/>
              </w:rPr>
            </w:pPr>
          </w:p>
        </w:tc>
        <w:tc>
          <w:tcPr>
            <w:tcW w:w="2020" w:type="dxa"/>
            <w:vAlign w:val="bottom"/>
            <w:shd w:val="clear" w:color="auto" w:fill="FAFAFA"/>
          </w:tcPr>
          <w:p>
            <w:pPr>
              <w:spacing w:after="0"/>
              <w:rPr>
                <w:sz w:val="19"/>
                <w:szCs w:val="19"/>
                <w:color w:val="auto"/>
              </w:rPr>
            </w:pPr>
          </w:p>
        </w:tc>
        <w:tc>
          <w:tcPr>
            <w:tcW w:w="7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1/27/2022</w:t>
            </w:r>
          </w:p>
        </w:tc>
        <w:tc>
          <w:tcPr>
            <w:tcW w:w="11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291,667</w:t>
            </w:r>
          </w:p>
        </w:tc>
        <w:tc>
          <w:tcPr>
            <w:tcW w:w="1320" w:type="dxa"/>
            <w:vAlign w:val="bottom"/>
            <w:shd w:val="clear" w:color="auto" w:fill="FAFAFA"/>
          </w:tcPr>
          <w:p>
            <w:pPr>
              <w:jc w:val="right"/>
              <w:ind w:right="7"/>
              <w:spacing w:after="0" w:line="230" w:lineRule="exact"/>
              <w:rPr>
                <w:sz w:val="20"/>
                <w:szCs w:val="20"/>
                <w:color w:val="auto"/>
              </w:rPr>
            </w:pPr>
            <w:r>
              <w:rPr>
                <w:rFonts w:ascii="Arial" w:cs="Arial" w:eastAsia="Arial" w:hAnsi="Arial"/>
                <w:sz w:val="14"/>
                <w:szCs w:val="14"/>
                <w:color w:val="auto"/>
              </w:rPr>
              <w:t>108,333</w:t>
            </w:r>
            <w:r>
              <w:rPr>
                <w:rFonts w:ascii="Arial" w:cs="Arial" w:eastAsia="Arial" w:hAnsi="Arial"/>
                <w:sz w:val="23"/>
                <w:szCs w:val="23"/>
                <w:color w:val="auto"/>
                <w:vertAlign w:val="superscript"/>
              </w:rPr>
              <w:t>(2)</w:t>
            </w:r>
          </w:p>
        </w:tc>
        <w:tc>
          <w:tcPr>
            <w:tcW w:w="88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9.91</w:t>
            </w:r>
          </w:p>
        </w:tc>
        <w:tc>
          <w:tcPr>
            <w:tcW w:w="1140" w:type="dxa"/>
            <w:vAlign w:val="bottom"/>
            <w:shd w:val="clear" w:color="auto" w:fill="FAFAFA"/>
          </w:tcPr>
          <w:p>
            <w:pPr>
              <w:jc w:val="right"/>
              <w:ind w:right="127"/>
              <w:spacing w:after="0"/>
              <w:rPr>
                <w:sz w:val="20"/>
                <w:szCs w:val="20"/>
                <w:color w:val="auto"/>
              </w:rPr>
            </w:pPr>
            <w:r>
              <w:rPr>
                <w:rFonts w:ascii="Arial" w:cs="Arial" w:eastAsia="Arial" w:hAnsi="Arial"/>
                <w:sz w:val="14"/>
                <w:szCs w:val="14"/>
                <w:color w:val="auto"/>
              </w:rPr>
              <w:t>1/26/2032</w:t>
            </w:r>
          </w:p>
        </w:tc>
        <w:tc>
          <w:tcPr>
            <w:tcW w:w="11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00" w:type="dxa"/>
            <w:vAlign w:val="bottom"/>
            <w:shd w:val="clear" w:color="auto" w:fill="EBEBEB"/>
          </w:tcPr>
          <w:p>
            <w:pPr>
              <w:spacing w:after="0"/>
              <w:rPr>
                <w:sz w:val="19"/>
                <w:szCs w:val="19"/>
                <w:color w:val="auto"/>
              </w:rPr>
            </w:pPr>
          </w:p>
        </w:tc>
        <w:tc>
          <w:tcPr>
            <w:tcW w:w="2020" w:type="dxa"/>
            <w:vAlign w:val="bottom"/>
            <w:shd w:val="clear" w:color="auto" w:fill="EBEBEB"/>
          </w:tcPr>
          <w:p>
            <w:pPr>
              <w:spacing w:after="0"/>
              <w:rPr>
                <w:sz w:val="19"/>
                <w:szCs w:val="19"/>
                <w:color w:val="auto"/>
              </w:rPr>
            </w:pPr>
          </w:p>
        </w:tc>
        <w:tc>
          <w:tcPr>
            <w:tcW w:w="7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1/27/2023</w:t>
            </w:r>
          </w:p>
        </w:tc>
        <w:tc>
          <w:tcPr>
            <w:tcW w:w="11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271,528</w:t>
            </w:r>
          </w:p>
        </w:tc>
        <w:tc>
          <w:tcPr>
            <w:tcW w:w="1320" w:type="dxa"/>
            <w:vAlign w:val="bottom"/>
            <w:shd w:val="clear" w:color="auto" w:fill="EBEBEB"/>
          </w:tcPr>
          <w:p>
            <w:pPr>
              <w:jc w:val="right"/>
              <w:ind w:right="7"/>
              <w:spacing w:after="0" w:line="230" w:lineRule="exact"/>
              <w:rPr>
                <w:sz w:val="20"/>
                <w:szCs w:val="20"/>
                <w:color w:val="auto"/>
              </w:rPr>
            </w:pPr>
            <w:r>
              <w:rPr>
                <w:rFonts w:ascii="Arial" w:cs="Arial" w:eastAsia="Arial" w:hAnsi="Arial"/>
                <w:sz w:val="14"/>
                <w:szCs w:val="14"/>
                <w:color w:val="auto"/>
              </w:rPr>
              <w:t>153,472</w:t>
            </w:r>
            <w:r>
              <w:rPr>
                <w:rFonts w:ascii="Arial" w:cs="Arial" w:eastAsia="Arial" w:hAnsi="Arial"/>
                <w:sz w:val="23"/>
                <w:szCs w:val="23"/>
                <w:color w:val="auto"/>
                <w:vertAlign w:val="superscript"/>
              </w:rPr>
              <w:t>(3)</w:t>
            </w:r>
          </w:p>
        </w:tc>
        <w:tc>
          <w:tcPr>
            <w:tcW w:w="88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4.11</w:t>
            </w:r>
          </w:p>
        </w:tc>
        <w:tc>
          <w:tcPr>
            <w:tcW w:w="1140" w:type="dxa"/>
            <w:vAlign w:val="bottom"/>
            <w:shd w:val="clear" w:color="auto" w:fill="EBEBEB"/>
          </w:tcPr>
          <w:p>
            <w:pPr>
              <w:jc w:val="right"/>
              <w:ind w:right="127"/>
              <w:spacing w:after="0"/>
              <w:rPr>
                <w:sz w:val="20"/>
                <w:szCs w:val="20"/>
                <w:color w:val="auto"/>
              </w:rPr>
            </w:pPr>
            <w:r>
              <w:rPr>
                <w:rFonts w:ascii="Arial" w:cs="Arial" w:eastAsia="Arial" w:hAnsi="Arial"/>
                <w:sz w:val="14"/>
                <w:szCs w:val="14"/>
                <w:color w:val="auto"/>
              </w:rPr>
              <w:t>1/26/2033</w:t>
            </w:r>
          </w:p>
        </w:tc>
        <w:tc>
          <w:tcPr>
            <w:tcW w:w="11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00" w:type="dxa"/>
            <w:vAlign w:val="bottom"/>
            <w:shd w:val="clear" w:color="auto" w:fill="FAFAFA"/>
          </w:tcPr>
          <w:p>
            <w:pPr>
              <w:spacing w:after="0"/>
              <w:rPr>
                <w:sz w:val="19"/>
                <w:szCs w:val="19"/>
                <w:color w:val="auto"/>
              </w:rPr>
            </w:pPr>
          </w:p>
        </w:tc>
        <w:tc>
          <w:tcPr>
            <w:tcW w:w="2020" w:type="dxa"/>
            <w:vAlign w:val="bottom"/>
            <w:shd w:val="clear" w:color="auto" w:fill="FAFAFA"/>
          </w:tcPr>
          <w:p>
            <w:pPr>
              <w:spacing w:after="0"/>
              <w:rPr>
                <w:sz w:val="19"/>
                <w:szCs w:val="19"/>
                <w:color w:val="auto"/>
              </w:rPr>
            </w:pPr>
          </w:p>
        </w:tc>
        <w:tc>
          <w:tcPr>
            <w:tcW w:w="7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2/15/2024</w:t>
            </w:r>
          </w:p>
        </w:tc>
        <w:tc>
          <w:tcPr>
            <w:tcW w:w="11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135,417</w:t>
            </w:r>
          </w:p>
        </w:tc>
        <w:tc>
          <w:tcPr>
            <w:tcW w:w="1320" w:type="dxa"/>
            <w:vAlign w:val="bottom"/>
            <w:shd w:val="clear" w:color="auto" w:fill="FAFAFA"/>
          </w:tcPr>
          <w:p>
            <w:pPr>
              <w:jc w:val="right"/>
              <w:ind w:right="7"/>
              <w:spacing w:after="0" w:line="230" w:lineRule="exact"/>
              <w:rPr>
                <w:sz w:val="20"/>
                <w:szCs w:val="20"/>
                <w:color w:val="auto"/>
              </w:rPr>
            </w:pPr>
            <w:r>
              <w:rPr>
                <w:rFonts w:ascii="Arial" w:cs="Arial" w:eastAsia="Arial" w:hAnsi="Arial"/>
                <w:sz w:val="14"/>
                <w:szCs w:val="14"/>
                <w:color w:val="auto"/>
              </w:rPr>
              <w:t>514,583</w:t>
            </w:r>
            <w:r>
              <w:rPr>
                <w:rFonts w:ascii="Arial" w:cs="Arial" w:eastAsia="Arial" w:hAnsi="Arial"/>
                <w:sz w:val="23"/>
                <w:szCs w:val="23"/>
                <w:color w:val="auto"/>
                <w:vertAlign w:val="superscript"/>
              </w:rPr>
              <w:t>(2)</w:t>
            </w:r>
          </w:p>
        </w:tc>
        <w:tc>
          <w:tcPr>
            <w:tcW w:w="88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3.66</w:t>
            </w:r>
          </w:p>
        </w:tc>
        <w:tc>
          <w:tcPr>
            <w:tcW w:w="1140" w:type="dxa"/>
            <w:vAlign w:val="bottom"/>
            <w:shd w:val="clear" w:color="auto" w:fill="FAFAFA"/>
          </w:tcPr>
          <w:p>
            <w:pPr>
              <w:jc w:val="right"/>
              <w:ind w:right="127"/>
              <w:spacing w:after="0"/>
              <w:rPr>
                <w:sz w:val="20"/>
                <w:szCs w:val="20"/>
                <w:color w:val="auto"/>
              </w:rPr>
            </w:pPr>
            <w:r>
              <w:rPr>
                <w:rFonts w:ascii="Arial" w:cs="Arial" w:eastAsia="Arial" w:hAnsi="Arial"/>
                <w:sz w:val="14"/>
                <w:szCs w:val="14"/>
                <w:color w:val="auto"/>
              </w:rPr>
              <w:t>2/14/2034</w:t>
            </w:r>
          </w:p>
        </w:tc>
        <w:tc>
          <w:tcPr>
            <w:tcW w:w="11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00" w:type="dxa"/>
            <w:vAlign w:val="bottom"/>
            <w:shd w:val="clear" w:color="auto" w:fill="EBEBEB"/>
          </w:tcPr>
          <w:p>
            <w:pPr>
              <w:spacing w:after="0"/>
              <w:rPr>
                <w:sz w:val="19"/>
                <w:szCs w:val="19"/>
                <w:color w:val="auto"/>
              </w:rPr>
            </w:pPr>
          </w:p>
        </w:tc>
        <w:tc>
          <w:tcPr>
            <w:tcW w:w="2020" w:type="dxa"/>
            <w:vAlign w:val="bottom"/>
            <w:shd w:val="clear" w:color="auto" w:fill="EBEBEB"/>
          </w:tcPr>
          <w:p>
            <w:pPr>
              <w:spacing w:after="0"/>
              <w:rPr>
                <w:sz w:val="19"/>
                <w:szCs w:val="19"/>
                <w:color w:val="auto"/>
              </w:rPr>
            </w:pPr>
          </w:p>
        </w:tc>
        <w:tc>
          <w:tcPr>
            <w:tcW w:w="7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10/3/2024</w:t>
            </w:r>
          </w:p>
        </w:tc>
        <w:tc>
          <w:tcPr>
            <w:tcW w:w="11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108,333</w:t>
            </w:r>
          </w:p>
        </w:tc>
        <w:tc>
          <w:tcPr>
            <w:tcW w:w="1320" w:type="dxa"/>
            <w:vAlign w:val="bottom"/>
            <w:shd w:val="clear" w:color="auto" w:fill="EBEBEB"/>
          </w:tcPr>
          <w:p>
            <w:pPr>
              <w:jc w:val="right"/>
              <w:ind w:right="7"/>
              <w:spacing w:after="0" w:line="230" w:lineRule="exact"/>
              <w:rPr>
                <w:sz w:val="20"/>
                <w:szCs w:val="20"/>
                <w:color w:val="auto"/>
              </w:rPr>
            </w:pPr>
            <w:r>
              <w:rPr>
                <w:rFonts w:ascii="Arial" w:cs="Arial" w:eastAsia="Arial" w:hAnsi="Arial"/>
                <w:sz w:val="14"/>
                <w:szCs w:val="14"/>
                <w:color w:val="auto"/>
              </w:rPr>
              <w:t>216,667</w:t>
            </w:r>
            <w:r>
              <w:rPr>
                <w:rFonts w:ascii="Arial" w:cs="Arial" w:eastAsia="Arial" w:hAnsi="Arial"/>
                <w:sz w:val="23"/>
                <w:szCs w:val="23"/>
                <w:color w:val="auto"/>
                <w:vertAlign w:val="superscript"/>
              </w:rPr>
              <w:t>(4)</w:t>
            </w:r>
          </w:p>
        </w:tc>
        <w:tc>
          <w:tcPr>
            <w:tcW w:w="88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0.43</w:t>
            </w:r>
          </w:p>
        </w:tc>
        <w:tc>
          <w:tcPr>
            <w:tcW w:w="1140" w:type="dxa"/>
            <w:vAlign w:val="bottom"/>
            <w:shd w:val="clear" w:color="auto" w:fill="EBEBEB"/>
          </w:tcPr>
          <w:p>
            <w:pPr>
              <w:jc w:val="right"/>
              <w:ind w:right="127"/>
              <w:spacing w:after="0"/>
              <w:rPr>
                <w:sz w:val="20"/>
                <w:szCs w:val="20"/>
                <w:color w:val="auto"/>
              </w:rPr>
            </w:pPr>
            <w:r>
              <w:rPr>
                <w:rFonts w:ascii="Arial" w:cs="Arial" w:eastAsia="Arial" w:hAnsi="Arial"/>
                <w:sz w:val="14"/>
                <w:szCs w:val="14"/>
                <w:color w:val="auto"/>
              </w:rPr>
              <w:t>10/2/2034</w:t>
            </w:r>
          </w:p>
        </w:tc>
        <w:tc>
          <w:tcPr>
            <w:tcW w:w="11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00" w:type="dxa"/>
            <w:vAlign w:val="bottom"/>
            <w:shd w:val="clear" w:color="auto" w:fill="FAFAFA"/>
          </w:tcPr>
          <w:p>
            <w:pPr>
              <w:spacing w:after="0"/>
              <w:rPr>
                <w:sz w:val="19"/>
                <w:szCs w:val="19"/>
                <w:color w:val="auto"/>
              </w:rPr>
            </w:pPr>
          </w:p>
        </w:tc>
        <w:tc>
          <w:tcPr>
            <w:tcW w:w="2020" w:type="dxa"/>
            <w:vAlign w:val="bottom"/>
            <w:shd w:val="clear" w:color="auto" w:fill="FAFAFA"/>
          </w:tcPr>
          <w:p>
            <w:pPr>
              <w:spacing w:after="0"/>
              <w:rPr>
                <w:sz w:val="19"/>
                <w:szCs w:val="19"/>
                <w:color w:val="auto"/>
              </w:rPr>
            </w:pPr>
          </w:p>
        </w:tc>
        <w:tc>
          <w:tcPr>
            <w:tcW w:w="7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10/3/2024</w:t>
            </w:r>
          </w:p>
        </w:tc>
        <w:tc>
          <w:tcPr>
            <w:tcW w:w="11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88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w:t>
            </w:r>
          </w:p>
        </w:tc>
        <w:tc>
          <w:tcPr>
            <w:tcW w:w="1140" w:type="dxa"/>
            <w:vAlign w:val="bottom"/>
            <w:shd w:val="clear" w:color="auto" w:fill="FAFAFA"/>
          </w:tcPr>
          <w:p>
            <w:pPr>
              <w:jc w:val="right"/>
              <w:ind w:right="127"/>
              <w:spacing w:after="0"/>
              <w:rPr>
                <w:sz w:val="20"/>
                <w:szCs w:val="20"/>
                <w:color w:val="auto"/>
              </w:rPr>
            </w:pPr>
            <w:r>
              <w:rPr>
                <w:rFonts w:ascii="Arial" w:cs="Arial" w:eastAsia="Arial" w:hAnsi="Arial"/>
                <w:sz w:val="14"/>
                <w:szCs w:val="14"/>
                <w:color w:val="auto"/>
              </w:rPr>
              <w:t>10/2/2034</w:t>
            </w:r>
          </w:p>
        </w:tc>
        <w:tc>
          <w:tcPr>
            <w:tcW w:w="1140" w:type="dxa"/>
            <w:vAlign w:val="bottom"/>
            <w:shd w:val="clear" w:color="auto" w:fill="FAFAFA"/>
          </w:tcPr>
          <w:p>
            <w:pPr>
              <w:jc w:val="right"/>
              <w:ind w:right="7"/>
              <w:spacing w:after="0" w:line="230" w:lineRule="exact"/>
              <w:rPr>
                <w:sz w:val="20"/>
                <w:szCs w:val="20"/>
                <w:color w:val="auto"/>
              </w:rPr>
            </w:pPr>
            <w:r>
              <w:rPr>
                <w:rFonts w:ascii="Arial" w:cs="Arial" w:eastAsia="Arial" w:hAnsi="Arial"/>
                <w:sz w:val="14"/>
                <w:szCs w:val="14"/>
                <w:color w:val="auto"/>
              </w:rPr>
              <w:t>216,667</w:t>
            </w:r>
            <w:r>
              <w:rPr>
                <w:rFonts w:ascii="Arial" w:cs="Arial" w:eastAsia="Arial" w:hAnsi="Arial"/>
                <w:sz w:val="23"/>
                <w:szCs w:val="23"/>
                <w:color w:val="auto"/>
                <w:vertAlign w:val="superscript"/>
              </w:rPr>
              <w:t>(5)</w:t>
            </w:r>
          </w:p>
        </w:tc>
        <w:tc>
          <w:tcPr>
            <w:tcW w:w="94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127,117</w:t>
            </w:r>
          </w:p>
        </w:tc>
        <w:tc>
          <w:tcPr>
            <w:tcW w:w="0" w:type="dxa"/>
            <w:vAlign w:val="bottom"/>
          </w:tcPr>
          <w:p>
            <w:pPr>
              <w:spacing w:after="0"/>
              <w:rPr>
                <w:sz w:val="1"/>
                <w:szCs w:val="1"/>
                <w:color w:val="auto"/>
              </w:rPr>
            </w:pPr>
          </w:p>
        </w:tc>
      </w:tr>
      <w:tr>
        <w:trPr>
          <w:trHeight w:val="166"/>
        </w:trPr>
        <w:tc>
          <w:tcPr>
            <w:tcW w:w="100" w:type="dxa"/>
            <w:vAlign w:val="bottom"/>
            <w:shd w:val="clear" w:color="auto" w:fill="EBEBEB"/>
          </w:tcPr>
          <w:p>
            <w:pPr>
              <w:spacing w:after="0"/>
              <w:rPr>
                <w:sz w:val="14"/>
                <w:szCs w:val="14"/>
                <w:color w:val="auto"/>
              </w:rPr>
            </w:pPr>
          </w:p>
        </w:tc>
        <w:tc>
          <w:tcPr>
            <w:tcW w:w="202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Kevin Church,</w:t>
            </w:r>
          </w:p>
        </w:tc>
        <w:tc>
          <w:tcPr>
            <w:tcW w:w="74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8/31/2016</w:t>
            </w:r>
          </w:p>
        </w:tc>
        <w:tc>
          <w:tcPr>
            <w:tcW w:w="112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1</w:t>
            </w:r>
          </w:p>
        </w:tc>
        <w:tc>
          <w:tcPr>
            <w:tcW w:w="132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BEBEB"/>
          </w:tcPr>
          <w:p>
            <w:pPr>
              <w:jc w:val="right"/>
              <w:ind w:right="27"/>
              <w:spacing w:after="0"/>
              <w:rPr>
                <w:sz w:val="20"/>
                <w:szCs w:val="20"/>
                <w:color w:val="auto"/>
              </w:rPr>
            </w:pPr>
            <w:r>
              <w:rPr>
                <w:rFonts w:ascii="Arial" w:cs="Arial" w:eastAsia="Arial" w:hAnsi="Arial"/>
                <w:sz w:val="14"/>
                <w:szCs w:val="14"/>
                <w:color w:val="auto"/>
              </w:rPr>
              <w:t>1.04</w:t>
            </w:r>
          </w:p>
        </w:tc>
        <w:tc>
          <w:tcPr>
            <w:tcW w:w="1140" w:type="dxa"/>
            <w:vAlign w:val="bottom"/>
            <w:vMerge w:val="restart"/>
            <w:shd w:val="clear" w:color="auto" w:fill="EBEBEB"/>
          </w:tcPr>
          <w:p>
            <w:pPr>
              <w:jc w:val="right"/>
              <w:ind w:right="127"/>
              <w:spacing w:after="0"/>
              <w:rPr>
                <w:sz w:val="20"/>
                <w:szCs w:val="20"/>
                <w:color w:val="auto"/>
              </w:rPr>
            </w:pPr>
            <w:r>
              <w:rPr>
                <w:rFonts w:ascii="Arial" w:cs="Arial" w:eastAsia="Arial" w:hAnsi="Arial"/>
                <w:sz w:val="14"/>
                <w:szCs w:val="14"/>
                <w:color w:val="auto"/>
              </w:rPr>
              <w:t>8/31/2026</w:t>
            </w:r>
          </w:p>
        </w:tc>
        <w:tc>
          <w:tcPr>
            <w:tcW w:w="114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EBEBEB"/>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00" w:type="dxa"/>
            <w:vAlign w:val="bottom"/>
            <w:shd w:val="clear" w:color="auto" w:fill="EBEBEB"/>
          </w:tcPr>
          <w:p>
            <w:pPr>
              <w:spacing w:after="0"/>
              <w:rPr>
                <w:sz w:val="9"/>
                <w:szCs w:val="9"/>
                <w:color w:val="auto"/>
              </w:rPr>
            </w:pPr>
          </w:p>
        </w:tc>
        <w:tc>
          <w:tcPr>
            <w:tcW w:w="2020" w:type="dxa"/>
            <w:vAlign w:val="bottom"/>
            <w:vMerge w:val="restart"/>
            <w:shd w:val="clear" w:color="auto" w:fill="EBEBEB"/>
          </w:tcPr>
          <w:p>
            <w:pPr>
              <w:ind w:left="60"/>
              <w:spacing w:after="0"/>
              <w:rPr>
                <w:sz w:val="20"/>
                <w:szCs w:val="20"/>
                <w:color w:val="auto"/>
              </w:rPr>
            </w:pPr>
            <w:r>
              <w:rPr>
                <w:rFonts w:ascii="Arial" w:cs="Arial" w:eastAsia="Arial" w:hAnsi="Arial"/>
                <w:sz w:val="14"/>
                <w:szCs w:val="14"/>
                <w:b w:val="1"/>
                <w:bCs w:val="1"/>
                <w:color w:val="auto"/>
              </w:rPr>
              <w:t>Ph.D.</w:t>
            </w:r>
          </w:p>
        </w:tc>
        <w:tc>
          <w:tcPr>
            <w:tcW w:w="740" w:type="dxa"/>
            <w:vAlign w:val="bottom"/>
            <w:vMerge w:val="continue"/>
            <w:shd w:val="clear" w:color="auto" w:fill="EBEBEB"/>
          </w:tcPr>
          <w:p>
            <w:pPr>
              <w:spacing w:after="0"/>
              <w:rPr>
                <w:sz w:val="9"/>
                <w:szCs w:val="9"/>
                <w:color w:val="auto"/>
              </w:rPr>
            </w:pPr>
          </w:p>
        </w:tc>
        <w:tc>
          <w:tcPr>
            <w:tcW w:w="1120" w:type="dxa"/>
            <w:vAlign w:val="bottom"/>
            <w:vMerge w:val="continue"/>
            <w:shd w:val="clear" w:color="auto" w:fill="EBEBEB"/>
          </w:tcPr>
          <w:p>
            <w:pPr>
              <w:spacing w:after="0"/>
              <w:rPr>
                <w:sz w:val="9"/>
                <w:szCs w:val="9"/>
                <w:color w:val="auto"/>
              </w:rPr>
            </w:pPr>
          </w:p>
        </w:tc>
        <w:tc>
          <w:tcPr>
            <w:tcW w:w="1320" w:type="dxa"/>
            <w:vAlign w:val="bottom"/>
            <w:vMerge w:val="continue"/>
            <w:shd w:val="clear" w:color="auto" w:fill="EBEBEB"/>
          </w:tcPr>
          <w:p>
            <w:pPr>
              <w:spacing w:after="0"/>
              <w:rPr>
                <w:sz w:val="9"/>
                <w:szCs w:val="9"/>
                <w:color w:val="auto"/>
              </w:rPr>
            </w:pPr>
          </w:p>
        </w:tc>
        <w:tc>
          <w:tcPr>
            <w:tcW w:w="880" w:type="dxa"/>
            <w:vAlign w:val="bottom"/>
            <w:vMerge w:val="continue"/>
            <w:shd w:val="clear" w:color="auto" w:fill="EBEBEB"/>
          </w:tcPr>
          <w:p>
            <w:pPr>
              <w:spacing w:after="0"/>
              <w:rPr>
                <w:sz w:val="9"/>
                <w:szCs w:val="9"/>
                <w:color w:val="auto"/>
              </w:rPr>
            </w:pPr>
          </w:p>
        </w:tc>
        <w:tc>
          <w:tcPr>
            <w:tcW w:w="1140" w:type="dxa"/>
            <w:vAlign w:val="bottom"/>
            <w:vMerge w:val="continue"/>
            <w:shd w:val="clear" w:color="auto" w:fill="EBEBEB"/>
          </w:tcPr>
          <w:p>
            <w:pPr>
              <w:spacing w:after="0"/>
              <w:rPr>
                <w:sz w:val="9"/>
                <w:szCs w:val="9"/>
                <w:color w:val="auto"/>
              </w:rPr>
            </w:pPr>
          </w:p>
        </w:tc>
        <w:tc>
          <w:tcPr>
            <w:tcW w:w="1140" w:type="dxa"/>
            <w:vAlign w:val="bottom"/>
            <w:vMerge w:val="continue"/>
            <w:shd w:val="clear" w:color="auto" w:fill="EBEBEB"/>
          </w:tcPr>
          <w:p>
            <w:pPr>
              <w:spacing w:after="0"/>
              <w:rPr>
                <w:sz w:val="9"/>
                <w:szCs w:val="9"/>
                <w:color w:val="auto"/>
              </w:rPr>
            </w:pPr>
          </w:p>
        </w:tc>
        <w:tc>
          <w:tcPr>
            <w:tcW w:w="940" w:type="dxa"/>
            <w:vAlign w:val="bottom"/>
            <w:vMerge w:val="continue"/>
            <w:shd w:val="clear" w:color="auto" w:fill="EBEBE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00" w:type="dxa"/>
            <w:vAlign w:val="bottom"/>
            <w:shd w:val="clear" w:color="auto" w:fill="EBEBEB"/>
          </w:tcPr>
          <w:p>
            <w:pPr>
              <w:spacing w:after="0"/>
              <w:rPr>
                <w:sz w:val="7"/>
                <w:szCs w:val="7"/>
                <w:color w:val="auto"/>
              </w:rPr>
            </w:pPr>
          </w:p>
        </w:tc>
        <w:tc>
          <w:tcPr>
            <w:tcW w:w="2020" w:type="dxa"/>
            <w:vAlign w:val="bottom"/>
            <w:vMerge w:val="continue"/>
            <w:shd w:val="clear" w:color="auto" w:fill="EBEBEB"/>
          </w:tcPr>
          <w:p>
            <w:pPr>
              <w:spacing w:after="0"/>
              <w:rPr>
                <w:sz w:val="7"/>
                <w:szCs w:val="7"/>
                <w:color w:val="auto"/>
              </w:rPr>
            </w:pPr>
          </w:p>
        </w:tc>
        <w:tc>
          <w:tcPr>
            <w:tcW w:w="740" w:type="dxa"/>
            <w:vAlign w:val="bottom"/>
            <w:shd w:val="clear" w:color="auto" w:fill="EBEBEB"/>
          </w:tcPr>
          <w:p>
            <w:pPr>
              <w:spacing w:after="0"/>
              <w:rPr>
                <w:sz w:val="7"/>
                <w:szCs w:val="7"/>
                <w:color w:val="auto"/>
              </w:rPr>
            </w:pPr>
          </w:p>
        </w:tc>
        <w:tc>
          <w:tcPr>
            <w:tcW w:w="1120" w:type="dxa"/>
            <w:vAlign w:val="bottom"/>
            <w:shd w:val="clear" w:color="auto" w:fill="EBEBEB"/>
          </w:tcPr>
          <w:p>
            <w:pPr>
              <w:spacing w:after="0"/>
              <w:rPr>
                <w:sz w:val="7"/>
                <w:szCs w:val="7"/>
                <w:color w:val="auto"/>
              </w:rPr>
            </w:pPr>
          </w:p>
        </w:tc>
        <w:tc>
          <w:tcPr>
            <w:tcW w:w="1320" w:type="dxa"/>
            <w:vAlign w:val="bottom"/>
            <w:shd w:val="clear" w:color="auto" w:fill="EBEBEB"/>
          </w:tcPr>
          <w:p>
            <w:pPr>
              <w:spacing w:after="0"/>
              <w:rPr>
                <w:sz w:val="7"/>
                <w:szCs w:val="7"/>
                <w:color w:val="auto"/>
              </w:rPr>
            </w:pPr>
          </w:p>
        </w:tc>
        <w:tc>
          <w:tcPr>
            <w:tcW w:w="880" w:type="dxa"/>
            <w:vAlign w:val="bottom"/>
            <w:shd w:val="clear" w:color="auto" w:fill="EBEBEB"/>
          </w:tcPr>
          <w:p>
            <w:pPr>
              <w:spacing w:after="0"/>
              <w:rPr>
                <w:sz w:val="7"/>
                <w:szCs w:val="7"/>
                <w:color w:val="auto"/>
              </w:rPr>
            </w:pPr>
          </w:p>
        </w:tc>
        <w:tc>
          <w:tcPr>
            <w:tcW w:w="1140" w:type="dxa"/>
            <w:vAlign w:val="bottom"/>
            <w:shd w:val="clear" w:color="auto" w:fill="EBEBEB"/>
          </w:tcPr>
          <w:p>
            <w:pPr>
              <w:spacing w:after="0"/>
              <w:rPr>
                <w:sz w:val="7"/>
                <w:szCs w:val="7"/>
                <w:color w:val="auto"/>
              </w:rPr>
            </w:pPr>
          </w:p>
        </w:tc>
        <w:tc>
          <w:tcPr>
            <w:tcW w:w="1140" w:type="dxa"/>
            <w:vAlign w:val="bottom"/>
            <w:shd w:val="clear" w:color="auto" w:fill="EBEBEB"/>
          </w:tcPr>
          <w:p>
            <w:pPr>
              <w:spacing w:after="0"/>
              <w:rPr>
                <w:sz w:val="7"/>
                <w:szCs w:val="7"/>
                <w:color w:val="auto"/>
              </w:rPr>
            </w:pPr>
          </w:p>
        </w:tc>
        <w:tc>
          <w:tcPr>
            <w:tcW w:w="940" w:type="dxa"/>
            <w:vAlign w:val="bottom"/>
            <w:shd w:val="clear" w:color="auto" w:fill="EBEBEB"/>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00" w:type="dxa"/>
            <w:vAlign w:val="bottom"/>
            <w:shd w:val="clear" w:color="auto" w:fill="FAFAFA"/>
          </w:tcPr>
          <w:p>
            <w:pPr>
              <w:spacing w:after="0"/>
              <w:rPr>
                <w:sz w:val="17"/>
                <w:szCs w:val="17"/>
                <w:color w:val="auto"/>
              </w:rPr>
            </w:pPr>
          </w:p>
        </w:tc>
        <w:tc>
          <w:tcPr>
            <w:tcW w:w="2020" w:type="dxa"/>
            <w:vAlign w:val="bottom"/>
            <w:shd w:val="clear" w:color="auto" w:fill="FAFAFA"/>
          </w:tcPr>
          <w:p>
            <w:pPr>
              <w:spacing w:after="0"/>
              <w:rPr>
                <w:sz w:val="17"/>
                <w:szCs w:val="17"/>
                <w:color w:val="auto"/>
              </w:rPr>
            </w:pPr>
          </w:p>
        </w:tc>
        <w:tc>
          <w:tcPr>
            <w:tcW w:w="740" w:type="dxa"/>
            <w:vAlign w:val="bottom"/>
            <w:shd w:val="clear" w:color="auto" w:fill="FAFAFA"/>
          </w:tcPr>
          <w:p>
            <w:pPr>
              <w:jc w:val="right"/>
              <w:ind w:right="7"/>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8/26/2020</w:t>
            </w:r>
          </w:p>
        </w:tc>
        <w:tc>
          <w:tcPr>
            <w:tcW w:w="11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69,985</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88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17.00</w:t>
            </w:r>
          </w:p>
        </w:tc>
        <w:tc>
          <w:tcPr>
            <w:tcW w:w="1140" w:type="dxa"/>
            <w:vAlign w:val="bottom"/>
            <w:shd w:val="clear" w:color="auto" w:fill="FAFAFA"/>
          </w:tcPr>
          <w:p>
            <w:pPr>
              <w:jc w:val="right"/>
              <w:ind w:right="127"/>
              <w:spacing w:after="0"/>
              <w:rPr>
                <w:sz w:val="20"/>
                <w:szCs w:val="20"/>
                <w:color w:val="auto"/>
              </w:rPr>
            </w:pPr>
            <w:r>
              <w:rPr>
                <w:rFonts w:ascii="Arial" w:cs="Arial" w:eastAsia="Arial" w:hAnsi="Arial"/>
                <w:sz w:val="14"/>
                <w:szCs w:val="14"/>
                <w:color w:val="auto"/>
              </w:rPr>
              <w:t>9/16/2030</w:t>
            </w:r>
          </w:p>
        </w:tc>
        <w:tc>
          <w:tcPr>
            <w:tcW w:w="11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00" w:type="dxa"/>
            <w:vAlign w:val="bottom"/>
            <w:shd w:val="clear" w:color="auto" w:fill="EBEBEB"/>
          </w:tcPr>
          <w:p>
            <w:pPr>
              <w:spacing w:after="0"/>
              <w:rPr>
                <w:sz w:val="20"/>
                <w:szCs w:val="20"/>
                <w:color w:val="auto"/>
              </w:rPr>
            </w:pPr>
          </w:p>
        </w:tc>
        <w:tc>
          <w:tcPr>
            <w:tcW w:w="2020" w:type="dxa"/>
            <w:vAlign w:val="bottom"/>
            <w:shd w:val="clear" w:color="auto" w:fill="EBEBEB"/>
          </w:tcPr>
          <w:p>
            <w:pPr>
              <w:ind w:left="1960"/>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1/8/2021</w:t>
            </w:r>
          </w:p>
        </w:tc>
        <w:tc>
          <w:tcPr>
            <w:tcW w:w="11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15,000</w:t>
            </w:r>
          </w:p>
        </w:tc>
        <w:tc>
          <w:tcPr>
            <w:tcW w:w="1320" w:type="dxa"/>
            <w:vAlign w:val="bottom"/>
            <w:shd w:val="clear" w:color="auto" w:fill="EBEBEB"/>
          </w:tcPr>
          <w:p>
            <w:pPr>
              <w:jc w:val="right"/>
              <w:ind w:right="7"/>
              <w:spacing w:after="0" w:line="231" w:lineRule="exact"/>
              <w:rPr>
                <w:sz w:val="20"/>
                <w:szCs w:val="20"/>
                <w:color w:val="auto"/>
              </w:rPr>
            </w:pPr>
            <w:r>
              <w:rPr>
                <w:rFonts w:ascii="Arial" w:cs="Arial" w:eastAsia="Arial" w:hAnsi="Arial"/>
                <w:sz w:val="14"/>
                <w:szCs w:val="14"/>
                <w:color w:val="auto"/>
              </w:rPr>
              <w:t>5,000</w:t>
            </w:r>
            <w:r>
              <w:rPr>
                <w:rFonts w:ascii="Arial" w:cs="Arial" w:eastAsia="Arial" w:hAnsi="Arial"/>
                <w:sz w:val="23"/>
                <w:szCs w:val="23"/>
                <w:color w:val="auto"/>
                <w:vertAlign w:val="superscript"/>
              </w:rPr>
              <w:t>(1)</w:t>
            </w:r>
          </w:p>
        </w:tc>
        <w:tc>
          <w:tcPr>
            <w:tcW w:w="88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21.15</w:t>
            </w:r>
          </w:p>
        </w:tc>
        <w:tc>
          <w:tcPr>
            <w:tcW w:w="1140" w:type="dxa"/>
            <w:vAlign w:val="bottom"/>
            <w:shd w:val="clear" w:color="auto" w:fill="EBEBEB"/>
          </w:tcPr>
          <w:p>
            <w:pPr>
              <w:jc w:val="right"/>
              <w:ind w:right="127"/>
              <w:spacing w:after="0"/>
              <w:rPr>
                <w:sz w:val="20"/>
                <w:szCs w:val="20"/>
                <w:color w:val="auto"/>
              </w:rPr>
            </w:pPr>
            <w:r>
              <w:rPr>
                <w:rFonts w:ascii="Arial" w:cs="Arial" w:eastAsia="Arial" w:hAnsi="Arial"/>
                <w:sz w:val="14"/>
                <w:szCs w:val="14"/>
                <w:color w:val="auto"/>
              </w:rPr>
              <w:t>2/17/2031</w:t>
            </w:r>
          </w:p>
        </w:tc>
        <w:tc>
          <w:tcPr>
            <w:tcW w:w="11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00" w:type="dxa"/>
            <w:vAlign w:val="bottom"/>
            <w:shd w:val="clear" w:color="auto" w:fill="FAFAFA"/>
          </w:tcPr>
          <w:p>
            <w:pPr>
              <w:spacing w:after="0"/>
              <w:rPr>
                <w:sz w:val="19"/>
                <w:szCs w:val="19"/>
                <w:color w:val="auto"/>
              </w:rPr>
            </w:pPr>
          </w:p>
        </w:tc>
        <w:tc>
          <w:tcPr>
            <w:tcW w:w="2020" w:type="dxa"/>
            <w:vAlign w:val="bottom"/>
            <w:shd w:val="clear" w:color="auto" w:fill="FAFAFA"/>
          </w:tcPr>
          <w:p>
            <w:pPr>
              <w:spacing w:after="0"/>
              <w:rPr>
                <w:sz w:val="19"/>
                <w:szCs w:val="19"/>
                <w:color w:val="auto"/>
              </w:rPr>
            </w:pPr>
          </w:p>
        </w:tc>
        <w:tc>
          <w:tcPr>
            <w:tcW w:w="7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1/18/2022</w:t>
            </w:r>
          </w:p>
        </w:tc>
        <w:tc>
          <w:tcPr>
            <w:tcW w:w="11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72,917</w:t>
            </w:r>
          </w:p>
        </w:tc>
        <w:tc>
          <w:tcPr>
            <w:tcW w:w="1320" w:type="dxa"/>
            <w:vAlign w:val="bottom"/>
            <w:shd w:val="clear" w:color="auto" w:fill="FAFAFA"/>
          </w:tcPr>
          <w:p>
            <w:pPr>
              <w:jc w:val="right"/>
              <w:ind w:right="7"/>
              <w:spacing w:after="0" w:line="230" w:lineRule="exact"/>
              <w:rPr>
                <w:sz w:val="20"/>
                <w:szCs w:val="20"/>
                <w:color w:val="auto"/>
              </w:rPr>
            </w:pPr>
            <w:r>
              <w:rPr>
                <w:rFonts w:ascii="Arial" w:cs="Arial" w:eastAsia="Arial" w:hAnsi="Arial"/>
                <w:sz w:val="14"/>
                <w:szCs w:val="14"/>
                <w:color w:val="auto"/>
              </w:rPr>
              <w:t>27,083</w:t>
            </w:r>
            <w:r>
              <w:rPr>
                <w:rFonts w:ascii="Arial" w:cs="Arial" w:eastAsia="Arial" w:hAnsi="Arial"/>
                <w:sz w:val="23"/>
                <w:szCs w:val="23"/>
                <w:color w:val="auto"/>
                <w:vertAlign w:val="superscript"/>
              </w:rPr>
              <w:t>(2)</w:t>
            </w:r>
          </w:p>
        </w:tc>
        <w:tc>
          <w:tcPr>
            <w:tcW w:w="88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10.64</w:t>
            </w:r>
          </w:p>
        </w:tc>
        <w:tc>
          <w:tcPr>
            <w:tcW w:w="1140" w:type="dxa"/>
            <w:vAlign w:val="bottom"/>
            <w:shd w:val="clear" w:color="auto" w:fill="FAFAFA"/>
          </w:tcPr>
          <w:p>
            <w:pPr>
              <w:jc w:val="right"/>
              <w:ind w:right="127"/>
              <w:spacing w:after="0"/>
              <w:rPr>
                <w:sz w:val="20"/>
                <w:szCs w:val="20"/>
                <w:color w:val="auto"/>
              </w:rPr>
            </w:pPr>
            <w:r>
              <w:rPr>
                <w:rFonts w:ascii="Arial" w:cs="Arial" w:eastAsia="Arial" w:hAnsi="Arial"/>
                <w:sz w:val="14"/>
                <w:szCs w:val="14"/>
                <w:color w:val="auto"/>
              </w:rPr>
              <w:t>1/17/2032</w:t>
            </w:r>
          </w:p>
        </w:tc>
        <w:tc>
          <w:tcPr>
            <w:tcW w:w="11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00" w:type="dxa"/>
            <w:vAlign w:val="bottom"/>
            <w:shd w:val="clear" w:color="auto" w:fill="EBEBEB"/>
          </w:tcPr>
          <w:p>
            <w:pPr>
              <w:spacing w:after="0"/>
              <w:rPr>
                <w:sz w:val="19"/>
                <w:szCs w:val="19"/>
                <w:color w:val="auto"/>
              </w:rPr>
            </w:pPr>
          </w:p>
        </w:tc>
        <w:tc>
          <w:tcPr>
            <w:tcW w:w="2020" w:type="dxa"/>
            <w:vAlign w:val="bottom"/>
            <w:shd w:val="clear" w:color="auto" w:fill="EBEBEB"/>
          </w:tcPr>
          <w:p>
            <w:pPr>
              <w:spacing w:after="0"/>
              <w:rPr>
                <w:sz w:val="19"/>
                <w:szCs w:val="19"/>
                <w:color w:val="auto"/>
              </w:rPr>
            </w:pPr>
          </w:p>
        </w:tc>
        <w:tc>
          <w:tcPr>
            <w:tcW w:w="7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1/19/2023</w:t>
            </w:r>
          </w:p>
        </w:tc>
        <w:tc>
          <w:tcPr>
            <w:tcW w:w="11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95,833</w:t>
            </w:r>
          </w:p>
        </w:tc>
        <w:tc>
          <w:tcPr>
            <w:tcW w:w="1320" w:type="dxa"/>
            <w:vAlign w:val="bottom"/>
            <w:shd w:val="clear" w:color="auto" w:fill="EBEBEB"/>
          </w:tcPr>
          <w:p>
            <w:pPr>
              <w:jc w:val="right"/>
              <w:ind w:right="7"/>
              <w:spacing w:after="0" w:line="230" w:lineRule="exact"/>
              <w:rPr>
                <w:sz w:val="20"/>
                <w:szCs w:val="20"/>
                <w:color w:val="auto"/>
              </w:rPr>
            </w:pPr>
            <w:r>
              <w:rPr>
                <w:rFonts w:ascii="Arial" w:cs="Arial" w:eastAsia="Arial" w:hAnsi="Arial"/>
                <w:sz w:val="14"/>
                <w:szCs w:val="14"/>
                <w:color w:val="auto"/>
              </w:rPr>
              <w:t>54,167</w:t>
            </w:r>
            <w:r>
              <w:rPr>
                <w:rFonts w:ascii="Arial" w:cs="Arial" w:eastAsia="Arial" w:hAnsi="Arial"/>
                <w:sz w:val="23"/>
                <w:szCs w:val="23"/>
                <w:color w:val="auto"/>
                <w:vertAlign w:val="superscript"/>
              </w:rPr>
              <w:t>(3)</w:t>
            </w:r>
          </w:p>
        </w:tc>
        <w:tc>
          <w:tcPr>
            <w:tcW w:w="88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3.37</w:t>
            </w:r>
          </w:p>
        </w:tc>
        <w:tc>
          <w:tcPr>
            <w:tcW w:w="1140" w:type="dxa"/>
            <w:vAlign w:val="bottom"/>
            <w:shd w:val="clear" w:color="auto" w:fill="EBEBEB"/>
          </w:tcPr>
          <w:p>
            <w:pPr>
              <w:jc w:val="right"/>
              <w:ind w:right="127"/>
              <w:spacing w:after="0"/>
              <w:rPr>
                <w:sz w:val="20"/>
                <w:szCs w:val="20"/>
                <w:color w:val="auto"/>
              </w:rPr>
            </w:pPr>
            <w:r>
              <w:rPr>
                <w:rFonts w:ascii="Arial" w:cs="Arial" w:eastAsia="Arial" w:hAnsi="Arial"/>
                <w:sz w:val="14"/>
                <w:szCs w:val="14"/>
                <w:color w:val="auto"/>
              </w:rPr>
              <w:t>1/18/2033</w:t>
            </w:r>
          </w:p>
        </w:tc>
        <w:tc>
          <w:tcPr>
            <w:tcW w:w="11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00" w:type="dxa"/>
            <w:vAlign w:val="bottom"/>
            <w:shd w:val="clear" w:color="auto" w:fill="FAFAFA"/>
          </w:tcPr>
          <w:p>
            <w:pPr>
              <w:spacing w:after="0"/>
              <w:rPr>
                <w:sz w:val="19"/>
                <w:szCs w:val="19"/>
                <w:color w:val="auto"/>
              </w:rPr>
            </w:pPr>
          </w:p>
        </w:tc>
        <w:tc>
          <w:tcPr>
            <w:tcW w:w="2020" w:type="dxa"/>
            <w:vAlign w:val="bottom"/>
            <w:shd w:val="clear" w:color="auto" w:fill="FAFAFA"/>
          </w:tcPr>
          <w:p>
            <w:pPr>
              <w:spacing w:after="0"/>
              <w:rPr>
                <w:sz w:val="19"/>
                <w:szCs w:val="19"/>
                <w:color w:val="auto"/>
              </w:rPr>
            </w:pPr>
          </w:p>
        </w:tc>
        <w:tc>
          <w:tcPr>
            <w:tcW w:w="7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2/14/2024</w:t>
            </w:r>
          </w:p>
        </w:tc>
        <w:tc>
          <w:tcPr>
            <w:tcW w:w="11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45,833</w:t>
            </w:r>
          </w:p>
        </w:tc>
        <w:tc>
          <w:tcPr>
            <w:tcW w:w="1320" w:type="dxa"/>
            <w:vAlign w:val="bottom"/>
            <w:shd w:val="clear" w:color="auto" w:fill="FAFAFA"/>
          </w:tcPr>
          <w:p>
            <w:pPr>
              <w:jc w:val="right"/>
              <w:ind w:right="7"/>
              <w:spacing w:after="0" w:line="230" w:lineRule="exact"/>
              <w:rPr>
                <w:sz w:val="20"/>
                <w:szCs w:val="20"/>
                <w:color w:val="auto"/>
              </w:rPr>
            </w:pPr>
            <w:r>
              <w:rPr>
                <w:rFonts w:ascii="Arial" w:cs="Arial" w:eastAsia="Arial" w:hAnsi="Arial"/>
                <w:sz w:val="14"/>
                <w:szCs w:val="14"/>
                <w:color w:val="auto"/>
              </w:rPr>
              <w:t>174,167</w:t>
            </w:r>
            <w:r>
              <w:rPr>
                <w:rFonts w:ascii="Arial" w:cs="Arial" w:eastAsia="Arial" w:hAnsi="Arial"/>
                <w:sz w:val="23"/>
                <w:szCs w:val="23"/>
                <w:color w:val="auto"/>
                <w:vertAlign w:val="superscript"/>
              </w:rPr>
              <w:t>(2)</w:t>
            </w:r>
          </w:p>
        </w:tc>
        <w:tc>
          <w:tcPr>
            <w:tcW w:w="88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3.26</w:t>
            </w:r>
          </w:p>
        </w:tc>
        <w:tc>
          <w:tcPr>
            <w:tcW w:w="1140" w:type="dxa"/>
            <w:vAlign w:val="bottom"/>
            <w:shd w:val="clear" w:color="auto" w:fill="FAFAFA"/>
          </w:tcPr>
          <w:p>
            <w:pPr>
              <w:jc w:val="right"/>
              <w:ind w:right="127"/>
              <w:spacing w:after="0"/>
              <w:rPr>
                <w:sz w:val="20"/>
                <w:szCs w:val="20"/>
                <w:color w:val="auto"/>
              </w:rPr>
            </w:pPr>
            <w:r>
              <w:rPr>
                <w:rFonts w:ascii="Arial" w:cs="Arial" w:eastAsia="Arial" w:hAnsi="Arial"/>
                <w:sz w:val="14"/>
                <w:szCs w:val="14"/>
                <w:color w:val="auto"/>
              </w:rPr>
              <w:t>2/13/2034</w:t>
            </w:r>
          </w:p>
        </w:tc>
        <w:tc>
          <w:tcPr>
            <w:tcW w:w="11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00" w:type="dxa"/>
            <w:vAlign w:val="bottom"/>
            <w:shd w:val="clear" w:color="auto" w:fill="EBEBEB"/>
          </w:tcPr>
          <w:p>
            <w:pPr>
              <w:spacing w:after="0"/>
              <w:rPr>
                <w:sz w:val="19"/>
                <w:szCs w:val="19"/>
                <w:color w:val="auto"/>
              </w:rPr>
            </w:pPr>
          </w:p>
        </w:tc>
        <w:tc>
          <w:tcPr>
            <w:tcW w:w="2020" w:type="dxa"/>
            <w:vAlign w:val="bottom"/>
            <w:shd w:val="clear" w:color="auto" w:fill="EBEBEB"/>
          </w:tcPr>
          <w:p>
            <w:pPr>
              <w:spacing w:after="0"/>
              <w:rPr>
                <w:sz w:val="19"/>
                <w:szCs w:val="19"/>
                <w:color w:val="auto"/>
              </w:rPr>
            </w:pPr>
          </w:p>
        </w:tc>
        <w:tc>
          <w:tcPr>
            <w:tcW w:w="7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10/1/2024</w:t>
            </w:r>
          </w:p>
        </w:tc>
        <w:tc>
          <w:tcPr>
            <w:tcW w:w="11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36,667</w:t>
            </w:r>
          </w:p>
        </w:tc>
        <w:tc>
          <w:tcPr>
            <w:tcW w:w="1320" w:type="dxa"/>
            <w:vAlign w:val="bottom"/>
            <w:shd w:val="clear" w:color="auto" w:fill="EBEBEB"/>
          </w:tcPr>
          <w:p>
            <w:pPr>
              <w:jc w:val="right"/>
              <w:ind w:right="7"/>
              <w:spacing w:after="0" w:line="230" w:lineRule="exact"/>
              <w:rPr>
                <w:sz w:val="20"/>
                <w:szCs w:val="20"/>
                <w:color w:val="auto"/>
              </w:rPr>
            </w:pPr>
            <w:r>
              <w:rPr>
                <w:rFonts w:ascii="Arial" w:cs="Arial" w:eastAsia="Arial" w:hAnsi="Arial"/>
                <w:sz w:val="14"/>
                <w:szCs w:val="14"/>
                <w:color w:val="auto"/>
              </w:rPr>
              <w:t>73,333</w:t>
            </w:r>
            <w:r>
              <w:rPr>
                <w:rFonts w:ascii="Arial" w:cs="Arial" w:eastAsia="Arial" w:hAnsi="Arial"/>
                <w:sz w:val="23"/>
                <w:szCs w:val="23"/>
                <w:color w:val="auto"/>
                <w:vertAlign w:val="superscript"/>
              </w:rPr>
              <w:t>(4)</w:t>
            </w:r>
          </w:p>
        </w:tc>
        <w:tc>
          <w:tcPr>
            <w:tcW w:w="88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0.45</w:t>
            </w:r>
          </w:p>
        </w:tc>
        <w:tc>
          <w:tcPr>
            <w:tcW w:w="1140" w:type="dxa"/>
            <w:vAlign w:val="bottom"/>
            <w:shd w:val="clear" w:color="auto" w:fill="EBEBEB"/>
          </w:tcPr>
          <w:p>
            <w:pPr>
              <w:jc w:val="right"/>
              <w:ind w:right="127"/>
              <w:spacing w:after="0"/>
              <w:rPr>
                <w:sz w:val="20"/>
                <w:szCs w:val="20"/>
                <w:color w:val="auto"/>
              </w:rPr>
            </w:pPr>
            <w:r>
              <w:rPr>
                <w:rFonts w:ascii="Arial" w:cs="Arial" w:eastAsia="Arial" w:hAnsi="Arial"/>
                <w:sz w:val="14"/>
                <w:szCs w:val="14"/>
                <w:color w:val="auto"/>
              </w:rPr>
              <w:t>9/30/2034</w:t>
            </w:r>
          </w:p>
        </w:tc>
        <w:tc>
          <w:tcPr>
            <w:tcW w:w="11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00" w:type="dxa"/>
            <w:vAlign w:val="bottom"/>
            <w:shd w:val="clear" w:color="auto" w:fill="FAFAFA"/>
          </w:tcPr>
          <w:p>
            <w:pPr>
              <w:spacing w:after="0"/>
              <w:rPr>
                <w:sz w:val="19"/>
                <w:szCs w:val="19"/>
                <w:color w:val="auto"/>
              </w:rPr>
            </w:pPr>
          </w:p>
        </w:tc>
        <w:tc>
          <w:tcPr>
            <w:tcW w:w="2020" w:type="dxa"/>
            <w:vAlign w:val="bottom"/>
            <w:shd w:val="clear" w:color="auto" w:fill="FAFAFA"/>
          </w:tcPr>
          <w:p>
            <w:pPr>
              <w:spacing w:after="0"/>
              <w:rPr>
                <w:sz w:val="19"/>
                <w:szCs w:val="19"/>
                <w:color w:val="auto"/>
              </w:rPr>
            </w:pPr>
          </w:p>
        </w:tc>
        <w:tc>
          <w:tcPr>
            <w:tcW w:w="7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10/1/2024</w:t>
            </w:r>
          </w:p>
        </w:tc>
        <w:tc>
          <w:tcPr>
            <w:tcW w:w="11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88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w:t>
            </w:r>
          </w:p>
        </w:tc>
        <w:tc>
          <w:tcPr>
            <w:tcW w:w="1140" w:type="dxa"/>
            <w:vAlign w:val="bottom"/>
            <w:shd w:val="clear" w:color="auto" w:fill="FAFAFA"/>
          </w:tcPr>
          <w:p>
            <w:pPr>
              <w:jc w:val="right"/>
              <w:ind w:right="127"/>
              <w:spacing w:after="0"/>
              <w:rPr>
                <w:sz w:val="20"/>
                <w:szCs w:val="20"/>
                <w:color w:val="auto"/>
              </w:rPr>
            </w:pPr>
            <w:r>
              <w:rPr>
                <w:rFonts w:ascii="Arial" w:cs="Arial" w:eastAsia="Arial" w:hAnsi="Arial"/>
                <w:sz w:val="14"/>
                <w:szCs w:val="14"/>
                <w:color w:val="auto"/>
              </w:rPr>
              <w:t>9/30/2034</w:t>
            </w:r>
          </w:p>
        </w:tc>
        <w:tc>
          <w:tcPr>
            <w:tcW w:w="1140" w:type="dxa"/>
            <w:vAlign w:val="bottom"/>
            <w:shd w:val="clear" w:color="auto" w:fill="FAFAFA"/>
          </w:tcPr>
          <w:p>
            <w:pPr>
              <w:jc w:val="right"/>
              <w:ind w:right="7"/>
              <w:spacing w:after="0" w:line="230" w:lineRule="exact"/>
              <w:rPr>
                <w:sz w:val="20"/>
                <w:szCs w:val="20"/>
                <w:color w:val="auto"/>
              </w:rPr>
            </w:pPr>
            <w:r>
              <w:rPr>
                <w:rFonts w:ascii="Arial" w:cs="Arial" w:eastAsia="Arial" w:hAnsi="Arial"/>
                <w:sz w:val="14"/>
                <w:szCs w:val="14"/>
                <w:color w:val="auto"/>
              </w:rPr>
              <w:t>73,333</w:t>
            </w:r>
            <w:r>
              <w:rPr>
                <w:rFonts w:ascii="Arial" w:cs="Arial" w:eastAsia="Arial" w:hAnsi="Arial"/>
                <w:sz w:val="23"/>
                <w:szCs w:val="23"/>
                <w:color w:val="auto"/>
                <w:vertAlign w:val="superscript"/>
              </w:rPr>
              <w:t>(5)</w:t>
            </w:r>
          </w:p>
        </w:tc>
        <w:tc>
          <w:tcPr>
            <w:tcW w:w="94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43,024</w:t>
            </w:r>
          </w:p>
        </w:tc>
        <w:tc>
          <w:tcPr>
            <w:tcW w:w="0" w:type="dxa"/>
            <w:vAlign w:val="bottom"/>
          </w:tcPr>
          <w:p>
            <w:pPr>
              <w:spacing w:after="0"/>
              <w:rPr>
                <w:sz w:val="1"/>
                <w:szCs w:val="1"/>
                <w:color w:val="auto"/>
              </w:rPr>
            </w:pPr>
          </w:p>
        </w:tc>
      </w:tr>
      <w:tr>
        <w:trPr>
          <w:trHeight w:val="166"/>
        </w:trPr>
        <w:tc>
          <w:tcPr>
            <w:tcW w:w="100" w:type="dxa"/>
            <w:vAlign w:val="bottom"/>
            <w:shd w:val="clear" w:color="auto" w:fill="EBEBEB"/>
          </w:tcPr>
          <w:p>
            <w:pPr>
              <w:spacing w:after="0"/>
              <w:rPr>
                <w:sz w:val="14"/>
                <w:szCs w:val="14"/>
                <w:color w:val="auto"/>
              </w:rPr>
            </w:pPr>
          </w:p>
        </w:tc>
        <w:tc>
          <w:tcPr>
            <w:tcW w:w="202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Mark</w:t>
            </w:r>
          </w:p>
        </w:tc>
        <w:tc>
          <w:tcPr>
            <w:tcW w:w="74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6/1/2021</w:t>
            </w:r>
          </w:p>
        </w:tc>
        <w:tc>
          <w:tcPr>
            <w:tcW w:w="112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112,500</w:t>
            </w:r>
          </w:p>
        </w:tc>
        <w:tc>
          <w:tcPr>
            <w:tcW w:w="132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37,500</w:t>
            </w:r>
            <w:r>
              <w:rPr>
                <w:rFonts w:ascii="Arial" w:cs="Arial" w:eastAsia="Arial" w:hAnsi="Arial"/>
                <w:sz w:val="23"/>
                <w:szCs w:val="23"/>
                <w:color w:val="auto"/>
                <w:vertAlign w:val="superscript"/>
              </w:rPr>
              <w:t>(1)</w:t>
            </w:r>
          </w:p>
        </w:tc>
        <w:tc>
          <w:tcPr>
            <w:tcW w:w="880" w:type="dxa"/>
            <w:vAlign w:val="bottom"/>
            <w:vMerge w:val="restart"/>
            <w:shd w:val="clear" w:color="auto" w:fill="EBEBEB"/>
          </w:tcPr>
          <w:p>
            <w:pPr>
              <w:jc w:val="right"/>
              <w:ind w:right="27"/>
              <w:spacing w:after="0"/>
              <w:rPr>
                <w:sz w:val="20"/>
                <w:szCs w:val="20"/>
                <w:color w:val="auto"/>
              </w:rPr>
            </w:pPr>
            <w:r>
              <w:rPr>
                <w:rFonts w:ascii="Arial" w:cs="Arial" w:eastAsia="Arial" w:hAnsi="Arial"/>
                <w:sz w:val="14"/>
                <w:szCs w:val="14"/>
                <w:color w:val="auto"/>
              </w:rPr>
              <w:t>15.34</w:t>
            </w:r>
          </w:p>
        </w:tc>
        <w:tc>
          <w:tcPr>
            <w:tcW w:w="1140" w:type="dxa"/>
            <w:vAlign w:val="bottom"/>
            <w:vMerge w:val="restart"/>
            <w:shd w:val="clear" w:color="auto" w:fill="EBEBEB"/>
          </w:tcPr>
          <w:p>
            <w:pPr>
              <w:jc w:val="right"/>
              <w:ind w:right="127"/>
              <w:spacing w:after="0"/>
              <w:rPr>
                <w:sz w:val="20"/>
                <w:szCs w:val="20"/>
                <w:color w:val="auto"/>
              </w:rPr>
            </w:pPr>
            <w:r>
              <w:rPr>
                <w:rFonts w:ascii="Arial" w:cs="Arial" w:eastAsia="Arial" w:hAnsi="Arial"/>
                <w:sz w:val="14"/>
                <w:szCs w:val="14"/>
                <w:color w:val="auto"/>
              </w:rPr>
              <w:t>11/2/2031</w:t>
            </w:r>
          </w:p>
        </w:tc>
        <w:tc>
          <w:tcPr>
            <w:tcW w:w="114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EBEBEB"/>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100" w:type="dxa"/>
            <w:vAlign w:val="bottom"/>
            <w:tcBorders>
              <w:bottom w:val="single" w:sz="8" w:color="EBEBEB"/>
            </w:tcBorders>
            <w:shd w:val="clear" w:color="auto" w:fill="EBEBEB"/>
          </w:tcPr>
          <w:p>
            <w:pPr>
              <w:spacing w:after="0"/>
              <w:rPr>
                <w:sz w:val="15"/>
                <w:szCs w:val="15"/>
                <w:color w:val="auto"/>
              </w:rPr>
            </w:pPr>
          </w:p>
        </w:tc>
        <w:tc>
          <w:tcPr>
            <w:tcW w:w="2020" w:type="dxa"/>
            <w:vAlign w:val="bottom"/>
            <w:tcBorders>
              <w:bottom w:val="single" w:sz="8" w:color="EBEBEB"/>
            </w:tcBorders>
            <w:shd w:val="clear" w:color="auto" w:fill="EBEBEB"/>
          </w:tcPr>
          <w:p>
            <w:pPr>
              <w:ind w:left="60"/>
              <w:spacing w:after="0"/>
              <w:rPr>
                <w:sz w:val="20"/>
                <w:szCs w:val="20"/>
                <w:color w:val="auto"/>
              </w:rPr>
            </w:pPr>
            <w:r>
              <w:rPr>
                <w:rFonts w:ascii="Arial" w:cs="Arial" w:eastAsia="Arial" w:hAnsi="Arial"/>
                <w:sz w:val="14"/>
                <w:szCs w:val="14"/>
                <w:b w:val="1"/>
                <w:bCs w:val="1"/>
                <w:color w:val="auto"/>
              </w:rPr>
              <w:t>Worthington</w:t>
            </w:r>
          </w:p>
        </w:tc>
        <w:tc>
          <w:tcPr>
            <w:tcW w:w="740" w:type="dxa"/>
            <w:vAlign w:val="bottom"/>
            <w:tcBorders>
              <w:bottom w:val="single" w:sz="8" w:color="EBEBEB"/>
            </w:tcBorders>
            <w:vMerge w:val="continue"/>
            <w:shd w:val="clear" w:color="auto" w:fill="EBEBEB"/>
          </w:tcPr>
          <w:p>
            <w:pPr>
              <w:spacing w:after="0"/>
              <w:rPr>
                <w:sz w:val="15"/>
                <w:szCs w:val="15"/>
                <w:color w:val="auto"/>
              </w:rPr>
            </w:pPr>
          </w:p>
        </w:tc>
        <w:tc>
          <w:tcPr>
            <w:tcW w:w="1120" w:type="dxa"/>
            <w:vAlign w:val="bottom"/>
            <w:tcBorders>
              <w:bottom w:val="single" w:sz="8" w:color="EBEBEB"/>
            </w:tcBorders>
            <w:vMerge w:val="continue"/>
            <w:shd w:val="clear" w:color="auto" w:fill="EBEBEB"/>
          </w:tcPr>
          <w:p>
            <w:pPr>
              <w:spacing w:after="0"/>
              <w:rPr>
                <w:sz w:val="15"/>
                <w:szCs w:val="15"/>
                <w:color w:val="auto"/>
              </w:rPr>
            </w:pPr>
          </w:p>
        </w:tc>
        <w:tc>
          <w:tcPr>
            <w:tcW w:w="1320" w:type="dxa"/>
            <w:vAlign w:val="bottom"/>
            <w:tcBorders>
              <w:bottom w:val="single" w:sz="8" w:color="EBEBEB"/>
            </w:tcBorders>
            <w:vMerge w:val="continue"/>
            <w:shd w:val="clear" w:color="auto" w:fill="EBEBEB"/>
          </w:tcPr>
          <w:p>
            <w:pPr>
              <w:spacing w:after="0"/>
              <w:rPr>
                <w:sz w:val="15"/>
                <w:szCs w:val="15"/>
                <w:color w:val="auto"/>
              </w:rPr>
            </w:pPr>
          </w:p>
        </w:tc>
        <w:tc>
          <w:tcPr>
            <w:tcW w:w="880" w:type="dxa"/>
            <w:vAlign w:val="bottom"/>
            <w:tcBorders>
              <w:bottom w:val="single" w:sz="8" w:color="EBEBEB"/>
            </w:tcBorders>
            <w:vMerge w:val="continue"/>
            <w:shd w:val="clear" w:color="auto" w:fill="EBEBEB"/>
          </w:tcPr>
          <w:p>
            <w:pPr>
              <w:spacing w:after="0"/>
              <w:rPr>
                <w:sz w:val="15"/>
                <w:szCs w:val="15"/>
                <w:color w:val="auto"/>
              </w:rPr>
            </w:pPr>
          </w:p>
        </w:tc>
        <w:tc>
          <w:tcPr>
            <w:tcW w:w="1140" w:type="dxa"/>
            <w:vAlign w:val="bottom"/>
            <w:tcBorders>
              <w:bottom w:val="single" w:sz="8" w:color="EBEBEB"/>
            </w:tcBorders>
            <w:vMerge w:val="continue"/>
            <w:shd w:val="clear" w:color="auto" w:fill="EBEBEB"/>
          </w:tcPr>
          <w:p>
            <w:pPr>
              <w:spacing w:after="0"/>
              <w:rPr>
                <w:sz w:val="15"/>
                <w:szCs w:val="15"/>
                <w:color w:val="auto"/>
              </w:rPr>
            </w:pPr>
          </w:p>
        </w:tc>
        <w:tc>
          <w:tcPr>
            <w:tcW w:w="1140" w:type="dxa"/>
            <w:vAlign w:val="bottom"/>
            <w:tcBorders>
              <w:bottom w:val="single" w:sz="8" w:color="EBEBEB"/>
            </w:tcBorders>
            <w:vMerge w:val="continue"/>
            <w:shd w:val="clear" w:color="auto" w:fill="EBEBEB"/>
          </w:tcPr>
          <w:p>
            <w:pPr>
              <w:spacing w:after="0"/>
              <w:rPr>
                <w:sz w:val="15"/>
                <w:szCs w:val="15"/>
                <w:color w:val="auto"/>
              </w:rPr>
            </w:pPr>
          </w:p>
        </w:tc>
        <w:tc>
          <w:tcPr>
            <w:tcW w:w="940" w:type="dxa"/>
            <w:vAlign w:val="bottom"/>
            <w:tcBorders>
              <w:bottom w:val="single" w:sz="8" w:color="EBEBEB"/>
            </w:tcBorders>
            <w:vMerge w:val="continue"/>
            <w:shd w:val="clear" w:color="auto" w:fill="EBEBEB"/>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FAFAFA"/>
          </w:tcPr>
          <w:p>
            <w:pPr>
              <w:spacing w:after="0"/>
              <w:rPr>
                <w:sz w:val="19"/>
                <w:szCs w:val="19"/>
                <w:color w:val="auto"/>
              </w:rPr>
            </w:pPr>
          </w:p>
        </w:tc>
        <w:tc>
          <w:tcPr>
            <w:tcW w:w="2020" w:type="dxa"/>
            <w:vAlign w:val="bottom"/>
            <w:shd w:val="clear" w:color="auto" w:fill="FAFAFA"/>
          </w:tcPr>
          <w:p>
            <w:pPr>
              <w:spacing w:after="0"/>
              <w:rPr>
                <w:sz w:val="19"/>
                <w:szCs w:val="19"/>
                <w:color w:val="auto"/>
              </w:rPr>
            </w:pPr>
          </w:p>
        </w:tc>
        <w:tc>
          <w:tcPr>
            <w:tcW w:w="7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1/18/2022</w:t>
            </w:r>
          </w:p>
        </w:tc>
        <w:tc>
          <w:tcPr>
            <w:tcW w:w="11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109,375</w:t>
            </w:r>
          </w:p>
        </w:tc>
        <w:tc>
          <w:tcPr>
            <w:tcW w:w="1320" w:type="dxa"/>
            <w:vAlign w:val="bottom"/>
            <w:shd w:val="clear" w:color="auto" w:fill="FAFAFA"/>
          </w:tcPr>
          <w:p>
            <w:pPr>
              <w:jc w:val="right"/>
              <w:ind w:right="7"/>
              <w:spacing w:after="0" w:line="230" w:lineRule="exact"/>
              <w:rPr>
                <w:sz w:val="20"/>
                <w:szCs w:val="20"/>
                <w:color w:val="auto"/>
              </w:rPr>
            </w:pPr>
            <w:r>
              <w:rPr>
                <w:rFonts w:ascii="Arial" w:cs="Arial" w:eastAsia="Arial" w:hAnsi="Arial"/>
                <w:sz w:val="14"/>
                <w:szCs w:val="14"/>
                <w:color w:val="auto"/>
              </w:rPr>
              <w:t>40,625</w:t>
            </w:r>
            <w:r>
              <w:rPr>
                <w:rFonts w:ascii="Arial" w:cs="Arial" w:eastAsia="Arial" w:hAnsi="Arial"/>
                <w:sz w:val="23"/>
                <w:szCs w:val="23"/>
                <w:color w:val="auto"/>
                <w:vertAlign w:val="superscript"/>
              </w:rPr>
              <w:t>(2)</w:t>
            </w:r>
          </w:p>
        </w:tc>
        <w:tc>
          <w:tcPr>
            <w:tcW w:w="88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10.64</w:t>
            </w:r>
          </w:p>
        </w:tc>
        <w:tc>
          <w:tcPr>
            <w:tcW w:w="1140" w:type="dxa"/>
            <w:vAlign w:val="bottom"/>
            <w:shd w:val="clear" w:color="auto" w:fill="FAFAFA"/>
          </w:tcPr>
          <w:p>
            <w:pPr>
              <w:jc w:val="right"/>
              <w:ind w:right="127"/>
              <w:spacing w:after="0"/>
              <w:rPr>
                <w:sz w:val="20"/>
                <w:szCs w:val="20"/>
                <w:color w:val="auto"/>
              </w:rPr>
            </w:pPr>
            <w:r>
              <w:rPr>
                <w:rFonts w:ascii="Arial" w:cs="Arial" w:eastAsia="Arial" w:hAnsi="Arial"/>
                <w:sz w:val="14"/>
                <w:szCs w:val="14"/>
                <w:color w:val="auto"/>
              </w:rPr>
              <w:t>1/17/2032</w:t>
            </w:r>
          </w:p>
        </w:tc>
        <w:tc>
          <w:tcPr>
            <w:tcW w:w="11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00" w:type="dxa"/>
            <w:vAlign w:val="bottom"/>
            <w:shd w:val="clear" w:color="auto" w:fill="EBEBEB"/>
          </w:tcPr>
          <w:p>
            <w:pPr>
              <w:spacing w:after="0"/>
              <w:rPr>
                <w:sz w:val="19"/>
                <w:szCs w:val="19"/>
                <w:color w:val="auto"/>
              </w:rPr>
            </w:pPr>
          </w:p>
        </w:tc>
        <w:tc>
          <w:tcPr>
            <w:tcW w:w="2020" w:type="dxa"/>
            <w:vAlign w:val="bottom"/>
            <w:shd w:val="clear" w:color="auto" w:fill="EBEBEB"/>
          </w:tcPr>
          <w:p>
            <w:pPr>
              <w:spacing w:after="0"/>
              <w:rPr>
                <w:sz w:val="19"/>
                <w:szCs w:val="19"/>
                <w:color w:val="auto"/>
              </w:rPr>
            </w:pPr>
          </w:p>
        </w:tc>
        <w:tc>
          <w:tcPr>
            <w:tcW w:w="7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1/19/2023</w:t>
            </w:r>
          </w:p>
        </w:tc>
        <w:tc>
          <w:tcPr>
            <w:tcW w:w="11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95,833</w:t>
            </w:r>
          </w:p>
        </w:tc>
        <w:tc>
          <w:tcPr>
            <w:tcW w:w="1320" w:type="dxa"/>
            <w:vAlign w:val="bottom"/>
            <w:shd w:val="clear" w:color="auto" w:fill="EBEBEB"/>
          </w:tcPr>
          <w:p>
            <w:pPr>
              <w:jc w:val="right"/>
              <w:ind w:right="7"/>
              <w:spacing w:after="0" w:line="230" w:lineRule="exact"/>
              <w:rPr>
                <w:sz w:val="20"/>
                <w:szCs w:val="20"/>
                <w:color w:val="auto"/>
              </w:rPr>
            </w:pPr>
            <w:r>
              <w:rPr>
                <w:rFonts w:ascii="Arial" w:cs="Arial" w:eastAsia="Arial" w:hAnsi="Arial"/>
                <w:sz w:val="14"/>
                <w:szCs w:val="14"/>
                <w:color w:val="auto"/>
              </w:rPr>
              <w:t>54,167</w:t>
            </w:r>
            <w:r>
              <w:rPr>
                <w:rFonts w:ascii="Arial" w:cs="Arial" w:eastAsia="Arial" w:hAnsi="Arial"/>
                <w:sz w:val="23"/>
                <w:szCs w:val="23"/>
                <w:color w:val="auto"/>
                <w:vertAlign w:val="superscript"/>
              </w:rPr>
              <w:t>(3)</w:t>
            </w:r>
          </w:p>
        </w:tc>
        <w:tc>
          <w:tcPr>
            <w:tcW w:w="88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3.37</w:t>
            </w:r>
          </w:p>
        </w:tc>
        <w:tc>
          <w:tcPr>
            <w:tcW w:w="1140" w:type="dxa"/>
            <w:vAlign w:val="bottom"/>
            <w:shd w:val="clear" w:color="auto" w:fill="EBEBEB"/>
          </w:tcPr>
          <w:p>
            <w:pPr>
              <w:jc w:val="right"/>
              <w:ind w:right="127"/>
              <w:spacing w:after="0"/>
              <w:rPr>
                <w:sz w:val="20"/>
                <w:szCs w:val="20"/>
                <w:color w:val="auto"/>
              </w:rPr>
            </w:pPr>
            <w:r>
              <w:rPr>
                <w:rFonts w:ascii="Arial" w:cs="Arial" w:eastAsia="Arial" w:hAnsi="Arial"/>
                <w:sz w:val="14"/>
                <w:szCs w:val="14"/>
                <w:color w:val="auto"/>
              </w:rPr>
              <w:t>1/18/2033</w:t>
            </w:r>
          </w:p>
        </w:tc>
        <w:tc>
          <w:tcPr>
            <w:tcW w:w="11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00" w:type="dxa"/>
            <w:vAlign w:val="bottom"/>
            <w:shd w:val="clear" w:color="auto" w:fill="FAFAFA"/>
          </w:tcPr>
          <w:p>
            <w:pPr>
              <w:spacing w:after="0"/>
              <w:rPr>
                <w:sz w:val="19"/>
                <w:szCs w:val="19"/>
                <w:color w:val="auto"/>
              </w:rPr>
            </w:pPr>
          </w:p>
        </w:tc>
        <w:tc>
          <w:tcPr>
            <w:tcW w:w="2020" w:type="dxa"/>
            <w:vAlign w:val="bottom"/>
            <w:shd w:val="clear" w:color="auto" w:fill="FAFAFA"/>
          </w:tcPr>
          <w:p>
            <w:pPr>
              <w:spacing w:after="0"/>
              <w:rPr>
                <w:sz w:val="19"/>
                <w:szCs w:val="19"/>
                <w:color w:val="auto"/>
              </w:rPr>
            </w:pPr>
          </w:p>
        </w:tc>
        <w:tc>
          <w:tcPr>
            <w:tcW w:w="7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2/14/2024</w:t>
            </w:r>
          </w:p>
        </w:tc>
        <w:tc>
          <w:tcPr>
            <w:tcW w:w="11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45,833</w:t>
            </w:r>
          </w:p>
        </w:tc>
        <w:tc>
          <w:tcPr>
            <w:tcW w:w="1320" w:type="dxa"/>
            <w:vAlign w:val="bottom"/>
            <w:shd w:val="clear" w:color="auto" w:fill="FAFAFA"/>
          </w:tcPr>
          <w:p>
            <w:pPr>
              <w:jc w:val="right"/>
              <w:ind w:right="7"/>
              <w:spacing w:after="0" w:line="230" w:lineRule="exact"/>
              <w:rPr>
                <w:sz w:val="20"/>
                <w:szCs w:val="20"/>
                <w:color w:val="auto"/>
              </w:rPr>
            </w:pPr>
            <w:r>
              <w:rPr>
                <w:rFonts w:ascii="Arial" w:cs="Arial" w:eastAsia="Arial" w:hAnsi="Arial"/>
                <w:sz w:val="14"/>
                <w:szCs w:val="14"/>
                <w:color w:val="auto"/>
              </w:rPr>
              <w:t>174,167</w:t>
            </w:r>
            <w:r>
              <w:rPr>
                <w:rFonts w:ascii="Arial" w:cs="Arial" w:eastAsia="Arial" w:hAnsi="Arial"/>
                <w:sz w:val="23"/>
                <w:szCs w:val="23"/>
                <w:color w:val="auto"/>
                <w:vertAlign w:val="superscript"/>
              </w:rPr>
              <w:t>(2)</w:t>
            </w:r>
          </w:p>
        </w:tc>
        <w:tc>
          <w:tcPr>
            <w:tcW w:w="88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3.26</w:t>
            </w:r>
          </w:p>
        </w:tc>
        <w:tc>
          <w:tcPr>
            <w:tcW w:w="1140" w:type="dxa"/>
            <w:vAlign w:val="bottom"/>
            <w:shd w:val="clear" w:color="auto" w:fill="FAFAFA"/>
          </w:tcPr>
          <w:p>
            <w:pPr>
              <w:jc w:val="right"/>
              <w:ind w:right="127"/>
              <w:spacing w:after="0"/>
              <w:rPr>
                <w:sz w:val="20"/>
                <w:szCs w:val="20"/>
                <w:color w:val="auto"/>
              </w:rPr>
            </w:pPr>
            <w:r>
              <w:rPr>
                <w:rFonts w:ascii="Arial" w:cs="Arial" w:eastAsia="Arial" w:hAnsi="Arial"/>
                <w:sz w:val="14"/>
                <w:szCs w:val="14"/>
                <w:color w:val="auto"/>
              </w:rPr>
              <w:t>2/13/2034</w:t>
            </w:r>
          </w:p>
        </w:tc>
        <w:tc>
          <w:tcPr>
            <w:tcW w:w="11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00" w:type="dxa"/>
            <w:vAlign w:val="bottom"/>
            <w:shd w:val="clear" w:color="auto" w:fill="EBEBEB"/>
          </w:tcPr>
          <w:p>
            <w:pPr>
              <w:spacing w:after="0"/>
              <w:rPr>
                <w:sz w:val="19"/>
                <w:szCs w:val="19"/>
                <w:color w:val="auto"/>
              </w:rPr>
            </w:pPr>
          </w:p>
        </w:tc>
        <w:tc>
          <w:tcPr>
            <w:tcW w:w="2020" w:type="dxa"/>
            <w:vAlign w:val="bottom"/>
            <w:shd w:val="clear" w:color="auto" w:fill="EBEBEB"/>
          </w:tcPr>
          <w:p>
            <w:pPr>
              <w:spacing w:after="0"/>
              <w:rPr>
                <w:sz w:val="19"/>
                <w:szCs w:val="19"/>
                <w:color w:val="auto"/>
              </w:rPr>
            </w:pPr>
          </w:p>
        </w:tc>
        <w:tc>
          <w:tcPr>
            <w:tcW w:w="7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10/1/2024</w:t>
            </w:r>
          </w:p>
        </w:tc>
        <w:tc>
          <w:tcPr>
            <w:tcW w:w="11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36,667</w:t>
            </w:r>
          </w:p>
        </w:tc>
        <w:tc>
          <w:tcPr>
            <w:tcW w:w="1320" w:type="dxa"/>
            <w:vAlign w:val="bottom"/>
            <w:shd w:val="clear" w:color="auto" w:fill="EBEBEB"/>
          </w:tcPr>
          <w:p>
            <w:pPr>
              <w:jc w:val="right"/>
              <w:ind w:right="7"/>
              <w:spacing w:after="0" w:line="230" w:lineRule="exact"/>
              <w:rPr>
                <w:sz w:val="20"/>
                <w:szCs w:val="20"/>
                <w:color w:val="auto"/>
              </w:rPr>
            </w:pPr>
            <w:r>
              <w:rPr>
                <w:rFonts w:ascii="Arial" w:cs="Arial" w:eastAsia="Arial" w:hAnsi="Arial"/>
                <w:sz w:val="14"/>
                <w:szCs w:val="14"/>
                <w:color w:val="auto"/>
              </w:rPr>
              <w:t>73,333</w:t>
            </w:r>
            <w:r>
              <w:rPr>
                <w:rFonts w:ascii="Arial" w:cs="Arial" w:eastAsia="Arial" w:hAnsi="Arial"/>
                <w:sz w:val="23"/>
                <w:szCs w:val="23"/>
                <w:color w:val="auto"/>
                <w:vertAlign w:val="superscript"/>
              </w:rPr>
              <w:t>(4)</w:t>
            </w:r>
          </w:p>
        </w:tc>
        <w:tc>
          <w:tcPr>
            <w:tcW w:w="88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0.45</w:t>
            </w:r>
          </w:p>
        </w:tc>
        <w:tc>
          <w:tcPr>
            <w:tcW w:w="1140" w:type="dxa"/>
            <w:vAlign w:val="bottom"/>
            <w:shd w:val="clear" w:color="auto" w:fill="EBEBEB"/>
          </w:tcPr>
          <w:p>
            <w:pPr>
              <w:jc w:val="right"/>
              <w:ind w:right="127"/>
              <w:spacing w:after="0"/>
              <w:rPr>
                <w:sz w:val="20"/>
                <w:szCs w:val="20"/>
                <w:color w:val="auto"/>
              </w:rPr>
            </w:pPr>
            <w:r>
              <w:rPr>
                <w:rFonts w:ascii="Arial" w:cs="Arial" w:eastAsia="Arial" w:hAnsi="Arial"/>
                <w:sz w:val="14"/>
                <w:szCs w:val="14"/>
                <w:color w:val="auto"/>
              </w:rPr>
              <w:t>9/30/2034</w:t>
            </w:r>
          </w:p>
        </w:tc>
        <w:tc>
          <w:tcPr>
            <w:tcW w:w="11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00" w:type="dxa"/>
            <w:vAlign w:val="bottom"/>
            <w:shd w:val="clear" w:color="auto" w:fill="FAFAFA"/>
          </w:tcPr>
          <w:p>
            <w:pPr>
              <w:spacing w:after="0"/>
              <w:rPr>
                <w:sz w:val="19"/>
                <w:szCs w:val="19"/>
                <w:color w:val="auto"/>
              </w:rPr>
            </w:pPr>
          </w:p>
        </w:tc>
        <w:tc>
          <w:tcPr>
            <w:tcW w:w="2020" w:type="dxa"/>
            <w:vAlign w:val="bottom"/>
            <w:shd w:val="clear" w:color="auto" w:fill="FAFAFA"/>
          </w:tcPr>
          <w:p>
            <w:pPr>
              <w:spacing w:after="0"/>
              <w:rPr>
                <w:sz w:val="19"/>
                <w:szCs w:val="19"/>
                <w:color w:val="auto"/>
              </w:rPr>
            </w:pPr>
          </w:p>
        </w:tc>
        <w:tc>
          <w:tcPr>
            <w:tcW w:w="7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10/1/2024</w:t>
            </w:r>
          </w:p>
        </w:tc>
        <w:tc>
          <w:tcPr>
            <w:tcW w:w="11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88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w:t>
            </w:r>
          </w:p>
        </w:tc>
        <w:tc>
          <w:tcPr>
            <w:tcW w:w="1140" w:type="dxa"/>
            <w:vAlign w:val="bottom"/>
            <w:shd w:val="clear" w:color="auto" w:fill="FAFAFA"/>
          </w:tcPr>
          <w:p>
            <w:pPr>
              <w:jc w:val="right"/>
              <w:ind w:right="127"/>
              <w:spacing w:after="0"/>
              <w:rPr>
                <w:sz w:val="20"/>
                <w:szCs w:val="20"/>
                <w:color w:val="auto"/>
              </w:rPr>
            </w:pPr>
            <w:r>
              <w:rPr>
                <w:rFonts w:ascii="Arial" w:cs="Arial" w:eastAsia="Arial" w:hAnsi="Arial"/>
                <w:sz w:val="14"/>
                <w:szCs w:val="14"/>
                <w:color w:val="auto"/>
              </w:rPr>
              <w:t>9/30/2034</w:t>
            </w:r>
          </w:p>
        </w:tc>
        <w:tc>
          <w:tcPr>
            <w:tcW w:w="1140" w:type="dxa"/>
            <w:vAlign w:val="bottom"/>
            <w:shd w:val="clear" w:color="auto" w:fill="FAFAFA"/>
          </w:tcPr>
          <w:p>
            <w:pPr>
              <w:jc w:val="right"/>
              <w:ind w:right="7"/>
              <w:spacing w:after="0" w:line="230" w:lineRule="exact"/>
              <w:rPr>
                <w:sz w:val="20"/>
                <w:szCs w:val="20"/>
                <w:color w:val="auto"/>
              </w:rPr>
            </w:pPr>
            <w:r>
              <w:rPr>
                <w:rFonts w:ascii="Arial" w:cs="Arial" w:eastAsia="Arial" w:hAnsi="Arial"/>
                <w:sz w:val="14"/>
                <w:szCs w:val="14"/>
                <w:color w:val="auto"/>
              </w:rPr>
              <w:t>73,333</w:t>
            </w:r>
            <w:r>
              <w:rPr>
                <w:rFonts w:ascii="Arial" w:cs="Arial" w:eastAsia="Arial" w:hAnsi="Arial"/>
                <w:sz w:val="23"/>
                <w:szCs w:val="23"/>
                <w:color w:val="auto"/>
                <w:vertAlign w:val="superscript"/>
              </w:rPr>
              <w:t>(5)</w:t>
            </w:r>
          </w:p>
        </w:tc>
        <w:tc>
          <w:tcPr>
            <w:tcW w:w="94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43,024</w:t>
            </w:r>
          </w:p>
        </w:tc>
        <w:tc>
          <w:tcPr>
            <w:tcW w:w="0" w:type="dxa"/>
            <w:vAlign w:val="bottom"/>
          </w:tcPr>
          <w:p>
            <w:pPr>
              <w:spacing w:after="0"/>
              <w:rPr>
                <w:sz w:val="1"/>
                <w:szCs w:val="1"/>
                <w:color w:val="auto"/>
              </w:rPr>
            </w:pPr>
          </w:p>
        </w:tc>
      </w:tr>
      <w:tr>
        <w:trPr>
          <w:trHeight w:val="203"/>
        </w:trPr>
        <w:tc>
          <w:tcPr>
            <w:tcW w:w="100" w:type="dxa"/>
            <w:vAlign w:val="bottom"/>
            <w:shd w:val="clear" w:color="auto" w:fill="EBEBEB"/>
          </w:tcPr>
          <w:p>
            <w:pPr>
              <w:spacing w:after="0"/>
              <w:rPr>
                <w:sz w:val="17"/>
                <w:szCs w:val="17"/>
                <w:color w:val="auto"/>
              </w:rPr>
            </w:pPr>
          </w:p>
        </w:tc>
        <w:tc>
          <w:tcPr>
            <w:tcW w:w="202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Andrew Gengos</w:t>
            </w:r>
          </w:p>
        </w:tc>
        <w:tc>
          <w:tcPr>
            <w:tcW w:w="7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5/18/2023</w:t>
            </w:r>
          </w:p>
        </w:tc>
        <w:tc>
          <w:tcPr>
            <w:tcW w:w="11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177,777</w:t>
            </w:r>
          </w:p>
        </w:tc>
        <w:tc>
          <w:tcPr>
            <w:tcW w:w="13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88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2.84</w:t>
            </w:r>
          </w:p>
        </w:tc>
        <w:tc>
          <w:tcPr>
            <w:tcW w:w="1140" w:type="dxa"/>
            <w:vAlign w:val="bottom"/>
            <w:shd w:val="clear" w:color="auto" w:fill="EBEBEB"/>
          </w:tcPr>
          <w:p>
            <w:pPr>
              <w:jc w:val="right"/>
              <w:ind w:right="127"/>
              <w:spacing w:after="0"/>
              <w:rPr>
                <w:sz w:val="20"/>
                <w:szCs w:val="20"/>
                <w:color w:val="auto"/>
              </w:rPr>
            </w:pPr>
            <w:r>
              <w:rPr>
                <w:rFonts w:ascii="Arial" w:cs="Arial" w:eastAsia="Arial" w:hAnsi="Arial"/>
                <w:sz w:val="14"/>
                <w:szCs w:val="14"/>
                <w:color w:val="auto"/>
              </w:rPr>
              <w:t>5/17/2033</w:t>
            </w:r>
          </w:p>
        </w:tc>
        <w:tc>
          <w:tcPr>
            <w:tcW w:w="11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100" w:type="dxa"/>
            <w:vAlign w:val="bottom"/>
            <w:shd w:val="clear" w:color="auto" w:fill="FAFAFA"/>
          </w:tcPr>
          <w:p>
            <w:pPr>
              <w:spacing w:after="0"/>
              <w:rPr>
                <w:sz w:val="17"/>
                <w:szCs w:val="17"/>
                <w:color w:val="auto"/>
              </w:rPr>
            </w:pPr>
          </w:p>
        </w:tc>
        <w:tc>
          <w:tcPr>
            <w:tcW w:w="2020" w:type="dxa"/>
            <w:vAlign w:val="bottom"/>
            <w:shd w:val="clear" w:color="auto" w:fill="FAFAFA"/>
          </w:tcPr>
          <w:p>
            <w:pPr>
              <w:spacing w:after="0"/>
              <w:rPr>
                <w:sz w:val="17"/>
                <w:szCs w:val="17"/>
                <w:color w:val="auto"/>
              </w:rPr>
            </w:pPr>
          </w:p>
        </w:tc>
        <w:tc>
          <w:tcPr>
            <w:tcW w:w="7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2/14/2024</w:t>
            </w:r>
          </w:p>
        </w:tc>
        <w:tc>
          <w:tcPr>
            <w:tcW w:w="11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40,833</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88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3.26</w:t>
            </w:r>
          </w:p>
        </w:tc>
        <w:tc>
          <w:tcPr>
            <w:tcW w:w="1140" w:type="dxa"/>
            <w:vAlign w:val="bottom"/>
            <w:shd w:val="clear" w:color="auto" w:fill="FAFAFA"/>
          </w:tcPr>
          <w:p>
            <w:pPr>
              <w:jc w:val="right"/>
              <w:ind w:right="127"/>
              <w:spacing w:after="0"/>
              <w:rPr>
                <w:sz w:val="20"/>
                <w:szCs w:val="20"/>
                <w:color w:val="auto"/>
              </w:rPr>
            </w:pPr>
            <w:r>
              <w:rPr>
                <w:rFonts w:ascii="Arial" w:cs="Arial" w:eastAsia="Arial" w:hAnsi="Arial"/>
                <w:sz w:val="14"/>
                <w:szCs w:val="14"/>
                <w:color w:val="auto"/>
              </w:rPr>
              <w:t>2/13/2034</w:t>
            </w:r>
          </w:p>
        </w:tc>
        <w:tc>
          <w:tcPr>
            <w:tcW w:w="11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0" w:type="dxa"/>
            <w:vAlign w:val="bottom"/>
            <w:shd w:val="clear" w:color="auto" w:fill="EBEBEB"/>
          </w:tcPr>
          <w:p>
            <w:pPr>
              <w:spacing w:after="0"/>
              <w:rPr>
                <w:sz w:val="17"/>
                <w:szCs w:val="17"/>
                <w:color w:val="auto"/>
              </w:rPr>
            </w:pPr>
          </w:p>
        </w:tc>
        <w:tc>
          <w:tcPr>
            <w:tcW w:w="202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Rachel Lenington</w:t>
            </w:r>
          </w:p>
        </w:tc>
        <w:tc>
          <w:tcPr>
            <w:tcW w:w="7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6/14/2021</w:t>
            </w:r>
          </w:p>
        </w:tc>
        <w:tc>
          <w:tcPr>
            <w:tcW w:w="11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112,500</w:t>
            </w:r>
          </w:p>
        </w:tc>
        <w:tc>
          <w:tcPr>
            <w:tcW w:w="13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88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15.34</w:t>
            </w:r>
          </w:p>
        </w:tc>
        <w:tc>
          <w:tcPr>
            <w:tcW w:w="1140" w:type="dxa"/>
            <w:vAlign w:val="bottom"/>
            <w:shd w:val="clear" w:color="auto" w:fill="EBEBEB"/>
          </w:tcPr>
          <w:p>
            <w:pPr>
              <w:jc w:val="right"/>
              <w:ind w:right="127"/>
              <w:spacing w:after="0"/>
              <w:rPr>
                <w:sz w:val="20"/>
                <w:szCs w:val="20"/>
                <w:color w:val="auto"/>
              </w:rPr>
            </w:pPr>
            <w:r>
              <w:rPr>
                <w:rFonts w:ascii="Arial" w:cs="Arial" w:eastAsia="Arial" w:hAnsi="Arial"/>
                <w:sz w:val="14"/>
                <w:szCs w:val="14"/>
                <w:color w:val="auto"/>
              </w:rPr>
              <w:t>11/2/2031</w:t>
            </w:r>
          </w:p>
        </w:tc>
        <w:tc>
          <w:tcPr>
            <w:tcW w:w="11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100" w:type="dxa"/>
            <w:vAlign w:val="bottom"/>
            <w:shd w:val="clear" w:color="auto" w:fill="FAFAFA"/>
          </w:tcPr>
          <w:p>
            <w:pPr>
              <w:spacing w:after="0"/>
              <w:rPr>
                <w:sz w:val="17"/>
                <w:szCs w:val="17"/>
                <w:color w:val="auto"/>
              </w:rPr>
            </w:pPr>
          </w:p>
        </w:tc>
        <w:tc>
          <w:tcPr>
            <w:tcW w:w="2020" w:type="dxa"/>
            <w:vAlign w:val="bottom"/>
            <w:shd w:val="clear" w:color="auto" w:fill="FAFAFA"/>
          </w:tcPr>
          <w:p>
            <w:pPr>
              <w:spacing w:after="0"/>
              <w:rPr>
                <w:sz w:val="17"/>
                <w:szCs w:val="17"/>
                <w:color w:val="auto"/>
              </w:rPr>
            </w:pPr>
          </w:p>
        </w:tc>
        <w:tc>
          <w:tcPr>
            <w:tcW w:w="7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1/18/2022</w:t>
            </w:r>
          </w:p>
        </w:tc>
        <w:tc>
          <w:tcPr>
            <w:tcW w:w="11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131,250</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88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10.64</w:t>
            </w:r>
          </w:p>
        </w:tc>
        <w:tc>
          <w:tcPr>
            <w:tcW w:w="1140" w:type="dxa"/>
            <w:vAlign w:val="bottom"/>
            <w:shd w:val="clear" w:color="auto" w:fill="FAFAFA"/>
          </w:tcPr>
          <w:p>
            <w:pPr>
              <w:jc w:val="right"/>
              <w:ind w:right="127"/>
              <w:spacing w:after="0"/>
              <w:rPr>
                <w:sz w:val="20"/>
                <w:szCs w:val="20"/>
                <w:color w:val="auto"/>
              </w:rPr>
            </w:pPr>
            <w:r>
              <w:rPr>
                <w:rFonts w:ascii="Arial" w:cs="Arial" w:eastAsia="Arial" w:hAnsi="Arial"/>
                <w:sz w:val="14"/>
                <w:szCs w:val="14"/>
                <w:color w:val="auto"/>
              </w:rPr>
              <w:t>1/17/2032</w:t>
            </w:r>
          </w:p>
        </w:tc>
        <w:tc>
          <w:tcPr>
            <w:tcW w:w="11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0" w:type="dxa"/>
            <w:vAlign w:val="bottom"/>
            <w:shd w:val="clear" w:color="auto" w:fill="EBEBEB"/>
          </w:tcPr>
          <w:p>
            <w:pPr>
              <w:spacing w:after="0"/>
              <w:rPr>
                <w:sz w:val="17"/>
                <w:szCs w:val="17"/>
                <w:color w:val="auto"/>
              </w:rPr>
            </w:pPr>
          </w:p>
        </w:tc>
        <w:tc>
          <w:tcPr>
            <w:tcW w:w="2020" w:type="dxa"/>
            <w:vAlign w:val="bottom"/>
            <w:shd w:val="clear" w:color="auto" w:fill="EBEBEB"/>
          </w:tcPr>
          <w:p>
            <w:pPr>
              <w:spacing w:after="0"/>
              <w:rPr>
                <w:sz w:val="17"/>
                <w:szCs w:val="17"/>
                <w:color w:val="auto"/>
              </w:rPr>
            </w:pPr>
          </w:p>
        </w:tc>
        <w:tc>
          <w:tcPr>
            <w:tcW w:w="7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1/19/2023</w:t>
            </w:r>
          </w:p>
        </w:tc>
        <w:tc>
          <w:tcPr>
            <w:tcW w:w="11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127,778</w:t>
            </w:r>
          </w:p>
        </w:tc>
        <w:tc>
          <w:tcPr>
            <w:tcW w:w="13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88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3.37</w:t>
            </w:r>
          </w:p>
        </w:tc>
        <w:tc>
          <w:tcPr>
            <w:tcW w:w="1140" w:type="dxa"/>
            <w:vAlign w:val="bottom"/>
            <w:shd w:val="clear" w:color="auto" w:fill="EBEBEB"/>
          </w:tcPr>
          <w:p>
            <w:pPr>
              <w:jc w:val="right"/>
              <w:ind w:right="127"/>
              <w:spacing w:after="0"/>
              <w:rPr>
                <w:sz w:val="20"/>
                <w:szCs w:val="20"/>
                <w:color w:val="auto"/>
              </w:rPr>
            </w:pPr>
            <w:r>
              <w:rPr>
                <w:rFonts w:ascii="Arial" w:cs="Arial" w:eastAsia="Arial" w:hAnsi="Arial"/>
                <w:sz w:val="14"/>
                <w:szCs w:val="14"/>
                <w:color w:val="auto"/>
              </w:rPr>
              <w:t>1/18/2033</w:t>
            </w:r>
          </w:p>
        </w:tc>
        <w:tc>
          <w:tcPr>
            <w:tcW w:w="114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00" w:type="dxa"/>
            <w:vAlign w:val="bottom"/>
            <w:shd w:val="clear" w:color="auto" w:fill="FAFAFA"/>
          </w:tcPr>
          <w:p>
            <w:pPr>
              <w:spacing w:after="0"/>
              <w:rPr>
                <w:sz w:val="15"/>
                <w:szCs w:val="15"/>
                <w:color w:val="auto"/>
              </w:rPr>
            </w:pPr>
          </w:p>
        </w:tc>
        <w:tc>
          <w:tcPr>
            <w:tcW w:w="2020" w:type="dxa"/>
            <w:vAlign w:val="bottom"/>
            <w:shd w:val="clear" w:color="auto" w:fill="FAFAFA"/>
          </w:tcPr>
          <w:p>
            <w:pPr>
              <w:spacing w:after="0"/>
              <w:rPr>
                <w:sz w:val="15"/>
                <w:szCs w:val="15"/>
                <w:color w:val="auto"/>
              </w:rPr>
            </w:pPr>
          </w:p>
        </w:tc>
        <w:tc>
          <w:tcPr>
            <w:tcW w:w="7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2/14/2024</w:t>
            </w:r>
          </w:p>
        </w:tc>
        <w:tc>
          <w:tcPr>
            <w:tcW w:w="11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62,500</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88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3.26</w:t>
            </w:r>
          </w:p>
        </w:tc>
        <w:tc>
          <w:tcPr>
            <w:tcW w:w="1140" w:type="dxa"/>
            <w:vAlign w:val="bottom"/>
            <w:shd w:val="clear" w:color="auto" w:fill="FAFAFA"/>
          </w:tcPr>
          <w:p>
            <w:pPr>
              <w:jc w:val="right"/>
              <w:ind w:right="127"/>
              <w:spacing w:after="0"/>
              <w:rPr>
                <w:sz w:val="20"/>
                <w:szCs w:val="20"/>
                <w:color w:val="auto"/>
              </w:rPr>
            </w:pPr>
            <w:r>
              <w:rPr>
                <w:rFonts w:ascii="Arial" w:cs="Arial" w:eastAsia="Arial" w:hAnsi="Arial"/>
                <w:sz w:val="14"/>
                <w:szCs w:val="14"/>
                <w:color w:val="auto"/>
              </w:rPr>
              <w:t>2/13/2034</w:t>
            </w:r>
          </w:p>
        </w:tc>
        <w:tc>
          <w:tcPr>
            <w:tcW w:w="114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FAFAFA"/>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100" w:type="dxa"/>
            <w:vAlign w:val="bottom"/>
            <w:shd w:val="clear" w:color="auto" w:fill="FAFAFA"/>
          </w:tcPr>
          <w:p>
            <w:pPr>
              <w:spacing w:after="0"/>
              <w:rPr>
                <w:sz w:val="8"/>
                <w:szCs w:val="8"/>
                <w:color w:val="auto"/>
              </w:rPr>
            </w:pPr>
          </w:p>
        </w:tc>
        <w:tc>
          <w:tcPr>
            <w:tcW w:w="2020" w:type="dxa"/>
            <w:vAlign w:val="bottom"/>
            <w:shd w:val="clear" w:color="auto" w:fill="FAFAFA"/>
          </w:tcPr>
          <w:p>
            <w:pPr>
              <w:spacing w:after="0"/>
              <w:rPr>
                <w:sz w:val="8"/>
                <w:szCs w:val="8"/>
                <w:color w:val="auto"/>
              </w:rPr>
            </w:pPr>
          </w:p>
        </w:tc>
        <w:tc>
          <w:tcPr>
            <w:tcW w:w="740" w:type="dxa"/>
            <w:vAlign w:val="bottom"/>
            <w:shd w:val="clear" w:color="auto" w:fill="FAFAFA"/>
          </w:tcPr>
          <w:p>
            <w:pPr>
              <w:spacing w:after="0"/>
              <w:rPr>
                <w:sz w:val="8"/>
                <w:szCs w:val="8"/>
                <w:color w:val="auto"/>
              </w:rPr>
            </w:pPr>
          </w:p>
        </w:tc>
        <w:tc>
          <w:tcPr>
            <w:tcW w:w="1120" w:type="dxa"/>
            <w:vAlign w:val="bottom"/>
            <w:shd w:val="clear" w:color="auto" w:fill="FAFAFA"/>
          </w:tcPr>
          <w:p>
            <w:pPr>
              <w:spacing w:after="0"/>
              <w:rPr>
                <w:sz w:val="8"/>
                <w:szCs w:val="8"/>
                <w:color w:val="auto"/>
              </w:rPr>
            </w:pPr>
          </w:p>
        </w:tc>
        <w:tc>
          <w:tcPr>
            <w:tcW w:w="1320" w:type="dxa"/>
            <w:vAlign w:val="bottom"/>
            <w:shd w:val="clear" w:color="auto" w:fill="FAFAFA"/>
          </w:tcPr>
          <w:p>
            <w:pPr>
              <w:spacing w:after="0"/>
              <w:rPr>
                <w:sz w:val="8"/>
                <w:szCs w:val="8"/>
                <w:color w:val="auto"/>
              </w:rPr>
            </w:pPr>
          </w:p>
        </w:tc>
        <w:tc>
          <w:tcPr>
            <w:tcW w:w="880" w:type="dxa"/>
            <w:vAlign w:val="bottom"/>
            <w:shd w:val="clear" w:color="auto" w:fill="FAFAFA"/>
          </w:tcPr>
          <w:p>
            <w:pPr>
              <w:spacing w:after="0"/>
              <w:rPr>
                <w:sz w:val="8"/>
                <w:szCs w:val="8"/>
                <w:color w:val="auto"/>
              </w:rPr>
            </w:pPr>
          </w:p>
        </w:tc>
        <w:tc>
          <w:tcPr>
            <w:tcW w:w="1140" w:type="dxa"/>
            <w:vAlign w:val="bottom"/>
            <w:shd w:val="clear" w:color="auto" w:fill="FAFAFA"/>
          </w:tcPr>
          <w:p>
            <w:pPr>
              <w:spacing w:after="0"/>
              <w:rPr>
                <w:sz w:val="8"/>
                <w:szCs w:val="8"/>
                <w:color w:val="auto"/>
              </w:rPr>
            </w:pPr>
          </w:p>
        </w:tc>
        <w:tc>
          <w:tcPr>
            <w:tcW w:w="1140" w:type="dxa"/>
            <w:vAlign w:val="bottom"/>
            <w:shd w:val="clear" w:color="auto" w:fill="FAFAFA"/>
          </w:tcPr>
          <w:p>
            <w:pPr>
              <w:spacing w:after="0"/>
              <w:rPr>
                <w:sz w:val="8"/>
                <w:szCs w:val="8"/>
                <w:color w:val="auto"/>
              </w:rPr>
            </w:pPr>
          </w:p>
        </w:tc>
        <w:tc>
          <w:tcPr>
            <w:tcW w:w="940" w:type="dxa"/>
            <w:vAlign w:val="bottom"/>
            <w:shd w:val="clear" w:color="auto" w:fill="FAFAFA"/>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1855470</wp:posOffset>
            </wp:positionH>
            <wp:positionV relativeFrom="paragraph">
              <wp:posOffset>-4919980</wp:posOffset>
            </wp:positionV>
            <wp:extent cx="41148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-4251325</wp:posOffset>
            </wp:positionV>
            <wp:extent cx="59664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-4019550</wp:posOffset>
            </wp:positionV>
            <wp:extent cx="59664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-3891280</wp:posOffset>
            </wp:positionV>
            <wp:extent cx="59664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-3745230</wp:posOffset>
            </wp:positionV>
            <wp:extent cx="59664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-3599815</wp:posOffset>
            </wp:positionV>
            <wp:extent cx="59664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-3453765</wp:posOffset>
            </wp:positionV>
            <wp:extent cx="59664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-3308350</wp:posOffset>
            </wp:positionV>
            <wp:extent cx="59664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-3162300</wp:posOffset>
            </wp:positionV>
            <wp:extent cx="59664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-3016885</wp:posOffset>
            </wp:positionV>
            <wp:extent cx="59664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-2785110</wp:posOffset>
            </wp:positionV>
            <wp:extent cx="59664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-2656840</wp:posOffset>
            </wp:positionV>
            <wp:extent cx="59664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-2510790</wp:posOffset>
            </wp:positionV>
            <wp:extent cx="59664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-2365375</wp:posOffset>
            </wp:positionV>
            <wp:extent cx="59664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-2219325</wp:posOffset>
            </wp:positionV>
            <wp:extent cx="59664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-2073910</wp:posOffset>
            </wp:positionV>
            <wp:extent cx="59664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-1927860</wp:posOffset>
            </wp:positionV>
            <wp:extent cx="59664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-1782445</wp:posOffset>
            </wp:positionV>
            <wp:extent cx="59664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-1550670</wp:posOffset>
            </wp:positionV>
            <wp:extent cx="59664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-1405255</wp:posOffset>
            </wp:positionV>
            <wp:extent cx="59664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-1259205</wp:posOffset>
            </wp:positionV>
            <wp:extent cx="59664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-1113790</wp:posOffset>
            </wp:positionV>
            <wp:extent cx="59664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-967740</wp:posOffset>
            </wp:positionV>
            <wp:extent cx="59664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-822325</wp:posOffset>
            </wp:positionV>
            <wp:extent cx="59664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-693420</wp:posOffset>
            </wp:positionV>
            <wp:extent cx="59664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-565150</wp:posOffset>
            </wp:positionV>
            <wp:extent cx="59664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-436245</wp:posOffset>
            </wp:positionV>
            <wp:extent cx="59664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-307975</wp:posOffset>
            </wp:positionV>
            <wp:extent cx="59664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-179070</wp:posOffset>
            </wp:positionV>
            <wp:extent cx="59664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92" w:lineRule="exact"/>
        <w:rPr>
          <w:sz w:val="20"/>
          <w:szCs w:val="20"/>
          <w:color w:val="auto"/>
        </w:rPr>
      </w:pPr>
    </w:p>
    <w:p>
      <w:pPr>
        <w:ind w:left="320" w:right="80" w:hanging="224"/>
        <w:spacing w:after="0" w:line="285" w:lineRule="auto"/>
        <w:tabs>
          <w:tab w:leader="none" w:pos="320" w:val="left"/>
        </w:tabs>
        <w:numPr>
          <w:ilvl w:val="0"/>
          <w:numId w:val="35"/>
        </w:numPr>
        <w:rPr>
          <w:rFonts w:ascii="Arial" w:cs="Arial" w:eastAsia="Arial" w:hAnsi="Arial"/>
          <w:sz w:val="14"/>
          <w:szCs w:val="14"/>
          <w:color w:val="255993"/>
        </w:rPr>
      </w:pPr>
      <w:r>
        <w:rPr>
          <w:rFonts w:ascii="Arial" w:cs="Arial" w:eastAsia="Arial" w:hAnsi="Arial"/>
          <w:sz w:val="14"/>
          <w:szCs w:val="14"/>
          <w:color w:val="255993"/>
        </w:rPr>
        <w:t>Stock option vests over four years, with 1/4 vesting on each anniversary of the vesting commencement date, subject to continued service with us through the applicable vesting date.</w:t>
      </w:r>
    </w:p>
    <w:p>
      <w:pPr>
        <w:spacing w:after="0" w:line="9" w:lineRule="exact"/>
        <w:rPr>
          <w:rFonts w:ascii="Arial" w:cs="Arial" w:eastAsia="Arial" w:hAnsi="Arial"/>
          <w:sz w:val="14"/>
          <w:szCs w:val="14"/>
          <w:color w:val="255993"/>
        </w:rPr>
      </w:pPr>
    </w:p>
    <w:p>
      <w:pPr>
        <w:ind w:left="320" w:right="360" w:hanging="224"/>
        <w:spacing w:after="0" w:line="281" w:lineRule="auto"/>
        <w:tabs>
          <w:tab w:leader="none" w:pos="320" w:val="left"/>
        </w:tabs>
        <w:numPr>
          <w:ilvl w:val="0"/>
          <w:numId w:val="35"/>
        </w:numPr>
        <w:rPr>
          <w:rFonts w:ascii="Arial" w:cs="Arial" w:eastAsia="Arial" w:hAnsi="Arial"/>
          <w:sz w:val="14"/>
          <w:szCs w:val="14"/>
          <w:color w:val="255993"/>
        </w:rPr>
      </w:pPr>
      <w:r>
        <w:rPr>
          <w:rFonts w:ascii="Arial" w:cs="Arial" w:eastAsia="Arial" w:hAnsi="Arial"/>
          <w:sz w:val="14"/>
          <w:szCs w:val="14"/>
          <w:color w:val="255993"/>
        </w:rPr>
        <w:t>Stock option vests over four years, with 1/48 vesting on the monthly anniversary of the vesting commencement date, subject to continued service with us through the applicable vesting date.</w:t>
      </w:r>
    </w:p>
    <w:p>
      <w:pPr>
        <w:spacing w:after="0" w:line="1" w:lineRule="exact"/>
        <w:rPr>
          <w:rFonts w:ascii="Arial" w:cs="Arial" w:eastAsia="Arial" w:hAnsi="Arial"/>
          <w:sz w:val="14"/>
          <w:szCs w:val="14"/>
          <w:color w:val="255993"/>
        </w:rPr>
      </w:pPr>
    </w:p>
    <w:p>
      <w:pPr>
        <w:ind w:left="320" w:right="280" w:hanging="224"/>
        <w:spacing w:after="0" w:line="285" w:lineRule="auto"/>
        <w:tabs>
          <w:tab w:leader="none" w:pos="320" w:val="left"/>
        </w:tabs>
        <w:numPr>
          <w:ilvl w:val="0"/>
          <w:numId w:val="35"/>
        </w:numPr>
        <w:rPr>
          <w:rFonts w:ascii="Arial" w:cs="Arial" w:eastAsia="Arial" w:hAnsi="Arial"/>
          <w:sz w:val="14"/>
          <w:szCs w:val="14"/>
          <w:color w:val="255993"/>
        </w:rPr>
      </w:pPr>
      <w:r>
        <w:rPr>
          <w:rFonts w:ascii="Arial" w:cs="Arial" w:eastAsia="Arial" w:hAnsi="Arial"/>
          <w:sz w:val="14"/>
          <w:szCs w:val="14"/>
          <w:color w:val="255993"/>
        </w:rPr>
        <w:t>Stock option vests over three years, with 1/36 vesting on the monthly anniversary of the vesting commencement date, subject to continued service with us through the applicable vesting date.</w:t>
      </w:r>
    </w:p>
    <w:p>
      <w:pPr>
        <w:spacing w:after="0" w:line="9" w:lineRule="exact"/>
        <w:rPr>
          <w:rFonts w:ascii="Arial" w:cs="Arial" w:eastAsia="Arial" w:hAnsi="Arial"/>
          <w:sz w:val="14"/>
          <w:szCs w:val="14"/>
          <w:color w:val="255993"/>
        </w:rPr>
      </w:pPr>
    </w:p>
    <w:p>
      <w:pPr>
        <w:ind w:left="320" w:right="300" w:hanging="224"/>
        <w:spacing w:after="0" w:line="285" w:lineRule="auto"/>
        <w:tabs>
          <w:tab w:leader="none" w:pos="320" w:val="left"/>
        </w:tabs>
        <w:numPr>
          <w:ilvl w:val="0"/>
          <w:numId w:val="35"/>
        </w:numPr>
        <w:rPr>
          <w:rFonts w:ascii="Arial" w:cs="Arial" w:eastAsia="Arial" w:hAnsi="Arial"/>
          <w:sz w:val="14"/>
          <w:szCs w:val="14"/>
          <w:color w:val="255993"/>
        </w:rPr>
      </w:pPr>
      <w:r>
        <w:rPr>
          <w:rFonts w:ascii="Arial" w:cs="Arial" w:eastAsia="Arial" w:hAnsi="Arial"/>
          <w:sz w:val="14"/>
          <w:szCs w:val="14"/>
          <w:color w:val="255993"/>
        </w:rPr>
        <w:t>One-third (1/3rd) of the shares subject to the option vested on December 31, 2024 and one-third (1/3rd) of the shares subject to the option shall vest on each of June 30, 2025 and December 31, 2025, subject to continued service with us through the applicable vesting dates.</w:t>
      </w:r>
    </w:p>
    <w:p>
      <w:pPr>
        <w:spacing w:after="0" w:line="9" w:lineRule="exact"/>
        <w:rPr>
          <w:rFonts w:ascii="Arial" w:cs="Arial" w:eastAsia="Arial" w:hAnsi="Arial"/>
          <w:sz w:val="14"/>
          <w:szCs w:val="14"/>
          <w:color w:val="255993"/>
        </w:rPr>
      </w:pPr>
    </w:p>
    <w:p>
      <w:pPr>
        <w:ind w:left="320" w:right="480" w:hanging="224"/>
        <w:spacing w:after="0" w:line="281" w:lineRule="auto"/>
        <w:tabs>
          <w:tab w:leader="none" w:pos="320" w:val="left"/>
        </w:tabs>
        <w:numPr>
          <w:ilvl w:val="0"/>
          <w:numId w:val="35"/>
        </w:numPr>
        <w:rPr>
          <w:rFonts w:ascii="Arial" w:cs="Arial" w:eastAsia="Arial" w:hAnsi="Arial"/>
          <w:sz w:val="14"/>
          <w:szCs w:val="14"/>
          <w:color w:val="255993"/>
        </w:rPr>
      </w:pPr>
      <w:r>
        <w:rPr>
          <w:rFonts w:ascii="Arial" w:cs="Arial" w:eastAsia="Arial" w:hAnsi="Arial"/>
          <w:sz w:val="14"/>
          <w:szCs w:val="14"/>
          <w:color w:val="255993"/>
        </w:rPr>
        <w:t>One-third (1/3rd) of the RSUs vested on December 31, 2024 and one-third (1/3rd) of the RSUs shall vest on each of June 30, 2025 and December 31, 2025, subject to continued service with us through the applicable vesting dates.</w:t>
      </w:r>
    </w:p>
    <w:p>
      <w:pPr>
        <w:spacing w:after="0" w:line="1" w:lineRule="exact"/>
        <w:rPr>
          <w:rFonts w:ascii="Arial" w:cs="Arial" w:eastAsia="Arial" w:hAnsi="Arial"/>
          <w:sz w:val="14"/>
          <w:szCs w:val="14"/>
          <w:color w:val="255993"/>
        </w:rPr>
      </w:pPr>
    </w:p>
    <w:p>
      <w:pPr>
        <w:ind w:left="320" w:right="200" w:hanging="224"/>
        <w:spacing w:after="0" w:line="285" w:lineRule="auto"/>
        <w:tabs>
          <w:tab w:leader="none" w:pos="320" w:val="left"/>
        </w:tabs>
        <w:numPr>
          <w:ilvl w:val="0"/>
          <w:numId w:val="35"/>
        </w:numPr>
        <w:rPr>
          <w:rFonts w:ascii="Arial" w:cs="Arial" w:eastAsia="Arial" w:hAnsi="Arial"/>
          <w:sz w:val="14"/>
          <w:szCs w:val="14"/>
          <w:color w:val="255993"/>
        </w:rPr>
      </w:pPr>
      <w:r>
        <w:rPr>
          <w:rFonts w:ascii="Arial" w:cs="Arial" w:eastAsia="Arial" w:hAnsi="Arial"/>
          <w:sz w:val="14"/>
          <w:szCs w:val="14"/>
          <w:color w:val="255993"/>
        </w:rPr>
        <w:t>The market value of RSUs that have not vested is based on the closing price of the Company’s common stock on Nasdaq on December 31, 2024, which was $0.5867 per share.</w:t>
      </w:r>
    </w:p>
    <w:p>
      <w:pPr>
        <w:spacing w:after="0" w:line="158"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41</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EMPLOYMENT ARRANGEMENTS</w:t>
      </w:r>
    </w:p>
    <w:p>
      <w:pPr>
        <w:spacing w:after="0" w:line="108"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Each of our named executive officers has executed our standard form of confidential information, invention assignment and arbitration agreement.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DR. MARK LITTON</w:t>
      </w:r>
    </w:p>
    <w:p>
      <w:pPr>
        <w:spacing w:after="0" w:line="11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September 2020, we entered into a confirmatory employment letter with Dr. Litton, our then chief operating officer and current president and chief executive officer. The confirmatory employment letter has no specific term and provides that Dr. Litton is an at-will employee and superseded all prior employment agreements between Dr. Litton and us.</w:t>
      </w:r>
    </w:p>
    <w:p>
      <w:pPr>
        <w:spacing w:after="0" w:line="104" w:lineRule="exact"/>
        <w:rPr>
          <w:sz w:val="20"/>
          <w:szCs w:val="20"/>
          <w:color w:val="auto"/>
        </w:rPr>
      </w:pPr>
    </w:p>
    <w:p>
      <w:pPr>
        <w:jc w:val="both"/>
        <w:ind w:right="380"/>
        <w:spacing w:after="0" w:line="266" w:lineRule="auto"/>
        <w:rPr>
          <w:sz w:val="20"/>
          <w:szCs w:val="20"/>
          <w:color w:val="auto"/>
        </w:rPr>
      </w:pPr>
      <w:r>
        <w:rPr>
          <w:rFonts w:ascii="Arial" w:cs="Arial" w:eastAsia="Arial" w:hAnsi="Arial"/>
          <w:sz w:val="16"/>
          <w:szCs w:val="16"/>
          <w:color w:val="auto"/>
        </w:rPr>
        <w:t>In February 2024, the board of directors, upon recommendation of our compensation committee, approved an increase to Dr. Litton’s annual base salary from $585,000 to $625,000, effective as of January 1, 2024. Dr. Litton’s current annual base salary remains $625,000 and his target annual bonus amount under the Company’s bonus plan is 55% of his annual base salary.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KEVIN CHURCH</w:t>
      </w:r>
    </w:p>
    <w:p>
      <w:pPr>
        <w:spacing w:after="0" w:line="113"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In September 2020, we entered into a confirmatory employment letter with Dr. Church, our then vice president of discovery and current chief scientific officer. The confirmatory employment letter has no specific term and provides that Dr. Church is an at-will employee and superseded all prior employment agreements between Dr. Church and us. In February 2024, our compensation committee approved an increase to Dr. Church’s annual base salary from $420,000 to $450,000, effective as of January 1, 2024. Dr. Church’s current base salary remains $450,000 and his target annual bonus amount under the Company’s bonus plan is 40% of his annual base salary.</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MARK WORTHINGTON</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May 2021, we entered into an offer letter with Mr. Worthington, our general counsel, chief compliance officer and corporate secretary. The offer letter has no specific term and provides that Mr. Worthington is an at-will employee. In February 2024, our compensation committee approved an increase to Mr. Worthington’s annual base salary from $435,000 to $450,000, effective as of January 1, 2024. Mr. Worthington’s current base salary remains $450,000 and his target annual bonus amount under the Company’s bonus plan is 40% of his annual base salary.</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ANDREW GENGOS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Mr. Gengos, our former chief financial officer and chief business officer, departed the Company effective October 1, 2024 in connection with our reduction in force. Prior to his departure, he was subject to an employment letter agreement with us, which had been entered into in May 2023. The employment agreement had no specific term and provided that Mr. Gengos was an at-will employee.</w:t>
      </w:r>
    </w:p>
    <w:p>
      <w:pPr>
        <w:spacing w:after="0" w:line="9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In February 2024, our compensation committee approved an increase to Mr. Gengos’s annual base salary from $465,000 to $485,000, effective as of January 1, 2024.</w:t>
      </w:r>
    </w:p>
    <w:p>
      <w:pPr>
        <w:spacing w:after="0" w:line="88"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In connection with Mr. Gengos’s departure as chief financial officer and chief business officer in October 2024, he entered into a separation agreement and release with the Company. For a description of this agreement see the section of this proxy statement titled “Executive Compensation – Change in Control and Severance Agreements and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RACHEL LENINGTON</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Ms. Lenington, our former chief operating officer and chief development officer, departed the Company effective October 1, 2024 in connection with our reduction in force. Prior to her departure, she was subject to an employment letter agreement with us, which had been entered into in April 2021. The employment agreement had no specific term and provided that Ms. Lenington was an at-will employee.</w:t>
      </w:r>
    </w:p>
    <w:p>
      <w:pPr>
        <w:spacing w:after="0" w:line="110"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In February 2024, our compensation committee approved an increase to Ms. Lenington’s annual base salary from $465,000 to $500,000, effective as of January 1, 2024.</w:t>
      </w:r>
    </w:p>
    <w:p>
      <w:pPr>
        <w:spacing w:after="0" w:line="16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42</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connection with Ms. Lenington’s departure as chief operating officer and chief development officer in October 2024, she entered into a separation agreement and release with the Company, as well as a consulting agreement pursuant to which she agreed to provide advisory services through December 31, 2024. For a description of these agreements see the section of this proxy statement titled “Executive Compensation – Change in Control and Severance Agreements and Arrangements.”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CHANGE IN CONTROL AND SEVERANCE AGREEMENTS AND ARRANGEMENTS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CHANGE IN CONTROL AND SEVERANCE AGREEMENTS</w:t>
      </w:r>
    </w:p>
    <w:p>
      <w:pPr>
        <w:spacing w:after="0" w:line="113"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In June 2021 we entered into change in control and severance agreements with Ms. Lenington and Mr. Worthington, in January 2022 we entered into an amended change in control and severance agreement with Dr. Litton and a change in control and severance agreement with Dr. Church, and, in May 2023 we entered into a change in control and severance agreement with Mr. Gengos. These agreements provide for certain severance and change in control benefits as described below. In connection with Mr. Gengos and Ms. Lenington’s separation from employment with us in October 2024, their change in control and severance agreements were superseded by their separation agreements and releases, which are described below.</w:t>
      </w:r>
    </w:p>
    <w:p>
      <w:pPr>
        <w:spacing w:after="0" w:line="114"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p>
    <w:p>
      <w:pPr>
        <w:spacing w:after="0" w:line="128" w:lineRule="exact"/>
        <w:rPr>
          <w:sz w:val="20"/>
          <w:szCs w:val="20"/>
          <w:color w:val="auto"/>
        </w:rPr>
      </w:pPr>
    </w:p>
    <w:p>
      <w:pPr>
        <w:ind w:left="140" w:right="280" w:hanging="134"/>
        <w:spacing w:after="0" w:line="259" w:lineRule="auto"/>
        <w:tabs>
          <w:tab w:leader="none" w:pos="140" w:val="left"/>
        </w:tabs>
        <w:numPr>
          <w:ilvl w:val="0"/>
          <w:numId w:val="36"/>
        </w:numPr>
        <w:rPr>
          <w:rFonts w:ascii="Arial" w:cs="Arial" w:eastAsia="Arial" w:hAnsi="Arial"/>
          <w:sz w:val="16"/>
          <w:szCs w:val="16"/>
          <w:color w:val="255993"/>
        </w:rPr>
      </w:pPr>
      <w:r>
        <w:rPr>
          <w:rFonts w:ascii="Arial" w:cs="Arial" w:eastAsia="Arial" w:hAnsi="Arial"/>
          <w:sz w:val="16"/>
          <w:szCs w:val="16"/>
          <w:color w:val="auto"/>
        </w:rPr>
        <w:t>a lump-sum payment equal to 9 months (or 12 months in the case of Dr. Litton or in the case of Mr. Gengos, in the event such termination occurred on or before the first anniversary of the commencement of Mr. Gengos’s employment) of the named executive officer’s annual base salary as in effect immediately prior to such termination (or if such termination is due to a resignation for good reason based on a material reduction in base salary, then as in effect immediately prior to the reduction);</w:t>
      </w:r>
    </w:p>
    <w:p>
      <w:pPr>
        <w:spacing w:after="0" w:line="15" w:lineRule="exact"/>
        <w:rPr>
          <w:rFonts w:ascii="Arial" w:cs="Arial" w:eastAsia="Arial" w:hAnsi="Arial"/>
          <w:sz w:val="16"/>
          <w:szCs w:val="16"/>
          <w:color w:val="255993"/>
        </w:rPr>
      </w:pPr>
    </w:p>
    <w:p>
      <w:pPr>
        <w:ind w:left="140" w:right="120" w:hanging="134"/>
        <w:spacing w:after="0" w:line="281" w:lineRule="auto"/>
        <w:tabs>
          <w:tab w:leader="none" w:pos="140" w:val="left"/>
        </w:tabs>
        <w:numPr>
          <w:ilvl w:val="0"/>
          <w:numId w:val="36"/>
        </w:numPr>
        <w:rPr>
          <w:rFonts w:ascii="Arial" w:cs="Arial" w:eastAsia="Arial" w:hAnsi="Arial"/>
          <w:sz w:val="16"/>
          <w:szCs w:val="16"/>
          <w:color w:val="255993"/>
        </w:rPr>
      </w:pPr>
      <w:r>
        <w:rPr>
          <w:rFonts w:ascii="Arial" w:cs="Arial" w:eastAsia="Arial" w:hAnsi="Arial"/>
          <w:sz w:val="16"/>
          <w:szCs w:val="16"/>
          <w:color w:val="auto"/>
        </w:rPr>
        <w:t>payment of premiums for coverage under the Consolidated Omnibus Budget Reconciliation Act of 1985, as amended (COBRA), for the named executive officer and his eligible dependents, if any, for up to 9 months (or up to 12 months for Dr. Litton); and</w:t>
      </w:r>
    </w:p>
    <w:p>
      <w:pPr>
        <w:spacing w:after="0" w:line="1" w:lineRule="exact"/>
        <w:rPr>
          <w:rFonts w:ascii="Arial" w:cs="Arial" w:eastAsia="Arial" w:hAnsi="Arial"/>
          <w:sz w:val="16"/>
          <w:szCs w:val="16"/>
          <w:color w:val="255993"/>
        </w:rPr>
      </w:pPr>
    </w:p>
    <w:p>
      <w:pPr>
        <w:ind w:left="140" w:right="300" w:hanging="134"/>
        <w:spacing w:after="0" w:line="286" w:lineRule="auto"/>
        <w:tabs>
          <w:tab w:leader="none" w:pos="140" w:val="left"/>
        </w:tabs>
        <w:numPr>
          <w:ilvl w:val="0"/>
          <w:numId w:val="36"/>
        </w:numPr>
        <w:rPr>
          <w:rFonts w:ascii="Arial" w:cs="Arial" w:eastAsia="Arial" w:hAnsi="Arial"/>
          <w:sz w:val="16"/>
          <w:szCs w:val="16"/>
          <w:color w:val="255993"/>
        </w:rPr>
      </w:pPr>
      <w:r>
        <w:rPr>
          <w:rFonts w:ascii="Arial" w:cs="Arial" w:eastAsia="Arial" w:hAnsi="Arial"/>
          <w:sz w:val="16"/>
          <w:szCs w:val="16"/>
          <w:color w:val="auto"/>
        </w:rPr>
        <w:t>in the case of Dr. Litton, 25% accelerated vesting and exercisability of the shares subject to the stock option award granted to Dr. Litton on August 15, 2019, that are outstanding and unvested as of the date of such termination.</w:t>
      </w:r>
    </w:p>
    <w:p>
      <w:pPr>
        <w:spacing w:after="0" w:line="8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release of claims in our favor:</w:t>
      </w:r>
    </w:p>
    <w:p>
      <w:pPr>
        <w:spacing w:after="0" w:line="124" w:lineRule="exact"/>
        <w:rPr>
          <w:sz w:val="20"/>
          <w:szCs w:val="20"/>
          <w:color w:val="auto"/>
        </w:rPr>
      </w:pPr>
    </w:p>
    <w:p>
      <w:pPr>
        <w:ind w:left="140" w:right="60" w:hanging="134"/>
        <w:spacing w:after="0" w:line="259" w:lineRule="auto"/>
        <w:tabs>
          <w:tab w:leader="none" w:pos="140" w:val="left"/>
        </w:tabs>
        <w:numPr>
          <w:ilvl w:val="0"/>
          <w:numId w:val="37"/>
        </w:numPr>
        <w:rPr>
          <w:rFonts w:ascii="Arial" w:cs="Arial" w:eastAsia="Arial" w:hAnsi="Arial"/>
          <w:sz w:val="16"/>
          <w:szCs w:val="16"/>
          <w:color w:val="255993"/>
        </w:rPr>
      </w:pPr>
      <w:r>
        <w:rPr>
          <w:rFonts w:ascii="Arial" w:cs="Arial" w:eastAsia="Arial" w:hAnsi="Arial"/>
          <w:sz w:val="16"/>
          <w:szCs w:val="16"/>
          <w:color w:val="auto"/>
        </w:rPr>
        <w:t>a lump-sum payment equal to 12 months (or 18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15" w:lineRule="exact"/>
        <w:rPr>
          <w:rFonts w:ascii="Arial" w:cs="Arial" w:eastAsia="Arial" w:hAnsi="Arial"/>
          <w:sz w:val="16"/>
          <w:szCs w:val="16"/>
          <w:color w:val="255993"/>
        </w:rPr>
      </w:pPr>
    </w:p>
    <w:p>
      <w:pPr>
        <w:ind w:left="140" w:right="20" w:hanging="134"/>
        <w:spacing w:after="0" w:line="266" w:lineRule="auto"/>
        <w:tabs>
          <w:tab w:leader="none" w:pos="140" w:val="left"/>
        </w:tabs>
        <w:numPr>
          <w:ilvl w:val="0"/>
          <w:numId w:val="37"/>
        </w:numPr>
        <w:rPr>
          <w:rFonts w:ascii="Arial" w:cs="Arial" w:eastAsia="Arial" w:hAnsi="Arial"/>
          <w:sz w:val="16"/>
          <w:szCs w:val="16"/>
          <w:color w:val="255993"/>
        </w:rPr>
      </w:pPr>
      <w:r>
        <w:rPr>
          <w:rFonts w:ascii="Arial" w:cs="Arial" w:eastAsia="Arial" w:hAnsi="Arial"/>
          <w:sz w:val="16"/>
          <w:szCs w:val="16"/>
          <w:color w:val="auto"/>
        </w:rPr>
        <w:t>a lump-sum payment equal to 100% (or 150% in the case of Dr. Litton) of the named executive officer’s target annual bonus as in effect for the fiscal year in which such termination occurs or if greater, at the level in effect immediately prior to the change in control;</w:t>
      </w:r>
    </w:p>
    <w:p>
      <w:pPr>
        <w:spacing w:after="0" w:line="9" w:lineRule="exact"/>
        <w:rPr>
          <w:rFonts w:ascii="Arial" w:cs="Arial" w:eastAsia="Arial" w:hAnsi="Arial"/>
          <w:sz w:val="16"/>
          <w:szCs w:val="16"/>
          <w:color w:val="255993"/>
        </w:rPr>
      </w:pPr>
    </w:p>
    <w:p>
      <w:pPr>
        <w:ind w:left="140" w:right="420" w:hanging="134"/>
        <w:spacing w:after="0" w:line="281" w:lineRule="auto"/>
        <w:tabs>
          <w:tab w:leader="none" w:pos="140" w:val="left"/>
        </w:tabs>
        <w:numPr>
          <w:ilvl w:val="0"/>
          <w:numId w:val="37"/>
        </w:numPr>
        <w:rPr>
          <w:rFonts w:ascii="Arial" w:cs="Arial" w:eastAsia="Arial" w:hAnsi="Arial"/>
          <w:sz w:val="16"/>
          <w:szCs w:val="16"/>
          <w:color w:val="255993"/>
        </w:rPr>
      </w:pPr>
      <w:r>
        <w:rPr>
          <w:rFonts w:ascii="Arial" w:cs="Arial" w:eastAsia="Arial" w:hAnsi="Arial"/>
          <w:sz w:val="16"/>
          <w:szCs w:val="16"/>
          <w:color w:val="auto"/>
        </w:rPr>
        <w:t>payment of premiums for coverage under COBRA for the named executive officer and the named executive officer’s eligible dependents, if any, for up to 12 months (or up to 18 months for Dr. Litton); and</w:t>
      </w:r>
    </w:p>
    <w:p>
      <w:pPr>
        <w:spacing w:after="0" w:line="1" w:lineRule="exact"/>
        <w:rPr>
          <w:rFonts w:ascii="Arial" w:cs="Arial" w:eastAsia="Arial" w:hAnsi="Arial"/>
          <w:sz w:val="16"/>
          <w:szCs w:val="16"/>
          <w:color w:val="255993"/>
        </w:rPr>
      </w:pPr>
    </w:p>
    <w:p>
      <w:pPr>
        <w:ind w:left="140" w:right="80" w:hanging="134"/>
        <w:spacing w:after="0" w:line="286" w:lineRule="auto"/>
        <w:tabs>
          <w:tab w:leader="none" w:pos="140" w:val="left"/>
        </w:tabs>
        <w:numPr>
          <w:ilvl w:val="0"/>
          <w:numId w:val="37"/>
        </w:numPr>
        <w:rPr>
          <w:rFonts w:ascii="Arial" w:cs="Arial" w:eastAsia="Arial" w:hAnsi="Arial"/>
          <w:sz w:val="16"/>
          <w:szCs w:val="16"/>
          <w:color w:val="255993"/>
        </w:rPr>
      </w:pPr>
      <w:r>
        <w:rPr>
          <w:rFonts w:ascii="Arial" w:cs="Arial" w:eastAsia="Arial" w:hAnsi="Arial"/>
          <w:sz w:val="16"/>
          <w:szCs w:val="16"/>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7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addition, the change in control and severance agreement with Dr. Litton provides for 100% accelerated vesting and exercisability of Company equity awards granted under our 2014 Equity Incentive Plan and held by Dr. Litton to the extent such awards are not assumed or substituted for by the successor corporation in a change in control.</w:t>
      </w:r>
    </w:p>
    <w:p>
      <w:pPr>
        <w:spacing w:after="0" w:line="17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43</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If any of the amounts provided for under these change in control and severance agreements or otherwise payable to the named executive officer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114"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obligations to us after there has been delivered to the named executive officer a written demand for performance from the board of directors; continued violation or breach of any material written Company policy, agreement with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10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consent: a material reduction in the named executive officer’s duties or responsibilities that is inconsistent with his position, provided that a mere change of title alone will not constitute such a material reduction; the requirement that the named executive officer change his principal office to a facility that increases his commute by more than 40 miles from his commute to the location at which the named executive officer was employed prior to such change; or a material reduction in base salary or a material reduction in his employee benefits (other than (1) in connection with a general decrease in salary (or employee benefits, as applicable) of all similarly situated employees, and (2) following our change in control, to the extent necessary to make his salary (or employee benefits, as applicable) commensurate with those of our other employees or our successor entity or parent entity who are similarly situated with him).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ANDREW GENGOS SEPARATION AGREEMENT</w:t>
      </w:r>
    </w:p>
    <w:p>
      <w:pPr>
        <w:spacing w:after="0" w:line="11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Mr. Gengos, our former chief financial officer and chief business officer, separated from employment with the Company effective October 1, 2024 in connection with the reduction in force we conducted in 2024. Pursuant to a separation agreement and release entered into between us and Mr. Gengos, Mr. Gengos received the following severance payments and benefits: (i) a lump sum cash payment equal to 9 months’ base salary, or $363,750; (ii) reimbursement of premiums for continuing coverage under the Consolidated Omnibus Budget Reconciliation Act of 1985, as amended (“COBRA”) for him and his eligible dependents for up to 9 months, subject to his timely election and payment for continuing coverage under COBRA; and (iii) an additional lump sum cash payment in the amount of $2,500, intended to help cover the costs of outplacement services elected by him, but which may be used for any purpose. Mr. Gengos’s separation agreement and release provides for a release of claims in our favor and for certain customary covenants, including confidentiality and non-disparagement covenants.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RACHEL LENINGTON SEPARATION AGREEMENT AND CONSULTING AGREEMENT</w:t>
      </w:r>
    </w:p>
    <w:p>
      <w:pPr>
        <w:spacing w:after="0" w:line="11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Ms. Lenington, our former chief operating officer and chief development officer, separated from employment with the Company effective October 1, 2024 in connection with the reduction in force we conducted in 2024. Pursuant to a separation agreement and release entered into between us and Ms. Lenington, Ms. Lenington received the following severance payments and benefits: (i) a lump sum cash payment equal to 9 months’ base salary, or $375,000; (ii) reimbursement of COBRA premiums for her and her eligible dependents for up to 9 months, subject to her timely election and payment for continuing coverage under COBRA; and (iii) an additional lump sum cash payment in the amount of $2,500, intended to help cover the costs of outplacement services elected by her, but which may be used for any purpose. Ms. Lenington's separation agreement and release provides for a release of claims in our favor and for certain customary covenants, including confidentiality and non-disparagement covenants.</w:t>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44</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Additionally, we and Ms. Lenington entered into a consulting agreement, effective as of October 1, 2024. The consulting agreement had a term from the effective date through the earlier of December 31, 2024 or earlier termination pursuant to its terms. During the consulting term, Ms. Lenington received a monthly fee of approximately $41,667 and her equity awards continued to vest pursuant to their terms. Ms. Lenington’s consulting arrangement with us terminated on December 31, 2024. Ms. Lenington’s consulting agreement provided for certain customary covenants, including confidentiality, intellectual property assignment, and indemnification covenants.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EQUITY AWARDS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TIME-BASED OPTIONS</w:t>
      </w:r>
    </w:p>
    <w:p>
      <w:pPr>
        <w:spacing w:after="0" w:line="113"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In February 2024, our compensation committee approved, or recommended that our board of directors approve, grants of stock options under the 2020 Equity Incentive Plan (the “2020 Plan”) to our named executive officers. Dr. Church, Mr. Worthington,</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Mr. Gengos and Ms. Lenington were awarded stock options equal to 220,000, 220,000, 280,000, and 300,000 shares, respectively, which were scheduled to vest monthly over four years, subject to continued service with us through the applicable vesting date. In February 2024, our compensation committee recommended, and our board of directors approved, a grant of stock options under the 2020 Plan of 650,000 shares to Dr. Litton, which vests monthly over four years, subject to continued service with us through the applicable vesting date. Following the expiration of the applicable post-termination exercise period, such options granted to Mr. Gengos and Ms. Lenington are no longer outstanding.</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RETENTION EQUITY AWARDS</w:t>
      </w:r>
    </w:p>
    <w:p>
      <w:pPr>
        <w:spacing w:after="0" w:line="113"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In October 2024, our compensation committee approved, or recommended that our board of directors approve, the grant of retention equity awards under the 2020 Plan to each of Drs. Litton and Church and Mr. Worthington in the form of stock options and RSUs.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compensation committee awarded to each of Dr. Church and Mr. Worthington 110,000 stock options and 110,000 RSUs, and our board of directors awarded to Dr. Litton 325,000 stock options and 325,000 RSUs, which were scheduled to vest in accordance with the following schedule: one-third (1/3rd) of each award vested December 31, 2024 and one-third (1/3rd) of each award is scheduled to vest on June 30, 2025 and December 31, 2025, subject to continued service with us through the applicable vesting date.</w:t>
      </w:r>
    </w:p>
    <w:p>
      <w:pPr>
        <w:spacing w:after="0" w:line="112"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In addition to the accelerated vesting provisions of our 2020 EIP described below, upon a Qualifying Merger (as defined in the applicable award agreement), each of the aforementioned retention equity awards will accelerate vesting in full, subject to the applicable named executive officer’s continued service to us through the date of such Qualifying Merger.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CERTAIN RSU AWARDS GRANTED IN PRIOR YEARS</w:t>
      </w:r>
    </w:p>
    <w:p>
      <w:pPr>
        <w:spacing w:after="0" w:line="11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compensation committee approved grants of 30,000 RSUs to each of Dr. Church, Mr. Worthington, and Ms. Lenington, and our board of directors approved a grant of 60,000 RSUs to Dr. Litton, in November 2021, and 10,000 RSUs to Mr. Gengos in May 2023, under the Company’s 2020 Equity Incentive Plan to provide additional performance incentives aligned with key strategic goals.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In December 2022, our compensation committee revised the vesting schedule of the RSU awards held by Dr. Church,</w:t>
      </w:r>
    </w:p>
    <w:p>
      <w:pPr>
        <w:spacing w:after="0" w:line="2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Mr. Worthington, Ms. Lenington and Dr. Litton due to changed circumstances relating to the performance goals under the original vesting schedule (which revised vesting schedule was then applied to Mr. Gengos’s RSUs). At the time of such amendment, one third (1/3rd) of the number of shares subject to the RSU awards had vested upon the completion of the public readout of topline results of the Company’s ACT-AD Phase 2 clinical trial in June 2022. The original vesting schedule provided that an additional one third (1/3rd) of the number of shares subject to the RSU awards would vest at the completion of the public readout of topline results of the Company’s LIFT-AD Phase 2/3 clinical trial (the “LIFT-AD Readout”), and the remaining one third (1/3rd) of the number of shares subject to the RSU awards would be scheduled to vest six (6) months after the LIFT-AD Readout, in each case subject to the recipient’s continued service with us through the applicable vesting date. The vesting schedule was amended (or, for Mr. Gengos, applied) with respect to the remaining two-thirds (2/3rds) of the shares subject to the RSU awards that remained unvested at the time of the amendment, to provide that one third (1/3rd) of the number of shares subject to the RSU awards would vest at the date our compensation committee determined that enrollment of the Company’s LIFT-AD Phase 2/3 clinical trial had been completed (which occurred in January 2024), and the remaining one third (1/3rd) of the number of shares subject to the RSU awards would vest at the completion of the LIFT-AD Readout (which occurred in September 2024), in each case subject to the recipient’s continued service with us through the applicable vesting date.</w:t>
      </w:r>
    </w:p>
    <w:p>
      <w:pPr>
        <w:spacing w:after="0" w:line="189"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45</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RSU award agreements provided for 100% vesting acceleration in the event that, on or within 12 months following a Change in Control (within the meaning of the 2020 Equity Incentive Plan), the award recipient was terminated by the Company without “cause” (as defined in the recipient’s award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EQUITY INCENTIVE PLANS</w:t>
      </w:r>
    </w:p>
    <w:p>
      <w:pPr>
        <w:spacing w:after="0" w:line="14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Under our 2020 Equity Incentive Plan and our 2024 Inducement Equity Incentive Plan (the “Inducement Plan”), unless otherwise specified in an award agreement for a particular award, all unvested options, restricted stock units and other equity awards vest in full and, if applicable, become exercisable, and performance-based awards would be deemed achieved at 100% of target, upon a “change in control” (as defined in the applicable plan) of the Company or a merger of the Company with or into another corporation or entity, unless the option or award is assumed or substituted for by the acquiring entity, and to the extent exercisable, would terminate if not exercised within the applicable period.</w:t>
      </w:r>
    </w:p>
    <w:p>
      <w:pPr>
        <w:spacing w:after="0" w:line="11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All awards granted under our 2014 Equity Incentive Plan to our named executive officers are fully vested. Under our 2014 Equity Incentive Plan, in the event of a “corporate transaction” as defined thereunder, these outstanding awards may be assumed, continued or substituted for by the surviving or acquiring corporation, or the awards may be cancelled for no consideration or in exchange for such cash consideration as our board of directors deems appropriate, including that an option may be cancelled for a payment equal to the difference between the value the named executive officer would have received upon exercise of the option and the option exercise price.</w:t>
      </w:r>
    </w:p>
    <w:p>
      <w:pPr>
        <w:spacing w:after="0" w:line="10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Our board of directors or the compensation committee, as administrator of our equity incentive plans, has the authority to provide for the accelerated vesting of any or all outstanding equity awards under the plans.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CLAWBACK POLICY</w:t>
      </w:r>
    </w:p>
    <w:p>
      <w:pPr>
        <w:spacing w:after="0" w:line="10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February 2023, our board of directors adopted an executive compensation recovery (“clawback”) policy (our “Clawback Policy”) applicable to our current and future former executive officers. This initial Clawback Policy provided us the right, within three years following the original filing date of the applicable financial statements, to recover certain compensation from executive officers in the event all or a portion of our financial statements were subject to a material negative restatement as the result of the gross negligence, intentional misconduct or fraud by an executive officer. We amended and restated our Clawback Policy in November 2023 to reflect the Nasdaq listing standards that became effective in October 2023 and again in September 2024. In accordance with the Nasdaq listing standard requirements, our amended and restated Clawback Policy provides that if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then we must recover from the covered executives any excess compensation covered by the amended and restated Clawback Policy. The September 2024 amendment and restatement of our Clawback Policy expanded the Clawback Policy to apply in the event that we are required to retract or correct scientific results. This expansion provides that we must also recover from the covered executives any excess compensation covered by the amended and restated Clawback Policy in the event that we are required to retract a scientific publication or correct a material scientific finding in a scientific publication (as determined by our board of directors or compliance committee), where such retraction or correction is due to fraudulent or intentional misconduct, gross negligence, or a material violation of a Company policy or the policy of a scientific publication related to scientific integrity. As described in more detail in our amended and restated Clawback Policy, excess compensation generally is incentive-based compensation that exceeds the amount the individual otherwise would have received had the compensation been determined based on the restated amounts. Excess compensation generally is covered by the amended and restated Clawback Policy if it is received by an individual during our three completed fiscal years immediately prior to the date we determine an accounting restatement or a retraction or correction of scientific results is required (or a legally authorized body, such as a court, directs us to prepare an accounting restatement), if the amounts were received after the individual became an executive officer, and if he or she served as an executive officer during the applicable performance period (and only if the amounts were received after October 2, 2023).</w:t>
      </w:r>
    </w:p>
    <w:p>
      <w:pPr>
        <w:spacing w:after="0" w:line="193"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46</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INCENTIVE COMPENSATION PLAN</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Our Executive Incentive Compensation Plan is administered by our board of directors or a committee appointed by our board of directors. Our Executive Incentive Compensation Plan allows us to grant incentive awards, generally payable in cash, to employees selected by the administrator, including our named executive officers, based upon any performance goals that may be established by the administrator.</w:t>
      </w:r>
    </w:p>
    <w:p>
      <w:pPr>
        <w:spacing w:after="0" w:line="11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0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w:t>
      </w:r>
    </w:p>
    <w:p>
      <w:pPr>
        <w:spacing w:after="0" w:line="11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Payment of awards occurs as soon as administratively practicable after they are earned, but no later than the dates set forth in our Executive Incentive Compensation Plan.</w:t>
      </w:r>
    </w:p>
    <w:p>
      <w:pPr>
        <w:spacing w:after="0" w:line="7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Awards under our Executive Incentive Compensation Plan are subject to our amended and restated Clawback Policy, which we may revise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1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17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47</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2024 BONUS PROGRAM</w:t>
      </w:r>
    </w:p>
    <w:p>
      <w:pPr>
        <w:spacing w:after="0" w:line="113"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In establishing the annual bonus program for fiscal 2024 under the Executive Incentive Compensation Plan, the board of directors determined that actual awards would be based upon achievement of corporate goals (the “Corporate Goals”) during the plan year. In addition, in October 2024, our compensation committee approved a cash retention bonus comprised of an increase in the 2024 achievement percentage of Corporate Goals, as determined by the compensation committee, by 25 percentage points.</w:t>
      </w:r>
    </w:p>
    <w:p>
      <w:pPr>
        <w:spacing w:after="0" w:line="110"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Corporate Goals related to completion of certain analyses with respect to a specified clinical trial (weighted 70%), completion of certain activities with respect to a specified clinical trial (weighted 15%), other scientific program achievements (weighted 5%) and other financial and business-related achievements (weighted 10%). In addition, the board of directors determined that achievement of certain stretch goals related to specific clinical trial activities and other scientific program achievements could be earned, provided that the maximum possible bonus payout under our Executive Incentive Compensation Plan for 2024 was intended to be 140% of the applicable participant’s target bonus opportunity.</w:t>
      </w:r>
    </w:p>
    <w:p>
      <w:pPr>
        <w:spacing w:after="0" w:line="10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Under the Company’s annual bonus program, payments are made based on our performance with respect to each of the Corporate Goals and individual performance measures, if any, to the extent to which each objective was achieved for the year, subject to discretion reserved to the administrator and continued employment of the participant through the date of payment. In January 2025, our compensation committee determined that the 2024 Corporate Goals had been partially achieved at an 90% achievement rate, resulting in a Corporate Goals achievement rate of 115% when combined with the 25 percentage point increase comprising the aforementioned retention bonus. The annual bonuses awarded to our named executive officers for 2024 are set forth in the “</w:t>
      </w:r>
      <w:r>
        <w:rPr>
          <w:rFonts w:ascii="Arial" w:cs="Arial" w:eastAsia="Arial" w:hAnsi="Arial"/>
          <w:sz w:val="16"/>
          <w:szCs w:val="16"/>
          <w:i w:val="1"/>
          <w:iCs w:val="1"/>
          <w:color w:val="auto"/>
        </w:rPr>
        <w:t>2023-2024 Summary Compensation Table</w:t>
      </w:r>
      <w:r>
        <w:rPr>
          <w:rFonts w:ascii="Arial" w:cs="Arial" w:eastAsia="Arial" w:hAnsi="Arial"/>
          <w:sz w:val="16"/>
          <w:szCs w:val="16"/>
          <w:color w:val="auto"/>
        </w:rPr>
        <w:t>” above.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EQUITY GRANTING PRACTICES</w:t>
      </w:r>
    </w:p>
    <w:p>
      <w:pPr>
        <w:spacing w:after="0" w:line="149"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Our board of directors or compensation committee, as applicable, does not grant equity awards on a predetermined schedule. Our grant committee, which consists of certain members of management and which has been delegated prescribed authority to grant equity awards to certain non-executive officer service providers, approves equity awards in advance, and such awards generally become effective on the first trading day of the following month. Awards to our non-employee directors are granted automatically pursuant to our outside director compensation policy. We have not granted, nor do we intend to grant, stock options in anticipation of the release of material, nonpublic information, and we have not taken, nor do we intend to take, material nonpublic information into account when determining the terms of stock options. Similarly, we have not timed, nor do we intend to time, the release of material, nonpublic information for the purpose of affecting the value of executive compensation or for any other purpose.</w:t>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48</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table below sets forth certain information regarding the grants of option awards to our named executive officers which occurred within the period beginning four business days before the filing of a Form 10-Q, Form 10-K, or the filing or furnishing of a Form 8-K that discloses material nonpublic information (other than an Item 5.02(e) Form 8-K that discloses a material new option award grant) and ending one business day after the filing or furnishing of such report, as required by Item 402(x)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5966460" cy="23914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6460" cy="239141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3220" w:type="dxa"/>
            <w:vAlign w:val="bottom"/>
          </w:tcPr>
          <w:p>
            <w:pPr>
              <w:jc w:val="right"/>
              <w:spacing w:after="0"/>
              <w:rPr>
                <w:sz w:val="20"/>
                <w:szCs w:val="20"/>
                <w:color w:val="auto"/>
              </w:rPr>
            </w:pPr>
            <w:r>
              <w:rPr>
                <w:rFonts w:ascii="Arial" w:cs="Arial" w:eastAsia="Arial" w:hAnsi="Arial"/>
                <w:sz w:val="16"/>
                <w:szCs w:val="16"/>
                <w:b w:val="1"/>
                <w:bCs w:val="1"/>
                <w:color w:val="FFFFFF"/>
              </w:rPr>
              <w:t>Number of</w:t>
            </w: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FFFFFF"/>
              </w:rPr>
              <w:t>Exercise</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FFFFFF"/>
              </w:rPr>
              <w:t>Grant date</w:t>
            </w:r>
          </w:p>
        </w:tc>
      </w:tr>
      <w:tr>
        <w:trPr>
          <w:trHeight w:val="189"/>
        </w:trPr>
        <w:tc>
          <w:tcPr>
            <w:tcW w:w="1740" w:type="dxa"/>
            <w:vAlign w:val="bottom"/>
          </w:tcPr>
          <w:p>
            <w:pPr>
              <w:spacing w:after="0"/>
              <w:rPr>
                <w:sz w:val="16"/>
                <w:szCs w:val="16"/>
                <w:color w:val="auto"/>
              </w:rPr>
            </w:pPr>
          </w:p>
        </w:tc>
        <w:tc>
          <w:tcPr>
            <w:tcW w:w="3220" w:type="dxa"/>
            <w:vAlign w:val="bottom"/>
          </w:tcPr>
          <w:p>
            <w:pPr>
              <w:jc w:val="right"/>
              <w:ind w:right="39"/>
              <w:spacing w:after="0"/>
              <w:rPr>
                <w:sz w:val="20"/>
                <w:szCs w:val="20"/>
                <w:color w:val="auto"/>
              </w:rPr>
            </w:pPr>
            <w:r>
              <w:rPr>
                <w:rFonts w:ascii="Arial" w:cs="Arial" w:eastAsia="Arial" w:hAnsi="Arial"/>
                <w:sz w:val="16"/>
                <w:szCs w:val="16"/>
                <w:b w:val="1"/>
                <w:bCs w:val="1"/>
                <w:color w:val="FFFFFF"/>
              </w:rPr>
              <w:t>securities</w:t>
            </w: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FFFFFF"/>
              </w:rPr>
              <w:t>price</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FFFFFF"/>
              </w:rPr>
              <w:t>fair</w:t>
            </w:r>
          </w:p>
        </w:tc>
      </w:tr>
      <w:tr>
        <w:trPr>
          <w:trHeight w:val="189"/>
        </w:trPr>
        <w:tc>
          <w:tcPr>
            <w:tcW w:w="1740" w:type="dxa"/>
            <w:vAlign w:val="bottom"/>
          </w:tcPr>
          <w:p>
            <w:pPr>
              <w:spacing w:after="0"/>
              <w:rPr>
                <w:sz w:val="16"/>
                <w:szCs w:val="16"/>
                <w:color w:val="auto"/>
              </w:rPr>
            </w:pPr>
          </w:p>
        </w:tc>
        <w:tc>
          <w:tcPr>
            <w:tcW w:w="3220" w:type="dxa"/>
            <w:vAlign w:val="bottom"/>
          </w:tcPr>
          <w:p>
            <w:pPr>
              <w:jc w:val="right"/>
              <w:spacing w:after="0"/>
              <w:rPr>
                <w:sz w:val="20"/>
                <w:szCs w:val="20"/>
                <w:color w:val="auto"/>
              </w:rPr>
            </w:pPr>
            <w:r>
              <w:rPr>
                <w:rFonts w:ascii="Arial" w:cs="Arial" w:eastAsia="Arial" w:hAnsi="Arial"/>
                <w:sz w:val="16"/>
                <w:szCs w:val="16"/>
                <w:b w:val="1"/>
                <w:bCs w:val="1"/>
                <w:color w:val="FFFFFF"/>
              </w:rPr>
              <w:t>underlying</w:t>
            </w: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FFFFFF"/>
              </w:rPr>
              <w:t>of the award</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FFFFFF"/>
              </w:rPr>
              <w:t>value of the</w:t>
            </w:r>
          </w:p>
        </w:tc>
      </w:tr>
      <w:tr>
        <w:trPr>
          <w:trHeight w:val="234"/>
        </w:trPr>
        <w:tc>
          <w:tcPr>
            <w:tcW w:w="1740" w:type="dxa"/>
            <w:vAlign w:val="bottom"/>
          </w:tcPr>
          <w:p>
            <w:pPr>
              <w:spacing w:after="0"/>
              <w:rPr>
                <w:sz w:val="20"/>
                <w:szCs w:val="20"/>
                <w:color w:val="auto"/>
              </w:rPr>
            </w:pPr>
            <w:r>
              <w:rPr>
                <w:rFonts w:ascii="Arial" w:cs="Arial" w:eastAsia="Arial" w:hAnsi="Arial"/>
                <w:sz w:val="16"/>
                <w:szCs w:val="16"/>
                <w:b w:val="1"/>
                <w:bCs w:val="1"/>
                <w:color w:val="FFFFFF"/>
              </w:rPr>
              <w:t>Name</w:t>
            </w:r>
          </w:p>
        </w:tc>
        <w:tc>
          <w:tcPr>
            <w:tcW w:w="3220" w:type="dxa"/>
            <w:vAlign w:val="bottom"/>
          </w:tcPr>
          <w:p>
            <w:pPr>
              <w:jc w:val="right"/>
              <w:spacing w:after="0"/>
              <w:rPr>
                <w:sz w:val="20"/>
                <w:szCs w:val="20"/>
                <w:color w:val="auto"/>
              </w:rPr>
            </w:pPr>
            <w:r>
              <w:rPr>
                <w:rFonts w:ascii="Arial" w:cs="Arial" w:eastAsia="Arial" w:hAnsi="Arial"/>
                <w:sz w:val="16"/>
                <w:szCs w:val="16"/>
                <w:b w:val="1"/>
                <w:bCs w:val="1"/>
                <w:color w:val="FFFFFF"/>
              </w:rPr>
              <w:t>Grant Date   the award</w:t>
            </w: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FFFFFF"/>
              </w:rPr>
              <w:t>($/share)</w:t>
            </w:r>
          </w:p>
        </w:tc>
        <w:tc>
          <w:tcPr>
            <w:tcW w:w="1080" w:type="dxa"/>
            <w:vAlign w:val="bottom"/>
          </w:tcPr>
          <w:p>
            <w:pPr>
              <w:jc w:val="right"/>
              <w:spacing w:after="0" w:line="235" w:lineRule="exact"/>
              <w:rPr>
                <w:sz w:val="20"/>
                <w:szCs w:val="20"/>
                <w:color w:val="auto"/>
              </w:rPr>
            </w:pPr>
            <w:r>
              <w:rPr>
                <w:rFonts w:ascii="Arial" w:cs="Arial" w:eastAsia="Arial" w:hAnsi="Arial"/>
                <w:sz w:val="16"/>
                <w:szCs w:val="16"/>
                <w:b w:val="1"/>
                <w:bCs w:val="1"/>
                <w:color w:val="FFFFFF"/>
              </w:rPr>
              <w:t>award</w:t>
            </w:r>
            <w:r>
              <w:rPr>
                <w:rFonts w:ascii="Arial" w:cs="Arial" w:eastAsia="Arial" w:hAnsi="Arial"/>
                <w:sz w:val="26"/>
                <w:szCs w:val="26"/>
                <w:b w:val="1"/>
                <w:bCs w:val="1"/>
                <w:color w:val="FFFFFF"/>
                <w:vertAlign w:val="superscript"/>
              </w:rPr>
              <w:t>(1)</w:t>
            </w:r>
          </w:p>
        </w:tc>
      </w:tr>
    </w:tbl>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Percentage</w:t>
      </w:r>
    </w:p>
    <w:p>
      <w:pPr>
        <w:spacing w:after="0" w:line="21"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change</w:t>
      </w:r>
    </w:p>
    <w:p>
      <w:pPr>
        <w:spacing w:after="0" w:line="5"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in the closing market</w:t>
      </w:r>
    </w:p>
    <w:p>
      <w:pPr>
        <w:spacing w:after="0" w:line="5"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price of the</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b w:val="1"/>
          <w:bCs w:val="1"/>
          <w:color w:val="FFFFFF"/>
        </w:rPr>
        <w:t>securities underlying</w:t>
      </w:r>
    </w:p>
    <w:p>
      <w:pPr>
        <w:spacing w:after="0" w:line="5"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the award between</w:t>
      </w:r>
    </w:p>
    <w:p>
      <w:pPr>
        <w:spacing w:after="0" w:line="5"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the trading day</w:t>
      </w:r>
    </w:p>
    <w:p>
      <w:pPr>
        <w:spacing w:after="0" w:line="5"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ending immediately</w:t>
      </w:r>
    </w:p>
    <w:p>
      <w:pPr>
        <w:spacing w:after="0" w:line="5"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prior to the</w:t>
      </w:r>
    </w:p>
    <w:p>
      <w:pPr>
        <w:spacing w:after="0" w:line="5"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disclosure of</w:t>
      </w:r>
    </w:p>
    <w:p>
      <w:pPr>
        <w:spacing w:after="0" w:line="5"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material nonpublic</w:t>
      </w:r>
    </w:p>
    <w:p>
      <w:pPr>
        <w:spacing w:after="0" w:line="5"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information and the</w:t>
      </w:r>
    </w:p>
    <w:p>
      <w:pPr>
        <w:spacing w:after="0" w:line="5"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trading day</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b w:val="1"/>
          <w:bCs w:val="1"/>
          <w:color w:val="FFFFFF"/>
        </w:rPr>
        <w:t>beginning</w:t>
      </w:r>
    </w:p>
    <w:p>
      <w:pPr>
        <w:spacing w:after="0" w:line="5"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immediately</w:t>
      </w:r>
    </w:p>
    <w:p>
      <w:pPr>
        <w:spacing w:after="0" w:line="5"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following the</w:t>
      </w:r>
    </w:p>
    <w:p>
      <w:pPr>
        <w:spacing w:after="0" w:line="5"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disclosure of</w:t>
      </w:r>
    </w:p>
    <w:p>
      <w:pPr>
        <w:spacing w:after="0" w:line="5"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material nonpublic</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b w:val="1"/>
          <w:bCs w:val="1"/>
          <w:color w:val="FFFFFF"/>
        </w:rPr>
        <w:t>information</w:t>
      </w:r>
    </w:p>
    <w:p>
      <w:pPr>
        <w:spacing w:after="0" w:line="8" w:lineRule="exact"/>
        <w:rPr>
          <w:sz w:val="20"/>
          <w:szCs w:val="20"/>
          <w:color w:val="auto"/>
        </w:rPr>
      </w:pPr>
    </w:p>
    <w:p>
      <w:pPr>
        <w:sectPr>
          <w:pgSz w:w="11900" w:h="16838" w:orient="portrait"/>
          <w:cols w:equalWidth="0" w:num="2">
            <w:col w:w="7440" w:space="180"/>
            <w:col w:w="1780"/>
          </w:cols>
          <w:pgMar w:left="1240" w:top="114" w:right="125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2100" w:type="dxa"/>
            <w:vAlign w:val="bottom"/>
            <w:gridSpan w:val="2"/>
            <w:shd w:val="clear" w:color="auto" w:fill="EBEBEB"/>
          </w:tcPr>
          <w:p>
            <w:pPr>
              <w:ind w:left="180"/>
              <w:spacing w:after="0"/>
              <w:rPr>
                <w:sz w:val="20"/>
                <w:szCs w:val="20"/>
                <w:color w:val="auto"/>
              </w:rPr>
            </w:pPr>
            <w:r>
              <w:rPr>
                <w:rFonts w:ascii="Arial" w:cs="Arial" w:eastAsia="Arial" w:hAnsi="Arial"/>
                <w:sz w:val="14"/>
                <w:szCs w:val="14"/>
                <w:color w:val="auto"/>
              </w:rPr>
              <w:t>Mark Litton</w:t>
            </w:r>
          </w:p>
        </w:tc>
        <w:tc>
          <w:tcPr>
            <w:tcW w:w="2200" w:type="dxa"/>
            <w:vAlign w:val="bottom"/>
            <w:shd w:val="clear" w:color="auto" w:fill="EBEBEB"/>
          </w:tcPr>
          <w:p>
            <w:pPr>
              <w:jc w:val="center"/>
              <w:ind w:left="448"/>
              <w:spacing w:after="0"/>
              <w:rPr>
                <w:sz w:val="20"/>
                <w:szCs w:val="20"/>
                <w:color w:val="auto"/>
              </w:rPr>
            </w:pPr>
            <w:r>
              <w:rPr>
                <w:rFonts w:ascii="Arial" w:cs="Arial" w:eastAsia="Arial" w:hAnsi="Arial"/>
                <w:sz w:val="14"/>
                <w:szCs w:val="14"/>
                <w:color w:val="auto"/>
              </w:rPr>
              <w:t>February 15, 2024</w:t>
            </w:r>
          </w:p>
        </w:tc>
        <w:tc>
          <w:tcPr>
            <w:tcW w:w="1080" w:type="dxa"/>
            <w:vAlign w:val="bottom"/>
            <w:shd w:val="clear" w:color="auto" w:fill="EBEBEB"/>
          </w:tcPr>
          <w:p>
            <w:pPr>
              <w:jc w:val="right"/>
              <w:ind w:right="248"/>
              <w:spacing w:after="0"/>
              <w:rPr>
                <w:sz w:val="20"/>
                <w:szCs w:val="20"/>
                <w:color w:val="auto"/>
              </w:rPr>
            </w:pPr>
            <w:r>
              <w:rPr>
                <w:rFonts w:ascii="Arial" w:cs="Arial" w:eastAsia="Arial" w:hAnsi="Arial"/>
                <w:sz w:val="14"/>
                <w:szCs w:val="14"/>
                <w:color w:val="auto"/>
              </w:rPr>
              <w:t>650,000</w:t>
            </w:r>
          </w:p>
        </w:tc>
        <w:tc>
          <w:tcPr>
            <w:tcW w:w="980" w:type="dxa"/>
            <w:vAlign w:val="bottom"/>
            <w:shd w:val="clear" w:color="auto" w:fill="EBEBEB"/>
          </w:tcPr>
          <w:p>
            <w:pPr>
              <w:jc w:val="right"/>
              <w:ind w:right="68"/>
              <w:spacing w:after="0"/>
              <w:rPr>
                <w:sz w:val="20"/>
                <w:szCs w:val="20"/>
                <w:color w:val="auto"/>
              </w:rPr>
            </w:pPr>
            <w:r>
              <w:rPr>
                <w:rFonts w:ascii="Arial" w:cs="Arial" w:eastAsia="Arial" w:hAnsi="Arial"/>
                <w:sz w:val="14"/>
                <w:szCs w:val="14"/>
                <w:color w:val="auto"/>
              </w:rPr>
              <w:t>$  3.66</w:t>
            </w:r>
          </w:p>
        </w:tc>
        <w:tc>
          <w:tcPr>
            <w:tcW w:w="1680" w:type="dxa"/>
            <w:vAlign w:val="bottom"/>
            <w:gridSpan w:val="3"/>
            <w:shd w:val="clear" w:color="auto" w:fill="EBEBEB"/>
          </w:tcPr>
          <w:p>
            <w:pPr>
              <w:jc w:val="right"/>
              <w:ind w:right="528"/>
              <w:spacing w:after="0"/>
              <w:rPr>
                <w:sz w:val="20"/>
                <w:szCs w:val="20"/>
                <w:color w:val="auto"/>
              </w:rPr>
            </w:pPr>
            <w:r>
              <w:rPr>
                <w:rFonts w:ascii="Arial" w:cs="Arial" w:eastAsia="Arial" w:hAnsi="Arial"/>
                <w:sz w:val="14"/>
                <w:szCs w:val="14"/>
                <w:color w:val="auto"/>
              </w:rPr>
              <w:t>$1,885,000.00</w:t>
            </w:r>
          </w:p>
        </w:tc>
        <w:tc>
          <w:tcPr>
            <w:tcW w:w="1360" w:type="dxa"/>
            <w:vAlign w:val="bottom"/>
            <w:shd w:val="clear" w:color="auto" w:fill="EBEBEB"/>
          </w:tcPr>
          <w:p>
            <w:pPr>
              <w:jc w:val="right"/>
              <w:ind w:right="54"/>
              <w:spacing w:after="0" w:line="211" w:lineRule="exact"/>
              <w:rPr>
                <w:sz w:val="20"/>
                <w:szCs w:val="20"/>
                <w:color w:val="auto"/>
              </w:rPr>
            </w:pPr>
            <w:r>
              <w:rPr>
                <w:rFonts w:ascii="Arial" w:cs="Arial" w:eastAsia="Arial" w:hAnsi="Arial"/>
                <w:sz w:val="24"/>
                <w:szCs w:val="24"/>
                <w:color w:val="auto"/>
                <w:vertAlign w:val="subscript"/>
              </w:rPr>
              <w:t>0%</w:t>
            </w:r>
            <w:r>
              <w:rPr>
                <w:rFonts w:ascii="Arial" w:cs="Arial" w:eastAsia="Arial" w:hAnsi="Arial"/>
                <w:sz w:val="11"/>
                <w:szCs w:val="11"/>
                <w:color w:val="auto"/>
              </w:rPr>
              <w:t>(2)</w:t>
            </w:r>
          </w:p>
        </w:tc>
      </w:tr>
      <w:tr>
        <w:trPr>
          <w:trHeight w:val="203"/>
        </w:trPr>
        <w:tc>
          <w:tcPr>
            <w:tcW w:w="2100" w:type="dxa"/>
            <w:vAlign w:val="bottom"/>
            <w:gridSpan w:val="2"/>
            <w:shd w:val="clear" w:color="auto" w:fill="FAFAFA"/>
          </w:tcPr>
          <w:p>
            <w:pPr>
              <w:ind w:left="180"/>
              <w:spacing w:after="0"/>
              <w:rPr>
                <w:sz w:val="20"/>
                <w:szCs w:val="20"/>
                <w:color w:val="auto"/>
              </w:rPr>
            </w:pPr>
            <w:r>
              <w:rPr>
                <w:rFonts w:ascii="Arial" w:cs="Arial" w:eastAsia="Arial" w:hAnsi="Arial"/>
                <w:sz w:val="14"/>
                <w:szCs w:val="14"/>
                <w:color w:val="auto"/>
              </w:rPr>
              <w:t>Mark Litton</w:t>
            </w:r>
          </w:p>
        </w:tc>
        <w:tc>
          <w:tcPr>
            <w:tcW w:w="2200" w:type="dxa"/>
            <w:vAlign w:val="bottom"/>
            <w:shd w:val="clear" w:color="auto" w:fill="FAFAFA"/>
          </w:tcPr>
          <w:p>
            <w:pPr>
              <w:jc w:val="center"/>
              <w:ind w:left="448"/>
              <w:spacing w:after="0"/>
              <w:rPr>
                <w:sz w:val="20"/>
                <w:szCs w:val="20"/>
                <w:color w:val="auto"/>
              </w:rPr>
            </w:pPr>
            <w:r>
              <w:rPr>
                <w:rFonts w:ascii="Arial" w:cs="Arial" w:eastAsia="Arial" w:hAnsi="Arial"/>
                <w:sz w:val="14"/>
                <w:szCs w:val="14"/>
                <w:color w:val="auto"/>
              </w:rPr>
              <w:t>October 3, 2024</w:t>
            </w:r>
          </w:p>
        </w:tc>
        <w:tc>
          <w:tcPr>
            <w:tcW w:w="1080" w:type="dxa"/>
            <w:vAlign w:val="bottom"/>
            <w:shd w:val="clear" w:color="auto" w:fill="FAFAFA"/>
          </w:tcPr>
          <w:p>
            <w:pPr>
              <w:jc w:val="right"/>
              <w:ind w:right="248"/>
              <w:spacing w:after="0"/>
              <w:rPr>
                <w:sz w:val="20"/>
                <w:szCs w:val="20"/>
                <w:color w:val="auto"/>
              </w:rPr>
            </w:pPr>
            <w:r>
              <w:rPr>
                <w:rFonts w:ascii="Arial" w:cs="Arial" w:eastAsia="Arial" w:hAnsi="Arial"/>
                <w:sz w:val="14"/>
                <w:szCs w:val="14"/>
                <w:color w:val="auto"/>
              </w:rPr>
              <w:t>325,000</w:t>
            </w:r>
          </w:p>
        </w:tc>
        <w:tc>
          <w:tcPr>
            <w:tcW w:w="980" w:type="dxa"/>
            <w:vAlign w:val="bottom"/>
            <w:shd w:val="clear" w:color="auto" w:fill="FAFAFA"/>
          </w:tcPr>
          <w:p>
            <w:pPr>
              <w:jc w:val="right"/>
              <w:ind w:right="68"/>
              <w:spacing w:after="0"/>
              <w:rPr>
                <w:sz w:val="20"/>
                <w:szCs w:val="20"/>
                <w:color w:val="auto"/>
              </w:rPr>
            </w:pPr>
            <w:r>
              <w:rPr>
                <w:rFonts w:ascii="Arial" w:cs="Arial" w:eastAsia="Arial" w:hAnsi="Arial"/>
                <w:sz w:val="14"/>
                <w:szCs w:val="14"/>
                <w:color w:val="auto"/>
              </w:rPr>
              <w:t>$0.4257</w:t>
            </w:r>
          </w:p>
        </w:tc>
        <w:tc>
          <w:tcPr>
            <w:tcW w:w="320" w:type="dxa"/>
            <w:vAlign w:val="bottom"/>
            <w:shd w:val="clear" w:color="auto" w:fill="FAFAFA"/>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106,407​</w:t>
            </w:r>
          </w:p>
        </w:tc>
        <w:tc>
          <w:tcPr>
            <w:tcW w:w="800" w:type="dxa"/>
            <w:vAlign w:val="bottom"/>
            <w:shd w:val="clear" w:color="auto" w:fill="FAFAFA"/>
          </w:tcPr>
          <w:p>
            <w:pPr>
              <w:jc w:val="right"/>
              <w:ind w:right="528"/>
              <w:spacing w:after="0"/>
              <w:rPr>
                <w:sz w:val="20"/>
                <w:szCs w:val="20"/>
                <w:color w:val="auto"/>
              </w:rPr>
            </w:pPr>
            <w:r>
              <w:rPr>
                <w:rFonts w:ascii="Arial" w:cs="Arial" w:eastAsia="Arial" w:hAnsi="Arial"/>
                <w:sz w:val="14"/>
                <w:szCs w:val="14"/>
                <w:color w:val="auto"/>
                <w:w w:val="92"/>
              </w:rPr>
              <w:t>.93</w:t>
            </w:r>
          </w:p>
        </w:tc>
        <w:tc>
          <w:tcPr>
            <w:tcW w:w="1360" w:type="dxa"/>
            <w:vAlign w:val="bottom"/>
            <w:shd w:val="clear" w:color="auto" w:fill="FAFAFA"/>
          </w:tcPr>
          <w:p>
            <w:pPr>
              <w:jc w:val="right"/>
              <w:ind w:right="54"/>
              <w:spacing w:after="0" w:line="202" w:lineRule="exact"/>
              <w:rPr>
                <w:sz w:val="20"/>
                <w:szCs w:val="20"/>
                <w:color w:val="auto"/>
              </w:rPr>
            </w:pPr>
            <w:r>
              <w:rPr>
                <w:rFonts w:ascii="Arial" w:cs="Arial" w:eastAsia="Arial" w:hAnsi="Arial"/>
                <w:sz w:val="14"/>
                <w:szCs w:val="14"/>
                <w:color w:val="auto"/>
              </w:rPr>
              <w:t>(1.45)%</w:t>
            </w:r>
            <w:r>
              <w:rPr>
                <w:rFonts w:ascii="Arial" w:cs="Arial" w:eastAsia="Arial" w:hAnsi="Arial"/>
                <w:sz w:val="23"/>
                <w:szCs w:val="23"/>
                <w:color w:val="auto"/>
                <w:vertAlign w:val="superscript"/>
              </w:rPr>
              <w:t>(3)</w:t>
            </w:r>
          </w:p>
        </w:tc>
      </w:tr>
      <w:tr>
        <w:trPr>
          <w:trHeight w:val="203"/>
        </w:trPr>
        <w:tc>
          <w:tcPr>
            <w:tcW w:w="2100" w:type="dxa"/>
            <w:vAlign w:val="bottom"/>
            <w:gridSpan w:val="2"/>
            <w:shd w:val="clear" w:color="auto" w:fill="EBEBEB"/>
          </w:tcPr>
          <w:p>
            <w:pPr>
              <w:ind w:left="180"/>
              <w:spacing w:after="0"/>
              <w:rPr>
                <w:sz w:val="20"/>
                <w:szCs w:val="20"/>
                <w:color w:val="auto"/>
              </w:rPr>
            </w:pPr>
            <w:r>
              <w:rPr>
                <w:rFonts w:ascii="Arial" w:cs="Arial" w:eastAsia="Arial" w:hAnsi="Arial"/>
                <w:sz w:val="14"/>
                <w:szCs w:val="14"/>
                <w:color w:val="auto"/>
              </w:rPr>
              <w:t>Mark Worthington</w:t>
            </w:r>
          </w:p>
        </w:tc>
        <w:tc>
          <w:tcPr>
            <w:tcW w:w="2200" w:type="dxa"/>
            <w:vAlign w:val="bottom"/>
            <w:shd w:val="clear" w:color="auto" w:fill="EBEBEB"/>
          </w:tcPr>
          <w:p>
            <w:pPr>
              <w:jc w:val="center"/>
              <w:ind w:left="448"/>
              <w:spacing w:after="0"/>
              <w:rPr>
                <w:sz w:val="20"/>
                <w:szCs w:val="20"/>
                <w:color w:val="auto"/>
              </w:rPr>
            </w:pPr>
            <w:r>
              <w:rPr>
                <w:rFonts w:ascii="Arial" w:cs="Arial" w:eastAsia="Arial" w:hAnsi="Arial"/>
                <w:sz w:val="14"/>
                <w:szCs w:val="14"/>
                <w:color w:val="auto"/>
              </w:rPr>
              <w:t>October 1, 2024</w:t>
            </w:r>
          </w:p>
        </w:tc>
        <w:tc>
          <w:tcPr>
            <w:tcW w:w="1080" w:type="dxa"/>
            <w:vAlign w:val="bottom"/>
            <w:shd w:val="clear" w:color="auto" w:fill="EBEBEB"/>
          </w:tcPr>
          <w:p>
            <w:pPr>
              <w:jc w:val="right"/>
              <w:ind w:right="248"/>
              <w:spacing w:after="0"/>
              <w:rPr>
                <w:sz w:val="20"/>
                <w:szCs w:val="20"/>
                <w:color w:val="auto"/>
              </w:rPr>
            </w:pPr>
            <w:r>
              <w:rPr>
                <w:rFonts w:ascii="Arial" w:cs="Arial" w:eastAsia="Arial" w:hAnsi="Arial"/>
                <w:sz w:val="14"/>
                <w:szCs w:val="14"/>
                <w:color w:val="auto"/>
              </w:rPr>
              <w:t>110,000</w:t>
            </w:r>
          </w:p>
        </w:tc>
        <w:tc>
          <w:tcPr>
            <w:tcW w:w="980" w:type="dxa"/>
            <w:vAlign w:val="bottom"/>
            <w:shd w:val="clear" w:color="auto" w:fill="EBEBEB"/>
          </w:tcPr>
          <w:p>
            <w:pPr>
              <w:jc w:val="right"/>
              <w:ind w:right="68"/>
              <w:spacing w:after="0"/>
              <w:rPr>
                <w:sz w:val="20"/>
                <w:szCs w:val="20"/>
                <w:color w:val="auto"/>
              </w:rPr>
            </w:pPr>
            <w:r>
              <w:rPr>
                <w:rFonts w:ascii="Arial" w:cs="Arial" w:eastAsia="Arial" w:hAnsi="Arial"/>
                <w:sz w:val="14"/>
                <w:szCs w:val="14"/>
                <w:color w:val="auto"/>
              </w:rPr>
              <w:t>$0.4499</w:t>
            </w:r>
          </w:p>
        </w:tc>
        <w:tc>
          <w:tcPr>
            <w:tcW w:w="3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38,033​</w:t>
            </w:r>
          </w:p>
        </w:tc>
        <w:tc>
          <w:tcPr>
            <w:tcW w:w="800" w:type="dxa"/>
            <w:vAlign w:val="bottom"/>
            <w:shd w:val="clear" w:color="auto" w:fill="EBEBEB"/>
          </w:tcPr>
          <w:p>
            <w:pPr>
              <w:jc w:val="right"/>
              <w:ind w:right="528"/>
              <w:spacing w:after="0"/>
              <w:rPr>
                <w:sz w:val="20"/>
                <w:szCs w:val="20"/>
                <w:color w:val="auto"/>
              </w:rPr>
            </w:pPr>
            <w:r>
              <w:rPr>
                <w:rFonts w:ascii="Arial" w:cs="Arial" w:eastAsia="Arial" w:hAnsi="Arial"/>
                <w:sz w:val="14"/>
                <w:szCs w:val="14"/>
                <w:color w:val="auto"/>
                <w:w w:val="92"/>
              </w:rPr>
              <w:t>.82</w:t>
            </w:r>
          </w:p>
        </w:tc>
        <w:tc>
          <w:tcPr>
            <w:tcW w:w="1360" w:type="dxa"/>
            <w:vAlign w:val="bottom"/>
            <w:shd w:val="clear" w:color="auto" w:fill="EBEBEB"/>
          </w:tcPr>
          <w:p>
            <w:pPr>
              <w:jc w:val="right"/>
              <w:ind w:right="54"/>
              <w:spacing w:after="0" w:line="202" w:lineRule="exact"/>
              <w:rPr>
                <w:sz w:val="20"/>
                <w:szCs w:val="20"/>
                <w:color w:val="auto"/>
              </w:rPr>
            </w:pPr>
            <w:r>
              <w:rPr>
                <w:rFonts w:ascii="Arial" w:cs="Arial" w:eastAsia="Arial" w:hAnsi="Arial"/>
                <w:sz w:val="14"/>
                <w:szCs w:val="14"/>
                <w:color w:val="auto"/>
              </w:rPr>
              <w:t>(1.45)%</w:t>
            </w:r>
            <w:r>
              <w:rPr>
                <w:rFonts w:ascii="Arial" w:cs="Arial" w:eastAsia="Arial" w:hAnsi="Arial"/>
                <w:sz w:val="23"/>
                <w:szCs w:val="23"/>
                <w:color w:val="auto"/>
                <w:vertAlign w:val="superscript"/>
              </w:rPr>
              <w:t>(3)</w:t>
            </w:r>
          </w:p>
        </w:tc>
      </w:tr>
      <w:tr>
        <w:trPr>
          <w:trHeight w:val="189"/>
        </w:trPr>
        <w:tc>
          <w:tcPr>
            <w:tcW w:w="2100" w:type="dxa"/>
            <w:vAlign w:val="bottom"/>
            <w:gridSpan w:val="2"/>
            <w:shd w:val="clear" w:color="auto" w:fill="FAFAFA"/>
          </w:tcPr>
          <w:p>
            <w:pPr>
              <w:ind w:left="180"/>
              <w:spacing w:after="0"/>
              <w:rPr>
                <w:sz w:val="20"/>
                <w:szCs w:val="20"/>
                <w:color w:val="auto"/>
              </w:rPr>
            </w:pPr>
            <w:r>
              <w:rPr>
                <w:rFonts w:ascii="Arial" w:cs="Arial" w:eastAsia="Arial" w:hAnsi="Arial"/>
                <w:sz w:val="14"/>
                <w:szCs w:val="14"/>
                <w:color w:val="auto"/>
              </w:rPr>
              <w:t>Kevin Church</w:t>
            </w:r>
          </w:p>
        </w:tc>
        <w:tc>
          <w:tcPr>
            <w:tcW w:w="2200" w:type="dxa"/>
            <w:vAlign w:val="bottom"/>
            <w:shd w:val="clear" w:color="auto" w:fill="FAFAFA"/>
          </w:tcPr>
          <w:p>
            <w:pPr>
              <w:jc w:val="center"/>
              <w:ind w:left="448"/>
              <w:spacing w:after="0"/>
              <w:rPr>
                <w:sz w:val="20"/>
                <w:szCs w:val="20"/>
                <w:color w:val="auto"/>
              </w:rPr>
            </w:pPr>
            <w:r>
              <w:rPr>
                <w:rFonts w:ascii="Arial" w:cs="Arial" w:eastAsia="Arial" w:hAnsi="Arial"/>
                <w:sz w:val="14"/>
                <w:szCs w:val="14"/>
                <w:color w:val="auto"/>
              </w:rPr>
              <w:t>October 1, 2024</w:t>
            </w:r>
          </w:p>
        </w:tc>
        <w:tc>
          <w:tcPr>
            <w:tcW w:w="1080" w:type="dxa"/>
            <w:vAlign w:val="bottom"/>
            <w:shd w:val="clear" w:color="auto" w:fill="FAFAFA"/>
          </w:tcPr>
          <w:p>
            <w:pPr>
              <w:jc w:val="right"/>
              <w:ind w:right="248"/>
              <w:spacing w:after="0"/>
              <w:rPr>
                <w:sz w:val="20"/>
                <w:szCs w:val="20"/>
                <w:color w:val="auto"/>
              </w:rPr>
            </w:pPr>
            <w:r>
              <w:rPr>
                <w:rFonts w:ascii="Arial" w:cs="Arial" w:eastAsia="Arial" w:hAnsi="Arial"/>
                <w:sz w:val="14"/>
                <w:szCs w:val="14"/>
                <w:color w:val="auto"/>
              </w:rPr>
              <w:t>110,000</w:t>
            </w:r>
          </w:p>
        </w:tc>
        <w:tc>
          <w:tcPr>
            <w:tcW w:w="980" w:type="dxa"/>
            <w:vAlign w:val="bottom"/>
            <w:shd w:val="clear" w:color="auto" w:fill="FAFAFA"/>
          </w:tcPr>
          <w:p>
            <w:pPr>
              <w:jc w:val="right"/>
              <w:ind w:right="68"/>
              <w:spacing w:after="0"/>
              <w:rPr>
                <w:sz w:val="20"/>
                <w:szCs w:val="20"/>
                <w:color w:val="auto"/>
              </w:rPr>
            </w:pPr>
            <w:r>
              <w:rPr>
                <w:rFonts w:ascii="Arial" w:cs="Arial" w:eastAsia="Arial" w:hAnsi="Arial"/>
                <w:sz w:val="14"/>
                <w:szCs w:val="14"/>
                <w:color w:val="auto"/>
              </w:rPr>
              <w:t>$0.4499</w:t>
            </w:r>
          </w:p>
        </w:tc>
        <w:tc>
          <w:tcPr>
            <w:tcW w:w="3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38,033​</w:t>
            </w:r>
          </w:p>
        </w:tc>
        <w:tc>
          <w:tcPr>
            <w:tcW w:w="800" w:type="dxa"/>
            <w:vAlign w:val="bottom"/>
            <w:shd w:val="clear" w:color="auto" w:fill="FAFAFA"/>
          </w:tcPr>
          <w:p>
            <w:pPr>
              <w:jc w:val="right"/>
              <w:ind w:right="528"/>
              <w:spacing w:after="0"/>
              <w:rPr>
                <w:sz w:val="20"/>
                <w:szCs w:val="20"/>
                <w:color w:val="auto"/>
              </w:rPr>
            </w:pPr>
            <w:r>
              <w:rPr>
                <w:rFonts w:ascii="Arial" w:cs="Arial" w:eastAsia="Arial" w:hAnsi="Arial"/>
                <w:sz w:val="14"/>
                <w:szCs w:val="14"/>
                <w:color w:val="auto"/>
                <w:w w:val="92"/>
              </w:rPr>
              <w:t>.82</w:t>
            </w:r>
          </w:p>
        </w:tc>
        <w:tc>
          <w:tcPr>
            <w:tcW w:w="1360" w:type="dxa"/>
            <w:vAlign w:val="bottom"/>
            <w:shd w:val="clear" w:color="auto" w:fill="FAFAFA"/>
          </w:tcPr>
          <w:p>
            <w:pPr>
              <w:jc w:val="right"/>
              <w:ind w:right="54"/>
              <w:spacing w:after="0" w:line="189" w:lineRule="exact"/>
              <w:rPr>
                <w:sz w:val="20"/>
                <w:szCs w:val="20"/>
                <w:color w:val="auto"/>
              </w:rPr>
            </w:pPr>
            <w:r>
              <w:rPr>
                <w:rFonts w:ascii="Arial" w:cs="Arial" w:eastAsia="Arial" w:hAnsi="Arial"/>
                <w:sz w:val="13"/>
                <w:szCs w:val="13"/>
                <w:color w:val="auto"/>
              </w:rPr>
              <w:t>(1.45)%</w:t>
            </w:r>
            <w:r>
              <w:rPr>
                <w:rFonts w:ascii="Arial" w:cs="Arial" w:eastAsia="Arial" w:hAnsi="Arial"/>
                <w:sz w:val="21"/>
                <w:szCs w:val="21"/>
                <w:color w:val="auto"/>
                <w:vertAlign w:val="superscript"/>
              </w:rPr>
              <w:t>(3)</w:t>
            </w:r>
          </w:p>
        </w:tc>
      </w:tr>
      <w:tr>
        <w:trPr>
          <w:trHeight w:val="95"/>
        </w:trPr>
        <w:tc>
          <w:tcPr>
            <w:tcW w:w="1300" w:type="dxa"/>
            <w:vAlign w:val="bottom"/>
            <w:shd w:val="clear" w:color="auto" w:fill="FAFAFA"/>
          </w:tcPr>
          <w:p>
            <w:pPr>
              <w:spacing w:after="0"/>
              <w:rPr>
                <w:sz w:val="8"/>
                <w:szCs w:val="8"/>
                <w:color w:val="auto"/>
              </w:rPr>
            </w:pPr>
          </w:p>
        </w:tc>
        <w:tc>
          <w:tcPr>
            <w:tcW w:w="800" w:type="dxa"/>
            <w:vAlign w:val="bottom"/>
            <w:shd w:val="clear" w:color="auto" w:fill="FAFAFA"/>
          </w:tcPr>
          <w:p>
            <w:pPr>
              <w:spacing w:after="0"/>
              <w:rPr>
                <w:sz w:val="8"/>
                <w:szCs w:val="8"/>
                <w:color w:val="auto"/>
              </w:rPr>
            </w:pPr>
          </w:p>
        </w:tc>
        <w:tc>
          <w:tcPr>
            <w:tcW w:w="2200" w:type="dxa"/>
            <w:vAlign w:val="bottom"/>
            <w:shd w:val="clear" w:color="auto" w:fill="FAFAFA"/>
          </w:tcPr>
          <w:p>
            <w:pPr>
              <w:spacing w:after="0"/>
              <w:rPr>
                <w:sz w:val="8"/>
                <w:szCs w:val="8"/>
                <w:color w:val="auto"/>
              </w:rPr>
            </w:pPr>
          </w:p>
        </w:tc>
        <w:tc>
          <w:tcPr>
            <w:tcW w:w="1080" w:type="dxa"/>
            <w:vAlign w:val="bottom"/>
            <w:shd w:val="clear" w:color="auto" w:fill="FAFAFA"/>
          </w:tcPr>
          <w:p>
            <w:pPr>
              <w:spacing w:after="0"/>
              <w:rPr>
                <w:sz w:val="8"/>
                <w:szCs w:val="8"/>
                <w:color w:val="auto"/>
              </w:rPr>
            </w:pPr>
          </w:p>
        </w:tc>
        <w:tc>
          <w:tcPr>
            <w:tcW w:w="980" w:type="dxa"/>
            <w:vAlign w:val="bottom"/>
            <w:shd w:val="clear" w:color="auto" w:fill="FAFAFA"/>
          </w:tcPr>
          <w:p>
            <w:pPr>
              <w:spacing w:after="0"/>
              <w:rPr>
                <w:sz w:val="8"/>
                <w:szCs w:val="8"/>
                <w:color w:val="auto"/>
              </w:rPr>
            </w:pPr>
          </w:p>
        </w:tc>
        <w:tc>
          <w:tcPr>
            <w:tcW w:w="320" w:type="dxa"/>
            <w:vAlign w:val="bottom"/>
            <w:shd w:val="clear" w:color="auto" w:fill="FAFAFA"/>
          </w:tcPr>
          <w:p>
            <w:pPr>
              <w:spacing w:after="0"/>
              <w:rPr>
                <w:sz w:val="8"/>
                <w:szCs w:val="8"/>
                <w:color w:val="auto"/>
              </w:rPr>
            </w:pPr>
          </w:p>
        </w:tc>
        <w:tc>
          <w:tcPr>
            <w:tcW w:w="560" w:type="dxa"/>
            <w:vAlign w:val="bottom"/>
            <w:shd w:val="clear" w:color="auto" w:fill="FAFAFA"/>
          </w:tcPr>
          <w:p>
            <w:pPr>
              <w:spacing w:after="0"/>
              <w:rPr>
                <w:sz w:val="8"/>
                <w:szCs w:val="8"/>
                <w:color w:val="auto"/>
              </w:rPr>
            </w:pPr>
          </w:p>
        </w:tc>
        <w:tc>
          <w:tcPr>
            <w:tcW w:w="800" w:type="dxa"/>
            <w:vAlign w:val="bottom"/>
            <w:shd w:val="clear" w:color="auto" w:fill="FAFAFA"/>
          </w:tcPr>
          <w:p>
            <w:pPr>
              <w:spacing w:after="0"/>
              <w:rPr>
                <w:sz w:val="8"/>
                <w:szCs w:val="8"/>
                <w:color w:val="auto"/>
              </w:rPr>
            </w:pPr>
          </w:p>
        </w:tc>
        <w:tc>
          <w:tcPr>
            <w:tcW w:w="1360" w:type="dxa"/>
            <w:vAlign w:val="bottom"/>
            <w:shd w:val="clear" w:color="auto" w:fill="FAFAFA"/>
          </w:tcPr>
          <w:p>
            <w:pPr>
              <w:spacing w:after="0"/>
              <w:rPr>
                <w:sz w:val="8"/>
                <w:szCs w:val="8"/>
                <w:color w:val="auto"/>
              </w:rPr>
            </w:pPr>
          </w:p>
        </w:tc>
      </w:tr>
      <w:tr>
        <w:trPr>
          <w:trHeight w:val="189"/>
        </w:trPr>
        <w:tc>
          <w:tcPr>
            <w:tcW w:w="1300" w:type="dxa"/>
            <w:vAlign w:val="bottom"/>
            <w:tcBorders>
              <w:bottom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-574040</wp:posOffset>
            </wp:positionV>
            <wp:extent cx="59664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-445135</wp:posOffset>
            </wp:positionV>
            <wp:extent cx="59664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-316865</wp:posOffset>
            </wp:positionV>
            <wp:extent cx="59664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360" w:right="20" w:hanging="354"/>
        <w:spacing w:after="0" w:line="256" w:lineRule="auto"/>
        <w:tabs>
          <w:tab w:leader="none" w:pos="360" w:val="left"/>
        </w:tabs>
        <w:numPr>
          <w:ilvl w:val="0"/>
          <w:numId w:val="38"/>
        </w:numPr>
        <w:rPr>
          <w:rFonts w:ascii="Arial" w:cs="Arial" w:eastAsia="Arial" w:hAnsi="Arial"/>
          <w:sz w:val="14"/>
          <w:szCs w:val="14"/>
          <w:color w:val="255993"/>
        </w:rPr>
      </w:pPr>
      <w:r>
        <w:rPr>
          <w:rFonts w:ascii="Arial" w:cs="Arial" w:eastAsia="Arial" w:hAnsi="Arial"/>
          <w:sz w:val="14"/>
          <w:szCs w:val="14"/>
          <w:color w:val="255993"/>
        </w:rPr>
        <w:t>In accordance with SEC rules, amounts in this column reflect the aggregate grant date fair value of stock options computed in accordance with ASC Topic 718, rather than the amounts paid or realized by the named executive officer. For a discussion of valuation assumptions, see Note 9 and the section titled “Stock-based Compensation” to our financial statements included in our Annual Report on Form 10-K for the year ended December 31, 2024.</w:t>
      </w:r>
    </w:p>
    <w:p>
      <w:pPr>
        <w:spacing w:after="0" w:line="42" w:lineRule="exact"/>
        <w:rPr>
          <w:rFonts w:ascii="Arial" w:cs="Arial" w:eastAsia="Arial" w:hAnsi="Arial"/>
          <w:sz w:val="14"/>
          <w:szCs w:val="14"/>
          <w:color w:val="255993"/>
        </w:rPr>
      </w:pPr>
    </w:p>
    <w:p>
      <w:pPr>
        <w:ind w:left="360" w:right="200" w:hanging="354"/>
        <w:spacing w:after="0" w:line="285" w:lineRule="auto"/>
        <w:tabs>
          <w:tab w:leader="none" w:pos="360" w:val="left"/>
        </w:tabs>
        <w:numPr>
          <w:ilvl w:val="0"/>
          <w:numId w:val="38"/>
        </w:numPr>
        <w:rPr>
          <w:rFonts w:ascii="Arial" w:cs="Arial" w:eastAsia="Arial" w:hAnsi="Arial"/>
          <w:sz w:val="14"/>
          <w:szCs w:val="14"/>
          <w:color w:val="255993"/>
        </w:rPr>
      </w:pPr>
      <w:r>
        <w:rPr>
          <w:rFonts w:ascii="Arial" w:cs="Arial" w:eastAsia="Arial" w:hAnsi="Arial"/>
          <w:sz w:val="14"/>
          <w:szCs w:val="14"/>
          <w:color w:val="255993"/>
        </w:rPr>
        <w:t>Calculated using the closing price of our common stock on NASDAQ on February 22, 2024 and February 23, 2024, of $3.93 and $3.93, per share, respectively.</w:t>
      </w:r>
    </w:p>
    <w:p>
      <w:pPr>
        <w:spacing w:after="0" w:line="36" w:lineRule="exact"/>
        <w:rPr>
          <w:rFonts w:ascii="Arial" w:cs="Arial" w:eastAsia="Arial" w:hAnsi="Arial"/>
          <w:sz w:val="14"/>
          <w:szCs w:val="14"/>
          <w:color w:val="255993"/>
        </w:rPr>
      </w:pPr>
    </w:p>
    <w:p>
      <w:pPr>
        <w:ind w:left="360" w:right="240" w:hanging="354"/>
        <w:spacing w:after="0" w:line="285" w:lineRule="auto"/>
        <w:tabs>
          <w:tab w:leader="none" w:pos="360" w:val="left"/>
        </w:tabs>
        <w:numPr>
          <w:ilvl w:val="0"/>
          <w:numId w:val="38"/>
        </w:numPr>
        <w:rPr>
          <w:rFonts w:ascii="Arial" w:cs="Arial" w:eastAsia="Arial" w:hAnsi="Arial"/>
          <w:sz w:val="14"/>
          <w:szCs w:val="14"/>
          <w:color w:val="255993"/>
        </w:rPr>
      </w:pPr>
      <w:r>
        <w:rPr>
          <w:rFonts w:ascii="Arial" w:cs="Arial" w:eastAsia="Arial" w:hAnsi="Arial"/>
          <w:sz w:val="14"/>
          <w:szCs w:val="14"/>
          <w:color w:val="255993"/>
        </w:rPr>
        <w:t>Calculated using the closing price of our common stock on NASDAQ on October 7, 2024 and October 8, 2024, of $0.429 and $0.4228, per share, respectively.</w:t>
      </w:r>
    </w:p>
    <w:p>
      <w:pPr>
        <w:spacing w:after="0" w:line="158"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49</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ind w:right="960"/>
        <w:spacing w:after="0" w:line="278" w:lineRule="auto"/>
        <w:rPr>
          <w:sz w:val="20"/>
          <w:szCs w:val="20"/>
          <w:color w:val="auto"/>
        </w:rPr>
      </w:pPr>
      <w:r>
        <w:rPr>
          <w:rFonts w:ascii="Times New Roman" w:cs="Times New Roman" w:eastAsia="Times New Roman" w:hAnsi="Times New Roman"/>
          <w:sz w:val="57"/>
          <w:szCs w:val="57"/>
          <w:color w:val="255993"/>
        </w:rPr>
        <w:t>Security Ownership of Certain Beneficial Owners and Management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beneficial ownership of our common stock as of February 28, 2025 by:</w:t>
      </w:r>
    </w:p>
    <w:p>
      <w:pPr>
        <w:spacing w:after="0" w:line="167" w:lineRule="exact"/>
        <w:rPr>
          <w:sz w:val="20"/>
          <w:szCs w:val="20"/>
          <w:color w:val="auto"/>
        </w:rPr>
      </w:pPr>
    </w:p>
    <w:p>
      <w:pPr>
        <w:ind w:left="140" w:hanging="134"/>
        <w:spacing w:after="0"/>
        <w:tabs>
          <w:tab w:leader="none" w:pos="140" w:val="left"/>
        </w:tabs>
        <w:numPr>
          <w:ilvl w:val="0"/>
          <w:numId w:val="39"/>
        </w:numPr>
        <w:rPr>
          <w:rFonts w:ascii="Arial" w:cs="Arial" w:eastAsia="Arial" w:hAnsi="Arial"/>
          <w:sz w:val="16"/>
          <w:szCs w:val="16"/>
          <w:color w:val="255993"/>
        </w:rPr>
      </w:pPr>
      <w:r>
        <w:rPr>
          <w:rFonts w:ascii="Arial" w:cs="Arial" w:eastAsia="Arial" w:hAnsi="Arial"/>
          <w:sz w:val="16"/>
          <w:szCs w:val="16"/>
          <w:color w:val="auto"/>
        </w:rPr>
        <w:t>each person, or group of affiliated persons, who is known by us to beneficially own more than 5% of our common stock;</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9"/>
        </w:numPr>
        <w:rPr>
          <w:rFonts w:ascii="Arial" w:cs="Arial" w:eastAsia="Arial" w:hAnsi="Arial"/>
          <w:sz w:val="16"/>
          <w:szCs w:val="16"/>
          <w:color w:val="255993"/>
        </w:rPr>
      </w:pPr>
      <w:r>
        <w:rPr>
          <w:rFonts w:ascii="Arial" w:cs="Arial" w:eastAsia="Arial" w:hAnsi="Arial"/>
          <w:sz w:val="16"/>
          <w:szCs w:val="16"/>
          <w:color w:val="auto"/>
        </w:rPr>
        <w:t>each of our named executive officers;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9"/>
        </w:numPr>
        <w:rPr>
          <w:rFonts w:ascii="Arial" w:cs="Arial" w:eastAsia="Arial" w:hAnsi="Arial"/>
          <w:sz w:val="16"/>
          <w:szCs w:val="16"/>
          <w:color w:val="255993"/>
        </w:rPr>
      </w:pPr>
      <w:r>
        <w:rPr>
          <w:rFonts w:ascii="Arial" w:cs="Arial" w:eastAsia="Arial" w:hAnsi="Arial"/>
          <w:sz w:val="16"/>
          <w:szCs w:val="16"/>
          <w:color w:val="auto"/>
        </w:rPr>
        <w:t>each of our directors;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9"/>
        </w:numPr>
        <w:rPr>
          <w:rFonts w:ascii="Arial" w:cs="Arial" w:eastAsia="Arial" w:hAnsi="Arial"/>
          <w:sz w:val="16"/>
          <w:szCs w:val="16"/>
          <w:color w:val="255993"/>
        </w:rPr>
      </w:pPr>
      <w:r>
        <w:rPr>
          <w:rFonts w:ascii="Arial" w:cs="Arial" w:eastAsia="Arial" w:hAnsi="Arial"/>
          <w:sz w:val="16"/>
          <w:szCs w:val="16"/>
          <w:color w:val="auto"/>
        </w:rPr>
        <w:t>all of our executive officers and directors as a group.</w:t>
      </w:r>
    </w:p>
    <w:p>
      <w:pPr>
        <w:spacing w:after="0" w:line="14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percentage of beneficial ownership shown in the table is based upon 39,042,445 shares of common stock outstanding as of February 28, 2025.</w:t>
      </w:r>
    </w:p>
    <w:p>
      <w:pPr>
        <w:spacing w:after="0" w:line="8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w:t>
      </w:r>
    </w:p>
    <w:p>
      <w:pPr>
        <w:ind w:right="20"/>
        <w:spacing w:after="0" w:line="233" w:lineRule="auto"/>
        <w:rPr>
          <w:sz w:val="20"/>
          <w:szCs w:val="20"/>
          <w:color w:val="auto"/>
        </w:rPr>
      </w:pPr>
      <w:r>
        <w:rPr>
          <w:rFonts w:ascii="Arial" w:cs="Arial" w:eastAsia="Arial" w:hAnsi="Arial"/>
          <w:sz w:val="16"/>
          <w:szCs w:val="16"/>
          <w:color w:val="auto"/>
        </w:rPr>
        <w:t>on or before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February 28, 2025. Certain of the options granted to our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2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Except as otherwise noted below, the address for each person or entity listed in the table is c/o Athira Pharma, Inc., 18706 North Creek Parkway, Suite 104, Bothell, Washington 98011.</w:t>
      </w:r>
    </w:p>
    <w:p>
      <w:pPr>
        <w:spacing w:after="0" w:line="16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50</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120" w:type="dxa"/>
            <w:vAlign w:val="bottom"/>
            <w:shd w:val="clear" w:color="auto" w:fill="255993"/>
          </w:tcPr>
          <w:p>
            <w:pPr>
              <w:spacing w:after="0"/>
              <w:rPr>
                <w:sz w:val="24"/>
                <w:szCs w:val="24"/>
                <w:color w:val="auto"/>
              </w:rPr>
            </w:pPr>
          </w:p>
        </w:tc>
        <w:tc>
          <w:tcPr>
            <w:tcW w:w="6920" w:type="dxa"/>
            <w:vAlign w:val="bottom"/>
            <w:shd w:val="clear" w:color="auto" w:fill="255993"/>
          </w:tcPr>
          <w:p>
            <w:pPr>
              <w:spacing w:after="0"/>
              <w:rPr>
                <w:sz w:val="24"/>
                <w:szCs w:val="24"/>
                <w:color w:val="auto"/>
              </w:rPr>
            </w:pPr>
          </w:p>
        </w:tc>
        <w:tc>
          <w:tcPr>
            <w:tcW w:w="2360" w:type="dxa"/>
            <w:vAlign w:val="bottom"/>
            <w:gridSpan w:val="2"/>
            <w:shd w:val="clear" w:color="auto" w:fill="255993"/>
          </w:tcPr>
          <w:p>
            <w:pPr>
              <w:jc w:val="right"/>
              <w:ind w:right="47"/>
              <w:spacing w:after="0"/>
              <w:rPr>
                <w:sz w:val="20"/>
                <w:szCs w:val="20"/>
                <w:color w:val="auto"/>
              </w:rPr>
            </w:pPr>
            <w:r>
              <w:rPr>
                <w:rFonts w:ascii="Arial" w:cs="Arial" w:eastAsia="Arial" w:hAnsi="Arial"/>
                <w:sz w:val="16"/>
                <w:szCs w:val="16"/>
                <w:b w:val="1"/>
                <w:bCs w:val="1"/>
                <w:color w:val="FFFFFF"/>
              </w:rPr>
              <w:t>Shares Beneficially Owned</w:t>
            </w:r>
          </w:p>
        </w:tc>
        <w:tc>
          <w:tcPr>
            <w:tcW w:w="0" w:type="dxa"/>
            <w:vAlign w:val="bottom"/>
          </w:tcPr>
          <w:p>
            <w:pPr>
              <w:spacing w:after="0"/>
              <w:rPr>
                <w:sz w:val="1"/>
                <w:szCs w:val="1"/>
                <w:color w:val="auto"/>
              </w:rPr>
            </w:pPr>
          </w:p>
        </w:tc>
      </w:tr>
      <w:tr>
        <w:trPr>
          <w:trHeight w:val="317"/>
        </w:trPr>
        <w:tc>
          <w:tcPr>
            <w:tcW w:w="120" w:type="dxa"/>
            <w:vAlign w:val="bottom"/>
            <w:shd w:val="clear" w:color="auto" w:fill="255993"/>
          </w:tcPr>
          <w:p>
            <w:pPr>
              <w:spacing w:after="0"/>
              <w:rPr>
                <w:sz w:val="24"/>
                <w:szCs w:val="24"/>
                <w:color w:val="auto"/>
              </w:rPr>
            </w:pPr>
          </w:p>
        </w:tc>
        <w:tc>
          <w:tcPr>
            <w:tcW w:w="6920" w:type="dxa"/>
            <w:vAlign w:val="bottom"/>
            <w:shd w:val="clear" w:color="auto" w:fill="255993"/>
          </w:tcPr>
          <w:p>
            <w:pPr>
              <w:spacing w:after="0"/>
              <w:rPr>
                <w:sz w:val="24"/>
                <w:szCs w:val="24"/>
                <w:color w:val="auto"/>
              </w:rPr>
            </w:pPr>
          </w:p>
        </w:tc>
        <w:tc>
          <w:tcPr>
            <w:tcW w:w="1200" w:type="dxa"/>
            <w:vAlign w:val="bottom"/>
            <w:shd w:val="clear" w:color="auto" w:fill="255993"/>
          </w:tcPr>
          <w:p>
            <w:pPr>
              <w:jc w:val="right"/>
              <w:ind w:right="47"/>
              <w:spacing w:after="0"/>
              <w:rPr>
                <w:sz w:val="20"/>
                <w:szCs w:val="20"/>
                <w:color w:val="auto"/>
              </w:rPr>
            </w:pPr>
            <w:r>
              <w:rPr>
                <w:rFonts w:ascii="Arial" w:cs="Arial" w:eastAsia="Arial" w:hAnsi="Arial"/>
                <w:sz w:val="16"/>
                <w:szCs w:val="16"/>
                <w:b w:val="1"/>
                <w:bCs w:val="1"/>
                <w:color w:val="FFFFFF"/>
              </w:rPr>
              <w:t>Number of</w:t>
            </w:r>
          </w:p>
        </w:tc>
        <w:tc>
          <w:tcPr>
            <w:tcW w:w="1160" w:type="dxa"/>
            <w:vAlign w:val="bottom"/>
            <w:shd w:val="clear" w:color="auto" w:fill="255993"/>
          </w:tcPr>
          <w:p>
            <w:pPr>
              <w:jc w:val="right"/>
              <w:ind w:right="87"/>
              <w:spacing w:after="0"/>
              <w:rPr>
                <w:sz w:val="20"/>
                <w:szCs w:val="20"/>
                <w:color w:val="auto"/>
              </w:rPr>
            </w:pPr>
            <w:r>
              <w:rPr>
                <w:rFonts w:ascii="Arial" w:cs="Arial" w:eastAsia="Arial" w:hAnsi="Arial"/>
                <w:sz w:val="16"/>
                <w:szCs w:val="16"/>
                <w:b w:val="1"/>
                <w:bCs w:val="1"/>
                <w:color w:val="FFFFFF"/>
              </w:rPr>
              <w:t>Percentage</w:t>
            </w:r>
          </w:p>
        </w:tc>
        <w:tc>
          <w:tcPr>
            <w:tcW w:w="0" w:type="dxa"/>
            <w:vAlign w:val="bottom"/>
          </w:tcPr>
          <w:p>
            <w:pPr>
              <w:spacing w:after="0"/>
              <w:rPr>
                <w:sz w:val="1"/>
                <w:szCs w:val="1"/>
                <w:color w:val="auto"/>
              </w:rPr>
            </w:pPr>
          </w:p>
        </w:tc>
      </w:tr>
      <w:tr>
        <w:trPr>
          <w:trHeight w:val="237"/>
        </w:trPr>
        <w:tc>
          <w:tcPr>
            <w:tcW w:w="120" w:type="dxa"/>
            <w:vAlign w:val="bottom"/>
            <w:tcBorders>
              <w:bottom w:val="single" w:sz="8" w:color="255993"/>
            </w:tcBorders>
            <w:shd w:val="clear" w:color="auto" w:fill="255993"/>
          </w:tcPr>
          <w:p>
            <w:pPr>
              <w:spacing w:after="0"/>
              <w:rPr>
                <w:sz w:val="20"/>
                <w:szCs w:val="20"/>
                <w:color w:val="auto"/>
              </w:rPr>
            </w:pPr>
          </w:p>
        </w:tc>
        <w:tc>
          <w:tcPr>
            <w:tcW w:w="6920" w:type="dxa"/>
            <w:vAlign w:val="bottom"/>
            <w:tcBorders>
              <w:bottom w:val="single" w:sz="8" w:color="255993"/>
            </w:tcBorders>
            <w:shd w:val="clear" w:color="auto" w:fill="255993"/>
          </w:tcPr>
          <w:p>
            <w:pPr>
              <w:spacing w:after="0"/>
              <w:rPr>
                <w:sz w:val="20"/>
                <w:szCs w:val="20"/>
                <w:color w:val="auto"/>
              </w:rPr>
            </w:pPr>
          </w:p>
        </w:tc>
        <w:tc>
          <w:tcPr>
            <w:tcW w:w="1200" w:type="dxa"/>
            <w:vAlign w:val="bottom"/>
            <w:tcBorders>
              <w:bottom w:val="single" w:sz="8" w:color="255993"/>
            </w:tcBorders>
            <w:shd w:val="clear" w:color="auto" w:fill="255993"/>
          </w:tcPr>
          <w:p>
            <w:pPr>
              <w:jc w:val="right"/>
              <w:ind w:right="47"/>
              <w:spacing w:after="0"/>
              <w:rPr>
                <w:sz w:val="20"/>
                <w:szCs w:val="20"/>
                <w:color w:val="auto"/>
              </w:rPr>
            </w:pPr>
            <w:r>
              <w:rPr>
                <w:rFonts w:ascii="Arial" w:cs="Arial" w:eastAsia="Arial" w:hAnsi="Arial"/>
                <w:sz w:val="16"/>
                <w:szCs w:val="16"/>
                <w:b w:val="1"/>
                <w:bCs w:val="1"/>
                <w:color w:val="FFFFFF"/>
              </w:rPr>
              <w:t>Shares</w:t>
            </w:r>
          </w:p>
        </w:tc>
        <w:tc>
          <w:tcPr>
            <w:tcW w:w="1160" w:type="dxa"/>
            <w:vAlign w:val="bottom"/>
            <w:tcBorders>
              <w:bottom w:val="single" w:sz="8" w:color="255993"/>
            </w:tcBorders>
            <w:shd w:val="clear" w:color="auto" w:fill="255993"/>
          </w:tcPr>
          <w:p>
            <w:pPr>
              <w:jc w:val="right"/>
              <w:ind w:right="47"/>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50"/>
        </w:trPr>
        <w:tc>
          <w:tcPr>
            <w:tcW w:w="120" w:type="dxa"/>
            <w:vAlign w:val="bottom"/>
            <w:tcBorders>
              <w:bottom w:val="single" w:sz="8" w:color="EBEBEB"/>
            </w:tcBorders>
            <w:shd w:val="clear" w:color="auto" w:fill="EBEBEB"/>
          </w:tcPr>
          <w:p>
            <w:pPr>
              <w:spacing w:after="0"/>
              <w:rPr>
                <w:sz w:val="21"/>
                <w:szCs w:val="21"/>
                <w:color w:val="auto"/>
              </w:rPr>
            </w:pPr>
          </w:p>
        </w:tc>
        <w:tc>
          <w:tcPr>
            <w:tcW w:w="6920" w:type="dxa"/>
            <w:vAlign w:val="bottom"/>
            <w:tcBorders>
              <w:bottom w:val="single" w:sz="8" w:color="EBEBEB"/>
            </w:tcBorders>
            <w:shd w:val="clear" w:color="auto" w:fill="EBEBEB"/>
          </w:tcPr>
          <w:p>
            <w:pPr>
              <w:ind w:left="80"/>
              <w:spacing w:after="0"/>
              <w:rPr>
                <w:sz w:val="20"/>
                <w:szCs w:val="20"/>
                <w:color w:val="auto"/>
              </w:rPr>
            </w:pPr>
            <w:r>
              <w:rPr>
                <w:rFonts w:ascii="Arial" w:cs="Arial" w:eastAsia="Arial" w:hAnsi="Arial"/>
                <w:sz w:val="16"/>
                <w:szCs w:val="16"/>
                <w:b w:val="1"/>
                <w:bCs w:val="1"/>
                <w:color w:val="255993"/>
              </w:rPr>
              <w:t>5% AND GREATER STOCKHOLDERS:</w:t>
            </w:r>
          </w:p>
        </w:tc>
        <w:tc>
          <w:tcPr>
            <w:tcW w:w="1200" w:type="dxa"/>
            <w:vAlign w:val="bottom"/>
            <w:tcBorders>
              <w:bottom w:val="single" w:sz="8" w:color="EBEBEB"/>
            </w:tcBorders>
            <w:shd w:val="clear" w:color="auto" w:fill="EBEBEB"/>
          </w:tcPr>
          <w:p>
            <w:pPr>
              <w:spacing w:after="0"/>
              <w:rPr>
                <w:sz w:val="21"/>
                <w:szCs w:val="21"/>
                <w:color w:val="auto"/>
              </w:rPr>
            </w:pPr>
          </w:p>
        </w:tc>
        <w:tc>
          <w:tcPr>
            <w:tcW w:w="1160" w:type="dxa"/>
            <w:vAlign w:val="bottom"/>
            <w:tcBorders>
              <w:bottom w:val="single" w:sz="8" w:color="EBEBEB"/>
            </w:tcBorders>
            <w:shd w:val="clear" w:color="auto" w:fill="EBEBEB"/>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20" w:type="dxa"/>
            <w:vAlign w:val="bottom"/>
            <w:shd w:val="clear" w:color="auto" w:fill="FAFAFA"/>
          </w:tcPr>
          <w:p>
            <w:pPr>
              <w:spacing w:after="0"/>
              <w:rPr>
                <w:sz w:val="24"/>
                <w:szCs w:val="24"/>
                <w:color w:val="auto"/>
              </w:rPr>
            </w:pPr>
          </w:p>
        </w:tc>
        <w:tc>
          <w:tcPr>
            <w:tcW w:w="692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Perceptive Life Sciences Master Fund Ltd.</w:t>
            </w:r>
            <w:r>
              <w:rPr>
                <w:rFonts w:ascii="Arial" w:cs="Arial" w:eastAsia="Arial" w:hAnsi="Arial"/>
                <w:sz w:val="23"/>
                <w:szCs w:val="23"/>
                <w:b w:val="1"/>
                <w:bCs w:val="1"/>
                <w:color w:val="auto"/>
                <w:vertAlign w:val="superscript"/>
              </w:rPr>
              <w:t>(1)</w:t>
            </w:r>
          </w:p>
        </w:tc>
        <w:tc>
          <w:tcPr>
            <w:tcW w:w="120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5,402,964</w:t>
            </w:r>
          </w:p>
        </w:tc>
        <w:tc>
          <w:tcPr>
            <w:tcW w:w="116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83"/>
        </w:trPr>
        <w:tc>
          <w:tcPr>
            <w:tcW w:w="120" w:type="dxa"/>
            <w:vAlign w:val="bottom"/>
            <w:shd w:val="clear" w:color="auto" w:fill="EBEBEB"/>
          </w:tcPr>
          <w:p>
            <w:pPr>
              <w:spacing w:after="0"/>
              <w:rPr>
                <w:sz w:val="24"/>
                <w:szCs w:val="24"/>
                <w:color w:val="auto"/>
              </w:rPr>
            </w:pPr>
          </w:p>
        </w:tc>
        <w:tc>
          <w:tcPr>
            <w:tcW w:w="692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BML Investment Partners, L.P.</w:t>
            </w:r>
            <w:r>
              <w:rPr>
                <w:rFonts w:ascii="Arial" w:cs="Arial" w:eastAsia="Arial" w:hAnsi="Arial"/>
                <w:sz w:val="23"/>
                <w:szCs w:val="23"/>
                <w:b w:val="1"/>
                <w:bCs w:val="1"/>
                <w:color w:val="auto"/>
                <w:vertAlign w:val="superscript"/>
              </w:rPr>
              <w:t>(2)</w:t>
            </w:r>
          </w:p>
        </w:tc>
        <w:tc>
          <w:tcPr>
            <w:tcW w:w="120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3,027,163</w:t>
            </w:r>
          </w:p>
        </w:tc>
        <w:tc>
          <w:tcPr>
            <w:tcW w:w="116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83"/>
        </w:trPr>
        <w:tc>
          <w:tcPr>
            <w:tcW w:w="120" w:type="dxa"/>
            <w:vAlign w:val="bottom"/>
            <w:shd w:val="clear" w:color="auto" w:fill="FAFAFA"/>
          </w:tcPr>
          <w:p>
            <w:pPr>
              <w:spacing w:after="0"/>
              <w:rPr>
                <w:sz w:val="24"/>
                <w:szCs w:val="24"/>
                <w:color w:val="auto"/>
              </w:rPr>
            </w:pPr>
          </w:p>
        </w:tc>
        <w:tc>
          <w:tcPr>
            <w:tcW w:w="692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Richard A. Kayne</w:t>
            </w:r>
            <w:r>
              <w:rPr>
                <w:rFonts w:ascii="Arial" w:cs="Arial" w:eastAsia="Arial" w:hAnsi="Arial"/>
                <w:sz w:val="23"/>
                <w:szCs w:val="23"/>
                <w:b w:val="1"/>
                <w:bCs w:val="1"/>
                <w:color w:val="auto"/>
                <w:vertAlign w:val="superscript"/>
              </w:rPr>
              <w:t>(3)</w:t>
            </w:r>
          </w:p>
        </w:tc>
        <w:tc>
          <w:tcPr>
            <w:tcW w:w="120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1,983,668</w:t>
            </w:r>
          </w:p>
        </w:tc>
        <w:tc>
          <w:tcPr>
            <w:tcW w:w="116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64"/>
        </w:trPr>
        <w:tc>
          <w:tcPr>
            <w:tcW w:w="120" w:type="dxa"/>
            <w:vAlign w:val="bottom"/>
            <w:tcBorders>
              <w:bottom w:val="single" w:sz="8" w:color="EBEBEB"/>
            </w:tcBorders>
            <w:shd w:val="clear" w:color="auto" w:fill="EBEBEB"/>
          </w:tcPr>
          <w:p>
            <w:pPr>
              <w:spacing w:after="0"/>
              <w:rPr>
                <w:sz w:val="22"/>
                <w:szCs w:val="22"/>
                <w:color w:val="auto"/>
              </w:rPr>
            </w:pPr>
          </w:p>
        </w:tc>
        <w:tc>
          <w:tcPr>
            <w:tcW w:w="6920" w:type="dxa"/>
            <w:vAlign w:val="bottom"/>
            <w:tcBorders>
              <w:bottom w:val="single" w:sz="8" w:color="EBEBEB"/>
            </w:tcBorders>
            <w:shd w:val="clear" w:color="auto" w:fill="EBEBEB"/>
          </w:tcPr>
          <w:p>
            <w:pPr>
              <w:ind w:left="80"/>
              <w:spacing w:after="0"/>
              <w:rPr>
                <w:sz w:val="20"/>
                <w:szCs w:val="20"/>
                <w:color w:val="auto"/>
              </w:rPr>
            </w:pPr>
            <w:r>
              <w:rPr>
                <w:rFonts w:ascii="Arial" w:cs="Arial" w:eastAsia="Arial" w:hAnsi="Arial"/>
                <w:sz w:val="16"/>
                <w:szCs w:val="16"/>
                <w:b w:val="1"/>
                <w:bCs w:val="1"/>
                <w:color w:val="255993"/>
              </w:rPr>
              <w:t>NAMED EXECUTIVE OFFICERS AND DIRECTORS:</w:t>
            </w:r>
          </w:p>
        </w:tc>
        <w:tc>
          <w:tcPr>
            <w:tcW w:w="1200" w:type="dxa"/>
            <w:vAlign w:val="bottom"/>
            <w:tcBorders>
              <w:bottom w:val="single" w:sz="8" w:color="EBEBEB"/>
            </w:tcBorders>
            <w:shd w:val="clear" w:color="auto" w:fill="EBEBEB"/>
          </w:tcPr>
          <w:p>
            <w:pPr>
              <w:spacing w:after="0"/>
              <w:rPr>
                <w:sz w:val="22"/>
                <w:szCs w:val="22"/>
                <w:color w:val="auto"/>
              </w:rPr>
            </w:pPr>
          </w:p>
        </w:tc>
        <w:tc>
          <w:tcPr>
            <w:tcW w:w="1160" w:type="dxa"/>
            <w:vAlign w:val="bottom"/>
            <w:tcBorders>
              <w:bottom w:val="single" w:sz="8" w:color="EBEBEB"/>
            </w:tcBorders>
            <w:shd w:val="clear" w:color="auto" w:fill="EBEBEB"/>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20" w:type="dxa"/>
            <w:vAlign w:val="bottom"/>
            <w:shd w:val="clear" w:color="auto" w:fill="FAFAFA"/>
          </w:tcPr>
          <w:p>
            <w:pPr>
              <w:spacing w:after="0"/>
              <w:rPr>
                <w:sz w:val="24"/>
                <w:szCs w:val="24"/>
                <w:color w:val="auto"/>
              </w:rPr>
            </w:pPr>
          </w:p>
        </w:tc>
        <w:tc>
          <w:tcPr>
            <w:tcW w:w="692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Mark Litton</w:t>
            </w:r>
            <w:r>
              <w:rPr>
                <w:rFonts w:ascii="Arial" w:cs="Arial" w:eastAsia="Arial" w:hAnsi="Arial"/>
                <w:sz w:val="23"/>
                <w:szCs w:val="23"/>
                <w:b w:val="1"/>
                <w:bCs w:val="1"/>
                <w:color w:val="auto"/>
                <w:vertAlign w:val="superscript"/>
              </w:rPr>
              <w:t>(4)</w:t>
            </w:r>
          </w:p>
        </w:tc>
        <w:tc>
          <w:tcPr>
            <w:tcW w:w="120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1,443,437</w:t>
            </w:r>
          </w:p>
        </w:tc>
        <w:tc>
          <w:tcPr>
            <w:tcW w:w="116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83"/>
        </w:trPr>
        <w:tc>
          <w:tcPr>
            <w:tcW w:w="120" w:type="dxa"/>
            <w:vAlign w:val="bottom"/>
            <w:shd w:val="clear" w:color="auto" w:fill="EBEBEB"/>
          </w:tcPr>
          <w:p>
            <w:pPr>
              <w:spacing w:after="0"/>
              <w:rPr>
                <w:sz w:val="24"/>
                <w:szCs w:val="24"/>
                <w:color w:val="auto"/>
              </w:rPr>
            </w:pPr>
          </w:p>
        </w:tc>
        <w:tc>
          <w:tcPr>
            <w:tcW w:w="692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Kevin Church</w:t>
            </w:r>
            <w:r>
              <w:rPr>
                <w:rFonts w:ascii="Arial" w:cs="Arial" w:eastAsia="Arial" w:hAnsi="Arial"/>
                <w:sz w:val="23"/>
                <w:szCs w:val="23"/>
                <w:b w:val="1"/>
                <w:bCs w:val="1"/>
                <w:color w:val="auto"/>
                <w:vertAlign w:val="superscript"/>
              </w:rPr>
              <w:t>(5)</w:t>
            </w:r>
          </w:p>
        </w:tc>
        <w:tc>
          <w:tcPr>
            <w:tcW w:w="120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517,161</w:t>
            </w:r>
          </w:p>
        </w:tc>
        <w:tc>
          <w:tcPr>
            <w:tcW w:w="116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83"/>
        </w:trPr>
        <w:tc>
          <w:tcPr>
            <w:tcW w:w="120" w:type="dxa"/>
            <w:vAlign w:val="bottom"/>
            <w:shd w:val="clear" w:color="auto" w:fill="FAFAFA"/>
          </w:tcPr>
          <w:p>
            <w:pPr>
              <w:spacing w:after="0"/>
              <w:rPr>
                <w:sz w:val="24"/>
                <w:szCs w:val="24"/>
                <w:color w:val="auto"/>
              </w:rPr>
            </w:pPr>
          </w:p>
        </w:tc>
        <w:tc>
          <w:tcPr>
            <w:tcW w:w="692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Mark Worthington</w:t>
            </w:r>
            <w:r>
              <w:rPr>
                <w:rFonts w:ascii="Arial" w:cs="Arial" w:eastAsia="Arial" w:hAnsi="Arial"/>
                <w:sz w:val="23"/>
                <w:szCs w:val="23"/>
                <w:b w:val="1"/>
                <w:bCs w:val="1"/>
                <w:color w:val="auto"/>
                <w:vertAlign w:val="superscript"/>
              </w:rPr>
              <w:t>(6)</w:t>
            </w:r>
          </w:p>
        </w:tc>
        <w:tc>
          <w:tcPr>
            <w:tcW w:w="120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533,233</w:t>
            </w:r>
          </w:p>
        </w:tc>
        <w:tc>
          <w:tcPr>
            <w:tcW w:w="116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83"/>
        </w:trPr>
        <w:tc>
          <w:tcPr>
            <w:tcW w:w="120" w:type="dxa"/>
            <w:vAlign w:val="bottom"/>
            <w:shd w:val="clear" w:color="auto" w:fill="EBEBEB"/>
          </w:tcPr>
          <w:p>
            <w:pPr>
              <w:spacing w:after="0"/>
              <w:rPr>
                <w:sz w:val="24"/>
                <w:szCs w:val="24"/>
                <w:color w:val="auto"/>
              </w:rPr>
            </w:pPr>
          </w:p>
        </w:tc>
        <w:tc>
          <w:tcPr>
            <w:tcW w:w="692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Andrew Gengos</w:t>
            </w:r>
            <w:r>
              <w:rPr>
                <w:rFonts w:ascii="Arial" w:cs="Arial" w:eastAsia="Arial" w:hAnsi="Arial"/>
                <w:sz w:val="23"/>
                <w:szCs w:val="23"/>
                <w:b w:val="1"/>
                <w:bCs w:val="1"/>
                <w:color w:val="auto"/>
                <w:vertAlign w:val="superscript"/>
              </w:rPr>
              <w:t>(7)</w:t>
            </w:r>
          </w:p>
        </w:tc>
        <w:tc>
          <w:tcPr>
            <w:tcW w:w="120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97,532</w:t>
            </w:r>
          </w:p>
        </w:tc>
        <w:tc>
          <w:tcPr>
            <w:tcW w:w="116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4"/>
        </w:trPr>
        <w:tc>
          <w:tcPr>
            <w:tcW w:w="120" w:type="dxa"/>
            <w:vAlign w:val="bottom"/>
            <w:shd w:val="clear" w:color="auto" w:fill="FAFAFA"/>
          </w:tcPr>
          <w:p>
            <w:pPr>
              <w:spacing w:after="0"/>
              <w:rPr>
                <w:sz w:val="24"/>
                <w:szCs w:val="24"/>
                <w:color w:val="auto"/>
              </w:rPr>
            </w:pPr>
          </w:p>
        </w:tc>
        <w:tc>
          <w:tcPr>
            <w:tcW w:w="692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Rachel Lenington</w:t>
            </w:r>
            <w:r>
              <w:rPr>
                <w:rFonts w:ascii="Arial" w:cs="Arial" w:eastAsia="Arial" w:hAnsi="Arial"/>
                <w:sz w:val="23"/>
                <w:szCs w:val="23"/>
                <w:b w:val="1"/>
                <w:bCs w:val="1"/>
                <w:color w:val="auto"/>
                <w:vertAlign w:val="superscript"/>
              </w:rPr>
              <w:t>(8)</w:t>
            </w:r>
          </w:p>
        </w:tc>
        <w:tc>
          <w:tcPr>
            <w:tcW w:w="120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20,870</w:t>
            </w:r>
          </w:p>
        </w:tc>
        <w:tc>
          <w:tcPr>
            <w:tcW w:w="116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0" w:type="dxa"/>
            <w:vAlign w:val="bottom"/>
            <w:shd w:val="clear" w:color="auto" w:fill="EBEBEB"/>
          </w:tcPr>
          <w:p>
            <w:pPr>
              <w:spacing w:after="0"/>
              <w:rPr>
                <w:sz w:val="24"/>
                <w:szCs w:val="24"/>
                <w:color w:val="auto"/>
              </w:rPr>
            </w:pPr>
          </w:p>
        </w:tc>
        <w:tc>
          <w:tcPr>
            <w:tcW w:w="692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Joseph Edelman</w:t>
            </w:r>
            <w:r>
              <w:rPr>
                <w:rFonts w:ascii="Arial" w:cs="Arial" w:eastAsia="Arial" w:hAnsi="Arial"/>
                <w:sz w:val="23"/>
                <w:szCs w:val="23"/>
                <w:b w:val="1"/>
                <w:bCs w:val="1"/>
                <w:color w:val="auto"/>
                <w:vertAlign w:val="superscript"/>
              </w:rPr>
              <w:t>(9)</w:t>
            </w:r>
          </w:p>
        </w:tc>
        <w:tc>
          <w:tcPr>
            <w:tcW w:w="120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5,479,348</w:t>
            </w:r>
          </w:p>
        </w:tc>
        <w:tc>
          <w:tcPr>
            <w:tcW w:w="116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83"/>
        </w:trPr>
        <w:tc>
          <w:tcPr>
            <w:tcW w:w="120" w:type="dxa"/>
            <w:vAlign w:val="bottom"/>
            <w:shd w:val="clear" w:color="auto" w:fill="FAFAFA"/>
          </w:tcPr>
          <w:p>
            <w:pPr>
              <w:spacing w:after="0"/>
              <w:rPr>
                <w:sz w:val="24"/>
                <w:szCs w:val="24"/>
                <w:color w:val="auto"/>
              </w:rPr>
            </w:pPr>
          </w:p>
        </w:tc>
        <w:tc>
          <w:tcPr>
            <w:tcW w:w="692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John M. Fluke, Jr.</w:t>
            </w:r>
            <w:r>
              <w:rPr>
                <w:rFonts w:ascii="Arial" w:cs="Arial" w:eastAsia="Arial" w:hAnsi="Arial"/>
                <w:sz w:val="23"/>
                <w:szCs w:val="23"/>
                <w:b w:val="1"/>
                <w:bCs w:val="1"/>
                <w:color w:val="auto"/>
                <w:vertAlign w:val="superscript"/>
              </w:rPr>
              <w:t>(10)</w:t>
            </w:r>
          </w:p>
        </w:tc>
        <w:tc>
          <w:tcPr>
            <w:tcW w:w="120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224,999</w:t>
            </w:r>
          </w:p>
        </w:tc>
        <w:tc>
          <w:tcPr>
            <w:tcW w:w="116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0" w:type="dxa"/>
            <w:vAlign w:val="bottom"/>
            <w:shd w:val="clear" w:color="auto" w:fill="EBEBEB"/>
          </w:tcPr>
          <w:p>
            <w:pPr>
              <w:spacing w:after="0"/>
              <w:rPr>
                <w:sz w:val="24"/>
                <w:szCs w:val="24"/>
                <w:color w:val="auto"/>
              </w:rPr>
            </w:pPr>
          </w:p>
        </w:tc>
        <w:tc>
          <w:tcPr>
            <w:tcW w:w="692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James A. Johnson</w:t>
            </w:r>
            <w:r>
              <w:rPr>
                <w:rFonts w:ascii="Arial" w:cs="Arial" w:eastAsia="Arial" w:hAnsi="Arial"/>
                <w:sz w:val="23"/>
                <w:szCs w:val="23"/>
                <w:b w:val="1"/>
                <w:bCs w:val="1"/>
                <w:color w:val="auto"/>
                <w:vertAlign w:val="superscript"/>
              </w:rPr>
              <w:t>(11)</w:t>
            </w:r>
          </w:p>
        </w:tc>
        <w:tc>
          <w:tcPr>
            <w:tcW w:w="120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81,384</w:t>
            </w:r>
          </w:p>
        </w:tc>
        <w:tc>
          <w:tcPr>
            <w:tcW w:w="116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0" w:type="dxa"/>
            <w:vAlign w:val="bottom"/>
            <w:shd w:val="clear" w:color="auto" w:fill="FAFAFA"/>
          </w:tcPr>
          <w:p>
            <w:pPr>
              <w:spacing w:after="0"/>
              <w:rPr>
                <w:sz w:val="24"/>
                <w:szCs w:val="24"/>
                <w:color w:val="auto"/>
              </w:rPr>
            </w:pPr>
          </w:p>
        </w:tc>
        <w:tc>
          <w:tcPr>
            <w:tcW w:w="692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Barbara Kosacz</w:t>
            </w:r>
            <w:r>
              <w:rPr>
                <w:rFonts w:ascii="Arial" w:cs="Arial" w:eastAsia="Arial" w:hAnsi="Arial"/>
                <w:sz w:val="23"/>
                <w:szCs w:val="23"/>
                <w:b w:val="1"/>
                <w:bCs w:val="1"/>
                <w:color w:val="auto"/>
                <w:vertAlign w:val="superscript"/>
              </w:rPr>
              <w:t>(12)</w:t>
            </w:r>
          </w:p>
        </w:tc>
        <w:tc>
          <w:tcPr>
            <w:tcW w:w="120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62,513</w:t>
            </w:r>
          </w:p>
        </w:tc>
        <w:tc>
          <w:tcPr>
            <w:tcW w:w="116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0" w:type="dxa"/>
            <w:vAlign w:val="bottom"/>
            <w:shd w:val="clear" w:color="auto" w:fill="EBEBEB"/>
          </w:tcPr>
          <w:p>
            <w:pPr>
              <w:spacing w:after="0"/>
              <w:rPr>
                <w:sz w:val="24"/>
                <w:szCs w:val="24"/>
                <w:color w:val="auto"/>
              </w:rPr>
            </w:pPr>
          </w:p>
        </w:tc>
        <w:tc>
          <w:tcPr>
            <w:tcW w:w="692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Kelly A. Romano</w:t>
            </w:r>
            <w:r>
              <w:rPr>
                <w:rFonts w:ascii="Arial" w:cs="Arial" w:eastAsia="Arial" w:hAnsi="Arial"/>
                <w:sz w:val="23"/>
                <w:szCs w:val="23"/>
                <w:b w:val="1"/>
                <w:bCs w:val="1"/>
                <w:color w:val="auto"/>
                <w:vertAlign w:val="superscript"/>
              </w:rPr>
              <w:t>(13)</w:t>
            </w:r>
          </w:p>
        </w:tc>
        <w:tc>
          <w:tcPr>
            <w:tcW w:w="120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143,228</w:t>
            </w:r>
          </w:p>
        </w:tc>
        <w:tc>
          <w:tcPr>
            <w:tcW w:w="116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4"/>
        </w:trPr>
        <w:tc>
          <w:tcPr>
            <w:tcW w:w="120" w:type="dxa"/>
            <w:vAlign w:val="bottom"/>
            <w:shd w:val="clear" w:color="auto" w:fill="FAFAFA"/>
          </w:tcPr>
          <w:p>
            <w:pPr>
              <w:spacing w:after="0"/>
              <w:rPr>
                <w:sz w:val="24"/>
                <w:szCs w:val="24"/>
                <w:color w:val="auto"/>
              </w:rPr>
            </w:pPr>
          </w:p>
        </w:tc>
        <w:tc>
          <w:tcPr>
            <w:tcW w:w="692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Grant Pickering</w:t>
            </w:r>
            <w:r>
              <w:rPr>
                <w:rFonts w:ascii="Arial" w:cs="Arial" w:eastAsia="Arial" w:hAnsi="Arial"/>
                <w:sz w:val="23"/>
                <w:szCs w:val="23"/>
                <w:b w:val="1"/>
                <w:bCs w:val="1"/>
                <w:color w:val="auto"/>
                <w:vertAlign w:val="superscript"/>
              </w:rPr>
              <w:t>(14)</w:t>
            </w:r>
          </w:p>
        </w:tc>
        <w:tc>
          <w:tcPr>
            <w:tcW w:w="120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77,892</w:t>
            </w:r>
          </w:p>
        </w:tc>
        <w:tc>
          <w:tcPr>
            <w:tcW w:w="1160" w:type="dxa"/>
            <w:vAlign w:val="bottom"/>
            <w:shd w:val="clear" w:color="auto" w:fill="FAFAFA"/>
          </w:tcPr>
          <w:p>
            <w:pPr>
              <w:jc w:val="right"/>
              <w:ind w:righ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0" w:type="dxa"/>
            <w:vAlign w:val="bottom"/>
            <w:shd w:val="clear" w:color="auto" w:fill="EBEBEB"/>
          </w:tcPr>
          <w:p>
            <w:pPr>
              <w:spacing w:after="0"/>
              <w:rPr>
                <w:sz w:val="24"/>
                <w:szCs w:val="24"/>
                <w:color w:val="auto"/>
              </w:rPr>
            </w:pPr>
          </w:p>
        </w:tc>
        <w:tc>
          <w:tcPr>
            <w:tcW w:w="692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Michael Panzara</w:t>
            </w:r>
            <w:r>
              <w:rPr>
                <w:rFonts w:ascii="Arial" w:cs="Arial" w:eastAsia="Arial" w:hAnsi="Arial"/>
                <w:sz w:val="23"/>
                <w:szCs w:val="23"/>
                <w:b w:val="1"/>
                <w:bCs w:val="1"/>
                <w:color w:val="auto"/>
                <w:vertAlign w:val="superscript"/>
              </w:rPr>
              <w:t>(15)</w:t>
            </w:r>
          </w:p>
        </w:tc>
        <w:tc>
          <w:tcPr>
            <w:tcW w:w="120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50,953</w:t>
            </w:r>
          </w:p>
        </w:tc>
        <w:tc>
          <w:tcPr>
            <w:tcW w:w="1160" w:type="dxa"/>
            <w:vAlign w:val="bottom"/>
            <w:shd w:val="clear" w:color="auto" w:fill="EBEBEB"/>
          </w:tcPr>
          <w:p>
            <w:pPr>
              <w:jc w:val="right"/>
              <w:ind w:righ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120" w:type="dxa"/>
            <w:vAlign w:val="bottom"/>
            <w:shd w:val="clear" w:color="auto" w:fill="FAFAFA"/>
          </w:tcPr>
          <w:p>
            <w:pPr>
              <w:spacing w:after="0"/>
              <w:rPr>
                <w:sz w:val="18"/>
                <w:szCs w:val="18"/>
                <w:color w:val="auto"/>
              </w:rPr>
            </w:pPr>
          </w:p>
        </w:tc>
        <w:tc>
          <w:tcPr>
            <w:tcW w:w="6920" w:type="dxa"/>
            <w:vAlign w:val="bottom"/>
            <w:shd w:val="clear" w:color="auto" w:fill="FAFAFA"/>
          </w:tcPr>
          <w:p>
            <w:pPr>
              <w:ind w:left="80"/>
              <w:spacing w:after="0"/>
              <w:rPr>
                <w:sz w:val="20"/>
                <w:szCs w:val="20"/>
                <w:color w:val="auto"/>
              </w:rPr>
            </w:pPr>
            <w:r>
              <w:rPr>
                <w:rFonts w:ascii="Arial" w:cs="Arial" w:eastAsia="Arial" w:hAnsi="Arial"/>
                <w:sz w:val="16"/>
                <w:szCs w:val="16"/>
                <w:b w:val="1"/>
                <w:bCs w:val="1"/>
                <w:color w:val="255993"/>
              </w:rPr>
              <w:t>ALL CURRENT DIRECTORS AND EXECUTIVE OFFICERS AS A GROUP (12 PERSONS)</w:t>
            </w:r>
          </w:p>
        </w:tc>
        <w:tc>
          <w:tcPr>
            <w:tcW w:w="1200" w:type="dxa"/>
            <w:vAlign w:val="bottom"/>
            <w:vMerge w:val="restart"/>
            <w:shd w:val="clear" w:color="auto" w:fill="FAFAFA"/>
          </w:tcPr>
          <w:p>
            <w:pPr>
              <w:jc w:val="right"/>
              <w:ind w:right="47"/>
              <w:spacing w:after="0"/>
              <w:rPr>
                <w:sz w:val="20"/>
                <w:szCs w:val="20"/>
                <w:color w:val="auto"/>
              </w:rPr>
            </w:pPr>
            <w:r>
              <w:rPr>
                <w:rFonts w:ascii="Arial" w:cs="Arial" w:eastAsia="Arial" w:hAnsi="Arial"/>
                <w:sz w:val="14"/>
                <w:szCs w:val="14"/>
                <w:b w:val="1"/>
                <w:bCs w:val="1"/>
                <w:color w:val="255993"/>
              </w:rPr>
              <w:t>9,039,206</w:t>
            </w:r>
          </w:p>
        </w:tc>
        <w:tc>
          <w:tcPr>
            <w:tcW w:w="1160" w:type="dxa"/>
            <w:vAlign w:val="bottom"/>
            <w:vMerge w:val="restart"/>
            <w:shd w:val="clear" w:color="auto" w:fill="FAFAFA"/>
          </w:tcPr>
          <w:p>
            <w:pPr>
              <w:jc w:val="right"/>
              <w:ind w:right="47"/>
              <w:spacing w:after="0"/>
              <w:rPr>
                <w:sz w:val="20"/>
                <w:szCs w:val="20"/>
                <w:color w:val="auto"/>
              </w:rPr>
            </w:pPr>
            <w:r>
              <w:rPr>
                <w:rFonts w:ascii="Arial" w:cs="Arial" w:eastAsia="Arial" w:hAnsi="Arial"/>
                <w:sz w:val="14"/>
                <w:szCs w:val="14"/>
                <w:b w:val="1"/>
                <w:bCs w:val="1"/>
                <w:color w:val="255993"/>
              </w:rPr>
              <w:t>21.6</w:t>
            </w:r>
          </w:p>
        </w:tc>
        <w:tc>
          <w:tcPr>
            <w:tcW w:w="0" w:type="dxa"/>
            <w:vAlign w:val="bottom"/>
          </w:tcPr>
          <w:p>
            <w:pPr>
              <w:spacing w:after="0"/>
              <w:rPr>
                <w:sz w:val="1"/>
                <w:szCs w:val="1"/>
                <w:color w:val="auto"/>
              </w:rPr>
            </w:pPr>
          </w:p>
        </w:tc>
      </w:tr>
      <w:tr>
        <w:trPr>
          <w:trHeight w:val="119"/>
        </w:trPr>
        <w:tc>
          <w:tcPr>
            <w:tcW w:w="120" w:type="dxa"/>
            <w:vAlign w:val="bottom"/>
            <w:shd w:val="clear" w:color="auto" w:fill="FAFAFA"/>
          </w:tcPr>
          <w:p>
            <w:pPr>
              <w:spacing w:after="0"/>
              <w:rPr>
                <w:sz w:val="10"/>
                <w:szCs w:val="10"/>
                <w:color w:val="auto"/>
              </w:rPr>
            </w:pPr>
          </w:p>
        </w:tc>
        <w:tc>
          <w:tcPr>
            <w:tcW w:w="6920" w:type="dxa"/>
            <w:vAlign w:val="bottom"/>
            <w:vMerge w:val="restart"/>
            <w:shd w:val="clear" w:color="auto" w:fill="FAFAFA"/>
          </w:tcPr>
          <w:p>
            <w:pPr>
              <w:ind w:left="80"/>
              <w:spacing w:after="0"/>
              <w:rPr>
                <w:sz w:val="20"/>
                <w:szCs w:val="20"/>
                <w:color w:val="auto"/>
              </w:rPr>
            </w:pPr>
            <w:r>
              <w:rPr>
                <w:rFonts w:ascii="Arial" w:cs="Arial" w:eastAsia="Arial" w:hAnsi="Arial"/>
                <w:sz w:val="13"/>
                <w:szCs w:val="13"/>
                <w:color w:val="255993"/>
              </w:rPr>
              <w:t>(16)</w:t>
            </w:r>
          </w:p>
        </w:tc>
        <w:tc>
          <w:tcPr>
            <w:tcW w:w="1200" w:type="dxa"/>
            <w:vAlign w:val="bottom"/>
            <w:vMerge w:val="continue"/>
            <w:shd w:val="clear" w:color="auto" w:fill="FAFAFA"/>
          </w:tcPr>
          <w:p>
            <w:pPr>
              <w:spacing w:after="0"/>
              <w:rPr>
                <w:sz w:val="10"/>
                <w:szCs w:val="10"/>
                <w:color w:val="auto"/>
              </w:rPr>
            </w:pPr>
          </w:p>
        </w:tc>
        <w:tc>
          <w:tcPr>
            <w:tcW w:w="1160" w:type="dxa"/>
            <w:vAlign w:val="bottom"/>
            <w:vMerge w:val="continue"/>
            <w:shd w:val="clear" w:color="auto" w:fill="FAFAFA"/>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20" w:type="dxa"/>
            <w:vAlign w:val="bottom"/>
            <w:shd w:val="clear" w:color="auto" w:fill="FAFAFA"/>
          </w:tcPr>
          <w:p>
            <w:pPr>
              <w:spacing w:after="0"/>
              <w:rPr>
                <w:sz w:val="5"/>
                <w:szCs w:val="5"/>
                <w:color w:val="auto"/>
              </w:rPr>
            </w:pPr>
          </w:p>
        </w:tc>
        <w:tc>
          <w:tcPr>
            <w:tcW w:w="6920" w:type="dxa"/>
            <w:vAlign w:val="bottom"/>
            <w:vMerge w:val="continue"/>
            <w:shd w:val="clear" w:color="auto" w:fill="FAFAFA"/>
          </w:tcPr>
          <w:p>
            <w:pPr>
              <w:spacing w:after="0"/>
              <w:rPr>
                <w:sz w:val="5"/>
                <w:szCs w:val="5"/>
                <w:color w:val="auto"/>
              </w:rPr>
            </w:pPr>
          </w:p>
        </w:tc>
        <w:tc>
          <w:tcPr>
            <w:tcW w:w="1200" w:type="dxa"/>
            <w:vAlign w:val="bottom"/>
            <w:shd w:val="clear" w:color="auto" w:fill="FAFAFA"/>
          </w:tcPr>
          <w:p>
            <w:pPr>
              <w:spacing w:after="0"/>
              <w:rPr>
                <w:sz w:val="5"/>
                <w:szCs w:val="5"/>
                <w:color w:val="auto"/>
              </w:rPr>
            </w:pPr>
          </w:p>
        </w:tc>
        <w:tc>
          <w:tcPr>
            <w:tcW w:w="1160" w:type="dxa"/>
            <w:vAlign w:val="bottom"/>
            <w:shd w:val="clear" w:color="auto" w:fill="FAFAFA"/>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20" w:type="dxa"/>
            <w:vAlign w:val="bottom"/>
            <w:shd w:val="clear" w:color="auto" w:fill="FAFAFA"/>
          </w:tcPr>
          <w:p>
            <w:pPr>
              <w:spacing w:after="0"/>
              <w:rPr>
                <w:sz w:val="10"/>
                <w:szCs w:val="10"/>
                <w:color w:val="auto"/>
              </w:rPr>
            </w:pPr>
          </w:p>
        </w:tc>
        <w:tc>
          <w:tcPr>
            <w:tcW w:w="6920" w:type="dxa"/>
            <w:vAlign w:val="bottom"/>
            <w:shd w:val="clear" w:color="auto" w:fill="FAFAFA"/>
          </w:tcPr>
          <w:p>
            <w:pPr>
              <w:spacing w:after="0"/>
              <w:rPr>
                <w:sz w:val="10"/>
                <w:szCs w:val="10"/>
                <w:color w:val="auto"/>
              </w:rPr>
            </w:pPr>
          </w:p>
        </w:tc>
        <w:tc>
          <w:tcPr>
            <w:tcW w:w="1200" w:type="dxa"/>
            <w:vAlign w:val="bottom"/>
            <w:shd w:val="clear" w:color="auto" w:fill="FAFAFA"/>
          </w:tcPr>
          <w:p>
            <w:pPr>
              <w:spacing w:after="0"/>
              <w:rPr>
                <w:sz w:val="10"/>
                <w:szCs w:val="10"/>
                <w:color w:val="auto"/>
              </w:rPr>
            </w:pPr>
          </w:p>
        </w:tc>
        <w:tc>
          <w:tcPr>
            <w:tcW w:w="1160" w:type="dxa"/>
            <w:vAlign w:val="bottom"/>
            <w:shd w:val="clear" w:color="auto" w:fill="FAFAFA"/>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-3385185</wp:posOffset>
            </wp:positionV>
            <wp:extent cx="59664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-3213735</wp:posOffset>
            </wp:positionV>
            <wp:extent cx="59664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-3034030</wp:posOffset>
            </wp:positionV>
            <wp:extent cx="59664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-2853690</wp:posOffset>
            </wp:positionV>
            <wp:extent cx="59664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-2673985</wp:posOffset>
            </wp:positionV>
            <wp:extent cx="59664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-2494280</wp:posOffset>
            </wp:positionV>
            <wp:extent cx="59664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-2313940</wp:posOffset>
            </wp:positionV>
            <wp:extent cx="59664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-2133600</wp:posOffset>
            </wp:positionV>
            <wp:extent cx="59664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-1953895</wp:posOffset>
            </wp:positionV>
            <wp:extent cx="59664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-1774190</wp:posOffset>
            </wp:positionV>
            <wp:extent cx="59664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-1593850</wp:posOffset>
            </wp:positionV>
            <wp:extent cx="59664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-1414145</wp:posOffset>
            </wp:positionV>
            <wp:extent cx="59664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-1233805</wp:posOffset>
            </wp:positionV>
            <wp:extent cx="59664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-1053465</wp:posOffset>
            </wp:positionV>
            <wp:extent cx="59664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-873760</wp:posOffset>
            </wp:positionV>
            <wp:extent cx="59664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-694055</wp:posOffset>
            </wp:positionV>
            <wp:extent cx="59664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-513715</wp:posOffset>
            </wp:positionV>
            <wp:extent cx="59664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-334010</wp:posOffset>
            </wp:positionV>
            <wp:extent cx="59664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-3719830</wp:posOffset>
            </wp:positionV>
            <wp:extent cx="131191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133" w:lineRule="exact"/>
        <w:rPr>
          <w:sz w:val="20"/>
          <w:szCs w:val="20"/>
          <w:color w:val="auto"/>
        </w:rPr>
      </w:pPr>
    </w:p>
    <w:p>
      <w:pPr>
        <w:ind w:left="240" w:hanging="234"/>
        <w:spacing w:after="0"/>
        <w:tabs>
          <w:tab w:leader="none" w:pos="240" w:val="left"/>
        </w:tabs>
        <w:numPr>
          <w:ilvl w:val="0"/>
          <w:numId w:val="40"/>
        </w:numPr>
        <w:rPr>
          <w:rFonts w:ascii="Arial" w:cs="Arial" w:eastAsia="Arial" w:hAnsi="Arial"/>
          <w:sz w:val="14"/>
          <w:szCs w:val="14"/>
          <w:color w:val="255993"/>
        </w:rPr>
      </w:pPr>
      <w:r>
        <w:rPr>
          <w:rFonts w:ascii="Arial" w:cs="Arial" w:eastAsia="Arial" w:hAnsi="Arial"/>
          <w:sz w:val="14"/>
          <w:szCs w:val="14"/>
          <w:color w:val="255993"/>
        </w:rPr>
        <w:t>Represents beneficial ownership of less than 1% of our outstanding common stock.</w:t>
      </w:r>
    </w:p>
    <w:p>
      <w:pPr>
        <w:spacing w:after="0" w:line="96" w:lineRule="exact"/>
        <w:rPr>
          <w:sz w:val="20"/>
          <w:szCs w:val="20"/>
          <w:color w:val="auto"/>
        </w:rPr>
      </w:pPr>
    </w:p>
    <w:p>
      <w:pPr>
        <w:ind w:left="240" w:right="40" w:hanging="234"/>
        <w:spacing w:after="0" w:line="256" w:lineRule="auto"/>
        <w:tabs>
          <w:tab w:leader="none" w:pos="240" w:val="left"/>
        </w:tabs>
        <w:numPr>
          <w:ilvl w:val="0"/>
          <w:numId w:val="41"/>
        </w:numPr>
        <w:rPr>
          <w:rFonts w:ascii="Arial" w:cs="Arial" w:eastAsia="Arial" w:hAnsi="Arial"/>
          <w:sz w:val="14"/>
          <w:szCs w:val="14"/>
          <w:color w:val="255993"/>
        </w:rPr>
      </w:pPr>
      <w:r>
        <w:rPr>
          <w:rFonts w:ascii="Arial" w:cs="Arial" w:eastAsia="Arial" w:hAnsi="Arial"/>
          <w:sz w:val="14"/>
          <w:szCs w:val="14"/>
          <w:color w:val="255993"/>
        </w:rPr>
        <w:t>Based on the Schedule 13D/A filed with the SEC on October 31, 2024. Consists of 5,402,964 shares held of record by Perceptive Life Sciences Master Fund Ltd. (“Perceptive”). The business address of Perceptive is 51 Astor Place, 10th Floor, New York, NY 10003. Perceptive Advisors LLC serves as the investment manager of Perceptive. Joseph Edelman is the managing member of Perceptive Advisors LLC and he may be deemed to beneficially own the shares held by Perceptive.</w:t>
      </w:r>
    </w:p>
    <w:p>
      <w:pPr>
        <w:spacing w:after="0" w:line="42" w:lineRule="exact"/>
        <w:rPr>
          <w:rFonts w:ascii="Arial" w:cs="Arial" w:eastAsia="Arial" w:hAnsi="Arial"/>
          <w:sz w:val="14"/>
          <w:szCs w:val="14"/>
          <w:color w:val="255993"/>
        </w:rPr>
      </w:pPr>
    </w:p>
    <w:p>
      <w:pPr>
        <w:ind w:left="240" w:right="20" w:hanging="234"/>
        <w:spacing w:after="0" w:line="263" w:lineRule="auto"/>
        <w:tabs>
          <w:tab w:leader="none" w:pos="240" w:val="left"/>
        </w:tabs>
        <w:numPr>
          <w:ilvl w:val="0"/>
          <w:numId w:val="41"/>
        </w:numPr>
        <w:rPr>
          <w:rFonts w:ascii="Arial" w:cs="Arial" w:eastAsia="Arial" w:hAnsi="Arial"/>
          <w:sz w:val="14"/>
          <w:szCs w:val="14"/>
          <w:color w:val="255993"/>
        </w:rPr>
      </w:pPr>
      <w:r>
        <w:rPr>
          <w:rFonts w:ascii="Arial" w:cs="Arial" w:eastAsia="Arial" w:hAnsi="Arial"/>
          <w:sz w:val="14"/>
          <w:szCs w:val="14"/>
          <w:color w:val="255993"/>
        </w:rPr>
        <w:t>Based on the Schedule 13G filed with the SEC on February 14, 2025. Consists of 2,775,885 shares held of record by BML Investment Partners, L.P. and 251,278 shares for which Braden M Leonard holds sole voting and dispositive power. The address and principal office of BML Investment Partners, L.P. is 65 E Cedar, Suite 2, Zionsville, IN 46077.</w:t>
      </w:r>
    </w:p>
    <w:p>
      <w:pPr>
        <w:spacing w:after="0" w:line="51" w:lineRule="exact"/>
        <w:rPr>
          <w:rFonts w:ascii="Arial" w:cs="Arial" w:eastAsia="Arial" w:hAnsi="Arial"/>
          <w:sz w:val="14"/>
          <w:szCs w:val="14"/>
          <w:color w:val="255993"/>
        </w:rPr>
      </w:pPr>
    </w:p>
    <w:p>
      <w:pPr>
        <w:ind w:left="240" w:right="200" w:hanging="234"/>
        <w:spacing w:after="0" w:line="263" w:lineRule="auto"/>
        <w:tabs>
          <w:tab w:leader="none" w:pos="240" w:val="left"/>
        </w:tabs>
        <w:numPr>
          <w:ilvl w:val="0"/>
          <w:numId w:val="41"/>
        </w:numPr>
        <w:rPr>
          <w:rFonts w:ascii="Arial" w:cs="Arial" w:eastAsia="Arial" w:hAnsi="Arial"/>
          <w:sz w:val="14"/>
          <w:szCs w:val="14"/>
          <w:color w:val="255993"/>
        </w:rPr>
      </w:pPr>
      <w:r>
        <w:rPr>
          <w:rFonts w:ascii="Arial" w:cs="Arial" w:eastAsia="Arial" w:hAnsi="Arial"/>
          <w:sz w:val="14"/>
          <w:szCs w:val="14"/>
          <w:color w:val="255993"/>
        </w:rPr>
        <w:t>Based on the Schedule 13G filed with the SEC on April 20, 2023. Consists of 1,983,468 shares held of record by Richard A. Kayne and 200 shares for which Richard A. Kayne holds sole voting and dispositive power. The business address of Richard A. Kayne is 1800 Avenue of the Stars, Third Floor, Los Angeles, CA 90067.</w:t>
      </w:r>
    </w:p>
    <w:p>
      <w:pPr>
        <w:spacing w:after="0" w:line="51" w:lineRule="exact"/>
        <w:rPr>
          <w:rFonts w:ascii="Arial" w:cs="Arial" w:eastAsia="Arial" w:hAnsi="Arial"/>
          <w:sz w:val="14"/>
          <w:szCs w:val="14"/>
          <w:color w:val="255993"/>
        </w:rPr>
      </w:pPr>
    </w:p>
    <w:p>
      <w:pPr>
        <w:ind w:left="240" w:right="140" w:hanging="234"/>
        <w:spacing w:after="0" w:line="263" w:lineRule="auto"/>
        <w:tabs>
          <w:tab w:leader="none" w:pos="240" w:val="left"/>
        </w:tabs>
        <w:numPr>
          <w:ilvl w:val="0"/>
          <w:numId w:val="41"/>
        </w:numPr>
        <w:rPr>
          <w:rFonts w:ascii="Arial" w:cs="Arial" w:eastAsia="Arial" w:hAnsi="Arial"/>
          <w:sz w:val="14"/>
          <w:szCs w:val="14"/>
          <w:color w:val="255993"/>
        </w:rPr>
      </w:pPr>
      <w:r>
        <w:rPr>
          <w:rFonts w:ascii="Arial" w:cs="Arial" w:eastAsia="Arial" w:hAnsi="Arial"/>
          <w:sz w:val="14"/>
          <w:szCs w:val="14"/>
          <w:color w:val="255993"/>
        </w:rPr>
        <w:t>Consists of 242,591 shares held of record by Dr. Litton, 6,563 shares held by Irrevocable Trust of OSL, 6,563 shares held by Irrevocable Trust of SWL, and 6,563 shares held by Irrevocable Trust of WGL, each irrevocable trust is for the benefit of Dr. Litton’s children, and options to purchase 1,181,157 shares that are exercisable within 60 days of February 28, 2025.</w:t>
      </w:r>
    </w:p>
    <w:p>
      <w:pPr>
        <w:spacing w:after="0" w:line="37" w:lineRule="exact"/>
        <w:rPr>
          <w:rFonts w:ascii="Arial" w:cs="Arial" w:eastAsia="Arial" w:hAnsi="Arial"/>
          <w:sz w:val="14"/>
          <w:szCs w:val="14"/>
          <w:color w:val="255993"/>
        </w:rPr>
      </w:pPr>
    </w:p>
    <w:p>
      <w:pPr>
        <w:ind w:left="240" w:right="320" w:hanging="234"/>
        <w:spacing w:after="0" w:line="285" w:lineRule="auto"/>
        <w:tabs>
          <w:tab w:leader="none" w:pos="240" w:val="left"/>
        </w:tabs>
        <w:numPr>
          <w:ilvl w:val="0"/>
          <w:numId w:val="41"/>
        </w:numPr>
        <w:rPr>
          <w:rFonts w:ascii="Arial" w:cs="Arial" w:eastAsia="Arial" w:hAnsi="Arial"/>
          <w:sz w:val="14"/>
          <w:szCs w:val="14"/>
          <w:color w:val="255993"/>
        </w:rPr>
      </w:pPr>
      <w:r>
        <w:rPr>
          <w:rFonts w:ascii="Arial" w:cs="Arial" w:eastAsia="Arial" w:hAnsi="Arial"/>
          <w:sz w:val="14"/>
          <w:szCs w:val="14"/>
          <w:color w:val="255993"/>
        </w:rPr>
        <w:t>Consists of 130,761 shares held by Dr. Church and options to purchase 386,400 shares that are exercisable within 60 days of February 28, 2025.</w:t>
      </w:r>
    </w:p>
    <w:p>
      <w:pPr>
        <w:spacing w:after="0" w:line="36" w:lineRule="exact"/>
        <w:rPr>
          <w:rFonts w:ascii="Arial" w:cs="Arial" w:eastAsia="Arial" w:hAnsi="Arial"/>
          <w:sz w:val="14"/>
          <w:szCs w:val="14"/>
          <w:color w:val="255993"/>
        </w:rPr>
      </w:pPr>
    </w:p>
    <w:p>
      <w:pPr>
        <w:ind w:left="240" w:right="940" w:hanging="234"/>
        <w:spacing w:after="0" w:line="285" w:lineRule="auto"/>
        <w:tabs>
          <w:tab w:leader="none" w:pos="240" w:val="left"/>
        </w:tabs>
        <w:numPr>
          <w:ilvl w:val="0"/>
          <w:numId w:val="41"/>
        </w:numPr>
        <w:rPr>
          <w:rFonts w:ascii="Arial" w:cs="Arial" w:eastAsia="Arial" w:hAnsi="Arial"/>
          <w:sz w:val="14"/>
          <w:szCs w:val="14"/>
          <w:color w:val="255993"/>
        </w:rPr>
      </w:pPr>
      <w:r>
        <w:rPr>
          <w:rFonts w:ascii="Arial" w:cs="Arial" w:eastAsia="Arial" w:hAnsi="Arial"/>
          <w:sz w:val="14"/>
          <w:szCs w:val="14"/>
          <w:color w:val="255993"/>
        </w:rPr>
        <w:t>Consists of 83,724 shares held by Mr. Worthington and options to purchase 449,498 shares that are exercisable within 60 days of February 28, 2025.</w:t>
      </w:r>
    </w:p>
    <w:p>
      <w:pPr>
        <w:spacing w:after="0" w:line="36" w:lineRule="exact"/>
        <w:rPr>
          <w:rFonts w:ascii="Arial" w:cs="Arial" w:eastAsia="Arial" w:hAnsi="Arial"/>
          <w:sz w:val="14"/>
          <w:szCs w:val="14"/>
          <w:color w:val="255993"/>
        </w:rPr>
      </w:pPr>
    </w:p>
    <w:p>
      <w:pPr>
        <w:ind w:left="240" w:right="260" w:hanging="234"/>
        <w:spacing w:after="0" w:line="263" w:lineRule="auto"/>
        <w:tabs>
          <w:tab w:leader="none" w:pos="240" w:val="left"/>
        </w:tabs>
        <w:numPr>
          <w:ilvl w:val="0"/>
          <w:numId w:val="41"/>
        </w:numPr>
        <w:rPr>
          <w:rFonts w:ascii="Arial" w:cs="Arial" w:eastAsia="Arial" w:hAnsi="Arial"/>
          <w:sz w:val="14"/>
          <w:szCs w:val="14"/>
          <w:color w:val="255993"/>
        </w:rPr>
      </w:pPr>
      <w:r>
        <w:rPr>
          <w:rFonts w:ascii="Arial" w:cs="Arial" w:eastAsia="Arial" w:hAnsi="Arial"/>
          <w:sz w:val="14"/>
          <w:szCs w:val="14"/>
          <w:color w:val="255993"/>
        </w:rPr>
        <w:t>Mr. Gengos ceased to be Athira’s chief business officer and chief financial officer on October 1, 2024 and is no longer an executive officer of Athira. Consists of 97,532 shares held by Mr. Gengos as reported on Form 4 filed with the SEC on September 5, 2024. We have limited information about Mr. Gengos’ transactions in Athira’s securities following October 1, 2024</w:t>
      </w:r>
    </w:p>
    <w:p>
      <w:pPr>
        <w:spacing w:after="0" w:line="37" w:lineRule="exact"/>
        <w:rPr>
          <w:rFonts w:ascii="Arial" w:cs="Arial" w:eastAsia="Arial" w:hAnsi="Arial"/>
          <w:sz w:val="14"/>
          <w:szCs w:val="14"/>
          <w:color w:val="255993"/>
        </w:rPr>
      </w:pPr>
    </w:p>
    <w:p>
      <w:pPr>
        <w:ind w:left="240" w:right="260" w:hanging="234"/>
        <w:spacing w:after="0" w:line="263" w:lineRule="auto"/>
        <w:tabs>
          <w:tab w:leader="none" w:pos="240" w:val="left"/>
        </w:tabs>
        <w:numPr>
          <w:ilvl w:val="0"/>
          <w:numId w:val="41"/>
        </w:numPr>
        <w:rPr>
          <w:rFonts w:ascii="Arial" w:cs="Arial" w:eastAsia="Arial" w:hAnsi="Arial"/>
          <w:sz w:val="14"/>
          <w:szCs w:val="14"/>
          <w:color w:val="255993"/>
        </w:rPr>
      </w:pPr>
      <w:r>
        <w:rPr>
          <w:rFonts w:ascii="Arial" w:cs="Arial" w:eastAsia="Arial" w:hAnsi="Arial"/>
          <w:sz w:val="14"/>
          <w:szCs w:val="14"/>
          <w:color w:val="255993"/>
        </w:rPr>
        <w:t>Ms. Lenington ceased to be Athira’s chief operating officer and chief development officer on October 1, 2024 and is no longer an executive officer of Athira. Consists of 20,870 shares held by Ms. Lenington as reported on Form 4 filed with the SEC on September 5, 2024. We have limited information about Ms. Lenington’s transactions in Athira’s securities following October 1, 2024</w:t>
      </w:r>
    </w:p>
    <w:p>
      <w:pPr>
        <w:spacing w:after="0" w:line="51" w:lineRule="exact"/>
        <w:rPr>
          <w:rFonts w:ascii="Arial" w:cs="Arial" w:eastAsia="Arial" w:hAnsi="Arial"/>
          <w:sz w:val="14"/>
          <w:szCs w:val="14"/>
          <w:color w:val="255993"/>
        </w:rPr>
      </w:pPr>
    </w:p>
    <w:p>
      <w:pPr>
        <w:ind w:left="240" w:right="720" w:hanging="234"/>
        <w:spacing w:after="0" w:line="285" w:lineRule="auto"/>
        <w:tabs>
          <w:tab w:leader="none" w:pos="240" w:val="left"/>
        </w:tabs>
        <w:numPr>
          <w:ilvl w:val="0"/>
          <w:numId w:val="41"/>
        </w:numPr>
        <w:rPr>
          <w:rFonts w:ascii="Arial" w:cs="Arial" w:eastAsia="Arial" w:hAnsi="Arial"/>
          <w:sz w:val="14"/>
          <w:szCs w:val="14"/>
          <w:color w:val="255993"/>
        </w:rPr>
      </w:pPr>
      <w:r>
        <w:rPr>
          <w:rFonts w:ascii="Arial" w:cs="Arial" w:eastAsia="Arial" w:hAnsi="Arial"/>
          <w:sz w:val="14"/>
          <w:szCs w:val="14"/>
          <w:color w:val="255993"/>
        </w:rPr>
        <w:t>Consists of the shares referenced in footnote (1) above and options to purchase 76,384 shares that are exercisable within 60 days of February 28, 2025.</w:t>
      </w:r>
    </w:p>
    <w:p>
      <w:pPr>
        <w:spacing w:after="0" w:line="36" w:lineRule="exact"/>
        <w:rPr>
          <w:sz w:val="20"/>
          <w:szCs w:val="20"/>
          <w:color w:val="auto"/>
        </w:rPr>
      </w:pPr>
    </w:p>
    <w:p>
      <w:pPr>
        <w:ind w:left="260" w:right="60" w:hanging="255"/>
        <w:spacing w:after="0" w:line="285" w:lineRule="auto"/>
        <w:rPr>
          <w:sz w:val="20"/>
          <w:szCs w:val="20"/>
          <w:color w:val="auto"/>
        </w:rPr>
      </w:pPr>
      <w:r>
        <w:rPr>
          <w:rFonts w:ascii="Arial" w:cs="Arial" w:eastAsia="Arial" w:hAnsi="Arial"/>
          <w:sz w:val="14"/>
          <w:szCs w:val="14"/>
          <w:color w:val="255993"/>
        </w:rPr>
        <w:t>(10) Consists of 3,731 shares held of record by Fluke Capital Management, L.P., 144,884 shares held by Mr. Fluke, and options to purchase 76,384 shares that are exercisable within 60 days of February 28, 2025.</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255993"/>
        </w:rPr>
        <w:t>(11) Consists of 5,000 shares held by Mr. Johnson and options to purchase 76,384 shares that are exercisable within 60 days of February 28, 2025.</w:t>
      </w:r>
    </w:p>
    <w:p>
      <w:pPr>
        <w:spacing w:after="0" w:line="21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51</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55993"/>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255993"/>
        </w:rPr>
        <w:t>(12) Consists of options held by Ms. Kosacz to purchase 62,513 shares that are exercisable within 60 days of February 28, 2025.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255993"/>
        </w:rPr>
        <w:t>(13) Consists of 80,715 shares held by Ms. Romano and options to purchase 62,513 shares that are exercisable within 60 days of February 28,</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255993"/>
        </w:rPr>
        <w:t>2025.</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255993"/>
        </w:rPr>
        <w:t>(14) Consists of 25,783 shares held by Mr. Pickering and options to purchase 52,109 shares that are exercisable within 60 days of February 28,</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255993"/>
        </w:rPr>
        <w:t>2025.</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255993"/>
        </w:rPr>
        <w:t>(15) Consists of options held by Dr. Panzara to purchase 50,953 shares that are exercisable within 60 days of February 28, 2025.</w:t>
      </w:r>
    </w:p>
    <w:p>
      <w:pPr>
        <w:spacing w:after="0" w:line="96" w:lineRule="exact"/>
        <w:rPr>
          <w:sz w:val="20"/>
          <w:szCs w:val="20"/>
          <w:color w:val="auto"/>
        </w:rPr>
      </w:pPr>
    </w:p>
    <w:p>
      <w:pPr>
        <w:ind w:left="260" w:right="40" w:hanging="255"/>
        <w:spacing w:after="0" w:line="285" w:lineRule="auto"/>
        <w:rPr>
          <w:sz w:val="20"/>
          <w:szCs w:val="20"/>
          <w:color w:val="auto"/>
        </w:rPr>
      </w:pPr>
      <w:r>
        <w:rPr>
          <w:rFonts w:ascii="Arial" w:cs="Arial" w:eastAsia="Arial" w:hAnsi="Arial"/>
          <w:sz w:val="14"/>
          <w:szCs w:val="14"/>
          <w:color w:val="255993"/>
        </w:rPr>
        <w:t>(16) Consists of 6,265,418 shares held by our current directors and executive officers as a group and options to purchase 2,773,788 shares that are exercisable within 60 days of February 28, 2025.</w:t>
      </w:r>
    </w:p>
    <w:p>
      <w:pPr>
        <w:spacing w:after="0" w:line="158"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52</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85" w:lineRule="exact"/>
        <w:rPr>
          <w:sz w:val="20"/>
          <w:szCs w:val="20"/>
          <w:color w:val="auto"/>
        </w:rPr>
      </w:pPr>
    </w:p>
    <w:p>
      <w:pPr>
        <w:ind w:right="1420"/>
        <w:spacing w:after="0" w:line="237" w:lineRule="auto"/>
        <w:rPr>
          <w:sz w:val="20"/>
          <w:szCs w:val="20"/>
          <w:color w:val="auto"/>
        </w:rPr>
      </w:pPr>
      <w:r>
        <w:rPr>
          <w:rFonts w:ascii="Times New Roman" w:cs="Times New Roman" w:eastAsia="Times New Roman" w:hAnsi="Times New Roman"/>
          <w:sz w:val="57"/>
          <w:szCs w:val="57"/>
          <w:color w:val="255993"/>
        </w:rPr>
        <w:t>Securities Authorized for Issuance Under Equity Compensation Plans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summarizes information about our equity compensation plans as of December 31, 2024. All outstanding awards relate to our common stock.</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4560" w:type="dxa"/>
            <w:vAlign w:val="bottom"/>
            <w:shd w:val="clear" w:color="auto" w:fill="255993"/>
          </w:tcPr>
          <w:p>
            <w:pPr>
              <w:spacing w:after="0"/>
              <w:rPr>
                <w:sz w:val="24"/>
                <w:szCs w:val="24"/>
                <w:color w:val="auto"/>
              </w:rPr>
            </w:pPr>
          </w:p>
        </w:tc>
        <w:tc>
          <w:tcPr>
            <w:tcW w:w="2080" w:type="dxa"/>
            <w:vAlign w:val="bottom"/>
            <w:shd w:val="clear" w:color="auto" w:fill="255993"/>
          </w:tcPr>
          <w:p>
            <w:pPr>
              <w:spacing w:after="0"/>
              <w:rPr>
                <w:sz w:val="24"/>
                <w:szCs w:val="24"/>
                <w:color w:val="auto"/>
              </w:rPr>
            </w:pPr>
          </w:p>
        </w:tc>
        <w:tc>
          <w:tcPr>
            <w:tcW w:w="1340" w:type="dxa"/>
            <w:vAlign w:val="bottom"/>
            <w:shd w:val="clear" w:color="auto" w:fill="255993"/>
          </w:tcPr>
          <w:p>
            <w:pPr>
              <w:spacing w:after="0"/>
              <w:rPr>
                <w:sz w:val="24"/>
                <w:szCs w:val="24"/>
                <w:color w:val="auto"/>
              </w:rPr>
            </w:pPr>
          </w:p>
        </w:tc>
        <w:tc>
          <w:tcPr>
            <w:tcW w:w="1420" w:type="dxa"/>
            <w:vAlign w:val="bottom"/>
            <w:shd w:val="clear" w:color="auto" w:fill="255993"/>
          </w:tcPr>
          <w:p>
            <w:pPr>
              <w:jc w:val="right"/>
              <w:ind w:right="42"/>
              <w:spacing w:after="0"/>
              <w:rPr>
                <w:sz w:val="20"/>
                <w:szCs w:val="20"/>
                <w:color w:val="auto"/>
              </w:rPr>
            </w:pPr>
            <w:r>
              <w:rPr>
                <w:rFonts w:ascii="Arial" w:cs="Arial" w:eastAsia="Arial" w:hAnsi="Arial"/>
                <w:sz w:val="16"/>
                <w:szCs w:val="16"/>
                <w:b w:val="1"/>
                <w:bCs w:val="1"/>
                <w:color w:val="FFFFFF"/>
              </w:rPr>
              <w:t>(c) Number of</w:t>
            </w:r>
          </w:p>
        </w:tc>
      </w:tr>
      <w:tr>
        <w:trPr>
          <w:trHeight w:val="189"/>
        </w:trPr>
        <w:tc>
          <w:tcPr>
            <w:tcW w:w="4560" w:type="dxa"/>
            <w:vAlign w:val="bottom"/>
            <w:shd w:val="clear" w:color="auto" w:fill="255993"/>
          </w:tcPr>
          <w:p>
            <w:pPr>
              <w:spacing w:after="0"/>
              <w:rPr>
                <w:sz w:val="16"/>
                <w:szCs w:val="16"/>
                <w:color w:val="auto"/>
              </w:rPr>
            </w:pPr>
          </w:p>
        </w:tc>
        <w:tc>
          <w:tcPr>
            <w:tcW w:w="2080" w:type="dxa"/>
            <w:vAlign w:val="bottom"/>
            <w:shd w:val="clear" w:color="auto" w:fill="255993"/>
          </w:tcPr>
          <w:p>
            <w:pPr>
              <w:spacing w:after="0"/>
              <w:rPr>
                <w:sz w:val="16"/>
                <w:szCs w:val="16"/>
                <w:color w:val="auto"/>
              </w:rPr>
            </w:pPr>
          </w:p>
        </w:tc>
        <w:tc>
          <w:tcPr>
            <w:tcW w:w="1340" w:type="dxa"/>
            <w:vAlign w:val="bottom"/>
            <w:shd w:val="clear" w:color="auto" w:fill="255993"/>
          </w:tcPr>
          <w:p>
            <w:pPr>
              <w:spacing w:after="0"/>
              <w:rPr>
                <w:sz w:val="16"/>
                <w:szCs w:val="16"/>
                <w:color w:val="auto"/>
              </w:rPr>
            </w:pPr>
          </w:p>
        </w:tc>
        <w:tc>
          <w:tcPr>
            <w:tcW w:w="1420" w:type="dxa"/>
            <w:vAlign w:val="bottom"/>
            <w:shd w:val="clear" w:color="auto" w:fill="255993"/>
          </w:tcPr>
          <w:p>
            <w:pPr>
              <w:jc w:val="right"/>
              <w:ind w:right="42"/>
              <w:spacing w:after="0"/>
              <w:rPr>
                <w:sz w:val="20"/>
                <w:szCs w:val="20"/>
                <w:color w:val="auto"/>
              </w:rPr>
            </w:pPr>
            <w:r>
              <w:rPr>
                <w:rFonts w:ascii="Arial" w:cs="Arial" w:eastAsia="Arial" w:hAnsi="Arial"/>
                <w:sz w:val="16"/>
                <w:szCs w:val="16"/>
                <w:b w:val="1"/>
                <w:bCs w:val="1"/>
                <w:color w:val="FFFFFF"/>
              </w:rPr>
              <w:t>Securities</w:t>
            </w:r>
          </w:p>
        </w:tc>
      </w:tr>
      <w:tr>
        <w:trPr>
          <w:trHeight w:val="189"/>
        </w:trPr>
        <w:tc>
          <w:tcPr>
            <w:tcW w:w="4560" w:type="dxa"/>
            <w:vAlign w:val="bottom"/>
            <w:shd w:val="clear" w:color="auto" w:fill="255993"/>
          </w:tcPr>
          <w:p>
            <w:pPr>
              <w:spacing w:after="0"/>
              <w:rPr>
                <w:sz w:val="16"/>
                <w:szCs w:val="16"/>
                <w:color w:val="auto"/>
              </w:rPr>
            </w:pPr>
          </w:p>
        </w:tc>
        <w:tc>
          <w:tcPr>
            <w:tcW w:w="2080" w:type="dxa"/>
            <w:vAlign w:val="bottom"/>
            <w:shd w:val="clear" w:color="auto" w:fill="255993"/>
          </w:tcPr>
          <w:p>
            <w:pPr>
              <w:spacing w:after="0"/>
              <w:rPr>
                <w:sz w:val="16"/>
                <w:szCs w:val="16"/>
                <w:color w:val="auto"/>
              </w:rPr>
            </w:pPr>
          </w:p>
        </w:tc>
        <w:tc>
          <w:tcPr>
            <w:tcW w:w="1340" w:type="dxa"/>
            <w:vAlign w:val="bottom"/>
            <w:shd w:val="clear" w:color="auto" w:fill="255993"/>
          </w:tcPr>
          <w:p>
            <w:pPr>
              <w:spacing w:after="0"/>
              <w:rPr>
                <w:sz w:val="16"/>
                <w:szCs w:val="16"/>
                <w:color w:val="auto"/>
              </w:rPr>
            </w:pPr>
          </w:p>
        </w:tc>
        <w:tc>
          <w:tcPr>
            <w:tcW w:w="1420" w:type="dxa"/>
            <w:vAlign w:val="bottom"/>
            <w:shd w:val="clear" w:color="auto" w:fill="255993"/>
          </w:tcPr>
          <w:p>
            <w:pPr>
              <w:jc w:val="right"/>
              <w:ind w:right="82"/>
              <w:spacing w:after="0"/>
              <w:rPr>
                <w:sz w:val="20"/>
                <w:szCs w:val="20"/>
                <w:color w:val="auto"/>
              </w:rPr>
            </w:pPr>
            <w:r>
              <w:rPr>
                <w:rFonts w:ascii="Arial" w:cs="Arial" w:eastAsia="Arial" w:hAnsi="Arial"/>
                <w:sz w:val="16"/>
                <w:szCs w:val="16"/>
                <w:b w:val="1"/>
                <w:bCs w:val="1"/>
                <w:color w:val="FFFFFF"/>
              </w:rPr>
              <w:t>Remaining</w:t>
            </w:r>
          </w:p>
        </w:tc>
      </w:tr>
      <w:tr>
        <w:trPr>
          <w:trHeight w:val="189"/>
        </w:trPr>
        <w:tc>
          <w:tcPr>
            <w:tcW w:w="4560" w:type="dxa"/>
            <w:vAlign w:val="bottom"/>
            <w:shd w:val="clear" w:color="auto" w:fill="255993"/>
          </w:tcPr>
          <w:p>
            <w:pPr>
              <w:spacing w:after="0"/>
              <w:rPr>
                <w:sz w:val="16"/>
                <w:szCs w:val="16"/>
                <w:color w:val="auto"/>
              </w:rPr>
            </w:pPr>
          </w:p>
        </w:tc>
        <w:tc>
          <w:tcPr>
            <w:tcW w:w="2080" w:type="dxa"/>
            <w:vAlign w:val="bottom"/>
            <w:shd w:val="clear" w:color="auto" w:fill="255993"/>
          </w:tcPr>
          <w:p>
            <w:pPr>
              <w:spacing w:after="0"/>
              <w:rPr>
                <w:sz w:val="16"/>
                <w:szCs w:val="16"/>
                <w:color w:val="auto"/>
              </w:rPr>
            </w:pPr>
          </w:p>
        </w:tc>
        <w:tc>
          <w:tcPr>
            <w:tcW w:w="1340" w:type="dxa"/>
            <w:vAlign w:val="bottom"/>
            <w:shd w:val="clear" w:color="auto" w:fill="255993"/>
          </w:tcPr>
          <w:p>
            <w:pPr>
              <w:spacing w:after="0"/>
              <w:rPr>
                <w:sz w:val="16"/>
                <w:szCs w:val="16"/>
                <w:color w:val="auto"/>
              </w:rPr>
            </w:pPr>
          </w:p>
        </w:tc>
        <w:tc>
          <w:tcPr>
            <w:tcW w:w="1420" w:type="dxa"/>
            <w:vAlign w:val="bottom"/>
            <w:shd w:val="clear" w:color="auto" w:fill="255993"/>
          </w:tcPr>
          <w:p>
            <w:pPr>
              <w:jc w:val="right"/>
              <w:ind w:right="42"/>
              <w:spacing w:after="0"/>
              <w:rPr>
                <w:sz w:val="20"/>
                <w:szCs w:val="20"/>
                <w:color w:val="auto"/>
              </w:rPr>
            </w:pPr>
            <w:r>
              <w:rPr>
                <w:rFonts w:ascii="Arial" w:cs="Arial" w:eastAsia="Arial" w:hAnsi="Arial"/>
                <w:sz w:val="16"/>
                <w:szCs w:val="16"/>
                <w:b w:val="1"/>
                <w:bCs w:val="1"/>
                <w:color w:val="FFFFFF"/>
              </w:rPr>
              <w:t>Available for</w:t>
            </w:r>
          </w:p>
        </w:tc>
      </w:tr>
      <w:tr>
        <w:trPr>
          <w:trHeight w:val="189"/>
        </w:trPr>
        <w:tc>
          <w:tcPr>
            <w:tcW w:w="4560" w:type="dxa"/>
            <w:vAlign w:val="bottom"/>
            <w:shd w:val="clear" w:color="auto" w:fill="255993"/>
          </w:tcPr>
          <w:p>
            <w:pPr>
              <w:spacing w:after="0"/>
              <w:rPr>
                <w:sz w:val="16"/>
                <w:szCs w:val="16"/>
                <w:color w:val="auto"/>
              </w:rPr>
            </w:pPr>
          </w:p>
        </w:tc>
        <w:tc>
          <w:tcPr>
            <w:tcW w:w="2080" w:type="dxa"/>
            <w:vAlign w:val="bottom"/>
            <w:shd w:val="clear" w:color="auto" w:fill="255993"/>
          </w:tcPr>
          <w:p>
            <w:pPr>
              <w:spacing w:after="0"/>
              <w:rPr>
                <w:sz w:val="16"/>
                <w:szCs w:val="16"/>
                <w:color w:val="auto"/>
              </w:rPr>
            </w:pPr>
          </w:p>
        </w:tc>
        <w:tc>
          <w:tcPr>
            <w:tcW w:w="1340" w:type="dxa"/>
            <w:vAlign w:val="bottom"/>
            <w:shd w:val="clear" w:color="auto" w:fill="255993"/>
          </w:tcPr>
          <w:p>
            <w:pPr>
              <w:spacing w:after="0"/>
              <w:rPr>
                <w:sz w:val="16"/>
                <w:szCs w:val="16"/>
                <w:color w:val="auto"/>
              </w:rPr>
            </w:pPr>
          </w:p>
        </w:tc>
        <w:tc>
          <w:tcPr>
            <w:tcW w:w="1420" w:type="dxa"/>
            <w:vAlign w:val="bottom"/>
            <w:shd w:val="clear" w:color="auto" w:fill="255993"/>
          </w:tcPr>
          <w:p>
            <w:pPr>
              <w:jc w:val="right"/>
              <w:ind w:right="82"/>
              <w:spacing w:after="0"/>
              <w:rPr>
                <w:sz w:val="20"/>
                <w:szCs w:val="20"/>
                <w:color w:val="auto"/>
              </w:rPr>
            </w:pPr>
            <w:r>
              <w:rPr>
                <w:rFonts w:ascii="Arial" w:cs="Arial" w:eastAsia="Arial" w:hAnsi="Arial"/>
                <w:sz w:val="16"/>
                <w:szCs w:val="16"/>
                <w:b w:val="1"/>
                <w:bCs w:val="1"/>
                <w:color w:val="FFFFFF"/>
              </w:rPr>
              <w:t>Future</w:t>
            </w:r>
          </w:p>
        </w:tc>
      </w:tr>
      <w:tr>
        <w:trPr>
          <w:trHeight w:val="203"/>
        </w:trPr>
        <w:tc>
          <w:tcPr>
            <w:tcW w:w="4560" w:type="dxa"/>
            <w:vAlign w:val="bottom"/>
            <w:shd w:val="clear" w:color="auto" w:fill="255993"/>
          </w:tcPr>
          <w:p>
            <w:pPr>
              <w:spacing w:after="0"/>
              <w:rPr>
                <w:sz w:val="17"/>
                <w:szCs w:val="17"/>
                <w:color w:val="auto"/>
              </w:rPr>
            </w:pPr>
          </w:p>
        </w:tc>
        <w:tc>
          <w:tcPr>
            <w:tcW w:w="2080" w:type="dxa"/>
            <w:vAlign w:val="bottom"/>
            <w:shd w:val="clear" w:color="auto" w:fill="255993"/>
          </w:tcPr>
          <w:p>
            <w:pPr>
              <w:spacing w:after="0"/>
              <w:rPr>
                <w:sz w:val="17"/>
                <w:szCs w:val="17"/>
                <w:color w:val="auto"/>
              </w:rPr>
            </w:pPr>
          </w:p>
        </w:tc>
        <w:tc>
          <w:tcPr>
            <w:tcW w:w="1340" w:type="dxa"/>
            <w:vAlign w:val="bottom"/>
            <w:shd w:val="clear" w:color="auto" w:fill="255993"/>
          </w:tcPr>
          <w:p>
            <w:pPr>
              <w:jc w:val="right"/>
              <w:ind w:right="102"/>
              <w:spacing w:after="0"/>
              <w:rPr>
                <w:sz w:val="20"/>
                <w:szCs w:val="20"/>
                <w:color w:val="auto"/>
              </w:rPr>
            </w:pPr>
            <w:r>
              <w:rPr>
                <w:rFonts w:ascii="Arial" w:cs="Arial" w:eastAsia="Arial" w:hAnsi="Arial"/>
                <w:sz w:val="16"/>
                <w:szCs w:val="16"/>
                <w:b w:val="1"/>
                <w:bCs w:val="1"/>
                <w:color w:val="FFFFFF"/>
              </w:rPr>
              <w:t>(b) Weighted</w:t>
            </w:r>
          </w:p>
        </w:tc>
        <w:tc>
          <w:tcPr>
            <w:tcW w:w="1420" w:type="dxa"/>
            <w:vAlign w:val="bottom"/>
            <w:shd w:val="clear" w:color="auto" w:fill="255993"/>
          </w:tcPr>
          <w:p>
            <w:pPr>
              <w:jc w:val="right"/>
              <w:ind w:right="42"/>
              <w:spacing w:after="0"/>
              <w:rPr>
                <w:sz w:val="20"/>
                <w:szCs w:val="20"/>
                <w:color w:val="auto"/>
              </w:rPr>
            </w:pPr>
            <w:r>
              <w:rPr>
                <w:rFonts w:ascii="Arial" w:cs="Arial" w:eastAsia="Arial" w:hAnsi="Arial"/>
                <w:sz w:val="16"/>
                <w:szCs w:val="16"/>
                <w:b w:val="1"/>
                <w:bCs w:val="1"/>
                <w:color w:val="FFFFFF"/>
              </w:rPr>
              <w:t>Issuance</w:t>
            </w:r>
          </w:p>
        </w:tc>
      </w:tr>
      <w:tr>
        <w:trPr>
          <w:trHeight w:val="189"/>
        </w:trPr>
        <w:tc>
          <w:tcPr>
            <w:tcW w:w="4560" w:type="dxa"/>
            <w:vAlign w:val="bottom"/>
            <w:shd w:val="clear" w:color="auto" w:fill="255993"/>
          </w:tcPr>
          <w:p>
            <w:pPr>
              <w:spacing w:after="0"/>
              <w:rPr>
                <w:sz w:val="16"/>
                <w:szCs w:val="16"/>
                <w:color w:val="auto"/>
              </w:rPr>
            </w:pPr>
          </w:p>
        </w:tc>
        <w:tc>
          <w:tcPr>
            <w:tcW w:w="2080" w:type="dxa"/>
            <w:vAlign w:val="bottom"/>
            <w:shd w:val="clear" w:color="auto" w:fill="255993"/>
          </w:tcPr>
          <w:p>
            <w:pPr>
              <w:jc w:val="right"/>
              <w:ind w:right="103"/>
              <w:spacing w:after="0"/>
              <w:rPr>
                <w:sz w:val="20"/>
                <w:szCs w:val="20"/>
                <w:color w:val="auto"/>
              </w:rPr>
            </w:pPr>
            <w:r>
              <w:rPr>
                <w:rFonts w:ascii="Arial" w:cs="Arial" w:eastAsia="Arial" w:hAnsi="Arial"/>
                <w:sz w:val="16"/>
                <w:szCs w:val="16"/>
                <w:b w:val="1"/>
                <w:bCs w:val="1"/>
                <w:color w:val="FFFFFF"/>
              </w:rPr>
              <w:t>(a) Number of</w:t>
            </w:r>
          </w:p>
        </w:tc>
        <w:tc>
          <w:tcPr>
            <w:tcW w:w="1340" w:type="dxa"/>
            <w:vAlign w:val="bottom"/>
            <w:shd w:val="clear" w:color="auto" w:fill="255993"/>
          </w:tcPr>
          <w:p>
            <w:pPr>
              <w:jc w:val="right"/>
              <w:ind w:right="102"/>
              <w:spacing w:after="0"/>
              <w:rPr>
                <w:sz w:val="20"/>
                <w:szCs w:val="20"/>
                <w:color w:val="auto"/>
              </w:rPr>
            </w:pPr>
            <w:r>
              <w:rPr>
                <w:rFonts w:ascii="Arial" w:cs="Arial" w:eastAsia="Arial" w:hAnsi="Arial"/>
                <w:sz w:val="16"/>
                <w:szCs w:val="16"/>
                <w:b w:val="1"/>
                <w:bCs w:val="1"/>
                <w:color w:val="FFFFFF"/>
              </w:rPr>
              <w:t>Average</w:t>
            </w:r>
          </w:p>
        </w:tc>
        <w:tc>
          <w:tcPr>
            <w:tcW w:w="1420" w:type="dxa"/>
            <w:vAlign w:val="bottom"/>
            <w:shd w:val="clear" w:color="auto" w:fill="255993"/>
          </w:tcPr>
          <w:p>
            <w:pPr>
              <w:jc w:val="right"/>
              <w:ind w:right="42"/>
              <w:spacing w:after="0"/>
              <w:rPr>
                <w:sz w:val="20"/>
                <w:szCs w:val="20"/>
                <w:color w:val="auto"/>
              </w:rPr>
            </w:pPr>
            <w:r>
              <w:rPr>
                <w:rFonts w:ascii="Arial" w:cs="Arial" w:eastAsia="Arial" w:hAnsi="Arial"/>
                <w:sz w:val="16"/>
                <w:szCs w:val="16"/>
                <w:b w:val="1"/>
                <w:bCs w:val="1"/>
                <w:color w:val="FFFFFF"/>
              </w:rPr>
              <w:t>Under Equity</w:t>
            </w:r>
          </w:p>
        </w:tc>
      </w:tr>
      <w:tr>
        <w:trPr>
          <w:trHeight w:val="189"/>
        </w:trPr>
        <w:tc>
          <w:tcPr>
            <w:tcW w:w="4560" w:type="dxa"/>
            <w:vAlign w:val="bottom"/>
            <w:shd w:val="clear" w:color="auto" w:fill="255993"/>
          </w:tcPr>
          <w:p>
            <w:pPr>
              <w:spacing w:after="0"/>
              <w:rPr>
                <w:sz w:val="16"/>
                <w:szCs w:val="16"/>
                <w:color w:val="auto"/>
              </w:rPr>
            </w:pPr>
          </w:p>
        </w:tc>
        <w:tc>
          <w:tcPr>
            <w:tcW w:w="2080" w:type="dxa"/>
            <w:vAlign w:val="bottom"/>
            <w:shd w:val="clear" w:color="auto" w:fill="255993"/>
          </w:tcPr>
          <w:p>
            <w:pPr>
              <w:jc w:val="right"/>
              <w:ind w:right="103"/>
              <w:spacing w:after="0"/>
              <w:rPr>
                <w:sz w:val="20"/>
                <w:szCs w:val="20"/>
                <w:color w:val="auto"/>
              </w:rPr>
            </w:pPr>
            <w:r>
              <w:rPr>
                <w:rFonts w:ascii="Arial" w:cs="Arial" w:eastAsia="Arial" w:hAnsi="Arial"/>
                <w:sz w:val="16"/>
                <w:szCs w:val="16"/>
                <w:b w:val="1"/>
                <w:bCs w:val="1"/>
                <w:color w:val="FFFFFF"/>
              </w:rPr>
              <w:t>Securities to be</w:t>
            </w:r>
          </w:p>
        </w:tc>
        <w:tc>
          <w:tcPr>
            <w:tcW w:w="1340" w:type="dxa"/>
            <w:vAlign w:val="bottom"/>
            <w:shd w:val="clear" w:color="auto" w:fill="255993"/>
          </w:tcPr>
          <w:p>
            <w:pPr>
              <w:jc w:val="right"/>
              <w:ind w:right="102"/>
              <w:spacing w:after="0"/>
              <w:rPr>
                <w:sz w:val="20"/>
                <w:szCs w:val="20"/>
                <w:color w:val="auto"/>
              </w:rPr>
            </w:pPr>
            <w:r>
              <w:rPr>
                <w:rFonts w:ascii="Arial" w:cs="Arial" w:eastAsia="Arial" w:hAnsi="Arial"/>
                <w:sz w:val="16"/>
                <w:szCs w:val="16"/>
                <w:b w:val="1"/>
                <w:bCs w:val="1"/>
                <w:color w:val="FFFFFF"/>
              </w:rPr>
              <w:t>Exercise</w:t>
            </w:r>
          </w:p>
        </w:tc>
        <w:tc>
          <w:tcPr>
            <w:tcW w:w="1420" w:type="dxa"/>
            <w:vAlign w:val="bottom"/>
            <w:shd w:val="clear" w:color="auto" w:fill="255993"/>
          </w:tcPr>
          <w:p>
            <w:pPr>
              <w:jc w:val="right"/>
              <w:ind w:right="42"/>
              <w:spacing w:after="0"/>
              <w:rPr>
                <w:sz w:val="20"/>
                <w:szCs w:val="20"/>
                <w:color w:val="auto"/>
              </w:rPr>
            </w:pPr>
            <w:r>
              <w:rPr>
                <w:rFonts w:ascii="Arial" w:cs="Arial" w:eastAsia="Arial" w:hAnsi="Arial"/>
                <w:sz w:val="16"/>
                <w:szCs w:val="16"/>
                <w:b w:val="1"/>
                <w:bCs w:val="1"/>
                <w:color w:val="FFFFFF"/>
              </w:rPr>
              <w:t>Compensation</w:t>
            </w:r>
          </w:p>
        </w:tc>
      </w:tr>
      <w:tr>
        <w:trPr>
          <w:trHeight w:val="189"/>
        </w:trPr>
        <w:tc>
          <w:tcPr>
            <w:tcW w:w="4560" w:type="dxa"/>
            <w:vAlign w:val="bottom"/>
            <w:shd w:val="clear" w:color="auto" w:fill="255993"/>
          </w:tcPr>
          <w:p>
            <w:pPr>
              <w:spacing w:after="0"/>
              <w:rPr>
                <w:sz w:val="16"/>
                <w:szCs w:val="16"/>
                <w:color w:val="auto"/>
              </w:rPr>
            </w:pPr>
          </w:p>
        </w:tc>
        <w:tc>
          <w:tcPr>
            <w:tcW w:w="2080" w:type="dxa"/>
            <w:vAlign w:val="bottom"/>
            <w:shd w:val="clear" w:color="auto" w:fill="255993"/>
          </w:tcPr>
          <w:p>
            <w:pPr>
              <w:jc w:val="right"/>
              <w:ind w:right="103"/>
              <w:spacing w:after="0"/>
              <w:rPr>
                <w:sz w:val="20"/>
                <w:szCs w:val="20"/>
                <w:color w:val="auto"/>
              </w:rPr>
            </w:pPr>
            <w:r>
              <w:rPr>
                <w:rFonts w:ascii="Arial" w:cs="Arial" w:eastAsia="Arial" w:hAnsi="Arial"/>
                <w:sz w:val="16"/>
                <w:szCs w:val="16"/>
                <w:b w:val="1"/>
                <w:bCs w:val="1"/>
                <w:color w:val="FFFFFF"/>
              </w:rPr>
              <w:t>Issued Upon</w:t>
            </w:r>
          </w:p>
        </w:tc>
        <w:tc>
          <w:tcPr>
            <w:tcW w:w="1340" w:type="dxa"/>
            <w:vAlign w:val="bottom"/>
            <w:shd w:val="clear" w:color="auto" w:fill="255993"/>
          </w:tcPr>
          <w:p>
            <w:pPr>
              <w:jc w:val="right"/>
              <w:ind w:right="102"/>
              <w:spacing w:after="0"/>
              <w:rPr>
                <w:sz w:val="20"/>
                <w:szCs w:val="20"/>
                <w:color w:val="auto"/>
              </w:rPr>
            </w:pPr>
            <w:r>
              <w:rPr>
                <w:rFonts w:ascii="Arial" w:cs="Arial" w:eastAsia="Arial" w:hAnsi="Arial"/>
                <w:sz w:val="16"/>
                <w:szCs w:val="16"/>
                <w:b w:val="1"/>
                <w:bCs w:val="1"/>
                <w:color w:val="FFFFFF"/>
              </w:rPr>
              <w:t>Price of</w:t>
            </w:r>
          </w:p>
        </w:tc>
        <w:tc>
          <w:tcPr>
            <w:tcW w:w="1420" w:type="dxa"/>
            <w:vAlign w:val="bottom"/>
            <w:shd w:val="clear" w:color="auto" w:fill="255993"/>
          </w:tcPr>
          <w:p>
            <w:pPr>
              <w:jc w:val="right"/>
              <w:ind w:right="42"/>
              <w:spacing w:after="0"/>
              <w:rPr>
                <w:sz w:val="20"/>
                <w:szCs w:val="20"/>
                <w:color w:val="auto"/>
              </w:rPr>
            </w:pPr>
            <w:r>
              <w:rPr>
                <w:rFonts w:ascii="Arial" w:cs="Arial" w:eastAsia="Arial" w:hAnsi="Arial"/>
                <w:sz w:val="16"/>
                <w:szCs w:val="16"/>
                <w:b w:val="1"/>
                <w:bCs w:val="1"/>
                <w:color w:val="FFFFFF"/>
              </w:rPr>
              <w:t>Plans</w:t>
            </w:r>
          </w:p>
        </w:tc>
      </w:tr>
      <w:tr>
        <w:trPr>
          <w:trHeight w:val="189"/>
        </w:trPr>
        <w:tc>
          <w:tcPr>
            <w:tcW w:w="4560" w:type="dxa"/>
            <w:vAlign w:val="bottom"/>
            <w:shd w:val="clear" w:color="auto" w:fill="255993"/>
          </w:tcPr>
          <w:p>
            <w:pPr>
              <w:spacing w:after="0"/>
              <w:rPr>
                <w:sz w:val="16"/>
                <w:szCs w:val="16"/>
                <w:color w:val="auto"/>
              </w:rPr>
            </w:pPr>
          </w:p>
        </w:tc>
        <w:tc>
          <w:tcPr>
            <w:tcW w:w="2080" w:type="dxa"/>
            <w:vAlign w:val="bottom"/>
            <w:shd w:val="clear" w:color="auto" w:fill="255993"/>
          </w:tcPr>
          <w:p>
            <w:pPr>
              <w:jc w:val="right"/>
              <w:ind w:right="103"/>
              <w:spacing w:after="0"/>
              <w:rPr>
                <w:sz w:val="20"/>
                <w:szCs w:val="20"/>
                <w:color w:val="auto"/>
              </w:rPr>
            </w:pPr>
            <w:r>
              <w:rPr>
                <w:rFonts w:ascii="Arial" w:cs="Arial" w:eastAsia="Arial" w:hAnsi="Arial"/>
                <w:sz w:val="16"/>
                <w:szCs w:val="16"/>
                <w:b w:val="1"/>
                <w:bCs w:val="1"/>
                <w:color w:val="FFFFFF"/>
              </w:rPr>
              <w:t>Exercise of</w:t>
            </w:r>
          </w:p>
        </w:tc>
        <w:tc>
          <w:tcPr>
            <w:tcW w:w="1340" w:type="dxa"/>
            <w:vAlign w:val="bottom"/>
            <w:shd w:val="clear" w:color="auto" w:fill="255993"/>
          </w:tcPr>
          <w:p>
            <w:pPr>
              <w:jc w:val="right"/>
              <w:ind w:right="102"/>
              <w:spacing w:after="0"/>
              <w:rPr>
                <w:sz w:val="20"/>
                <w:szCs w:val="20"/>
                <w:color w:val="auto"/>
              </w:rPr>
            </w:pPr>
            <w:r>
              <w:rPr>
                <w:rFonts w:ascii="Arial" w:cs="Arial" w:eastAsia="Arial" w:hAnsi="Arial"/>
                <w:sz w:val="16"/>
                <w:szCs w:val="16"/>
                <w:b w:val="1"/>
                <w:bCs w:val="1"/>
                <w:color w:val="FFFFFF"/>
              </w:rPr>
              <w:t>Outstanding</w:t>
            </w:r>
          </w:p>
        </w:tc>
        <w:tc>
          <w:tcPr>
            <w:tcW w:w="1420" w:type="dxa"/>
            <w:vAlign w:val="bottom"/>
            <w:shd w:val="clear" w:color="auto" w:fill="255993"/>
          </w:tcPr>
          <w:p>
            <w:pPr>
              <w:jc w:val="right"/>
              <w:ind w:right="42"/>
              <w:spacing w:after="0"/>
              <w:rPr>
                <w:sz w:val="20"/>
                <w:szCs w:val="20"/>
                <w:color w:val="auto"/>
              </w:rPr>
            </w:pPr>
            <w:r>
              <w:rPr>
                <w:rFonts w:ascii="Arial" w:cs="Arial" w:eastAsia="Arial" w:hAnsi="Arial"/>
                <w:sz w:val="16"/>
                <w:szCs w:val="16"/>
                <w:b w:val="1"/>
                <w:bCs w:val="1"/>
                <w:color w:val="FFFFFF"/>
              </w:rPr>
              <w:t>(Excluding</w:t>
            </w:r>
          </w:p>
        </w:tc>
      </w:tr>
      <w:tr>
        <w:trPr>
          <w:trHeight w:val="189"/>
        </w:trPr>
        <w:tc>
          <w:tcPr>
            <w:tcW w:w="4560" w:type="dxa"/>
            <w:vAlign w:val="bottom"/>
            <w:shd w:val="clear" w:color="auto" w:fill="255993"/>
          </w:tcPr>
          <w:p>
            <w:pPr>
              <w:spacing w:after="0"/>
              <w:rPr>
                <w:sz w:val="16"/>
                <w:szCs w:val="16"/>
                <w:color w:val="auto"/>
              </w:rPr>
            </w:pPr>
          </w:p>
        </w:tc>
        <w:tc>
          <w:tcPr>
            <w:tcW w:w="2080" w:type="dxa"/>
            <w:vAlign w:val="bottom"/>
            <w:shd w:val="clear" w:color="auto" w:fill="255993"/>
          </w:tcPr>
          <w:p>
            <w:pPr>
              <w:jc w:val="right"/>
              <w:ind w:right="103"/>
              <w:spacing w:after="0"/>
              <w:rPr>
                <w:sz w:val="20"/>
                <w:szCs w:val="20"/>
                <w:color w:val="auto"/>
              </w:rPr>
            </w:pPr>
            <w:r>
              <w:rPr>
                <w:rFonts w:ascii="Arial" w:cs="Arial" w:eastAsia="Arial" w:hAnsi="Arial"/>
                <w:sz w:val="16"/>
                <w:szCs w:val="16"/>
                <w:b w:val="1"/>
                <w:bCs w:val="1"/>
                <w:color w:val="FFFFFF"/>
              </w:rPr>
              <w:t>Outstanding</w:t>
            </w:r>
          </w:p>
        </w:tc>
        <w:tc>
          <w:tcPr>
            <w:tcW w:w="1340" w:type="dxa"/>
            <w:vAlign w:val="bottom"/>
            <w:shd w:val="clear" w:color="auto" w:fill="255993"/>
          </w:tcPr>
          <w:p>
            <w:pPr>
              <w:jc w:val="right"/>
              <w:ind w:right="102"/>
              <w:spacing w:after="0"/>
              <w:rPr>
                <w:sz w:val="20"/>
                <w:szCs w:val="20"/>
                <w:color w:val="auto"/>
              </w:rPr>
            </w:pPr>
            <w:r>
              <w:rPr>
                <w:rFonts w:ascii="Arial" w:cs="Arial" w:eastAsia="Arial" w:hAnsi="Arial"/>
                <w:sz w:val="16"/>
                <w:szCs w:val="16"/>
                <w:b w:val="1"/>
                <w:bCs w:val="1"/>
                <w:color w:val="FFFFFF"/>
              </w:rPr>
              <w:t>Options,</w:t>
            </w:r>
          </w:p>
        </w:tc>
        <w:tc>
          <w:tcPr>
            <w:tcW w:w="1420" w:type="dxa"/>
            <w:vAlign w:val="bottom"/>
            <w:shd w:val="clear" w:color="auto" w:fill="255993"/>
          </w:tcPr>
          <w:p>
            <w:pPr>
              <w:jc w:val="right"/>
              <w:ind w:right="42"/>
              <w:spacing w:after="0"/>
              <w:rPr>
                <w:sz w:val="20"/>
                <w:szCs w:val="20"/>
                <w:color w:val="auto"/>
              </w:rPr>
            </w:pPr>
            <w:r>
              <w:rPr>
                <w:rFonts w:ascii="Arial" w:cs="Arial" w:eastAsia="Arial" w:hAnsi="Arial"/>
                <w:sz w:val="16"/>
                <w:szCs w:val="16"/>
                <w:b w:val="1"/>
                <w:bCs w:val="1"/>
                <w:color w:val="FFFFFF"/>
              </w:rPr>
              <w:t>Securities</w:t>
            </w:r>
          </w:p>
        </w:tc>
      </w:tr>
      <w:tr>
        <w:trPr>
          <w:trHeight w:val="189"/>
        </w:trPr>
        <w:tc>
          <w:tcPr>
            <w:tcW w:w="4560" w:type="dxa"/>
            <w:vAlign w:val="bottom"/>
            <w:shd w:val="clear" w:color="auto" w:fill="255993"/>
          </w:tcPr>
          <w:p>
            <w:pPr>
              <w:spacing w:after="0"/>
              <w:rPr>
                <w:sz w:val="16"/>
                <w:szCs w:val="16"/>
                <w:color w:val="auto"/>
              </w:rPr>
            </w:pPr>
          </w:p>
        </w:tc>
        <w:tc>
          <w:tcPr>
            <w:tcW w:w="2080" w:type="dxa"/>
            <w:vAlign w:val="bottom"/>
            <w:shd w:val="clear" w:color="auto" w:fill="255993"/>
          </w:tcPr>
          <w:p>
            <w:pPr>
              <w:jc w:val="right"/>
              <w:ind w:right="103"/>
              <w:spacing w:after="0"/>
              <w:rPr>
                <w:sz w:val="20"/>
                <w:szCs w:val="20"/>
                <w:color w:val="auto"/>
              </w:rPr>
            </w:pPr>
            <w:r>
              <w:rPr>
                <w:rFonts w:ascii="Arial" w:cs="Arial" w:eastAsia="Arial" w:hAnsi="Arial"/>
                <w:sz w:val="16"/>
                <w:szCs w:val="16"/>
                <w:b w:val="1"/>
                <w:bCs w:val="1"/>
                <w:color w:val="FFFFFF"/>
              </w:rPr>
              <w:t>Options, Warrants</w:t>
            </w:r>
          </w:p>
        </w:tc>
        <w:tc>
          <w:tcPr>
            <w:tcW w:w="1340" w:type="dxa"/>
            <w:vAlign w:val="bottom"/>
            <w:shd w:val="clear" w:color="auto" w:fill="255993"/>
          </w:tcPr>
          <w:p>
            <w:pPr>
              <w:jc w:val="right"/>
              <w:ind w:right="102"/>
              <w:spacing w:after="0"/>
              <w:rPr>
                <w:sz w:val="20"/>
                <w:szCs w:val="20"/>
                <w:color w:val="auto"/>
              </w:rPr>
            </w:pPr>
            <w:r>
              <w:rPr>
                <w:rFonts w:ascii="Arial" w:cs="Arial" w:eastAsia="Arial" w:hAnsi="Arial"/>
                <w:sz w:val="16"/>
                <w:szCs w:val="16"/>
                <w:b w:val="1"/>
                <w:bCs w:val="1"/>
                <w:color w:val="FFFFFF"/>
              </w:rPr>
              <w:t>Warrants</w:t>
            </w:r>
          </w:p>
        </w:tc>
        <w:tc>
          <w:tcPr>
            <w:tcW w:w="1420" w:type="dxa"/>
            <w:vAlign w:val="bottom"/>
            <w:shd w:val="clear" w:color="auto" w:fill="255993"/>
          </w:tcPr>
          <w:p>
            <w:pPr>
              <w:jc w:val="right"/>
              <w:ind w:right="42"/>
              <w:spacing w:after="0"/>
              <w:rPr>
                <w:sz w:val="20"/>
                <w:szCs w:val="20"/>
                <w:color w:val="auto"/>
              </w:rPr>
            </w:pPr>
            <w:r>
              <w:rPr>
                <w:rFonts w:ascii="Arial" w:cs="Arial" w:eastAsia="Arial" w:hAnsi="Arial"/>
                <w:sz w:val="16"/>
                <w:szCs w:val="16"/>
                <w:b w:val="1"/>
                <w:bCs w:val="1"/>
                <w:color w:val="FFFFFF"/>
              </w:rPr>
              <w:t>Reflected in</w:t>
            </w:r>
          </w:p>
        </w:tc>
      </w:tr>
      <w:tr>
        <w:trPr>
          <w:trHeight w:val="283"/>
        </w:trPr>
        <w:tc>
          <w:tcPr>
            <w:tcW w:w="4560" w:type="dxa"/>
            <w:vAlign w:val="bottom"/>
            <w:shd w:val="clear" w:color="auto" w:fill="255993"/>
          </w:tcPr>
          <w:p>
            <w:pPr>
              <w:ind w:left="180"/>
              <w:spacing w:after="0"/>
              <w:rPr>
                <w:sz w:val="20"/>
                <w:szCs w:val="20"/>
                <w:color w:val="auto"/>
              </w:rPr>
            </w:pPr>
            <w:r>
              <w:rPr>
                <w:rFonts w:ascii="Arial" w:cs="Arial" w:eastAsia="Arial" w:hAnsi="Arial"/>
                <w:sz w:val="16"/>
                <w:szCs w:val="16"/>
                <w:b w:val="1"/>
                <w:bCs w:val="1"/>
                <w:color w:val="FFFFFF"/>
              </w:rPr>
              <w:t>Plan Category</w:t>
            </w:r>
          </w:p>
        </w:tc>
        <w:tc>
          <w:tcPr>
            <w:tcW w:w="2080" w:type="dxa"/>
            <w:vAlign w:val="bottom"/>
            <w:shd w:val="clear" w:color="auto" w:fill="255993"/>
          </w:tcPr>
          <w:p>
            <w:pPr>
              <w:jc w:val="right"/>
              <w:ind w:right="103"/>
              <w:spacing w:after="0"/>
              <w:rPr>
                <w:sz w:val="20"/>
                <w:szCs w:val="20"/>
                <w:color w:val="auto"/>
              </w:rPr>
            </w:pPr>
            <w:r>
              <w:rPr>
                <w:rFonts w:ascii="Arial" w:cs="Arial" w:eastAsia="Arial" w:hAnsi="Arial"/>
                <w:sz w:val="16"/>
                <w:szCs w:val="16"/>
                <w:b w:val="1"/>
                <w:bCs w:val="1"/>
                <w:color w:val="FFFFFF"/>
              </w:rPr>
              <w:t>and Rights</w:t>
            </w:r>
          </w:p>
        </w:tc>
        <w:tc>
          <w:tcPr>
            <w:tcW w:w="1340" w:type="dxa"/>
            <w:vAlign w:val="bottom"/>
            <w:shd w:val="clear" w:color="auto" w:fill="255993"/>
          </w:tcPr>
          <w:p>
            <w:pPr>
              <w:jc w:val="right"/>
              <w:ind w:right="102"/>
              <w:spacing w:after="0"/>
              <w:rPr>
                <w:sz w:val="20"/>
                <w:szCs w:val="20"/>
                <w:color w:val="auto"/>
              </w:rPr>
            </w:pPr>
            <w:r>
              <w:rPr>
                <w:rFonts w:ascii="Arial" w:cs="Arial" w:eastAsia="Arial" w:hAnsi="Arial"/>
                <w:sz w:val="16"/>
                <w:szCs w:val="16"/>
                <w:b w:val="1"/>
                <w:bCs w:val="1"/>
                <w:color w:val="FFFFFF"/>
              </w:rPr>
              <w:t>and Rights</w:t>
            </w:r>
          </w:p>
        </w:tc>
        <w:tc>
          <w:tcPr>
            <w:tcW w:w="1420" w:type="dxa"/>
            <w:vAlign w:val="bottom"/>
            <w:shd w:val="clear" w:color="auto" w:fill="255993"/>
          </w:tcPr>
          <w:p>
            <w:pPr>
              <w:jc w:val="right"/>
              <w:ind w:right="42"/>
              <w:spacing w:after="0" w:line="283" w:lineRule="exact"/>
              <w:rPr>
                <w:sz w:val="20"/>
                <w:szCs w:val="20"/>
                <w:color w:val="auto"/>
              </w:rPr>
            </w:pPr>
            <w:r>
              <w:rPr>
                <w:rFonts w:ascii="Arial" w:cs="Arial" w:eastAsia="Arial" w:hAnsi="Arial"/>
                <w:sz w:val="16"/>
                <w:szCs w:val="16"/>
                <w:b w:val="1"/>
                <w:bCs w:val="1"/>
                <w:color w:val="FFFFFF"/>
              </w:rPr>
              <w:t>Column (a))</w:t>
            </w:r>
            <w:r>
              <w:rPr>
                <w:rFonts w:ascii="Arial" w:cs="Arial" w:eastAsia="Arial" w:hAnsi="Arial"/>
                <w:sz w:val="26"/>
                <w:szCs w:val="26"/>
                <w:b w:val="1"/>
                <w:bCs w:val="1"/>
                <w:color w:val="FFFFFF"/>
                <w:vertAlign w:val="superscript"/>
              </w:rPr>
              <w:t>(3)</w:t>
            </w:r>
          </w:p>
        </w:tc>
      </w:tr>
      <w:tr>
        <w:trPr>
          <w:trHeight w:val="237"/>
        </w:trPr>
        <w:tc>
          <w:tcPr>
            <w:tcW w:w="4560" w:type="dxa"/>
            <w:vAlign w:val="bottom"/>
            <w:tcBorders>
              <w:bottom w:val="single" w:sz="8" w:color="EBEBEB"/>
            </w:tcBorders>
            <w:shd w:val="clear" w:color="auto" w:fill="EBEBEB"/>
          </w:tcPr>
          <w:p>
            <w:pPr>
              <w:ind w:left="180"/>
              <w:spacing w:after="0"/>
              <w:rPr>
                <w:sz w:val="20"/>
                <w:szCs w:val="20"/>
                <w:color w:val="auto"/>
              </w:rPr>
            </w:pPr>
            <w:r>
              <w:rPr>
                <w:rFonts w:ascii="Arial" w:cs="Arial" w:eastAsia="Arial" w:hAnsi="Arial"/>
                <w:sz w:val="14"/>
                <w:szCs w:val="14"/>
                <w:color w:val="auto"/>
              </w:rPr>
              <w:t>Equity compensation plans approved by security holders:</w:t>
            </w:r>
          </w:p>
        </w:tc>
        <w:tc>
          <w:tcPr>
            <w:tcW w:w="2080" w:type="dxa"/>
            <w:vAlign w:val="bottom"/>
            <w:tcBorders>
              <w:bottom w:val="single" w:sz="8" w:color="EBEBEB"/>
            </w:tcBorders>
            <w:shd w:val="clear" w:color="auto" w:fill="EBEBEB"/>
          </w:tcPr>
          <w:p>
            <w:pPr>
              <w:spacing w:after="0"/>
              <w:rPr>
                <w:sz w:val="20"/>
                <w:szCs w:val="20"/>
                <w:color w:val="auto"/>
              </w:rPr>
            </w:pPr>
          </w:p>
        </w:tc>
        <w:tc>
          <w:tcPr>
            <w:tcW w:w="1340" w:type="dxa"/>
            <w:vAlign w:val="bottom"/>
            <w:tcBorders>
              <w:bottom w:val="single" w:sz="8" w:color="EBEBEB"/>
            </w:tcBorders>
            <w:shd w:val="clear" w:color="auto" w:fill="EBEBEB"/>
          </w:tcPr>
          <w:p>
            <w:pPr>
              <w:spacing w:after="0"/>
              <w:rPr>
                <w:sz w:val="20"/>
                <w:szCs w:val="20"/>
                <w:color w:val="auto"/>
              </w:rPr>
            </w:pPr>
          </w:p>
        </w:tc>
        <w:tc>
          <w:tcPr>
            <w:tcW w:w="1420" w:type="dxa"/>
            <w:vAlign w:val="bottom"/>
            <w:tcBorders>
              <w:bottom w:val="single" w:sz="8" w:color="EBEBEB"/>
            </w:tcBorders>
            <w:shd w:val="clear" w:color="auto" w:fill="EBEBEB"/>
          </w:tcPr>
          <w:p>
            <w:pPr>
              <w:spacing w:after="0"/>
              <w:rPr>
                <w:sz w:val="20"/>
                <w:szCs w:val="20"/>
                <w:color w:val="auto"/>
              </w:rPr>
            </w:pPr>
          </w:p>
        </w:tc>
      </w:tr>
      <w:tr>
        <w:trPr>
          <w:trHeight w:val="237"/>
        </w:trPr>
        <w:tc>
          <w:tcPr>
            <w:tcW w:w="4560" w:type="dxa"/>
            <w:vAlign w:val="bottom"/>
            <w:tcBorders>
              <w:bottom w:val="single" w:sz="8" w:color="FAFAFA"/>
            </w:tcBorders>
            <w:shd w:val="clear" w:color="auto" w:fill="FAFAFA"/>
          </w:tcPr>
          <w:p>
            <w:pPr>
              <w:ind w:left="360"/>
              <w:spacing w:after="0"/>
              <w:rPr>
                <w:sz w:val="20"/>
                <w:szCs w:val="20"/>
                <w:color w:val="auto"/>
              </w:rPr>
            </w:pPr>
            <w:r>
              <w:rPr>
                <w:rFonts w:ascii="Arial" w:cs="Arial" w:eastAsia="Arial" w:hAnsi="Arial"/>
                <w:sz w:val="14"/>
                <w:szCs w:val="14"/>
                <w:color w:val="auto"/>
              </w:rPr>
              <w:t>2014 Equity Incentive Plan</w:t>
            </w:r>
          </w:p>
        </w:tc>
        <w:tc>
          <w:tcPr>
            <w:tcW w:w="2080" w:type="dxa"/>
            <w:vAlign w:val="bottom"/>
            <w:tcBorders>
              <w:bottom w:val="single" w:sz="8" w:color="FAFAFA"/>
            </w:tcBorders>
            <w:shd w:val="clear" w:color="auto" w:fill="FAFAFA"/>
          </w:tcPr>
          <w:p>
            <w:pPr>
              <w:jc w:val="right"/>
              <w:ind w:right="103"/>
              <w:spacing w:after="0"/>
              <w:rPr>
                <w:sz w:val="20"/>
                <w:szCs w:val="20"/>
                <w:color w:val="auto"/>
              </w:rPr>
            </w:pPr>
            <w:r>
              <w:rPr>
                <w:rFonts w:ascii="Arial" w:cs="Arial" w:eastAsia="Arial" w:hAnsi="Arial"/>
                <w:sz w:val="14"/>
                <w:szCs w:val="14"/>
                <w:color w:val="auto"/>
              </w:rPr>
              <w:t>183,987</w:t>
            </w:r>
          </w:p>
        </w:tc>
        <w:tc>
          <w:tcPr>
            <w:tcW w:w="1340" w:type="dxa"/>
            <w:vAlign w:val="bottom"/>
            <w:tcBorders>
              <w:bottom w:val="single" w:sz="8" w:color="FAFAFA"/>
            </w:tcBorders>
            <w:shd w:val="clear" w:color="auto" w:fill="FAFAFA"/>
          </w:tcPr>
          <w:p>
            <w:pPr>
              <w:jc w:val="right"/>
              <w:ind w:right="102"/>
              <w:spacing w:after="0"/>
              <w:rPr>
                <w:sz w:val="20"/>
                <w:szCs w:val="20"/>
                <w:color w:val="auto"/>
              </w:rPr>
            </w:pPr>
            <w:r>
              <w:rPr>
                <w:rFonts w:ascii="Arial" w:cs="Arial" w:eastAsia="Arial" w:hAnsi="Arial"/>
                <w:sz w:val="14"/>
                <w:szCs w:val="14"/>
                <w:color w:val="auto"/>
              </w:rPr>
              <w:t>$ 1.26</w:t>
            </w:r>
          </w:p>
        </w:tc>
        <w:tc>
          <w:tcPr>
            <w:tcW w:w="1420" w:type="dxa"/>
            <w:vAlign w:val="bottom"/>
            <w:tcBorders>
              <w:bottom w:val="single" w:sz="8" w:color="FAFAFA"/>
            </w:tcBorders>
            <w:shd w:val="clear" w:color="auto" w:fill="FAFAFA"/>
          </w:tcPr>
          <w:p>
            <w:pPr>
              <w:jc w:val="right"/>
              <w:ind w:right="42"/>
              <w:spacing w:after="0"/>
              <w:rPr>
                <w:sz w:val="20"/>
                <w:szCs w:val="20"/>
                <w:color w:val="auto"/>
              </w:rPr>
            </w:pPr>
            <w:r>
              <w:rPr>
                <w:rFonts w:ascii="Arial" w:cs="Arial" w:eastAsia="Arial" w:hAnsi="Arial"/>
                <w:sz w:val="14"/>
                <w:szCs w:val="14"/>
                <w:color w:val="auto"/>
              </w:rPr>
              <w:t>—</w:t>
            </w:r>
          </w:p>
        </w:tc>
      </w:tr>
      <w:tr>
        <w:trPr>
          <w:trHeight w:val="283"/>
        </w:trPr>
        <w:tc>
          <w:tcPr>
            <w:tcW w:w="4560" w:type="dxa"/>
            <w:vAlign w:val="bottom"/>
            <w:shd w:val="clear" w:color="auto" w:fill="EBEBEB"/>
          </w:tcPr>
          <w:p>
            <w:pPr>
              <w:ind w:left="360"/>
              <w:spacing w:after="0"/>
              <w:rPr>
                <w:sz w:val="20"/>
                <w:szCs w:val="20"/>
                <w:color w:val="auto"/>
              </w:rPr>
            </w:pPr>
            <w:r>
              <w:rPr>
                <w:rFonts w:ascii="Arial" w:cs="Arial" w:eastAsia="Arial" w:hAnsi="Arial"/>
                <w:sz w:val="14"/>
                <w:szCs w:val="14"/>
                <w:color w:val="auto"/>
              </w:rPr>
              <w:t>2020 Equity Incentive Plan</w:t>
            </w:r>
          </w:p>
        </w:tc>
        <w:tc>
          <w:tcPr>
            <w:tcW w:w="2080" w:type="dxa"/>
            <w:vAlign w:val="bottom"/>
            <w:shd w:val="clear" w:color="auto" w:fill="EBEBEB"/>
          </w:tcPr>
          <w:p>
            <w:pPr>
              <w:jc w:val="right"/>
              <w:ind w:right="103"/>
              <w:spacing w:after="0"/>
              <w:rPr>
                <w:sz w:val="20"/>
                <w:szCs w:val="20"/>
                <w:color w:val="auto"/>
              </w:rPr>
            </w:pPr>
            <w:r>
              <w:rPr>
                <w:rFonts w:ascii="Arial" w:cs="Arial" w:eastAsia="Arial" w:hAnsi="Arial"/>
                <w:sz w:val="14"/>
                <w:szCs w:val="14"/>
                <w:color w:val="auto"/>
              </w:rPr>
              <w:t>9,650,984</w:t>
            </w:r>
            <w:r>
              <w:rPr>
                <w:rFonts w:ascii="Arial" w:cs="Arial" w:eastAsia="Arial" w:hAnsi="Arial"/>
                <w:sz w:val="23"/>
                <w:szCs w:val="23"/>
                <w:color w:val="auto"/>
                <w:vertAlign w:val="superscript"/>
              </w:rPr>
              <w:t>(1)</w:t>
            </w:r>
          </w:p>
        </w:tc>
        <w:tc>
          <w:tcPr>
            <w:tcW w:w="1340" w:type="dxa"/>
            <w:vAlign w:val="bottom"/>
            <w:shd w:val="clear" w:color="auto" w:fill="EBEBEB"/>
          </w:tcPr>
          <w:p>
            <w:pPr>
              <w:jc w:val="right"/>
              <w:ind w:right="102"/>
              <w:spacing w:after="0"/>
              <w:rPr>
                <w:sz w:val="20"/>
                <w:szCs w:val="20"/>
                <w:color w:val="auto"/>
              </w:rPr>
            </w:pPr>
            <w:r>
              <w:rPr>
                <w:rFonts w:ascii="Arial" w:cs="Arial" w:eastAsia="Arial" w:hAnsi="Arial"/>
                <w:sz w:val="14"/>
                <w:szCs w:val="14"/>
                <w:color w:val="auto"/>
              </w:rPr>
              <w:t>$6.36</w:t>
            </w:r>
            <w:r>
              <w:rPr>
                <w:rFonts w:ascii="Arial" w:cs="Arial" w:eastAsia="Arial" w:hAnsi="Arial"/>
                <w:sz w:val="23"/>
                <w:szCs w:val="23"/>
                <w:color w:val="auto"/>
                <w:vertAlign w:val="superscript"/>
              </w:rPr>
              <w:t>(2)</w:t>
            </w:r>
          </w:p>
        </w:tc>
        <w:tc>
          <w:tcPr>
            <w:tcW w:w="1420" w:type="dxa"/>
            <w:vAlign w:val="bottom"/>
            <w:shd w:val="clear" w:color="auto" w:fill="EBEBEB"/>
          </w:tcPr>
          <w:p>
            <w:pPr>
              <w:jc w:val="right"/>
              <w:ind w:right="42"/>
              <w:spacing w:after="0"/>
              <w:rPr>
                <w:sz w:val="20"/>
                <w:szCs w:val="20"/>
                <w:color w:val="auto"/>
              </w:rPr>
            </w:pPr>
            <w:r>
              <w:rPr>
                <w:rFonts w:ascii="Arial" w:cs="Arial" w:eastAsia="Arial" w:hAnsi="Arial"/>
                <w:sz w:val="14"/>
                <w:szCs w:val="14"/>
                <w:color w:val="auto"/>
              </w:rPr>
              <w:t>1,666,381</w:t>
            </w:r>
          </w:p>
        </w:tc>
      </w:tr>
      <w:tr>
        <w:trPr>
          <w:trHeight w:val="237"/>
        </w:trPr>
        <w:tc>
          <w:tcPr>
            <w:tcW w:w="4560" w:type="dxa"/>
            <w:vAlign w:val="bottom"/>
            <w:tcBorders>
              <w:bottom w:val="single" w:sz="8" w:color="FAFAFA"/>
            </w:tcBorders>
            <w:shd w:val="clear" w:color="auto" w:fill="FAFAFA"/>
          </w:tcPr>
          <w:p>
            <w:pPr>
              <w:ind w:left="360"/>
              <w:spacing w:after="0"/>
              <w:rPr>
                <w:sz w:val="20"/>
                <w:szCs w:val="20"/>
                <w:color w:val="auto"/>
              </w:rPr>
            </w:pPr>
            <w:r>
              <w:rPr>
                <w:rFonts w:ascii="Arial" w:cs="Arial" w:eastAsia="Arial" w:hAnsi="Arial"/>
                <w:sz w:val="14"/>
                <w:szCs w:val="14"/>
                <w:color w:val="auto"/>
              </w:rPr>
              <w:t>2020 Employee Stock Purchase Plan</w:t>
            </w:r>
          </w:p>
        </w:tc>
        <w:tc>
          <w:tcPr>
            <w:tcW w:w="2080" w:type="dxa"/>
            <w:vAlign w:val="bottom"/>
            <w:tcBorders>
              <w:bottom w:val="single" w:sz="8" w:color="FAFAFA"/>
            </w:tcBorders>
            <w:shd w:val="clear" w:color="auto" w:fill="FAFAFA"/>
          </w:tcPr>
          <w:p>
            <w:pPr>
              <w:jc w:val="right"/>
              <w:ind w:right="103"/>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FAFAFA"/>
            </w:tcBorders>
            <w:shd w:val="clear" w:color="auto" w:fill="FAFAFA"/>
          </w:tcPr>
          <w:p>
            <w:pPr>
              <w:jc w:val="right"/>
              <w:ind w:right="102"/>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FAFAFA"/>
            </w:tcBorders>
            <w:shd w:val="clear" w:color="auto" w:fill="FAFAFA"/>
          </w:tcPr>
          <w:p>
            <w:pPr>
              <w:jc w:val="right"/>
              <w:ind w:right="42"/>
              <w:spacing w:after="0"/>
              <w:rPr>
                <w:sz w:val="20"/>
                <w:szCs w:val="20"/>
                <w:color w:val="auto"/>
              </w:rPr>
            </w:pPr>
            <w:r>
              <w:rPr>
                <w:rFonts w:ascii="Arial" w:cs="Arial" w:eastAsia="Arial" w:hAnsi="Arial"/>
                <w:sz w:val="14"/>
                <w:szCs w:val="14"/>
                <w:color w:val="auto"/>
              </w:rPr>
              <w:t>1,338,444</w:t>
            </w:r>
          </w:p>
        </w:tc>
      </w:tr>
      <w:tr>
        <w:trPr>
          <w:trHeight w:val="236"/>
        </w:trPr>
        <w:tc>
          <w:tcPr>
            <w:tcW w:w="4560" w:type="dxa"/>
            <w:vAlign w:val="bottom"/>
            <w:tcBorders>
              <w:bottom w:val="single" w:sz="8" w:color="EBEBEB"/>
            </w:tcBorders>
            <w:shd w:val="clear" w:color="auto" w:fill="EBEBEB"/>
          </w:tcPr>
          <w:p>
            <w:pPr>
              <w:ind w:left="180"/>
              <w:spacing w:after="0"/>
              <w:rPr>
                <w:sz w:val="20"/>
                <w:szCs w:val="20"/>
                <w:color w:val="auto"/>
              </w:rPr>
            </w:pPr>
            <w:r>
              <w:rPr>
                <w:rFonts w:ascii="Arial" w:cs="Arial" w:eastAsia="Arial" w:hAnsi="Arial"/>
                <w:sz w:val="14"/>
                <w:szCs w:val="14"/>
                <w:color w:val="auto"/>
              </w:rPr>
              <w:t>Equity compensation plans not approved by security holders:</w:t>
            </w:r>
          </w:p>
        </w:tc>
        <w:tc>
          <w:tcPr>
            <w:tcW w:w="2080" w:type="dxa"/>
            <w:vAlign w:val="bottom"/>
            <w:tcBorders>
              <w:bottom w:val="single" w:sz="8" w:color="EBEBEB"/>
            </w:tcBorders>
            <w:shd w:val="clear" w:color="auto" w:fill="EBEBEB"/>
          </w:tcPr>
          <w:p>
            <w:pPr>
              <w:spacing w:after="0"/>
              <w:rPr>
                <w:sz w:val="20"/>
                <w:szCs w:val="20"/>
                <w:color w:val="auto"/>
              </w:rPr>
            </w:pPr>
          </w:p>
        </w:tc>
        <w:tc>
          <w:tcPr>
            <w:tcW w:w="1340" w:type="dxa"/>
            <w:vAlign w:val="bottom"/>
            <w:tcBorders>
              <w:bottom w:val="single" w:sz="8" w:color="EBEBEB"/>
            </w:tcBorders>
            <w:shd w:val="clear" w:color="auto" w:fill="EBEBEB"/>
          </w:tcPr>
          <w:p>
            <w:pPr>
              <w:spacing w:after="0"/>
              <w:rPr>
                <w:sz w:val="20"/>
                <w:szCs w:val="20"/>
                <w:color w:val="auto"/>
              </w:rPr>
            </w:pPr>
          </w:p>
        </w:tc>
        <w:tc>
          <w:tcPr>
            <w:tcW w:w="1420" w:type="dxa"/>
            <w:vAlign w:val="bottom"/>
            <w:tcBorders>
              <w:bottom w:val="single" w:sz="8" w:color="EBEBEB"/>
            </w:tcBorders>
            <w:shd w:val="clear" w:color="auto" w:fill="EBEBEB"/>
          </w:tcPr>
          <w:p>
            <w:pPr>
              <w:spacing w:after="0"/>
              <w:rPr>
                <w:sz w:val="20"/>
                <w:szCs w:val="20"/>
                <w:color w:val="auto"/>
              </w:rPr>
            </w:pPr>
          </w:p>
        </w:tc>
      </w:tr>
      <w:tr>
        <w:trPr>
          <w:trHeight w:val="237"/>
        </w:trPr>
        <w:tc>
          <w:tcPr>
            <w:tcW w:w="4560" w:type="dxa"/>
            <w:vAlign w:val="bottom"/>
            <w:tcBorders>
              <w:bottom w:val="single" w:sz="8" w:color="FAFAFA"/>
            </w:tcBorders>
            <w:shd w:val="clear" w:color="auto" w:fill="FAFAFA"/>
          </w:tcPr>
          <w:p>
            <w:pPr>
              <w:ind w:left="360"/>
              <w:spacing w:after="0"/>
              <w:rPr>
                <w:sz w:val="20"/>
                <w:szCs w:val="20"/>
                <w:color w:val="auto"/>
              </w:rPr>
            </w:pPr>
            <w:r>
              <w:rPr>
                <w:rFonts w:ascii="Arial" w:cs="Arial" w:eastAsia="Arial" w:hAnsi="Arial"/>
                <w:sz w:val="14"/>
                <w:szCs w:val="14"/>
                <w:color w:val="auto"/>
              </w:rPr>
              <w:t>2024 Inducement Equity Incentive Plan</w:t>
            </w:r>
          </w:p>
        </w:tc>
        <w:tc>
          <w:tcPr>
            <w:tcW w:w="2080" w:type="dxa"/>
            <w:vAlign w:val="bottom"/>
            <w:tcBorders>
              <w:bottom w:val="single" w:sz="8" w:color="FAFAFA"/>
            </w:tcBorders>
            <w:shd w:val="clear" w:color="auto" w:fill="FAFAFA"/>
          </w:tcPr>
          <w:p>
            <w:pPr>
              <w:jc w:val="right"/>
              <w:ind w:right="103"/>
              <w:spacing w:after="0"/>
              <w:rPr>
                <w:sz w:val="20"/>
                <w:szCs w:val="20"/>
                <w:color w:val="auto"/>
              </w:rPr>
            </w:pPr>
            <w:r>
              <w:rPr>
                <w:rFonts w:ascii="Arial" w:cs="Arial" w:eastAsia="Arial" w:hAnsi="Arial"/>
                <w:sz w:val="14"/>
                <w:szCs w:val="14"/>
                <w:color w:val="auto"/>
              </w:rPr>
              <w:t>400,000</w:t>
            </w:r>
          </w:p>
        </w:tc>
        <w:tc>
          <w:tcPr>
            <w:tcW w:w="1340" w:type="dxa"/>
            <w:vAlign w:val="bottom"/>
            <w:tcBorders>
              <w:bottom w:val="single" w:sz="8" w:color="FAFAFA"/>
            </w:tcBorders>
            <w:shd w:val="clear" w:color="auto" w:fill="FAFAFA"/>
          </w:tcPr>
          <w:p>
            <w:pPr>
              <w:jc w:val="right"/>
              <w:ind w:right="102"/>
              <w:spacing w:after="0"/>
              <w:rPr>
                <w:sz w:val="20"/>
                <w:szCs w:val="20"/>
                <w:color w:val="auto"/>
              </w:rPr>
            </w:pPr>
            <w:r>
              <w:rPr>
                <w:rFonts w:ascii="Arial" w:cs="Arial" w:eastAsia="Arial" w:hAnsi="Arial"/>
                <w:sz w:val="14"/>
                <w:szCs w:val="14"/>
                <w:color w:val="auto"/>
              </w:rPr>
              <w:t>$2.06</w:t>
            </w:r>
          </w:p>
        </w:tc>
        <w:tc>
          <w:tcPr>
            <w:tcW w:w="1420" w:type="dxa"/>
            <w:vAlign w:val="bottom"/>
            <w:tcBorders>
              <w:bottom w:val="single" w:sz="8" w:color="FAFAFA"/>
            </w:tcBorders>
            <w:shd w:val="clear" w:color="auto" w:fill="FAFAFA"/>
          </w:tcPr>
          <w:p>
            <w:pPr>
              <w:jc w:val="right"/>
              <w:ind w:right="42"/>
              <w:spacing w:after="0"/>
              <w:rPr>
                <w:sz w:val="20"/>
                <w:szCs w:val="20"/>
                <w:color w:val="auto"/>
              </w:rPr>
            </w:pPr>
            <w:r>
              <w:rPr>
                <w:rFonts w:ascii="Arial" w:cs="Arial" w:eastAsia="Arial" w:hAnsi="Arial"/>
                <w:sz w:val="14"/>
                <w:szCs w:val="14"/>
                <w:color w:val="auto"/>
              </w:rPr>
              <w:t>350,000</w:t>
            </w:r>
          </w:p>
        </w:tc>
      </w:tr>
      <w:tr>
        <w:trPr>
          <w:trHeight w:val="203"/>
        </w:trPr>
        <w:tc>
          <w:tcPr>
            <w:tcW w:w="4560" w:type="dxa"/>
            <w:vAlign w:val="bottom"/>
            <w:shd w:val="clear" w:color="auto" w:fill="EBEBEB"/>
          </w:tcPr>
          <w:p>
            <w:pPr>
              <w:ind w:left="180"/>
              <w:spacing w:after="0"/>
              <w:rPr>
                <w:sz w:val="20"/>
                <w:szCs w:val="20"/>
                <w:color w:val="auto"/>
              </w:rPr>
            </w:pPr>
            <w:r>
              <w:rPr>
                <w:rFonts w:ascii="Arial" w:cs="Arial" w:eastAsia="Arial" w:hAnsi="Arial"/>
                <w:sz w:val="14"/>
                <w:szCs w:val="14"/>
                <w:color w:val="auto"/>
              </w:rPr>
              <w:t>Total</w:t>
            </w:r>
          </w:p>
        </w:tc>
        <w:tc>
          <w:tcPr>
            <w:tcW w:w="2080" w:type="dxa"/>
            <w:vAlign w:val="bottom"/>
            <w:shd w:val="clear" w:color="auto" w:fill="EBEBEB"/>
          </w:tcPr>
          <w:p>
            <w:pPr>
              <w:jc w:val="right"/>
              <w:ind w:right="103"/>
              <w:spacing w:after="0"/>
              <w:rPr>
                <w:sz w:val="20"/>
                <w:szCs w:val="20"/>
                <w:color w:val="auto"/>
              </w:rPr>
            </w:pPr>
            <w:r>
              <w:rPr>
                <w:rFonts w:ascii="Arial" w:cs="Arial" w:eastAsia="Arial" w:hAnsi="Arial"/>
                <w:sz w:val="14"/>
                <w:szCs w:val="14"/>
                <w:color w:val="auto"/>
              </w:rPr>
              <w:t>10,234,971</w:t>
            </w:r>
          </w:p>
        </w:tc>
        <w:tc>
          <w:tcPr>
            <w:tcW w:w="1340" w:type="dxa"/>
            <w:vAlign w:val="bottom"/>
            <w:shd w:val="clear" w:color="auto" w:fill="EBEBEB"/>
          </w:tcPr>
          <w:p>
            <w:pPr>
              <w:spacing w:after="0"/>
              <w:rPr>
                <w:sz w:val="17"/>
                <w:szCs w:val="17"/>
                <w:color w:val="auto"/>
              </w:rPr>
            </w:pPr>
          </w:p>
        </w:tc>
        <w:tc>
          <w:tcPr>
            <w:tcW w:w="1420" w:type="dxa"/>
            <w:vAlign w:val="bottom"/>
            <w:shd w:val="clear" w:color="auto" w:fill="EBEBEB"/>
          </w:tcPr>
          <w:p>
            <w:pPr>
              <w:jc w:val="right"/>
              <w:ind w:right="42"/>
              <w:spacing w:after="0"/>
              <w:rPr>
                <w:sz w:val="20"/>
                <w:szCs w:val="20"/>
                <w:color w:val="auto"/>
              </w:rPr>
            </w:pPr>
            <w:r>
              <w:rPr>
                <w:rFonts w:ascii="Arial" w:cs="Arial" w:eastAsia="Arial" w:hAnsi="Arial"/>
                <w:sz w:val="14"/>
                <w:szCs w:val="14"/>
                <w:color w:val="auto"/>
              </w:rPr>
              <w:t>3,354,825</w:t>
            </w:r>
          </w:p>
        </w:tc>
      </w:tr>
      <w:tr>
        <w:trPr>
          <w:trHeight w:val="95"/>
        </w:trPr>
        <w:tc>
          <w:tcPr>
            <w:tcW w:w="4560" w:type="dxa"/>
            <w:vAlign w:val="bottom"/>
            <w:shd w:val="clear" w:color="auto" w:fill="EBEBEB"/>
          </w:tcPr>
          <w:p>
            <w:pPr>
              <w:spacing w:after="0"/>
              <w:rPr>
                <w:sz w:val="8"/>
                <w:szCs w:val="8"/>
                <w:color w:val="auto"/>
              </w:rPr>
            </w:pPr>
          </w:p>
        </w:tc>
        <w:tc>
          <w:tcPr>
            <w:tcW w:w="2080" w:type="dxa"/>
            <w:vAlign w:val="bottom"/>
            <w:shd w:val="clear" w:color="auto" w:fill="EBEBEB"/>
          </w:tcPr>
          <w:p>
            <w:pPr>
              <w:spacing w:after="0"/>
              <w:rPr>
                <w:sz w:val="8"/>
                <w:szCs w:val="8"/>
                <w:color w:val="auto"/>
              </w:rPr>
            </w:pPr>
          </w:p>
        </w:tc>
        <w:tc>
          <w:tcPr>
            <w:tcW w:w="1340" w:type="dxa"/>
            <w:vAlign w:val="bottom"/>
            <w:shd w:val="clear" w:color="auto" w:fill="EBEBEB"/>
          </w:tcPr>
          <w:p>
            <w:pPr>
              <w:spacing w:after="0"/>
              <w:rPr>
                <w:sz w:val="8"/>
                <w:szCs w:val="8"/>
                <w:color w:val="auto"/>
              </w:rPr>
            </w:pPr>
          </w:p>
        </w:tc>
        <w:tc>
          <w:tcPr>
            <w:tcW w:w="1420" w:type="dxa"/>
            <w:vAlign w:val="bottom"/>
            <w:shd w:val="clear" w:color="auto" w:fill="EBEBEB"/>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-1191260</wp:posOffset>
            </wp:positionV>
            <wp:extent cx="59664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-1028065</wp:posOffset>
            </wp:positionV>
            <wp:extent cx="59664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-864870</wp:posOffset>
            </wp:positionV>
            <wp:extent cx="59664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-685165</wp:posOffset>
            </wp:positionV>
            <wp:extent cx="59664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-521970</wp:posOffset>
            </wp:positionV>
            <wp:extent cx="59664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-359410</wp:posOffset>
            </wp:positionV>
            <wp:extent cx="59664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-196850</wp:posOffset>
            </wp:positionV>
            <wp:extent cx="59664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33" w:lineRule="exact"/>
        <w:rPr>
          <w:sz w:val="20"/>
          <w:szCs w:val="20"/>
          <w:color w:val="auto"/>
        </w:rPr>
      </w:pPr>
    </w:p>
    <w:p>
      <w:pPr>
        <w:ind w:left="320" w:hanging="224"/>
        <w:spacing w:after="0"/>
        <w:tabs>
          <w:tab w:leader="none" w:pos="320" w:val="left"/>
        </w:tabs>
        <w:numPr>
          <w:ilvl w:val="0"/>
          <w:numId w:val="42"/>
        </w:numPr>
        <w:rPr>
          <w:rFonts w:ascii="Arial" w:cs="Arial" w:eastAsia="Arial" w:hAnsi="Arial"/>
          <w:sz w:val="14"/>
          <w:szCs w:val="14"/>
          <w:color w:val="255993"/>
        </w:rPr>
      </w:pPr>
      <w:r>
        <w:rPr>
          <w:rFonts w:ascii="Arial" w:cs="Arial" w:eastAsia="Arial" w:hAnsi="Arial"/>
          <w:sz w:val="14"/>
          <w:szCs w:val="14"/>
          <w:color w:val="255993"/>
        </w:rPr>
        <w:t>Includes both 9,028,323 outstanding options and 622,661 outstanding, unvested time-based and performance restricted stock units.</w:t>
      </w:r>
    </w:p>
    <w:p>
      <w:pPr>
        <w:spacing w:after="0" w:line="95" w:lineRule="exact"/>
        <w:rPr>
          <w:rFonts w:ascii="Arial" w:cs="Arial" w:eastAsia="Arial" w:hAnsi="Arial"/>
          <w:sz w:val="14"/>
          <w:szCs w:val="14"/>
          <w:color w:val="255993"/>
        </w:rPr>
      </w:pPr>
    </w:p>
    <w:p>
      <w:pPr>
        <w:ind w:left="320" w:right="380" w:hanging="224"/>
        <w:spacing w:after="0" w:line="285" w:lineRule="auto"/>
        <w:tabs>
          <w:tab w:leader="none" w:pos="320" w:val="left"/>
        </w:tabs>
        <w:numPr>
          <w:ilvl w:val="0"/>
          <w:numId w:val="42"/>
        </w:numPr>
        <w:rPr>
          <w:rFonts w:ascii="Arial" w:cs="Arial" w:eastAsia="Arial" w:hAnsi="Arial"/>
          <w:sz w:val="14"/>
          <w:szCs w:val="14"/>
          <w:color w:val="255993"/>
        </w:rPr>
      </w:pPr>
      <w:r>
        <w:rPr>
          <w:rFonts w:ascii="Arial" w:cs="Arial" w:eastAsia="Arial" w:hAnsi="Arial"/>
          <w:sz w:val="14"/>
          <w:szCs w:val="14"/>
          <w:color w:val="255993"/>
        </w:rPr>
        <w:t>Represents the outstanding options’ weighted-average exercise price and does not take into account the shares issuable upon vesting of outstanding time-based and performance restricted stock units, which do not have an exercise price.</w:t>
      </w:r>
    </w:p>
    <w:p>
      <w:pPr>
        <w:spacing w:after="0" w:line="36" w:lineRule="exact"/>
        <w:rPr>
          <w:rFonts w:ascii="Arial" w:cs="Arial" w:eastAsia="Arial" w:hAnsi="Arial"/>
          <w:sz w:val="14"/>
          <w:szCs w:val="14"/>
          <w:color w:val="255993"/>
        </w:rPr>
      </w:pPr>
    </w:p>
    <w:p>
      <w:pPr>
        <w:ind w:left="320" w:right="20" w:hanging="224"/>
        <w:spacing w:after="0" w:line="250" w:lineRule="auto"/>
        <w:tabs>
          <w:tab w:leader="none" w:pos="320" w:val="left"/>
        </w:tabs>
        <w:numPr>
          <w:ilvl w:val="0"/>
          <w:numId w:val="42"/>
        </w:numPr>
        <w:rPr>
          <w:rFonts w:ascii="Arial" w:cs="Arial" w:eastAsia="Arial" w:hAnsi="Arial"/>
          <w:sz w:val="14"/>
          <w:szCs w:val="14"/>
          <w:color w:val="255993"/>
        </w:rPr>
      </w:pPr>
      <w:r>
        <w:rPr>
          <w:rFonts w:ascii="Arial" w:cs="Arial" w:eastAsia="Arial" w:hAnsi="Arial"/>
          <w:sz w:val="14"/>
          <w:szCs w:val="14"/>
          <w:color w:val="255993"/>
        </w:rPr>
        <w:t>Our 2020 Equity Incentive Plan includes provisions providing for an annual increase in the number of securities available for future issuance on the first day of each fiscal year, equal to the least of: (1) 3,230,000 shares; (2) 5% of the outstanding shares of common stock as of the last day of the immediately preceding fiscal year; and (3) such lesser number of shares determined by the board of directors. Our 2020 Employee Stock Purchase Plan includes provisions providing for an annual increase in the number of securities available for future issuance on the first day of each fiscal year, equal to the least of: (1) 1% of the outstanding shares of common stock as of the last day of the immediately preceding fiscal year; (2) 646,000 shares; and (3) such lesser number of shares determined by the board of directors.</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February 2024, our board of directors adopted the Inducement Plan, and, subject to the adjustment provisions of the Inducement Plan, reserved 750,000 shares of our common stock for issuance pursuant to equity awards granted under the Inducement Plan. The Inducement Plan was adopted without stockholder approval pursuant to Nasdaq Rule 5635(c)(4). The Inducement Plan provides for the grant of equity-based awards, including nonstatutory stock options, stock appreciation rights, restricted stock, restricted stock units, and performance awards, and its terms are substantially similar to our 2020 Equity Incentive Plan, including with respect to treatment of equity awards in the event of a “Change in Control” (as defined under the Inducement Plan) of the Company or a merger of the Company with or into another corporation or entity, but with such other terms and conditions intended to comply with the Nasdaq inducement award exception. However, the 2020 Equity Incentive Plan permits certain exchange programs (including repricings) without stockholder approval, while our Inducement Plan does not permit such exchange programs.</w:t>
      </w:r>
    </w:p>
    <w:p>
      <w:pPr>
        <w:spacing w:after="0" w:line="19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53</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Related Person Transactions</w:t>
      </w:r>
    </w:p>
    <w:p>
      <w:pPr>
        <w:spacing w:after="0" w:line="357"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following is a summary of transactions since January 1, 2023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proxy statement titled “Executive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RELATED-PERSON TRANSACTIONS POLICY</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have a formal,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Certain transactions with related persons, however, are exempted from pre-approval including, but not limited to:</w:t>
      </w:r>
    </w:p>
    <w:p>
      <w:pPr>
        <w:spacing w:after="0" w:line="113" w:lineRule="exact"/>
        <w:rPr>
          <w:sz w:val="20"/>
          <w:szCs w:val="20"/>
          <w:color w:val="auto"/>
        </w:rPr>
      </w:pPr>
    </w:p>
    <w:p>
      <w:pPr>
        <w:ind w:left="140" w:hanging="134"/>
        <w:spacing w:after="0"/>
        <w:tabs>
          <w:tab w:leader="none" w:pos="140" w:val="left"/>
        </w:tabs>
        <w:numPr>
          <w:ilvl w:val="0"/>
          <w:numId w:val="43"/>
        </w:numPr>
        <w:rPr>
          <w:rFonts w:ascii="Arial" w:cs="Arial" w:eastAsia="Arial" w:hAnsi="Arial"/>
          <w:sz w:val="16"/>
          <w:szCs w:val="16"/>
          <w:color w:val="255993"/>
        </w:rPr>
      </w:pPr>
      <w:r>
        <w:rPr>
          <w:rFonts w:ascii="Arial" w:cs="Arial" w:eastAsia="Arial" w:hAnsi="Arial"/>
          <w:sz w:val="16"/>
          <w:szCs w:val="16"/>
          <w:color w:val="auto"/>
        </w:rPr>
        <w:t>compensation of our executive officers and directors that is otherwise disclosed in our public filings with the SEC;</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43"/>
        </w:numPr>
        <w:rPr>
          <w:rFonts w:ascii="Arial" w:cs="Arial" w:eastAsia="Arial" w:hAnsi="Arial"/>
          <w:sz w:val="16"/>
          <w:szCs w:val="16"/>
          <w:color w:val="255993"/>
        </w:rPr>
      </w:pPr>
      <w:r>
        <w:rPr>
          <w:rFonts w:ascii="Arial" w:cs="Arial" w:eastAsia="Arial" w:hAnsi="Arial"/>
          <w:sz w:val="16"/>
          <w:szCs w:val="16"/>
          <w:color w:val="auto"/>
        </w:rPr>
        <w:t>compensation, benefits and other transactions available to all of our employees generally;</w:t>
      </w:r>
    </w:p>
    <w:p>
      <w:pPr>
        <w:spacing w:after="0" w:line="59" w:lineRule="exact"/>
        <w:rPr>
          <w:rFonts w:ascii="Arial" w:cs="Arial" w:eastAsia="Arial" w:hAnsi="Arial"/>
          <w:sz w:val="16"/>
          <w:szCs w:val="16"/>
          <w:color w:val="255993"/>
        </w:rPr>
      </w:pPr>
    </w:p>
    <w:p>
      <w:pPr>
        <w:ind w:left="140" w:right="140" w:hanging="134"/>
        <w:spacing w:after="0" w:line="281" w:lineRule="auto"/>
        <w:tabs>
          <w:tab w:leader="none" w:pos="140" w:val="left"/>
        </w:tabs>
        <w:numPr>
          <w:ilvl w:val="0"/>
          <w:numId w:val="43"/>
        </w:numPr>
        <w:rPr>
          <w:rFonts w:ascii="Arial" w:cs="Arial" w:eastAsia="Arial" w:hAnsi="Arial"/>
          <w:sz w:val="16"/>
          <w:szCs w:val="16"/>
          <w:color w:val="255993"/>
        </w:rPr>
      </w:pPr>
      <w:r>
        <w:rPr>
          <w:rFonts w:ascii="Arial" w:cs="Arial" w:eastAsia="Arial" w:hAnsi="Arial"/>
          <w:sz w:val="16"/>
          <w:szCs w:val="16"/>
          <w:color w:val="auto"/>
        </w:rPr>
        <w:t>transactions where a related-person’s interest derives solely from his or her service as a director of another entity that is a party to the transaction;</w:t>
      </w:r>
    </w:p>
    <w:p>
      <w:pPr>
        <w:spacing w:after="0" w:line="1" w:lineRule="exact"/>
        <w:rPr>
          <w:rFonts w:ascii="Arial" w:cs="Arial" w:eastAsia="Arial" w:hAnsi="Arial"/>
          <w:sz w:val="16"/>
          <w:szCs w:val="16"/>
          <w:color w:val="255993"/>
        </w:rPr>
      </w:pPr>
    </w:p>
    <w:p>
      <w:pPr>
        <w:ind w:left="140" w:right="160" w:hanging="134"/>
        <w:spacing w:after="0" w:line="281" w:lineRule="auto"/>
        <w:tabs>
          <w:tab w:leader="none" w:pos="140" w:val="left"/>
        </w:tabs>
        <w:numPr>
          <w:ilvl w:val="0"/>
          <w:numId w:val="43"/>
        </w:numPr>
        <w:rPr>
          <w:rFonts w:ascii="Arial" w:cs="Arial" w:eastAsia="Arial" w:hAnsi="Arial"/>
          <w:sz w:val="16"/>
          <w:szCs w:val="16"/>
          <w:color w:val="255993"/>
        </w:rPr>
      </w:pPr>
      <w:r>
        <w:rPr>
          <w:rFonts w:ascii="Arial" w:cs="Arial" w:eastAsia="Arial" w:hAnsi="Arial"/>
          <w:sz w:val="16"/>
          <w:szCs w:val="16"/>
          <w:color w:val="auto"/>
        </w:rPr>
        <w:t>transactions where a related-person’s interest derives solely from his or her ownership of less than 10% of the equity interest in another entity that is a party to the transaction; and</w:t>
      </w:r>
    </w:p>
    <w:p>
      <w:pPr>
        <w:spacing w:after="0" w:line="1" w:lineRule="exact"/>
        <w:rPr>
          <w:rFonts w:ascii="Arial" w:cs="Arial" w:eastAsia="Arial" w:hAnsi="Arial"/>
          <w:sz w:val="16"/>
          <w:szCs w:val="16"/>
          <w:color w:val="255993"/>
        </w:rPr>
      </w:pPr>
    </w:p>
    <w:p>
      <w:pPr>
        <w:ind w:left="140" w:right="160" w:hanging="134"/>
        <w:spacing w:after="0" w:line="286" w:lineRule="auto"/>
        <w:tabs>
          <w:tab w:leader="none" w:pos="140" w:val="left"/>
        </w:tabs>
        <w:numPr>
          <w:ilvl w:val="0"/>
          <w:numId w:val="43"/>
        </w:numPr>
        <w:rPr>
          <w:rFonts w:ascii="Arial" w:cs="Arial" w:eastAsia="Arial" w:hAnsi="Arial"/>
          <w:sz w:val="16"/>
          <w:szCs w:val="16"/>
          <w:color w:val="255993"/>
        </w:rPr>
      </w:pPr>
      <w:r>
        <w:rPr>
          <w:rFonts w:ascii="Arial" w:cs="Arial" w:eastAsia="Arial" w:hAnsi="Arial"/>
          <w:sz w:val="16"/>
          <w:szCs w:val="16"/>
          <w:color w:val="auto"/>
        </w:rPr>
        <w:t>transactions where a related-person’s interest derives solely from his or her ownership of a class of our equity securities and all holders of that class received the same benefit on a pro rata basis.</w:t>
      </w:r>
    </w:p>
    <w:p>
      <w:pPr>
        <w:spacing w:after="0" w:line="7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or transaction, our audit committee shall consider the relevant facts and circumstances available and deemed relevant to the audit committee, including, but not limited to:</w:t>
      </w:r>
    </w:p>
    <w:p>
      <w:pPr>
        <w:spacing w:after="0" w:line="70" w:lineRule="exact"/>
        <w:rPr>
          <w:sz w:val="20"/>
          <w:szCs w:val="20"/>
          <w:color w:val="auto"/>
        </w:rPr>
      </w:pPr>
    </w:p>
    <w:p>
      <w:pPr>
        <w:ind w:left="140" w:hanging="134"/>
        <w:spacing w:after="0"/>
        <w:tabs>
          <w:tab w:leader="none" w:pos="140" w:val="left"/>
        </w:tabs>
        <w:numPr>
          <w:ilvl w:val="0"/>
          <w:numId w:val="44"/>
        </w:numPr>
        <w:rPr>
          <w:rFonts w:ascii="Arial" w:cs="Arial" w:eastAsia="Arial" w:hAnsi="Arial"/>
          <w:sz w:val="16"/>
          <w:szCs w:val="16"/>
          <w:color w:val="255993"/>
        </w:rPr>
      </w:pPr>
      <w:r>
        <w:rPr>
          <w:rFonts w:ascii="Arial" w:cs="Arial" w:eastAsia="Arial" w:hAnsi="Arial"/>
          <w:sz w:val="16"/>
          <w:szCs w:val="16"/>
          <w:color w:val="auto"/>
        </w:rPr>
        <w:t>the benefits and perceived benefits to us;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44"/>
        </w:numPr>
        <w:rPr>
          <w:rFonts w:ascii="Arial" w:cs="Arial" w:eastAsia="Arial" w:hAnsi="Arial"/>
          <w:sz w:val="16"/>
          <w:szCs w:val="16"/>
          <w:color w:val="255993"/>
        </w:rPr>
      </w:pPr>
      <w:r>
        <w:rPr>
          <w:rFonts w:ascii="Arial" w:cs="Arial" w:eastAsia="Arial" w:hAnsi="Arial"/>
          <w:sz w:val="16"/>
          <w:szCs w:val="16"/>
          <w:color w:val="auto"/>
        </w:rPr>
        <w:t>the materiality and character of the related-person’s direct and indirect interest;</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44"/>
        </w:numPr>
        <w:rPr>
          <w:rFonts w:ascii="Arial" w:cs="Arial" w:eastAsia="Arial" w:hAnsi="Arial"/>
          <w:sz w:val="16"/>
          <w:szCs w:val="16"/>
          <w:color w:val="255993"/>
        </w:rPr>
      </w:pPr>
      <w:r>
        <w:rPr>
          <w:rFonts w:ascii="Arial" w:cs="Arial" w:eastAsia="Arial" w:hAnsi="Arial"/>
          <w:sz w:val="16"/>
          <w:szCs w:val="16"/>
          <w:color w:val="auto"/>
        </w:rPr>
        <w:t>the availability of other sources for comparable products or services;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44"/>
        </w:numPr>
        <w:rPr>
          <w:rFonts w:ascii="Arial" w:cs="Arial" w:eastAsia="Arial" w:hAnsi="Arial"/>
          <w:sz w:val="16"/>
          <w:szCs w:val="16"/>
          <w:color w:val="255993"/>
        </w:rPr>
      </w:pPr>
      <w:r>
        <w:rPr>
          <w:rFonts w:ascii="Arial" w:cs="Arial" w:eastAsia="Arial" w:hAnsi="Arial"/>
          <w:sz w:val="16"/>
          <w:szCs w:val="16"/>
          <w:color w:val="auto"/>
        </w:rPr>
        <w:t>the terms of the transaction;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44"/>
        </w:numPr>
        <w:rPr>
          <w:rFonts w:ascii="Arial" w:cs="Arial" w:eastAsia="Arial" w:hAnsi="Arial"/>
          <w:sz w:val="16"/>
          <w:szCs w:val="16"/>
          <w:color w:val="255993"/>
        </w:rPr>
      </w:pPr>
      <w:r>
        <w:rPr>
          <w:rFonts w:ascii="Arial" w:cs="Arial" w:eastAsia="Arial" w:hAnsi="Arial"/>
          <w:sz w:val="16"/>
          <w:szCs w:val="16"/>
          <w:color w:val="auto"/>
        </w:rPr>
        <w:t>the terms available to unrelated third parties under the same or similar circumstances.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INVESTORS’ RIGHTS AGREEMENT</w:t>
      </w:r>
    </w:p>
    <w:p>
      <w:pPr>
        <w:spacing w:after="0" w:line="10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entered into an investors’ rights agreement on May 29, 2020 with certain of our stockholders, including Dr. Litton, our president and chief executive officer and a member of our board of directors, Mark Worthington, our general counsel, chief compliance officer and corporate secretary, Fluke Capital Management, L.P., of which John M. Fluke, Jr., a member of our board of directors, has a beneficial ownership interest, and Perceptive Life Sciences Master Fund Ltd., of which Joseph Edelman, a member of our board of directors, has a beneficial ownership interest. Pursuant to the terms of the investors’ rights agreement, such holders were entitled to rights with respect to the registration of their outstanding shares, which rights expired pursuant to the terms of the investors’ rights agreement on the third anniversary of the Company’s initial public offering.</w:t>
      </w:r>
    </w:p>
    <w:p>
      <w:pPr>
        <w:spacing w:after="0" w:line="18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54</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OTHER TRANSACTIONS</w:t>
      </w:r>
    </w:p>
    <w:p>
      <w:pPr>
        <w:spacing w:after="0" w:line="10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have entered into employment offer letters and change in control and severance agreements with our executive officers. For a description of these agreements with our named executive officers, see the section of this proxy statement titled “Executive Compensation – Executive Employment Arrangements.”</w:t>
      </w:r>
    </w:p>
    <w:p>
      <w:pPr>
        <w:spacing w:after="0" w:line="104"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We have granted stock options and/or restricted stock units, and issued common stock in connection therewith as applicable, to our executive officers and our non-employee directors. For a description of these grants and issuances, see the sections of this proxy statement titled “Board of Directors and Corporate Governance – Director Compensation” and “Executive Compensation.”</w:t>
      </w:r>
    </w:p>
    <w:p>
      <w:pPr>
        <w:spacing w:after="0" w:line="9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have entered into indemnification agreements with our directors and executive officers which provide for the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 director, officer, employee,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indemnification agreements are necessary to attract and retain qualified persons as directors and officers. We also maintain directors’ and officers’ liability insurance.</w:t>
      </w:r>
    </w:p>
    <w:p>
      <w:pPr>
        <w:spacing w:after="0" w:line="194"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55</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Other Matters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AVAILABILITY OF BYLAWS</w:t>
      </w:r>
    </w:p>
    <w:p>
      <w:pPr>
        <w:spacing w:after="0" w:line="108"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 xml:space="preserve">A copy of the Bylaws may be obtained by accessing our filings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2024 ANNUAL REPORT</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Our financial statements for our fiscal year ended December 31, 2024, are included in our Annual Report on Form 10-K, filed with the SEC on February 27, 2025, which we will make available to stockholders at the same time as this proxy statement. Our proxy materials and our annual report are posted on our website at </w:t>
      </w:r>
      <w:r>
        <w:rPr>
          <w:rFonts w:ascii="Arial" w:cs="Arial" w:eastAsia="Arial" w:hAnsi="Arial"/>
          <w:sz w:val="16"/>
          <w:szCs w:val="16"/>
          <w:i w:val="1"/>
          <w:iCs w:val="1"/>
          <w:color w:val="auto"/>
        </w:rPr>
        <w:t>www.athira.com</w:t>
      </w:r>
      <w:r>
        <w:rPr>
          <w:rFonts w:ascii="Arial" w:cs="Arial" w:eastAsia="Arial" w:hAnsi="Arial"/>
          <w:sz w:val="16"/>
          <w:szCs w:val="16"/>
          <w:color w:val="auto"/>
        </w:rPr>
        <w:t xml:space="preserve"> and are available from the SEC at its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255993"/>
        </w:rPr>
        <w:t>You may also obtain a copy of our annual report, free of charge, by sending a written request to Athira</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255993"/>
        </w:rPr>
        <w:t>Pharma, Inc., 18706 North Creek Parkway, Suite 104, Bothell, Washington 98011, Attention: Investor Relations.</w:t>
      </w:r>
    </w:p>
    <w:p>
      <w:pPr>
        <w:spacing w:after="0" w:line="10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5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9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It is important that your shares be represented at the Annual Meeting, regardless of the number of shares that you hold. You are, therefore, urged to vote as promptly as possible to ensure your vote is recorded.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THE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Bothell, Washington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 2025</w:t>
      </w:r>
    </w:p>
    <w:p>
      <w:pPr>
        <w:spacing w:after="0" w:line="21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56</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Annex A</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THE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ATHIRA PHARMA, INC.</w:t>
      </w:r>
    </w:p>
    <w:p>
      <w:pPr>
        <w:spacing w:after="0" w:line="92" w:lineRule="exact"/>
        <w:rPr>
          <w:sz w:val="20"/>
          <w:szCs w:val="20"/>
          <w:color w:val="auto"/>
        </w:rPr>
      </w:pPr>
    </w:p>
    <w:p>
      <w:pPr>
        <w:ind w:right="940" w:firstLine="360"/>
        <w:spacing w:after="0" w:line="281" w:lineRule="auto"/>
        <w:rPr>
          <w:sz w:val="20"/>
          <w:szCs w:val="20"/>
          <w:color w:val="auto"/>
        </w:rPr>
      </w:pPr>
      <w:r>
        <w:rPr>
          <w:rFonts w:ascii="Arial" w:cs="Arial" w:eastAsia="Arial" w:hAnsi="Arial"/>
          <w:sz w:val="18"/>
          <w:szCs w:val="18"/>
          <w:color w:val="auto"/>
        </w:rPr>
        <w:t>Athira Pharma, Inc., a corporation organized and existing under the laws of the State of Delaware (the “</w:t>
      </w:r>
      <w:r>
        <w:rPr>
          <w:rFonts w:ascii="Arial" w:cs="Arial" w:eastAsia="Arial" w:hAnsi="Arial"/>
          <w:sz w:val="18"/>
          <w:szCs w:val="18"/>
          <w:b w:val="1"/>
          <w:bCs w:val="1"/>
          <w:color w:val="auto"/>
        </w:rPr>
        <w:t>Company</w:t>
      </w:r>
      <w:r>
        <w:rPr>
          <w:rFonts w:ascii="Arial" w:cs="Arial" w:eastAsia="Arial" w:hAnsi="Arial"/>
          <w:sz w:val="18"/>
          <w:szCs w:val="18"/>
          <w:color w:val="auto"/>
        </w:rPr>
        <w:t>”), does hereby certify as follows:</w:t>
      </w:r>
    </w:p>
    <w:p>
      <w:pPr>
        <w:spacing w:after="0" w:line="28" w:lineRule="exact"/>
        <w:rPr>
          <w:sz w:val="20"/>
          <w:szCs w:val="20"/>
          <w:color w:val="auto"/>
        </w:rPr>
      </w:pPr>
    </w:p>
    <w:p>
      <w:pPr>
        <w:ind w:left="360" w:right="340" w:firstLine="360"/>
        <w:spacing w:after="0" w:line="253" w:lineRule="auto"/>
        <w:rPr>
          <w:sz w:val="20"/>
          <w:szCs w:val="20"/>
          <w:color w:val="auto"/>
        </w:rPr>
      </w:pPr>
      <w:r>
        <w:rPr>
          <w:rFonts w:ascii="Arial" w:cs="Arial" w:eastAsia="Arial" w:hAnsi="Arial"/>
          <w:sz w:val="18"/>
          <w:szCs w:val="18"/>
          <w:color w:val="auto"/>
        </w:rPr>
        <w:t>1.  The Company was originally incorporated under the name of M3 Biotechnology, Inc., and the original Certificate of Incorporation of the Company was filed with the Secretary of State of the State of Delaware on October 27, 2015.</w:t>
      </w:r>
    </w:p>
    <w:p>
      <w:pPr>
        <w:spacing w:after="0" w:line="61" w:lineRule="exact"/>
        <w:rPr>
          <w:sz w:val="20"/>
          <w:szCs w:val="20"/>
          <w:color w:val="auto"/>
        </w:rPr>
      </w:pPr>
    </w:p>
    <w:p>
      <w:pPr>
        <w:ind w:left="360" w:right="80" w:firstLine="360"/>
        <w:spacing w:after="0" w:line="247" w:lineRule="auto"/>
        <w:rPr>
          <w:sz w:val="20"/>
          <w:szCs w:val="20"/>
          <w:color w:val="auto"/>
        </w:rPr>
      </w:pPr>
      <w:r>
        <w:rPr>
          <w:rFonts w:ascii="Arial" w:cs="Arial" w:eastAsia="Arial" w:hAnsi="Arial"/>
          <w:sz w:val="18"/>
          <w:szCs w:val="18"/>
          <w:color w:val="auto"/>
        </w:rPr>
        <w:t>2.  This Certificate of Amendment to the Amended and Restated Certificate of Incorporation of the Company, as amended, was duly adopted in accordance with Section 242 of the General Corporation Law of the State of Delaware by the Board of Directors of the Company (the “</w:t>
      </w:r>
      <w:r>
        <w:rPr>
          <w:rFonts w:ascii="Arial" w:cs="Arial" w:eastAsia="Arial" w:hAnsi="Arial"/>
          <w:sz w:val="18"/>
          <w:szCs w:val="18"/>
          <w:b w:val="1"/>
          <w:bCs w:val="1"/>
          <w:color w:val="auto"/>
        </w:rPr>
        <w:t>Board of Directors</w:t>
      </w:r>
      <w:r>
        <w:rPr>
          <w:rFonts w:ascii="Arial" w:cs="Arial" w:eastAsia="Arial" w:hAnsi="Arial"/>
          <w:sz w:val="18"/>
          <w:szCs w:val="18"/>
          <w:color w:val="auto"/>
        </w:rPr>
        <w:t>”) and the stockholders of the Company.</w:t>
      </w:r>
    </w:p>
    <w:p>
      <w:pPr>
        <w:spacing w:after="0" w:line="66" w:lineRule="exact"/>
        <w:rPr>
          <w:sz w:val="20"/>
          <w:szCs w:val="20"/>
          <w:color w:val="auto"/>
        </w:rPr>
      </w:pPr>
    </w:p>
    <w:p>
      <w:pPr>
        <w:ind w:left="360" w:right="420" w:firstLine="360"/>
        <w:spacing w:after="0" w:line="271" w:lineRule="auto"/>
        <w:rPr>
          <w:sz w:val="20"/>
          <w:szCs w:val="20"/>
          <w:color w:val="auto"/>
        </w:rPr>
      </w:pPr>
      <w:r>
        <w:rPr>
          <w:rFonts w:ascii="Arial" w:cs="Arial" w:eastAsia="Arial" w:hAnsi="Arial"/>
          <w:sz w:val="18"/>
          <w:szCs w:val="18"/>
          <w:color w:val="auto"/>
        </w:rPr>
        <w:t>3.  Section 1 of Article IV of the Amended and Restated Certificate of Incorporation of the Company, as amended, is hereby amended and restated in its entirety to read as follows:</w:t>
      </w:r>
    </w:p>
    <w:p>
      <w:pPr>
        <w:spacing w:after="0" w:line="46" w:lineRule="exact"/>
        <w:rPr>
          <w:sz w:val="20"/>
          <w:szCs w:val="20"/>
          <w:color w:val="auto"/>
        </w:rPr>
      </w:pPr>
    </w:p>
    <w:p>
      <w:pPr>
        <w:ind w:left="720" w:right="60" w:firstLine="360"/>
        <w:spacing w:after="0" w:line="244" w:lineRule="auto"/>
        <w:rPr>
          <w:sz w:val="20"/>
          <w:szCs w:val="20"/>
          <w:color w:val="auto"/>
        </w:rPr>
      </w:pPr>
      <w:r>
        <w:rPr>
          <w:rFonts w:ascii="Arial" w:cs="Arial" w:eastAsia="Arial" w:hAnsi="Arial"/>
          <w:sz w:val="18"/>
          <w:szCs w:val="18"/>
          <w:color w:val="auto"/>
        </w:rPr>
        <w:t>“Section 1.  Effective immediately upon the filing and effectiveness of this Certificate of Amendment (the “</w:t>
      </w:r>
      <w:r>
        <w:rPr>
          <w:rFonts w:ascii="Arial" w:cs="Arial" w:eastAsia="Arial" w:hAnsi="Arial"/>
          <w:sz w:val="18"/>
          <w:szCs w:val="18"/>
          <w:b w:val="1"/>
          <w:bCs w:val="1"/>
          <w:color w:val="auto"/>
        </w:rPr>
        <w:t>Effective Time</w:t>
      </w:r>
      <w:r>
        <w:rPr>
          <w:rFonts w:ascii="Arial" w:cs="Arial" w:eastAsia="Arial" w:hAnsi="Arial"/>
          <w:sz w:val="18"/>
          <w:szCs w:val="18"/>
          <w:color w:val="auto"/>
        </w:rPr>
        <w:t>”), each five (5) shares of Common Stock of the Company, par value $0.0001 per share, that are issued and outstanding or held in treasury on the Effective Time shall be combined into one (1) validly issued, fully paid and non-assessable share of Common Stock of the Company, par value $0.0001 per share, subject to the treatment of fractional share interests as described below (the “</w:t>
      </w:r>
      <w:r>
        <w:rPr>
          <w:rFonts w:ascii="Arial" w:cs="Arial" w:eastAsia="Arial" w:hAnsi="Arial"/>
          <w:sz w:val="18"/>
          <w:szCs w:val="18"/>
          <w:b w:val="1"/>
          <w:bCs w:val="1"/>
          <w:color w:val="auto"/>
        </w:rPr>
        <w:t>Reverse Stock</w:t>
      </w:r>
      <w:r>
        <w:rPr>
          <w:rFonts w:ascii="Arial" w:cs="Arial" w:eastAsia="Arial" w:hAnsi="Arial"/>
          <w:sz w:val="18"/>
          <w:szCs w:val="18"/>
          <w:color w:val="auto"/>
        </w:rPr>
        <w:t xml:space="preserve"> </w:t>
      </w:r>
      <w:r>
        <w:rPr>
          <w:rFonts w:ascii="Arial" w:cs="Arial" w:eastAsia="Arial" w:hAnsi="Arial"/>
          <w:sz w:val="18"/>
          <w:szCs w:val="18"/>
          <w:b w:val="1"/>
          <w:bCs w:val="1"/>
          <w:color w:val="auto"/>
        </w:rPr>
        <w:t>Split</w:t>
      </w:r>
      <w:r>
        <w:rPr>
          <w:rFonts w:ascii="Arial" w:cs="Arial" w:eastAsia="Arial" w:hAnsi="Arial"/>
          <w:sz w:val="18"/>
          <w:szCs w:val="18"/>
          <w:color w:val="auto"/>
        </w:rPr>
        <w:t>”). No fractional shares shall be issued upon the Reverse Stock Split.</w:t>
      </w:r>
    </w:p>
    <w:p>
      <w:pPr>
        <w:spacing w:after="0" w:line="60" w:lineRule="exact"/>
        <w:rPr>
          <w:sz w:val="20"/>
          <w:szCs w:val="20"/>
          <w:color w:val="auto"/>
        </w:rPr>
      </w:pPr>
    </w:p>
    <w:p>
      <w:pPr>
        <w:ind w:left="720" w:right="40" w:firstLine="360"/>
        <w:spacing w:after="0" w:line="247" w:lineRule="auto"/>
        <w:rPr>
          <w:sz w:val="20"/>
          <w:szCs w:val="20"/>
          <w:color w:val="auto"/>
        </w:rPr>
      </w:pPr>
      <w:r>
        <w:rPr>
          <w:rFonts w:ascii="Arial" w:cs="Arial" w:eastAsia="Arial" w:hAnsi="Arial"/>
          <w:sz w:val="18"/>
          <w:szCs w:val="18"/>
          <w:color w:val="auto"/>
        </w:rPr>
        <w:t>This Company is authorized to issue two classes of stock, to be designated, respectively, Common Stock and Preferred Stock. The total number of shares of stock that the Company shall have authority to issue is 280,000,000 shares, of which 180,000,000 shares are Common Stock, $0.0001 par value per share, and 100,000,000 shares are Preferred Stock, $0.0001 par value per share.”</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4.   This Certificate of Amendment shall become effective on [•], 2025 at [•]. Eastern Time.</w:t>
      </w:r>
    </w:p>
    <w:p>
      <w:pPr>
        <w:spacing w:after="0" w:line="104"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IN WITNESS WHEREOF, the Company has caused this Certificate of Amendment to the Amended and Restated Certificate of Incorporation of the Company, as amended, to be signed by a duly authorized officer of the Company, on [•], 2025.</w:t>
      </w:r>
    </w:p>
    <w:p>
      <w:pPr>
        <w:spacing w:after="0" w:line="19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ATHIRA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317500</wp:posOffset>
            </wp:positionV>
            <wp:extent cx="29146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Mark Litton</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257" w:lineRule="exact"/>
        <w:rPr>
          <w:sz w:val="20"/>
          <w:szCs w:val="20"/>
          <w:color w:val="auto"/>
        </w:rPr>
      </w:pPr>
    </w:p>
    <w:p>
      <w:pPr>
        <w:spacing w:after="0"/>
        <w:tabs>
          <w:tab w:leader="none" w:pos="456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A-1</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Annex B</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ATHIRA PHARMA, INC.</w:t>
      </w:r>
    </w:p>
    <w:p>
      <w:pPr>
        <w:spacing w:after="0" w:line="92" w:lineRule="exact"/>
        <w:rPr>
          <w:sz w:val="20"/>
          <w:szCs w:val="20"/>
          <w:color w:val="auto"/>
        </w:rPr>
      </w:pPr>
    </w:p>
    <w:p>
      <w:pPr>
        <w:ind w:right="940" w:firstLine="360"/>
        <w:spacing w:after="0" w:line="281" w:lineRule="auto"/>
        <w:rPr>
          <w:sz w:val="20"/>
          <w:szCs w:val="20"/>
          <w:color w:val="auto"/>
        </w:rPr>
      </w:pPr>
      <w:r>
        <w:rPr>
          <w:rFonts w:ascii="Arial" w:cs="Arial" w:eastAsia="Arial" w:hAnsi="Arial"/>
          <w:sz w:val="18"/>
          <w:szCs w:val="18"/>
          <w:color w:val="auto"/>
        </w:rPr>
        <w:t>Athira Pharma, Inc., a corporation organized and existing under the laws of the State of Delaware (the “</w:t>
      </w:r>
      <w:r>
        <w:rPr>
          <w:rFonts w:ascii="Arial" w:cs="Arial" w:eastAsia="Arial" w:hAnsi="Arial"/>
          <w:sz w:val="18"/>
          <w:szCs w:val="18"/>
          <w:b w:val="1"/>
          <w:bCs w:val="1"/>
          <w:color w:val="auto"/>
        </w:rPr>
        <w:t>Company</w:t>
      </w:r>
      <w:r>
        <w:rPr>
          <w:rFonts w:ascii="Arial" w:cs="Arial" w:eastAsia="Arial" w:hAnsi="Arial"/>
          <w:sz w:val="18"/>
          <w:szCs w:val="18"/>
          <w:color w:val="auto"/>
        </w:rPr>
        <w:t>”), does hereby certify as follows:</w:t>
      </w:r>
    </w:p>
    <w:p>
      <w:pPr>
        <w:spacing w:after="0" w:line="28" w:lineRule="exact"/>
        <w:rPr>
          <w:sz w:val="20"/>
          <w:szCs w:val="20"/>
          <w:color w:val="auto"/>
        </w:rPr>
      </w:pPr>
    </w:p>
    <w:p>
      <w:pPr>
        <w:ind w:left="360" w:right="340" w:firstLine="360"/>
        <w:spacing w:after="0" w:line="253" w:lineRule="auto"/>
        <w:rPr>
          <w:sz w:val="20"/>
          <w:szCs w:val="20"/>
          <w:color w:val="auto"/>
        </w:rPr>
      </w:pPr>
      <w:r>
        <w:rPr>
          <w:rFonts w:ascii="Arial" w:cs="Arial" w:eastAsia="Arial" w:hAnsi="Arial"/>
          <w:sz w:val="18"/>
          <w:szCs w:val="18"/>
          <w:color w:val="auto"/>
        </w:rPr>
        <w:t>1.  The Company was originally incorporated under the name of M3 Biotechnology, Inc., and the original Certificate of Incorporation of the Company was filed with the Secretary of State of the State of Delaware on October 27, 2015.</w:t>
      </w:r>
    </w:p>
    <w:p>
      <w:pPr>
        <w:spacing w:after="0" w:line="61" w:lineRule="exact"/>
        <w:rPr>
          <w:sz w:val="20"/>
          <w:szCs w:val="20"/>
          <w:color w:val="auto"/>
        </w:rPr>
      </w:pPr>
    </w:p>
    <w:p>
      <w:pPr>
        <w:ind w:left="360" w:right="80" w:firstLine="360"/>
        <w:spacing w:after="0" w:line="247" w:lineRule="auto"/>
        <w:rPr>
          <w:sz w:val="20"/>
          <w:szCs w:val="20"/>
          <w:color w:val="auto"/>
        </w:rPr>
      </w:pPr>
      <w:r>
        <w:rPr>
          <w:rFonts w:ascii="Arial" w:cs="Arial" w:eastAsia="Arial" w:hAnsi="Arial"/>
          <w:sz w:val="18"/>
          <w:szCs w:val="18"/>
          <w:color w:val="auto"/>
        </w:rPr>
        <w:t>2.  This Certificate of Amendment to the Amended and Restated Certificate of Incorporation of the Company, as amended, was duly adopted in accordance with Section 242 of the General Corporation Law of the State of Delaware by the Board of Directors of the Company (the “</w:t>
      </w:r>
      <w:r>
        <w:rPr>
          <w:rFonts w:ascii="Arial" w:cs="Arial" w:eastAsia="Arial" w:hAnsi="Arial"/>
          <w:sz w:val="18"/>
          <w:szCs w:val="18"/>
          <w:b w:val="1"/>
          <w:bCs w:val="1"/>
          <w:color w:val="auto"/>
        </w:rPr>
        <w:t>Board of Directors</w:t>
      </w:r>
      <w:r>
        <w:rPr>
          <w:rFonts w:ascii="Arial" w:cs="Arial" w:eastAsia="Arial" w:hAnsi="Arial"/>
          <w:sz w:val="18"/>
          <w:szCs w:val="18"/>
          <w:color w:val="auto"/>
        </w:rPr>
        <w:t>”) and the stockholders of the Company.</w:t>
      </w:r>
    </w:p>
    <w:p>
      <w:pPr>
        <w:spacing w:after="0" w:line="66" w:lineRule="exact"/>
        <w:rPr>
          <w:sz w:val="20"/>
          <w:szCs w:val="20"/>
          <w:color w:val="auto"/>
        </w:rPr>
      </w:pPr>
    </w:p>
    <w:p>
      <w:pPr>
        <w:ind w:left="360" w:right="420" w:firstLine="360"/>
        <w:spacing w:after="0" w:line="271" w:lineRule="auto"/>
        <w:rPr>
          <w:sz w:val="20"/>
          <w:szCs w:val="20"/>
          <w:color w:val="auto"/>
        </w:rPr>
      </w:pPr>
      <w:r>
        <w:rPr>
          <w:rFonts w:ascii="Arial" w:cs="Arial" w:eastAsia="Arial" w:hAnsi="Arial"/>
          <w:sz w:val="18"/>
          <w:szCs w:val="18"/>
          <w:color w:val="auto"/>
        </w:rPr>
        <w:t>3.  Section 1 of Article IV of the Amended and Restated Certificate of Incorporation of the Company, as amended, is hereby amended and restated in its entirety to read as follows:</w:t>
      </w:r>
    </w:p>
    <w:p>
      <w:pPr>
        <w:spacing w:after="0" w:line="46" w:lineRule="exact"/>
        <w:rPr>
          <w:sz w:val="20"/>
          <w:szCs w:val="20"/>
          <w:color w:val="auto"/>
        </w:rPr>
      </w:pPr>
    </w:p>
    <w:p>
      <w:pPr>
        <w:ind w:left="720" w:right="200" w:firstLine="360"/>
        <w:spacing w:after="0" w:line="255" w:lineRule="auto"/>
        <w:rPr>
          <w:sz w:val="20"/>
          <w:szCs w:val="20"/>
          <w:color w:val="auto"/>
        </w:rPr>
      </w:pPr>
      <w:r>
        <w:rPr>
          <w:rFonts w:ascii="Arial" w:cs="Arial" w:eastAsia="Arial" w:hAnsi="Arial"/>
          <w:sz w:val="17"/>
          <w:szCs w:val="17"/>
          <w:color w:val="auto"/>
        </w:rPr>
        <w:t>“Section 1.  Effective immediately upon the filing and effectiveness of this Certificate of Amendment (the “</w:t>
      </w:r>
      <w:r>
        <w:rPr>
          <w:rFonts w:ascii="Arial" w:cs="Arial" w:eastAsia="Arial" w:hAnsi="Arial"/>
          <w:sz w:val="17"/>
          <w:szCs w:val="17"/>
          <w:b w:val="1"/>
          <w:bCs w:val="1"/>
          <w:color w:val="auto"/>
        </w:rPr>
        <w:t>Effective Time</w:t>
      </w:r>
      <w:r>
        <w:rPr>
          <w:rFonts w:ascii="Arial" w:cs="Arial" w:eastAsia="Arial" w:hAnsi="Arial"/>
          <w:sz w:val="17"/>
          <w:szCs w:val="17"/>
          <w:color w:val="auto"/>
        </w:rPr>
        <w:t>”), each ten (10) shares of Common Stock of the Company, par value $0.0001 per share, that are issued and outstanding or held in treasury on the Effective Time shall be combined into one</w:t>
      </w:r>
    </w:p>
    <w:p>
      <w:pPr>
        <w:spacing w:after="0" w:line="2" w:lineRule="exact"/>
        <w:rPr>
          <w:sz w:val="20"/>
          <w:szCs w:val="20"/>
          <w:color w:val="auto"/>
        </w:rPr>
      </w:pPr>
    </w:p>
    <w:p>
      <w:pPr>
        <w:ind w:left="720" w:right="40" w:firstLine="6"/>
        <w:spacing w:after="0" w:line="247" w:lineRule="auto"/>
        <w:tabs>
          <w:tab w:leader="none" w:pos="9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validly issued, fully paid and non-assessable share of Common Stock of the Company, par value $0.0001 per share, subject to the treatment of fractional share interests as described below (the “</w:t>
      </w:r>
      <w:r>
        <w:rPr>
          <w:rFonts w:ascii="Arial" w:cs="Arial" w:eastAsia="Arial" w:hAnsi="Arial"/>
          <w:sz w:val="18"/>
          <w:szCs w:val="18"/>
          <w:b w:val="1"/>
          <w:bCs w:val="1"/>
          <w:color w:val="auto"/>
        </w:rPr>
        <w:t>Reverse Stock</w:t>
      </w:r>
      <w:r>
        <w:rPr>
          <w:rFonts w:ascii="Arial" w:cs="Arial" w:eastAsia="Arial" w:hAnsi="Arial"/>
          <w:sz w:val="18"/>
          <w:szCs w:val="18"/>
          <w:color w:val="auto"/>
        </w:rPr>
        <w:t xml:space="preserve"> </w:t>
      </w:r>
      <w:r>
        <w:rPr>
          <w:rFonts w:ascii="Arial" w:cs="Arial" w:eastAsia="Arial" w:hAnsi="Arial"/>
          <w:sz w:val="18"/>
          <w:szCs w:val="18"/>
          <w:b w:val="1"/>
          <w:bCs w:val="1"/>
          <w:color w:val="auto"/>
        </w:rPr>
        <w:t>Split</w:t>
      </w:r>
      <w:r>
        <w:rPr>
          <w:rFonts w:ascii="Arial" w:cs="Arial" w:eastAsia="Arial" w:hAnsi="Arial"/>
          <w:sz w:val="18"/>
          <w:szCs w:val="18"/>
          <w:color w:val="auto"/>
        </w:rPr>
        <w:t>”). No fractional shares shall be issued upon the Reverse Stock Split.</w:t>
      </w:r>
    </w:p>
    <w:p>
      <w:pPr>
        <w:spacing w:after="0" w:line="58" w:lineRule="exact"/>
        <w:rPr>
          <w:sz w:val="20"/>
          <w:szCs w:val="20"/>
          <w:color w:val="auto"/>
        </w:rPr>
      </w:pPr>
    </w:p>
    <w:p>
      <w:pPr>
        <w:ind w:left="720" w:right="140" w:firstLine="360"/>
        <w:spacing w:after="0" w:line="247" w:lineRule="auto"/>
        <w:rPr>
          <w:sz w:val="20"/>
          <w:szCs w:val="20"/>
          <w:color w:val="auto"/>
        </w:rPr>
      </w:pPr>
      <w:r>
        <w:rPr>
          <w:rFonts w:ascii="Arial" w:cs="Arial" w:eastAsia="Arial" w:hAnsi="Arial"/>
          <w:sz w:val="18"/>
          <w:szCs w:val="18"/>
          <w:color w:val="auto"/>
        </w:rPr>
        <w:t>This Company is authorized to issue two classes of stock, to be designated, respectively, Common Stock and Preferred Stock. The total number of shares of stock that the Company shall have authority to issue is 190,000,000 shares, of which 90,000,000 shares are Common Stock, $0.0001 par value per share, and 100,000,000 shares are Preferred Stock, $0.0001 par value per share.”</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4.   This Certificate of Amendment shall become effective on [•], 2025 at [•]. Eastern Time.</w:t>
      </w:r>
    </w:p>
    <w:p>
      <w:pPr>
        <w:spacing w:after="0" w:line="104"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IN WITNESS WHEREOF, the Company has caused this Certificate of Amendment to the Amended and Restated Certificate of Incorporation of the Company, as amended, to be signed by a duly authorized officer of the Company, on [•], 2025.</w:t>
      </w:r>
    </w:p>
    <w:p>
      <w:pPr>
        <w:spacing w:after="0" w:line="19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ATHIRA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317500</wp:posOffset>
            </wp:positionV>
            <wp:extent cx="291465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Mark Litton</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257" w:lineRule="exact"/>
        <w:rPr>
          <w:sz w:val="20"/>
          <w:szCs w:val="20"/>
          <w:color w:val="auto"/>
        </w:rPr>
      </w:pPr>
    </w:p>
    <w:p>
      <w:pPr>
        <w:spacing w:after="0"/>
        <w:tabs>
          <w:tab w:leader="none" w:pos="456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B-1</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Annex C</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ATHIRA PHARMA, INC.</w:t>
      </w:r>
    </w:p>
    <w:p>
      <w:pPr>
        <w:spacing w:after="0" w:line="92" w:lineRule="exact"/>
        <w:rPr>
          <w:sz w:val="20"/>
          <w:szCs w:val="20"/>
          <w:color w:val="auto"/>
        </w:rPr>
      </w:pPr>
    </w:p>
    <w:p>
      <w:pPr>
        <w:ind w:right="940" w:firstLine="360"/>
        <w:spacing w:after="0" w:line="281" w:lineRule="auto"/>
        <w:rPr>
          <w:sz w:val="20"/>
          <w:szCs w:val="20"/>
          <w:color w:val="auto"/>
        </w:rPr>
      </w:pPr>
      <w:r>
        <w:rPr>
          <w:rFonts w:ascii="Arial" w:cs="Arial" w:eastAsia="Arial" w:hAnsi="Arial"/>
          <w:sz w:val="18"/>
          <w:szCs w:val="18"/>
          <w:color w:val="auto"/>
        </w:rPr>
        <w:t>Athira Pharma, Inc., a corporation organized and existing under the laws of the State of Delaware (the “</w:t>
      </w:r>
      <w:r>
        <w:rPr>
          <w:rFonts w:ascii="Arial" w:cs="Arial" w:eastAsia="Arial" w:hAnsi="Arial"/>
          <w:sz w:val="18"/>
          <w:szCs w:val="18"/>
          <w:b w:val="1"/>
          <w:bCs w:val="1"/>
          <w:color w:val="auto"/>
        </w:rPr>
        <w:t>Company</w:t>
      </w:r>
      <w:r>
        <w:rPr>
          <w:rFonts w:ascii="Arial" w:cs="Arial" w:eastAsia="Arial" w:hAnsi="Arial"/>
          <w:sz w:val="18"/>
          <w:szCs w:val="18"/>
          <w:color w:val="auto"/>
        </w:rPr>
        <w:t>”), does hereby certify as follows:</w:t>
      </w:r>
    </w:p>
    <w:p>
      <w:pPr>
        <w:spacing w:after="0" w:line="28" w:lineRule="exact"/>
        <w:rPr>
          <w:sz w:val="20"/>
          <w:szCs w:val="20"/>
          <w:color w:val="auto"/>
        </w:rPr>
      </w:pPr>
    </w:p>
    <w:p>
      <w:pPr>
        <w:ind w:left="360" w:right="340" w:firstLine="360"/>
        <w:spacing w:after="0" w:line="253" w:lineRule="auto"/>
        <w:rPr>
          <w:sz w:val="20"/>
          <w:szCs w:val="20"/>
          <w:color w:val="auto"/>
        </w:rPr>
      </w:pPr>
      <w:r>
        <w:rPr>
          <w:rFonts w:ascii="Arial" w:cs="Arial" w:eastAsia="Arial" w:hAnsi="Arial"/>
          <w:sz w:val="18"/>
          <w:szCs w:val="18"/>
          <w:color w:val="auto"/>
        </w:rPr>
        <w:t>1.  The Company was originally incorporated under the name of M3 Biotechnology, Inc., and the original Certificate of Incorporation of the Company was filed with the Secretary of State of the State of Delaware on October 27, 2015.</w:t>
      </w:r>
    </w:p>
    <w:p>
      <w:pPr>
        <w:spacing w:after="0" w:line="61" w:lineRule="exact"/>
        <w:rPr>
          <w:sz w:val="20"/>
          <w:szCs w:val="20"/>
          <w:color w:val="auto"/>
        </w:rPr>
      </w:pPr>
    </w:p>
    <w:p>
      <w:pPr>
        <w:ind w:left="360" w:right="80" w:firstLine="360"/>
        <w:spacing w:after="0" w:line="247" w:lineRule="auto"/>
        <w:rPr>
          <w:sz w:val="20"/>
          <w:szCs w:val="20"/>
          <w:color w:val="auto"/>
        </w:rPr>
      </w:pPr>
      <w:r>
        <w:rPr>
          <w:rFonts w:ascii="Arial" w:cs="Arial" w:eastAsia="Arial" w:hAnsi="Arial"/>
          <w:sz w:val="18"/>
          <w:szCs w:val="18"/>
          <w:color w:val="auto"/>
        </w:rPr>
        <w:t>2.  This Certificate of Amendment to the Amended and Restated Certificate of Incorporation of the Company, as amended, was duly adopted in accordance with Section 242 of the General Corporation Law of the State of Delaware by the Board of Directors of the Company (the “</w:t>
      </w:r>
      <w:r>
        <w:rPr>
          <w:rFonts w:ascii="Arial" w:cs="Arial" w:eastAsia="Arial" w:hAnsi="Arial"/>
          <w:sz w:val="18"/>
          <w:szCs w:val="18"/>
          <w:b w:val="1"/>
          <w:bCs w:val="1"/>
          <w:color w:val="auto"/>
        </w:rPr>
        <w:t>Board of Directors</w:t>
      </w:r>
      <w:r>
        <w:rPr>
          <w:rFonts w:ascii="Arial" w:cs="Arial" w:eastAsia="Arial" w:hAnsi="Arial"/>
          <w:sz w:val="18"/>
          <w:szCs w:val="18"/>
          <w:color w:val="auto"/>
        </w:rPr>
        <w:t>”) and the stockholders of the Company.</w:t>
      </w:r>
    </w:p>
    <w:p>
      <w:pPr>
        <w:spacing w:after="0" w:line="66" w:lineRule="exact"/>
        <w:rPr>
          <w:sz w:val="20"/>
          <w:szCs w:val="20"/>
          <w:color w:val="auto"/>
        </w:rPr>
      </w:pPr>
    </w:p>
    <w:p>
      <w:pPr>
        <w:ind w:left="360" w:right="420" w:firstLine="360"/>
        <w:spacing w:after="0" w:line="271" w:lineRule="auto"/>
        <w:rPr>
          <w:sz w:val="20"/>
          <w:szCs w:val="20"/>
          <w:color w:val="auto"/>
        </w:rPr>
      </w:pPr>
      <w:r>
        <w:rPr>
          <w:rFonts w:ascii="Arial" w:cs="Arial" w:eastAsia="Arial" w:hAnsi="Arial"/>
          <w:sz w:val="18"/>
          <w:szCs w:val="18"/>
          <w:color w:val="auto"/>
        </w:rPr>
        <w:t>3.  Section 1 of Article IV of the Amended and Restated Certificate of Incorporation of the Company, as amended, is hereby amended and restated in its entirety to read as follows:</w:t>
      </w:r>
    </w:p>
    <w:p>
      <w:pPr>
        <w:spacing w:after="0" w:line="46" w:lineRule="exact"/>
        <w:rPr>
          <w:sz w:val="20"/>
          <w:szCs w:val="20"/>
          <w:color w:val="auto"/>
        </w:rPr>
      </w:pPr>
    </w:p>
    <w:p>
      <w:pPr>
        <w:jc w:val="both"/>
        <w:ind w:left="720" w:right="200" w:firstLine="360"/>
        <w:spacing w:after="0" w:line="255" w:lineRule="auto"/>
        <w:rPr>
          <w:sz w:val="20"/>
          <w:szCs w:val="20"/>
          <w:color w:val="auto"/>
        </w:rPr>
      </w:pPr>
      <w:r>
        <w:rPr>
          <w:rFonts w:ascii="Arial" w:cs="Arial" w:eastAsia="Arial" w:hAnsi="Arial"/>
          <w:sz w:val="17"/>
          <w:szCs w:val="17"/>
          <w:color w:val="auto"/>
        </w:rPr>
        <w:t>“Section 1.  Effective immediately upon the filing and effectiveness of this Certificate of Amendment (the “</w:t>
      </w:r>
      <w:r>
        <w:rPr>
          <w:rFonts w:ascii="Arial" w:cs="Arial" w:eastAsia="Arial" w:hAnsi="Arial"/>
          <w:sz w:val="17"/>
          <w:szCs w:val="17"/>
          <w:b w:val="1"/>
          <w:bCs w:val="1"/>
          <w:color w:val="auto"/>
        </w:rPr>
        <w:t>Effective Time</w:t>
      </w:r>
      <w:r>
        <w:rPr>
          <w:rFonts w:ascii="Arial" w:cs="Arial" w:eastAsia="Arial" w:hAnsi="Arial"/>
          <w:sz w:val="17"/>
          <w:szCs w:val="17"/>
          <w:color w:val="auto"/>
        </w:rPr>
        <w:t>”), each fifteen (15) shares of Common Stock of the Company, par value $0.0001 per share, that are issued and outstanding or held in treasury on the Effective Time shall be combined into one</w:t>
      </w:r>
    </w:p>
    <w:p>
      <w:pPr>
        <w:spacing w:after="0" w:line="2" w:lineRule="exact"/>
        <w:rPr>
          <w:sz w:val="20"/>
          <w:szCs w:val="20"/>
          <w:color w:val="auto"/>
        </w:rPr>
      </w:pPr>
    </w:p>
    <w:p>
      <w:pPr>
        <w:ind w:left="720" w:right="40" w:firstLine="6"/>
        <w:spacing w:after="0" w:line="247" w:lineRule="auto"/>
        <w:tabs>
          <w:tab w:leader="none" w:pos="9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validly issued, fully paid and non-assessable share of Common Stock of the Company, par value $0.0001 per share, subject to the treatment of fractional share interests as described below (the “</w:t>
      </w:r>
      <w:r>
        <w:rPr>
          <w:rFonts w:ascii="Arial" w:cs="Arial" w:eastAsia="Arial" w:hAnsi="Arial"/>
          <w:sz w:val="18"/>
          <w:szCs w:val="18"/>
          <w:b w:val="1"/>
          <w:bCs w:val="1"/>
          <w:color w:val="auto"/>
        </w:rPr>
        <w:t>Reverse Stock</w:t>
      </w:r>
      <w:r>
        <w:rPr>
          <w:rFonts w:ascii="Arial" w:cs="Arial" w:eastAsia="Arial" w:hAnsi="Arial"/>
          <w:sz w:val="18"/>
          <w:szCs w:val="18"/>
          <w:color w:val="auto"/>
        </w:rPr>
        <w:t xml:space="preserve"> </w:t>
      </w:r>
      <w:r>
        <w:rPr>
          <w:rFonts w:ascii="Arial" w:cs="Arial" w:eastAsia="Arial" w:hAnsi="Arial"/>
          <w:sz w:val="18"/>
          <w:szCs w:val="18"/>
          <w:b w:val="1"/>
          <w:bCs w:val="1"/>
          <w:color w:val="auto"/>
        </w:rPr>
        <w:t>Split</w:t>
      </w:r>
      <w:r>
        <w:rPr>
          <w:rFonts w:ascii="Arial" w:cs="Arial" w:eastAsia="Arial" w:hAnsi="Arial"/>
          <w:sz w:val="18"/>
          <w:szCs w:val="18"/>
          <w:color w:val="auto"/>
        </w:rPr>
        <w:t>”). No fractional shares shall be issued upon the Reverse Stock Split.</w:t>
      </w:r>
    </w:p>
    <w:p>
      <w:pPr>
        <w:spacing w:after="0" w:line="58" w:lineRule="exact"/>
        <w:rPr>
          <w:sz w:val="20"/>
          <w:szCs w:val="20"/>
          <w:color w:val="auto"/>
        </w:rPr>
      </w:pPr>
    </w:p>
    <w:p>
      <w:pPr>
        <w:ind w:left="720" w:right="140" w:firstLine="360"/>
        <w:spacing w:after="0" w:line="247" w:lineRule="auto"/>
        <w:rPr>
          <w:sz w:val="20"/>
          <w:szCs w:val="20"/>
          <w:color w:val="auto"/>
        </w:rPr>
      </w:pPr>
      <w:r>
        <w:rPr>
          <w:rFonts w:ascii="Arial" w:cs="Arial" w:eastAsia="Arial" w:hAnsi="Arial"/>
          <w:sz w:val="18"/>
          <w:szCs w:val="18"/>
          <w:color w:val="auto"/>
        </w:rPr>
        <w:t>This Company is authorized to issue two classes of stock, to be designated, respectively, Common Stock and Preferred Stock. The total number of shares of stock that the Company shall have authority to issue is 160,000,000 shares, of which 60,000,000 shares are Common Stock, $0.0001 par value per share, and 100,000,000 shares are Preferred Stock, $0.0001 par value per share.”</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4.   This Certificate of Amendment shall become effective on [•], 2025 at [•]. Eastern Time.</w:t>
      </w:r>
    </w:p>
    <w:p>
      <w:pPr>
        <w:spacing w:after="0" w:line="104"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IN WITNESS WHEREOF, the Company has caused this Certificate of Amendment to the Amended and Restated Certificate of Incorporation of the Company, as amended, to be signed by a duly authorized officer of the Company, on [•], 2025.</w:t>
      </w:r>
    </w:p>
    <w:p>
      <w:pPr>
        <w:spacing w:after="0" w:line="19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ATHIRA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317500</wp:posOffset>
            </wp:positionV>
            <wp:extent cx="291465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Mark Litton</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257" w:lineRule="exact"/>
        <w:rPr>
          <w:sz w:val="20"/>
          <w:szCs w:val="20"/>
          <w:color w:val="auto"/>
        </w:rPr>
      </w:pPr>
    </w:p>
    <w:p>
      <w:pPr>
        <w:spacing w:after="0"/>
        <w:tabs>
          <w:tab w:leader="none" w:pos="456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C-1</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Annex 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ATHIRA PHARMA, INC.</w:t>
      </w:r>
    </w:p>
    <w:p>
      <w:pPr>
        <w:spacing w:after="0" w:line="92" w:lineRule="exact"/>
        <w:rPr>
          <w:sz w:val="20"/>
          <w:szCs w:val="20"/>
          <w:color w:val="auto"/>
        </w:rPr>
      </w:pPr>
    </w:p>
    <w:p>
      <w:pPr>
        <w:ind w:right="940" w:firstLine="360"/>
        <w:spacing w:after="0" w:line="281" w:lineRule="auto"/>
        <w:rPr>
          <w:sz w:val="20"/>
          <w:szCs w:val="20"/>
          <w:color w:val="auto"/>
        </w:rPr>
      </w:pPr>
      <w:r>
        <w:rPr>
          <w:rFonts w:ascii="Arial" w:cs="Arial" w:eastAsia="Arial" w:hAnsi="Arial"/>
          <w:sz w:val="18"/>
          <w:szCs w:val="18"/>
          <w:color w:val="auto"/>
        </w:rPr>
        <w:t>Athira Pharma, Inc., a corporation organized and existing under the laws of the State of Delaware (the “</w:t>
      </w:r>
      <w:r>
        <w:rPr>
          <w:rFonts w:ascii="Arial" w:cs="Arial" w:eastAsia="Arial" w:hAnsi="Arial"/>
          <w:sz w:val="18"/>
          <w:szCs w:val="18"/>
          <w:b w:val="1"/>
          <w:bCs w:val="1"/>
          <w:color w:val="auto"/>
        </w:rPr>
        <w:t>Company</w:t>
      </w:r>
      <w:r>
        <w:rPr>
          <w:rFonts w:ascii="Arial" w:cs="Arial" w:eastAsia="Arial" w:hAnsi="Arial"/>
          <w:sz w:val="18"/>
          <w:szCs w:val="18"/>
          <w:color w:val="auto"/>
        </w:rPr>
        <w:t>”), does hereby certify as follows:</w:t>
      </w:r>
    </w:p>
    <w:p>
      <w:pPr>
        <w:spacing w:after="0" w:line="28" w:lineRule="exact"/>
        <w:rPr>
          <w:sz w:val="20"/>
          <w:szCs w:val="20"/>
          <w:color w:val="auto"/>
        </w:rPr>
      </w:pPr>
    </w:p>
    <w:p>
      <w:pPr>
        <w:ind w:left="360" w:right="340" w:firstLine="360"/>
        <w:spacing w:after="0" w:line="253" w:lineRule="auto"/>
        <w:rPr>
          <w:sz w:val="20"/>
          <w:szCs w:val="20"/>
          <w:color w:val="auto"/>
        </w:rPr>
      </w:pPr>
      <w:r>
        <w:rPr>
          <w:rFonts w:ascii="Arial" w:cs="Arial" w:eastAsia="Arial" w:hAnsi="Arial"/>
          <w:sz w:val="18"/>
          <w:szCs w:val="18"/>
          <w:color w:val="auto"/>
        </w:rPr>
        <w:t>1.  The Company was originally incorporated under the name of M3 Biotechnology, Inc., and the original Certificate of Incorporation of the Company was filed with the Secretary of State of the State of Delaware on October 27, 2015.</w:t>
      </w:r>
    </w:p>
    <w:p>
      <w:pPr>
        <w:spacing w:after="0" w:line="61" w:lineRule="exact"/>
        <w:rPr>
          <w:sz w:val="20"/>
          <w:szCs w:val="20"/>
          <w:color w:val="auto"/>
        </w:rPr>
      </w:pPr>
    </w:p>
    <w:p>
      <w:pPr>
        <w:ind w:left="360" w:right="80" w:firstLine="360"/>
        <w:spacing w:after="0" w:line="247" w:lineRule="auto"/>
        <w:rPr>
          <w:sz w:val="20"/>
          <w:szCs w:val="20"/>
          <w:color w:val="auto"/>
        </w:rPr>
      </w:pPr>
      <w:r>
        <w:rPr>
          <w:rFonts w:ascii="Arial" w:cs="Arial" w:eastAsia="Arial" w:hAnsi="Arial"/>
          <w:sz w:val="18"/>
          <w:szCs w:val="18"/>
          <w:color w:val="auto"/>
        </w:rPr>
        <w:t>2.  This Certificate of Amendment to the Amended and Restated Certificate of Incorporation of the Company, as amended, was duly adopted in accordance with Section 242 of the General Corporation Law of the State of Delaware by the Board of Directors of the Company (the “</w:t>
      </w:r>
      <w:r>
        <w:rPr>
          <w:rFonts w:ascii="Arial" w:cs="Arial" w:eastAsia="Arial" w:hAnsi="Arial"/>
          <w:sz w:val="18"/>
          <w:szCs w:val="18"/>
          <w:b w:val="1"/>
          <w:bCs w:val="1"/>
          <w:color w:val="auto"/>
        </w:rPr>
        <w:t>Board of Directors</w:t>
      </w:r>
      <w:r>
        <w:rPr>
          <w:rFonts w:ascii="Arial" w:cs="Arial" w:eastAsia="Arial" w:hAnsi="Arial"/>
          <w:sz w:val="18"/>
          <w:szCs w:val="18"/>
          <w:color w:val="auto"/>
        </w:rPr>
        <w:t>”) and the stockholders of the Company.</w:t>
      </w:r>
    </w:p>
    <w:p>
      <w:pPr>
        <w:spacing w:after="0" w:line="66" w:lineRule="exact"/>
        <w:rPr>
          <w:sz w:val="20"/>
          <w:szCs w:val="20"/>
          <w:color w:val="auto"/>
        </w:rPr>
      </w:pPr>
    </w:p>
    <w:p>
      <w:pPr>
        <w:ind w:left="360" w:right="420" w:firstLine="360"/>
        <w:spacing w:after="0" w:line="271" w:lineRule="auto"/>
        <w:rPr>
          <w:sz w:val="20"/>
          <w:szCs w:val="20"/>
          <w:color w:val="auto"/>
        </w:rPr>
      </w:pPr>
      <w:r>
        <w:rPr>
          <w:rFonts w:ascii="Arial" w:cs="Arial" w:eastAsia="Arial" w:hAnsi="Arial"/>
          <w:sz w:val="18"/>
          <w:szCs w:val="18"/>
          <w:color w:val="auto"/>
        </w:rPr>
        <w:t>3.  Section 1 of Article IV of the Amended and Restated Certificate of Incorporation of the Company, as amended, is hereby amended and restated in its entirety to read as follows:</w:t>
      </w:r>
    </w:p>
    <w:p>
      <w:pPr>
        <w:spacing w:after="0" w:line="46" w:lineRule="exact"/>
        <w:rPr>
          <w:sz w:val="20"/>
          <w:szCs w:val="20"/>
          <w:color w:val="auto"/>
        </w:rPr>
      </w:pPr>
    </w:p>
    <w:p>
      <w:pPr>
        <w:jc w:val="both"/>
        <w:ind w:left="720" w:right="200" w:firstLine="360"/>
        <w:spacing w:after="0" w:line="255" w:lineRule="auto"/>
        <w:rPr>
          <w:sz w:val="20"/>
          <w:szCs w:val="20"/>
          <w:color w:val="auto"/>
        </w:rPr>
      </w:pPr>
      <w:r>
        <w:rPr>
          <w:rFonts w:ascii="Arial" w:cs="Arial" w:eastAsia="Arial" w:hAnsi="Arial"/>
          <w:sz w:val="17"/>
          <w:szCs w:val="17"/>
          <w:color w:val="auto"/>
        </w:rPr>
        <w:t>“Section 1.  Effective immediately upon the filing and effectiveness of this Certificate of Amendment (the “</w:t>
      </w:r>
      <w:r>
        <w:rPr>
          <w:rFonts w:ascii="Arial" w:cs="Arial" w:eastAsia="Arial" w:hAnsi="Arial"/>
          <w:sz w:val="17"/>
          <w:szCs w:val="17"/>
          <w:b w:val="1"/>
          <w:bCs w:val="1"/>
          <w:color w:val="auto"/>
        </w:rPr>
        <w:t>Effective Time</w:t>
      </w:r>
      <w:r>
        <w:rPr>
          <w:rFonts w:ascii="Arial" w:cs="Arial" w:eastAsia="Arial" w:hAnsi="Arial"/>
          <w:sz w:val="17"/>
          <w:szCs w:val="17"/>
          <w:color w:val="auto"/>
        </w:rPr>
        <w:t>”), each twenty (20) shares of Common Stock of the Company, par value $0.0001 per share, that are issued and outstanding or held in treasury on the Effective Time shall be combined into one</w:t>
      </w:r>
    </w:p>
    <w:p>
      <w:pPr>
        <w:spacing w:after="0" w:line="2" w:lineRule="exact"/>
        <w:rPr>
          <w:sz w:val="20"/>
          <w:szCs w:val="20"/>
          <w:color w:val="auto"/>
        </w:rPr>
      </w:pPr>
    </w:p>
    <w:p>
      <w:pPr>
        <w:ind w:left="720" w:right="40" w:firstLine="6"/>
        <w:spacing w:after="0" w:line="247" w:lineRule="auto"/>
        <w:tabs>
          <w:tab w:leader="none" w:pos="99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validly issued, fully paid and non-assessable share of Common Stock of the Company, par value $0.0001 per share, subject to the treatment of fractional share interests as described below (the “</w:t>
      </w:r>
      <w:r>
        <w:rPr>
          <w:rFonts w:ascii="Arial" w:cs="Arial" w:eastAsia="Arial" w:hAnsi="Arial"/>
          <w:sz w:val="18"/>
          <w:szCs w:val="18"/>
          <w:b w:val="1"/>
          <w:bCs w:val="1"/>
          <w:color w:val="auto"/>
        </w:rPr>
        <w:t>Reverse Stock</w:t>
      </w:r>
      <w:r>
        <w:rPr>
          <w:rFonts w:ascii="Arial" w:cs="Arial" w:eastAsia="Arial" w:hAnsi="Arial"/>
          <w:sz w:val="18"/>
          <w:szCs w:val="18"/>
          <w:color w:val="auto"/>
        </w:rPr>
        <w:t xml:space="preserve"> </w:t>
      </w:r>
      <w:r>
        <w:rPr>
          <w:rFonts w:ascii="Arial" w:cs="Arial" w:eastAsia="Arial" w:hAnsi="Arial"/>
          <w:sz w:val="18"/>
          <w:szCs w:val="18"/>
          <w:b w:val="1"/>
          <w:bCs w:val="1"/>
          <w:color w:val="auto"/>
        </w:rPr>
        <w:t>Split</w:t>
      </w:r>
      <w:r>
        <w:rPr>
          <w:rFonts w:ascii="Arial" w:cs="Arial" w:eastAsia="Arial" w:hAnsi="Arial"/>
          <w:sz w:val="18"/>
          <w:szCs w:val="18"/>
          <w:color w:val="auto"/>
        </w:rPr>
        <w:t>”). No fractional shares shall be issued upon the Reverse Stock Split.</w:t>
      </w:r>
    </w:p>
    <w:p>
      <w:pPr>
        <w:spacing w:after="0" w:line="58" w:lineRule="exact"/>
        <w:rPr>
          <w:sz w:val="20"/>
          <w:szCs w:val="20"/>
          <w:color w:val="auto"/>
        </w:rPr>
      </w:pPr>
    </w:p>
    <w:p>
      <w:pPr>
        <w:ind w:left="720" w:right="140" w:firstLine="360"/>
        <w:spacing w:after="0" w:line="247" w:lineRule="auto"/>
        <w:rPr>
          <w:sz w:val="20"/>
          <w:szCs w:val="20"/>
          <w:color w:val="auto"/>
        </w:rPr>
      </w:pPr>
      <w:r>
        <w:rPr>
          <w:rFonts w:ascii="Arial" w:cs="Arial" w:eastAsia="Arial" w:hAnsi="Arial"/>
          <w:sz w:val="18"/>
          <w:szCs w:val="18"/>
          <w:color w:val="auto"/>
        </w:rPr>
        <w:t>This Company is authorized to issue two classes of stock, to be designated, respectively, Common Stock and Preferred Stock. The total number of shares of stock that the Company shall have authority to issue is 145,000,000 shares, of which 45,000,000 shares are Common Stock, $0.0001 par value per share, and 100,000,000 shares are Preferred Stock, $0.0001 par value per share.”</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4.   This Certificate of Amendment shall become effective on [•], 2025 at [•]. Eastern Time.</w:t>
      </w:r>
    </w:p>
    <w:p>
      <w:pPr>
        <w:spacing w:after="0" w:line="104"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IN WITNESS WHEREOF, the Company has caused this Certificate of Amendment to the Amended and Restated Certificate of Incorporation of the Company, as amended, to be signed by a duly authorized officer of the Company, on [•], 2025.</w:t>
      </w:r>
    </w:p>
    <w:p>
      <w:pPr>
        <w:spacing w:after="0" w:line="19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ATHIRA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317500</wp:posOffset>
            </wp:positionV>
            <wp:extent cx="291465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Mark Litton</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257" w:lineRule="exact"/>
        <w:rPr>
          <w:sz w:val="20"/>
          <w:szCs w:val="20"/>
          <w:color w:val="auto"/>
        </w:rPr>
      </w:pPr>
    </w:p>
    <w:p>
      <w:pPr>
        <w:spacing w:after="0"/>
        <w:tabs>
          <w:tab w:leader="none" w:pos="456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D-1</w:t>
      </w:r>
      <w:r>
        <w:rPr>
          <w:sz w:val="20"/>
          <w:szCs w:val="20"/>
          <w:color w:val="auto"/>
        </w:rPr>
        <w:tab/>
      </w:r>
      <w:r>
        <w:rPr>
          <w:rFonts w:ascii="Arial" w:cs="Arial" w:eastAsia="Arial" w:hAnsi="Arial"/>
          <w:sz w:val="14"/>
          <w:szCs w:val="14"/>
          <w:color w:val="25599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2"/>
      <w:numFmt w:val="bullet"/>
      <w:start w:val="1"/>
    </w:lvl>
  </w:abstractNum>
  <w:abstractNum w:abstractNumId="1">
    <w:nsid w:val="8EDBDAB"/>
    <w:multiLevelType w:val="hybridMultilevel"/>
    <w:lvl w:ilvl="0">
      <w:lvlJc w:val="left"/>
      <w:lvlText w:val="3"/>
      <w:numFmt w:val="bullet"/>
      <w:start w:val="1"/>
    </w:lvl>
  </w:abstractNum>
  <w:abstractNum w:abstractNumId="2">
    <w:nsid w:val="79838CB2"/>
    <w:multiLevelType w:val="hybridMultilevel"/>
    <w:lvl w:ilvl="0">
      <w:lvlJc w:val="left"/>
      <w:lvlText w:val="4"/>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5"/>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4"/>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3"/>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5"/>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2025-04-04T15:16:34Z</dcterms:created>
  <dcterms:modified xsi:type="dcterms:W3CDTF">2025-04-04T15:16:34Z</dcterms:modified>
</cp:coreProperties>
</file>