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31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31304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583"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CHURCH KEVIN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12/31/2024</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58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3"/>
              </w:rPr>
              <w:t>11/18/2024</w:t>
            </w:r>
            <w:r>
              <w:rPr>
                <w:rFonts w:ascii="Times New Roman" w:cs="Times New Roman" w:eastAsia="Times New Roman" w:hAnsi="Times New Roman"/>
                <w:sz w:val="21"/>
                <w:szCs w:val="21"/>
                <w:color w:val="008000"/>
                <w:w w:val="93"/>
                <w:vertAlign w:val="superscript"/>
              </w:rPr>
              <w:t>(2)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V</w:t>
            </w: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9,920</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8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0.55</w:t>
            </w:r>
            <w:r>
              <w:rPr>
                <w:rFonts w:ascii="Times New Roman" w:cs="Times New Roman" w:eastAsia="Times New Roman" w:hAnsi="Times New Roman"/>
                <w:sz w:val="21"/>
                <w:szCs w:val="21"/>
                <w:color w:val="008000"/>
                <w:w w:val="89"/>
                <w:vertAlign w:val="superscript"/>
              </w:rPr>
              <w:t>(3)</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102,604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12/31/2024</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Pr>
          <w:p>
            <w:pPr>
              <w:spacing w:after="0"/>
              <w:rPr>
                <w:sz w:val="22"/>
                <w:szCs w:val="22"/>
                <w:color w:val="auto"/>
              </w:rPr>
            </w:pPr>
          </w:p>
        </w:tc>
        <w:tc>
          <w:tcPr>
            <w:tcW w:w="70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0000FF"/>
                <w:w w:val="98"/>
              </w:rPr>
              <w:t>36,667</w:t>
            </w:r>
          </w:p>
        </w:tc>
        <w:tc>
          <w:tcPr>
            <w:tcW w:w="6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left="9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139,271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Times New Roman" w:cs="Times New Roman" w:eastAsia="Times New Roman" w:hAnsi="Times New Roman"/>
                <w:sz w:val="17"/>
                <w:szCs w:val="17"/>
                <w:color w:val="0000FF"/>
                <w:w w:val="98"/>
              </w:rPr>
              <w:t>01/02/2025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7"/>
                <w:szCs w:val="17"/>
                <w:color w:val="0000FF"/>
                <w:w w:val="99"/>
              </w:rPr>
              <w:t>8,510</w:t>
            </w:r>
          </w:p>
        </w:tc>
        <w:tc>
          <w:tcPr>
            <w:tcW w:w="60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0.5619</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130,761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36,667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12/31/2024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36,667</w:t>
            </w:r>
          </w:p>
        </w:tc>
        <w:tc>
          <w:tcPr>
            <w:tcW w:w="4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300" w:type="dxa"/>
            <w:vAlign w:val="bottom"/>
          </w:tcPr>
          <w:p>
            <w:pPr>
              <w:spacing w:after="0"/>
              <w:rPr>
                <w:sz w:val="12"/>
                <w:szCs w:val="12"/>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73,333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May 20, 2024 through November 18, 2024. This transaction is exempt under Rule 16b-3(c).</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18, 2024 and is the Purchase Period comprising the Offering Period (as defined in the ESPP) that began May 20, 2024.</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18, 2024.</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$0.5414 to $0.5939,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600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071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249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2025-01-03T16:08:32Z</dcterms:created>
  <dcterms:modified xsi:type="dcterms:W3CDTF">2025-01-03T16:08:32Z</dcterms:modified>
</cp:coreProperties>
</file>