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12" w:lineRule="auto"/>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135890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3920" w:right="2760" w:hanging="3899"/>
        <w:spacing w:after="0" w:line="264"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6"/>
          <w:szCs w:val="16"/>
          <w:color w:val="auto"/>
          <w:highlight w:val="black"/>
        </w:rPr>
      </w:pPr>
    </w:p>
    <w:p>
      <w:pPr>
        <w:ind w:left="546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OR</w:t>
      </w:r>
    </w:p>
    <w:p>
      <w:pPr>
        <w:ind w:left="480" w:hanging="459"/>
        <w:spacing w:after="0" w:line="226" w:lineRule="auto"/>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001-39503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-231140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p>
      <w:pPr>
        <w:spacing w:after="0" w:line="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Delaware</w:t>
      </w:r>
    </w:p>
    <w:p>
      <w:pPr>
        <w:ind w:left="1960"/>
        <w:spacing w:after="0" w:line="201"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45-3368487</w:t>
      </w:r>
    </w:p>
    <w:p>
      <w:pPr>
        <w:jc w:val="center"/>
        <w:ind w:right="2280"/>
        <w:spacing w:after="0" w:line="223" w:lineRule="auto"/>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34" w:lineRule="exact"/>
        <w:rPr>
          <w:sz w:val="24"/>
          <w:szCs w:val="24"/>
          <w:color w:val="auto"/>
        </w:rPr>
      </w:pPr>
    </w:p>
    <w:p>
      <w:pPr>
        <w:sectPr>
          <w:pgSz w:w="11900" w:h="16838" w:orient="portrait"/>
          <w:cols w:equalWidth="0" w:num="2">
            <w:col w:w="7600" w:space="300"/>
            <w:col w:w="3340"/>
          </w:cols>
          <w:pgMar w:left="320" w:top="286"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18706 North Creek Parkway, Suite 104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Bothell, Washington 98011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(425) 620-8501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Symbol(s)</w:t>
            </w:r>
          </w:p>
        </w:tc>
        <w:tc>
          <w:tcPr>
            <w:tcW w:w="100" w:type="dxa"/>
            <w:vAlign w:val="bottom"/>
          </w:tcPr>
          <w:p>
            <w:pPr>
              <w:spacing w:after="0"/>
              <w:rPr>
                <w:sz w:val="12"/>
                <w:szCs w:val="12"/>
                <w:color w:val="auto"/>
              </w:rPr>
            </w:pPr>
          </w:p>
        </w:tc>
        <w:tc>
          <w:tcPr>
            <w:tcW w:w="4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400" w:type="dxa"/>
            <w:vAlign w:val="bottom"/>
          </w:tcPr>
          <w:p>
            <w:pPr>
              <w:jc w:val="center"/>
              <w:spacing w:after="0" w:line="115" w:lineRule="exact"/>
              <w:rPr>
                <w:sz w:val="20"/>
                <w:szCs w:val="20"/>
                <w:color w:val="auto"/>
              </w:rPr>
            </w:pPr>
            <w:r>
              <w:rPr>
                <w:rFonts w:ascii="Arial" w:cs="Arial" w:eastAsia="Arial" w:hAnsi="Arial"/>
                <w:sz w:val="13"/>
                <w:szCs w:val="13"/>
                <w:color w:val="auto"/>
              </w:rPr>
              <w:t>Common Stock, $0.0001 par value per share</w:t>
            </w:r>
          </w:p>
        </w:tc>
        <w:tc>
          <w:tcPr>
            <w:tcW w:w="120" w:type="dxa"/>
            <w:vAlign w:val="bottom"/>
          </w:tcPr>
          <w:p>
            <w:pPr>
              <w:spacing w:after="0"/>
              <w:rPr>
                <w:sz w:val="10"/>
                <w:szCs w:val="10"/>
                <w:color w:val="auto"/>
              </w:rPr>
            </w:pPr>
          </w:p>
        </w:tc>
        <w:tc>
          <w:tcPr>
            <w:tcW w:w="2240" w:type="dxa"/>
            <w:vAlign w:val="bottom"/>
          </w:tcPr>
          <w:p>
            <w:pPr>
              <w:jc w:val="center"/>
              <w:spacing w:after="0" w:line="115" w:lineRule="exact"/>
              <w:rPr>
                <w:sz w:val="20"/>
                <w:szCs w:val="20"/>
                <w:color w:val="auto"/>
              </w:rPr>
            </w:pPr>
            <w:r>
              <w:rPr>
                <w:rFonts w:ascii="Arial" w:cs="Arial" w:eastAsia="Arial" w:hAnsi="Arial"/>
                <w:sz w:val="13"/>
                <w:szCs w:val="13"/>
                <w:color w:val="auto"/>
              </w:rPr>
              <w:t>ATHA</w:t>
            </w:r>
          </w:p>
        </w:tc>
        <w:tc>
          <w:tcPr>
            <w:tcW w:w="100" w:type="dxa"/>
            <w:vAlign w:val="bottom"/>
          </w:tcPr>
          <w:p>
            <w:pPr>
              <w:spacing w:after="0"/>
              <w:rPr>
                <w:sz w:val="10"/>
                <w:szCs w:val="10"/>
                <w:color w:val="auto"/>
              </w:rPr>
            </w:pPr>
          </w:p>
        </w:tc>
        <w:tc>
          <w:tcPr>
            <w:tcW w:w="4380" w:type="dxa"/>
            <w:vAlign w:val="bottom"/>
          </w:tcPr>
          <w:p>
            <w:pPr>
              <w:jc w:val="center"/>
              <w:spacing w:after="0" w:line="115" w:lineRule="exact"/>
              <w:rPr>
                <w:sz w:val="20"/>
                <w:szCs w:val="20"/>
                <w:color w:val="auto"/>
              </w:rPr>
            </w:pPr>
            <w:r>
              <w:rPr>
                <w:rFonts w:ascii="Arial" w:cs="Arial" w:eastAsia="Arial" w:hAnsi="Arial"/>
                <w:sz w:val="13"/>
                <w:szCs w:val="13"/>
                <w:color w:val="auto"/>
              </w:rPr>
              <w:t>The Nasdaq Stock Market LLC</w:t>
            </w: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3"/>
                <w:szCs w:val="13"/>
                <w:color w:val="auto"/>
              </w:rPr>
              <w:t>(The Nasdaq Global Select Market)</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ind w:right="3340"/>
        <w:spacing w:after="0" w:line="20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8"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jc w:val="both"/>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040"/>
              <w:spacing w:after="0"/>
              <w:rPr>
                <w:sz w:val="20"/>
                <w:szCs w:val="20"/>
                <w:color w:val="auto"/>
              </w:rPr>
            </w:pPr>
            <w:r>
              <w:rPr>
                <w:rFonts w:ascii="Arial" w:cs="Arial" w:eastAsia="Arial" w:hAnsi="Arial"/>
                <w:sz w:val="13"/>
                <w:szCs w:val="13"/>
                <w:color w:val="auto"/>
              </w:rPr>
              <w:t>Accelerated filer</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1"/>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4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040"/>
              <w:spacing w:after="0"/>
              <w:rPr>
                <w:sz w:val="20"/>
                <w:szCs w:val="20"/>
                <w:color w:val="auto"/>
              </w:rPr>
            </w:pPr>
            <w:r>
              <w:rPr>
                <w:rFonts w:ascii="Arial" w:cs="Arial" w:eastAsia="Arial" w:hAnsi="Arial"/>
                <w:sz w:val="13"/>
                <w:szCs w:val="13"/>
                <w:color w:val="auto"/>
              </w:rPr>
              <w:t>Smaller reporting company</w:t>
            </w:r>
          </w:p>
        </w:tc>
        <w:tc>
          <w:tcPr>
            <w:tcW w:w="700" w:type="dxa"/>
            <w:vAlign w:val="bottom"/>
          </w:tcPr>
          <w:p>
            <w:pPr>
              <w:ind w:left="5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3"/>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41"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jc w:val="both"/>
        <w:spacing w:after="0" w:line="233"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the shares of common stock on June 30, 2021 (the last business day of the registrant’s most recently completed second fiscal quarter) as reported by The Nasdaq Stock Market LLC on such date was approximately $328.3 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21, 2022 was 37,624,058.</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3" w:lineRule="exact"/>
        <w:rPr>
          <w:sz w:val="24"/>
          <w:szCs w:val="24"/>
          <w:color w:val="auto"/>
        </w:rPr>
      </w:pPr>
    </w:p>
    <w:p>
      <w:pPr>
        <w:jc w:val="both"/>
        <w:spacing w:after="0" w:line="232" w:lineRule="auto"/>
        <w:rPr>
          <w:sz w:val="20"/>
          <w:szCs w:val="20"/>
          <w:color w:val="auto"/>
        </w:rPr>
      </w:pPr>
      <w:r>
        <w:rPr>
          <w:rFonts w:ascii="Arial" w:cs="Arial" w:eastAsia="Arial" w:hAnsi="Arial"/>
          <w:sz w:val="13"/>
          <w:szCs w:val="13"/>
          <w:color w:val="auto"/>
        </w:rPr>
        <w:t>Portions of the definitive proxy statement to be delivered to stockholders in connection with the 2022 annual meeting of stockholders are incorporated by reference into Part III of this Annual Report on Form 10-K. Such proxy statement will be filed with the Securities and Exchange Commission not later than 120 days following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6"/>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00" w:type="dxa"/>
            <w:vAlign w:val="bottom"/>
            <w:gridSpan w:val="10"/>
          </w:tcPr>
          <w:p>
            <w:pPr>
              <w:ind w:left="5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80" w:type="dxa"/>
            <w:vAlign w:val="bottom"/>
            <w:vMerge w:val="restart"/>
          </w:tcPr>
          <w:p>
            <w:pPr>
              <w:spacing w:after="0"/>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PART I</w:t>
              </w:r>
            </w:hyperlink>
          </w:p>
        </w:tc>
        <w:tc>
          <w:tcPr>
            <w:tcW w:w="560" w:type="dxa"/>
            <w:vAlign w:val="bottom"/>
            <w:gridSpan w:val="4"/>
            <w:vMerge w:val="restart"/>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0000EE"/>
            </w:tcBorders>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9300" w:type="dxa"/>
            <w:vAlign w:val="bottom"/>
            <w:gridSpan w:val="24"/>
            <w:vMerge w:val="restart"/>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2"/>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w:t>
            </w:r>
          </w:p>
        </w:tc>
        <w:tc>
          <w:tcPr>
            <w:tcW w:w="930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202"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83"/>
        </w:trPr>
        <w:tc>
          <w:tcPr>
            <w:tcW w:w="1140" w:type="dxa"/>
            <w:vAlign w:val="bottom"/>
            <w:gridSpan w:val="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80" w:type="dxa"/>
            <w:vAlign w:val="bottom"/>
            <w:gridSpan w:val="23"/>
          </w:tcPr>
          <w:p>
            <w:pPr>
              <w:spacing w:after="0" w:line="182" w:lineRule="exact"/>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EE"/>
            </w:tcBorders>
            <w:gridSpan w:val="5"/>
          </w:tcPr>
          <w:p>
            <w:pPr>
              <w:spacing w:after="0" w:line="182" w:lineRule="exact"/>
              <w:rPr>
                <w:rFonts w:ascii="Arial" w:cs="Arial" w:eastAsia="Arial" w:hAnsi="Arial"/>
                <w:sz w:val="18"/>
                <w:szCs w:val="18"/>
                <w:color w:val="0000FF"/>
              </w:rPr>
            </w:pPr>
            <w:hyperlink w:anchor="page113">
              <w:r>
                <w:rPr>
                  <w:rFonts w:ascii="Arial" w:cs="Arial" w:eastAsia="Arial" w:hAnsi="Arial"/>
                  <w:sz w:val="18"/>
                  <w:szCs w:val="18"/>
                  <w:color w:val="0000FF"/>
                </w:rPr>
                <w:t>Unresolved</w:t>
              </w:r>
            </w:hyperlink>
          </w:p>
        </w:tc>
        <w:tc>
          <w:tcPr>
            <w:tcW w:w="8300" w:type="dxa"/>
            <w:vAlign w:val="bottom"/>
            <w:gridSpan w:val="19"/>
          </w:tcPr>
          <w:p>
            <w:pPr>
              <w:spacing w:after="0" w:line="182" w:lineRule="exact"/>
              <w:rPr>
                <w:rFonts w:ascii="Arial" w:cs="Arial" w:eastAsia="Arial" w:hAnsi="Arial"/>
                <w:sz w:val="18"/>
                <w:szCs w:val="18"/>
                <w:color w:val="0000FF"/>
              </w:rPr>
            </w:pPr>
            <w:hyperlink w:anchor="page113">
              <w:r>
                <w:rPr>
                  <w:rFonts w:ascii="Arial" w:cs="Arial" w:eastAsia="Arial" w:hAnsi="Arial"/>
                  <w:sz w:val="18"/>
                  <w:szCs w:val="18"/>
                  <w:color w:val="0000FF"/>
                </w:rPr>
                <w:t>Staff Comments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FF"/>
                <w:w w:val="97"/>
              </w:rPr>
            </w:pPr>
            <w:hyperlink w:anchor="page113">
              <w:r>
                <w:rPr>
                  <w:rFonts w:ascii="Arial" w:cs="Arial" w:eastAsia="Arial" w:hAnsi="Arial"/>
                  <w:sz w:val="18"/>
                  <w:szCs w:val="18"/>
                  <w:color w:val="0000FF"/>
                  <w:w w:val="97"/>
                </w:rPr>
                <w:t>Properties</w:t>
              </w:r>
            </w:hyperlink>
          </w:p>
        </w:tc>
        <w:tc>
          <w:tcPr>
            <w:tcW w:w="1420" w:type="dxa"/>
            <w:vAlign w:val="bottom"/>
            <w:tcBorders>
              <w:top w:val="single" w:sz="8" w:color="0000EE"/>
            </w:tcBorders>
            <w:gridSpan w:val="9"/>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3.</w:t>
            </w:r>
          </w:p>
        </w:tc>
        <w:tc>
          <w:tcPr>
            <w:tcW w:w="9300" w:type="dxa"/>
            <w:vAlign w:val="bottom"/>
            <w:gridSpan w:val="24"/>
          </w:tcPr>
          <w:p>
            <w:pPr>
              <w:spacing w:after="0" w:line="182" w:lineRule="exact"/>
              <w:rPr>
                <w:rFonts w:ascii="Arial" w:cs="Arial" w:eastAsia="Arial" w:hAnsi="Arial"/>
                <w:sz w:val="18"/>
                <w:szCs w:val="18"/>
                <w:color w:val="0000FF"/>
              </w:rPr>
            </w:pPr>
            <w:hyperlink w:anchor="page113">
              <w:r>
                <w:rPr>
                  <w:rFonts w:ascii="Arial" w:cs="Arial" w:eastAsia="Arial" w:hAnsi="Arial"/>
                  <w:sz w:val="18"/>
                  <w:szCs w:val="18"/>
                  <w:color w:val="0000FF"/>
                </w:rPr>
                <w:t>Legal Proceedings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202" w:lineRule="exact"/>
              <w:rPr>
                <w:sz w:val="20"/>
                <w:szCs w:val="20"/>
                <w:color w:val="auto"/>
              </w:rPr>
            </w:pPr>
            <w:r>
              <w:rPr>
                <w:rFonts w:ascii="Arial" w:cs="Arial" w:eastAsia="Arial" w:hAnsi="Arial"/>
                <w:sz w:val="18"/>
                <w:szCs w:val="18"/>
                <w:color w:val="auto"/>
              </w:rPr>
              <w:t>Item 4.</w:t>
            </w: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line="20" w:lineRule="exact"/>
              <w:rPr>
                <w:sz w:val="1"/>
                <w:szCs w:val="1"/>
                <w:color w:val="auto"/>
              </w:rPr>
            </w:pPr>
          </w:p>
        </w:tc>
      </w:tr>
      <w:tr>
        <w:trPr>
          <w:trHeight w:val="183"/>
        </w:trPr>
        <w:tc>
          <w:tcPr>
            <w:tcW w:w="1140" w:type="dxa"/>
            <w:vAlign w:val="bottom"/>
            <w:gridSpan w:val="5"/>
            <w:vMerge w:val="continue"/>
          </w:tcPr>
          <w:p>
            <w:pPr>
              <w:spacing w:after="0"/>
              <w:rPr>
                <w:sz w:val="15"/>
                <w:szCs w:val="15"/>
                <w:color w:val="auto"/>
              </w:rPr>
            </w:pPr>
          </w:p>
        </w:tc>
        <w:tc>
          <w:tcPr>
            <w:tcW w:w="9300" w:type="dxa"/>
            <w:vAlign w:val="bottom"/>
            <w:gridSpan w:val="24"/>
          </w:tcPr>
          <w:p>
            <w:pPr>
              <w:spacing w:after="0" w:line="182" w:lineRule="exact"/>
              <w:rPr>
                <w:rFonts w:ascii="Arial" w:cs="Arial" w:eastAsia="Arial" w:hAnsi="Arial"/>
                <w:sz w:val="18"/>
                <w:szCs w:val="18"/>
                <w:color w:val="0000FF"/>
              </w:rPr>
            </w:pPr>
            <w:hyperlink w:anchor="page114">
              <w:r>
                <w:rPr>
                  <w:rFonts w:ascii="Arial" w:cs="Arial" w:eastAsia="Arial" w:hAnsi="Arial"/>
                  <w:sz w:val="18"/>
                  <w:szCs w:val="18"/>
                  <w:color w:val="0000FF"/>
                </w:rPr>
                <w:t>Mine Safety Disclosures</w:t>
              </w:r>
            </w:hyperlink>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rPr>
                <w:rFonts w:ascii="Arial" w:cs="Arial" w:eastAsia="Arial" w:hAnsi="Arial"/>
                <w:sz w:val="18"/>
                <w:szCs w:val="18"/>
                <w:b w:val="1"/>
                <w:bCs w:val="1"/>
                <w:color w:val="0000FF"/>
              </w:rPr>
            </w:pPr>
            <w:hyperlink w:anchor="page115">
              <w:r>
                <w:rPr>
                  <w:rFonts w:ascii="Arial" w:cs="Arial" w:eastAsia="Arial" w:hAnsi="Arial"/>
                  <w:sz w:val="18"/>
                  <w:szCs w:val="18"/>
                  <w:b w:val="1"/>
                  <w:bCs w:val="1"/>
                  <w:color w:val="0000FF"/>
                </w:rPr>
                <w:t>PART II</w:t>
              </w:r>
            </w:hyperlink>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5"/>
            <w:vMerge w:val="continue"/>
          </w:tcPr>
          <w:p>
            <w:pPr>
              <w:spacing w:after="0"/>
              <w:rPr>
                <w:sz w:val="24"/>
                <w:szCs w:val="24"/>
                <w:color w:val="auto"/>
              </w:rPr>
            </w:pPr>
          </w:p>
        </w:tc>
        <w:tc>
          <w:tcPr>
            <w:tcW w:w="9300" w:type="dxa"/>
            <w:vAlign w:val="bottom"/>
            <w:gridSpan w:val="24"/>
            <w:vMerge w:val="restart"/>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300" w:type="dxa"/>
            <w:vAlign w:val="bottom"/>
            <w:gridSpan w:val="24"/>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5.</w:t>
            </w:r>
          </w:p>
        </w:tc>
        <w:tc>
          <w:tcPr>
            <w:tcW w:w="930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6.</w:t>
            </w:r>
          </w:p>
        </w:tc>
        <w:tc>
          <w:tcPr>
            <w:tcW w:w="20" w:type="dxa"/>
            <w:vAlign w:val="bottom"/>
          </w:tcPr>
          <w:p>
            <w:pPr>
              <w:spacing w:after="0"/>
              <w:rPr>
                <w:sz w:val="15"/>
                <w:szCs w:val="15"/>
                <w:color w:val="auto"/>
              </w:rPr>
            </w:pPr>
          </w:p>
        </w:tc>
        <w:tc>
          <w:tcPr>
            <w:tcW w:w="8840" w:type="dxa"/>
            <w:vAlign w:val="bottom"/>
            <w:tcBorders>
              <w:top w:val="single" w:sz="8" w:color="0000EE"/>
            </w:tcBorders>
            <w:gridSpan w:val="22"/>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[Reserved]</w:t>
              </w:r>
            </w:hyperlink>
          </w:p>
        </w:tc>
        <w:tc>
          <w:tcPr>
            <w:tcW w:w="4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ind w:left="120"/>
              <w:spacing w:after="0" w:line="202" w:lineRule="exact"/>
              <w:rPr>
                <w:sz w:val="20"/>
                <w:szCs w:val="20"/>
                <w:color w:val="auto"/>
              </w:rPr>
            </w:pPr>
            <w:r>
              <w:rPr>
                <w:rFonts w:ascii="Arial" w:cs="Arial" w:eastAsia="Arial" w:hAnsi="Arial"/>
                <w:sz w:val="18"/>
                <w:szCs w:val="18"/>
                <w:color w:val="auto"/>
              </w:rPr>
              <w:t>Item 7.</w:t>
            </w: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line="20" w:lineRule="exact"/>
              <w:rPr>
                <w:sz w:val="1"/>
                <w:szCs w:val="1"/>
                <w:color w:val="auto"/>
              </w:rPr>
            </w:pPr>
          </w:p>
        </w:tc>
      </w:tr>
      <w:tr>
        <w:trPr>
          <w:trHeight w:val="183"/>
        </w:trPr>
        <w:tc>
          <w:tcPr>
            <w:tcW w:w="1140" w:type="dxa"/>
            <w:vAlign w:val="bottom"/>
            <w:gridSpan w:val="5"/>
            <w:vMerge w:val="continue"/>
          </w:tcPr>
          <w:p>
            <w:pPr>
              <w:spacing w:after="0"/>
              <w:rPr>
                <w:sz w:val="15"/>
                <w:szCs w:val="15"/>
                <w:color w:val="auto"/>
              </w:rPr>
            </w:pPr>
          </w:p>
        </w:tc>
        <w:tc>
          <w:tcPr>
            <w:tcW w:w="9300" w:type="dxa"/>
            <w:vAlign w:val="bottom"/>
            <w:gridSpan w:val="24"/>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EE"/>
            </w:tcBorders>
            <w:gridSpan w:val="20"/>
          </w:tcPr>
          <w:p>
            <w:pPr>
              <w:spacing w:after="0" w:line="182" w:lineRule="exact"/>
              <w:rPr>
                <w:rFonts w:ascii="Arial" w:cs="Arial" w:eastAsia="Arial" w:hAnsi="Arial"/>
                <w:sz w:val="18"/>
                <w:szCs w:val="18"/>
                <w:color w:val="0000FF"/>
              </w:rPr>
            </w:pPr>
            <w:hyperlink w:anchor="page132">
              <w:r>
                <w:rPr>
                  <w:rFonts w:ascii="Arial" w:cs="Arial" w:eastAsia="Arial" w:hAnsi="Arial"/>
                  <w:sz w:val="18"/>
                  <w:szCs w:val="18"/>
                  <w:color w:val="0000FF"/>
                </w:rPr>
                <w:t>Quantitative and Qualitative Disclosures About Market Risk</w:t>
              </w:r>
            </w:hyperlink>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8.</w:t>
            </w:r>
          </w:p>
        </w:tc>
        <w:tc>
          <w:tcPr>
            <w:tcW w:w="4700" w:type="dxa"/>
            <w:vAlign w:val="bottom"/>
            <w:tcBorders>
              <w:top w:val="single" w:sz="8" w:color="0000EE"/>
            </w:tcBorders>
            <w:gridSpan w:val="17"/>
          </w:tcPr>
          <w:p>
            <w:pPr>
              <w:spacing w:after="0" w:line="182" w:lineRule="exact"/>
              <w:rPr>
                <w:rFonts w:ascii="Arial" w:cs="Arial" w:eastAsia="Arial" w:hAnsi="Arial"/>
                <w:sz w:val="18"/>
                <w:szCs w:val="18"/>
                <w:color w:val="0000FF"/>
              </w:rPr>
            </w:pPr>
            <w:hyperlink w:anchor="page132">
              <w:r>
                <w:rPr>
                  <w:rFonts w:ascii="Arial" w:cs="Arial" w:eastAsia="Arial" w:hAnsi="Arial"/>
                  <w:sz w:val="18"/>
                  <w:szCs w:val="18"/>
                  <w:color w:val="0000FF"/>
                </w:rPr>
                <w:t>Financial Statements and Supplementary Data</w:t>
              </w:r>
            </w:hyperlink>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9.</w:t>
            </w:r>
          </w:p>
        </w:tc>
        <w:tc>
          <w:tcPr>
            <w:tcW w:w="3720" w:type="dxa"/>
            <w:vAlign w:val="bottom"/>
            <w:tcBorders>
              <w:top w:val="single" w:sz="8" w:color="0000EE"/>
            </w:tcBorders>
            <w:gridSpan w:val="15"/>
          </w:tcPr>
          <w:p>
            <w:pPr>
              <w:spacing w:after="0" w:line="182" w:lineRule="exact"/>
              <w:rPr>
                <w:rFonts w:ascii="Arial" w:cs="Arial" w:eastAsia="Arial" w:hAnsi="Arial"/>
                <w:sz w:val="18"/>
                <w:szCs w:val="18"/>
                <w:color w:val="0000FF"/>
                <w:w w:val="94"/>
              </w:rPr>
            </w:pPr>
            <w:hyperlink w:anchor="page161">
              <w:r>
                <w:rPr>
                  <w:rFonts w:ascii="Arial" w:cs="Arial" w:eastAsia="Arial" w:hAnsi="Arial"/>
                  <w:sz w:val="18"/>
                  <w:szCs w:val="18"/>
                  <w:color w:val="0000FF"/>
                  <w:w w:val="94"/>
                </w:rPr>
                <w:t>Changes in and Disagreements with Accountants</w:t>
              </w:r>
            </w:hyperlink>
          </w:p>
        </w:tc>
        <w:tc>
          <w:tcPr>
            <w:tcW w:w="5580" w:type="dxa"/>
            <w:vAlign w:val="bottom"/>
            <w:gridSpan w:val="9"/>
          </w:tcPr>
          <w:p>
            <w:pPr>
              <w:ind w:left="260"/>
              <w:spacing w:after="0" w:line="182" w:lineRule="exact"/>
              <w:rPr>
                <w:rFonts w:ascii="Arial" w:cs="Arial" w:eastAsia="Arial" w:hAnsi="Arial"/>
                <w:sz w:val="18"/>
                <w:szCs w:val="18"/>
                <w:color w:val="0000FF"/>
              </w:rPr>
            </w:pPr>
            <w:hyperlink w:anchor="page161">
              <w:r>
                <w:rPr>
                  <w:rFonts w:ascii="Arial" w:cs="Arial" w:eastAsia="Arial" w:hAnsi="Arial"/>
                  <w:sz w:val="18"/>
                  <w:szCs w:val="18"/>
                  <w:color w:val="0000FF"/>
                </w:rPr>
                <w:t>on Accounting and Financial Disclosure</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21"/>
          </w:tcPr>
          <w:p>
            <w:pPr>
              <w:spacing w:after="0" w:line="182" w:lineRule="exact"/>
              <w:rPr>
                <w:rFonts w:ascii="Arial" w:cs="Arial" w:eastAsia="Arial" w:hAnsi="Arial"/>
                <w:sz w:val="18"/>
                <w:szCs w:val="18"/>
                <w:color w:val="0000FF"/>
              </w:rPr>
            </w:pPr>
            <w:hyperlink w:anchor="page161">
              <w:r>
                <w:rPr>
                  <w:rFonts w:ascii="Arial" w:cs="Arial" w:eastAsia="Arial" w:hAnsi="Arial"/>
                  <w:sz w:val="18"/>
                  <w:szCs w:val="18"/>
                  <w:color w:val="0000FF"/>
                </w:rPr>
                <w:t>Controls and Procedures</w:t>
              </w:r>
            </w:hyperlink>
          </w:p>
        </w:tc>
        <w:tc>
          <w:tcPr>
            <w:tcW w:w="88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FF"/>
                <w:w w:val="98"/>
              </w:rPr>
            </w:pPr>
            <w:hyperlink w:anchor="page162">
              <w:r>
                <w:rPr>
                  <w:rFonts w:ascii="Arial" w:cs="Arial" w:eastAsia="Arial" w:hAnsi="Arial"/>
                  <w:sz w:val="18"/>
                  <w:szCs w:val="18"/>
                  <w:color w:val="0000FF"/>
                  <w:w w:val="98"/>
                </w:rPr>
                <w:t>Other Information</w:t>
              </w:r>
            </w:hyperlink>
          </w:p>
        </w:tc>
        <w:tc>
          <w:tcPr>
            <w:tcW w:w="58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94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9C.</w:t>
            </w:r>
          </w:p>
        </w:tc>
        <w:tc>
          <w:tcPr>
            <w:tcW w:w="9300" w:type="dxa"/>
            <w:vAlign w:val="bottom"/>
            <w:gridSpan w:val="24"/>
          </w:tcPr>
          <w:p>
            <w:pPr>
              <w:spacing w:after="0" w:line="182" w:lineRule="exact"/>
              <w:rPr>
                <w:rFonts w:ascii="Arial" w:cs="Arial" w:eastAsia="Arial" w:hAnsi="Arial"/>
                <w:sz w:val="18"/>
                <w:szCs w:val="18"/>
                <w:color w:val="0000FF"/>
              </w:rPr>
            </w:pPr>
            <w:hyperlink w:anchor="page162">
              <w:r>
                <w:rPr>
                  <w:rFonts w:ascii="Arial" w:cs="Arial" w:eastAsia="Arial" w:hAnsi="Arial"/>
                  <w:sz w:val="18"/>
                  <w:szCs w:val="18"/>
                  <w:color w:val="0000FF"/>
                </w:rPr>
                <w:t>Disclosure Regarding Foreign Jurisdictions that Prevent Inspections.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680" w:type="dxa"/>
            <w:vAlign w:val="bottom"/>
            <w:gridSpan w:val="3"/>
            <w:vMerge w:val="restart"/>
          </w:tcPr>
          <w:p>
            <w:pPr>
              <w:spacing w:after="0"/>
              <w:rPr>
                <w:rFonts w:ascii="Arial" w:cs="Arial" w:eastAsia="Arial" w:hAnsi="Arial"/>
                <w:sz w:val="18"/>
                <w:szCs w:val="18"/>
                <w:b w:val="1"/>
                <w:bCs w:val="1"/>
                <w:color w:val="0000FF"/>
                <w:w w:val="95"/>
              </w:rPr>
            </w:pPr>
            <w:hyperlink w:anchor="page163">
              <w:r>
                <w:rPr>
                  <w:rFonts w:ascii="Arial" w:cs="Arial" w:eastAsia="Arial" w:hAnsi="Arial"/>
                  <w:sz w:val="18"/>
                  <w:szCs w:val="18"/>
                  <w:b w:val="1"/>
                  <w:bCs w:val="1"/>
                  <w:color w:val="0000FF"/>
                  <w:w w:val="95"/>
                </w:rPr>
                <w:t>PART III</w:t>
              </w:r>
            </w:hyperlink>
          </w:p>
        </w:tc>
        <w:tc>
          <w:tcPr>
            <w:tcW w:w="4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0" w:type="dxa"/>
            <w:vAlign w:val="bottom"/>
            <w:tcBorders>
              <w:bottom w:val="single" w:sz="8" w:color="0000EE"/>
            </w:tcBorders>
            <w:gridSpan w:val="3"/>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9300" w:type="dxa"/>
            <w:vAlign w:val="bottom"/>
            <w:gridSpan w:val="24"/>
            <w:vMerge w:val="restart"/>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10.</w:t>
            </w:r>
          </w:p>
        </w:tc>
        <w:tc>
          <w:tcPr>
            <w:tcW w:w="930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11.</w:t>
            </w:r>
          </w:p>
        </w:tc>
        <w:tc>
          <w:tcPr>
            <w:tcW w:w="20" w:type="dxa"/>
            <w:vAlign w:val="bottom"/>
            <w:tcBorders>
              <w:bottom w:val="single" w:sz="8" w:color="0000EE"/>
            </w:tcBorders>
          </w:tcPr>
          <w:p>
            <w:pPr>
              <w:spacing w:after="0"/>
              <w:rPr>
                <w:sz w:val="15"/>
                <w:szCs w:val="15"/>
                <w:color w:val="auto"/>
              </w:rPr>
            </w:pPr>
          </w:p>
        </w:tc>
        <w:tc>
          <w:tcPr>
            <w:tcW w:w="19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FF"/>
                <w:w w:val="98"/>
              </w:rPr>
            </w:pPr>
            <w:hyperlink w:anchor="page163">
              <w:r>
                <w:rPr>
                  <w:rFonts w:ascii="Arial" w:cs="Arial" w:eastAsia="Arial" w:hAnsi="Arial"/>
                  <w:sz w:val="18"/>
                  <w:szCs w:val="18"/>
                  <w:color w:val="0000FF"/>
                  <w:w w:val="98"/>
                </w:rPr>
                <w:t>Executive Compensation</w:t>
              </w:r>
            </w:hyperlink>
          </w:p>
        </w:tc>
        <w:tc>
          <w:tcPr>
            <w:tcW w:w="2500" w:type="dxa"/>
            <w:vAlign w:val="bottom"/>
            <w:tcBorders>
              <w:top w:val="single" w:sz="8" w:color="0000EE"/>
            </w:tcBorders>
            <w:gridSpan w:val="5"/>
          </w:tcPr>
          <w:p>
            <w:pPr>
              <w:spacing w:after="0"/>
              <w:rPr>
                <w:sz w:val="15"/>
                <w:szCs w:val="15"/>
                <w:color w:val="auto"/>
              </w:rPr>
            </w:pPr>
          </w:p>
        </w:tc>
        <w:tc>
          <w:tcPr>
            <w:tcW w:w="1560" w:type="dxa"/>
            <w:vAlign w:val="bottom"/>
            <w:gridSpan w:val="3"/>
          </w:tcPr>
          <w:p>
            <w:pPr>
              <w:spacing w:after="0"/>
              <w:rPr>
                <w:sz w:val="15"/>
                <w:szCs w:val="15"/>
                <w:color w:val="auto"/>
              </w:rPr>
            </w:pPr>
          </w:p>
        </w:tc>
        <w:tc>
          <w:tcPr>
            <w:tcW w:w="1940" w:type="dxa"/>
            <w:vAlign w:val="bottom"/>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12.</w:t>
            </w:r>
          </w:p>
        </w:tc>
        <w:tc>
          <w:tcPr>
            <w:tcW w:w="9300" w:type="dxa"/>
            <w:vAlign w:val="bottom"/>
            <w:gridSpan w:val="24"/>
          </w:tcPr>
          <w:p>
            <w:pPr>
              <w:spacing w:after="0" w:line="182" w:lineRule="exact"/>
              <w:rPr>
                <w:rFonts w:ascii="Arial" w:cs="Arial" w:eastAsia="Arial" w:hAnsi="Arial"/>
                <w:sz w:val="18"/>
                <w:szCs w:val="18"/>
                <w:color w:val="0000FF"/>
              </w:rPr>
            </w:pPr>
            <w:hyperlink w:anchor="page163">
              <w:r>
                <w:rPr>
                  <w:rFonts w:ascii="Arial" w:cs="Arial" w:eastAsia="Arial" w:hAnsi="Arial"/>
                  <w:sz w:val="18"/>
                  <w:szCs w:val="18"/>
                  <w:color w:val="0000FF"/>
                </w:rPr>
                <w:t>Security Ownership of Certain Beneficial Owners and Management and Related Stockholder Matters</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2"/>
          </w:tcPr>
          <w:p>
            <w:pPr>
              <w:spacing w:after="0" w:line="182" w:lineRule="exact"/>
              <w:rPr>
                <w:rFonts w:ascii="Arial" w:cs="Arial" w:eastAsia="Arial" w:hAnsi="Arial"/>
                <w:sz w:val="18"/>
                <w:szCs w:val="18"/>
                <w:color w:val="0000FF"/>
              </w:rPr>
            </w:pPr>
            <w:hyperlink w:anchor="page163">
              <w:r>
                <w:rPr>
                  <w:rFonts w:ascii="Arial" w:cs="Arial" w:eastAsia="Arial" w:hAnsi="Arial"/>
                  <w:sz w:val="18"/>
                  <w:szCs w:val="18"/>
                  <w:color w:val="0000FF"/>
                </w:rPr>
                <w:t>Certain Relationships and Related Transactions, and Director Independence</w:t>
              </w:r>
            </w:hyperlink>
          </w:p>
        </w:tc>
        <w:tc>
          <w:tcPr>
            <w:tcW w:w="13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19"/>
          </w:tcPr>
          <w:p>
            <w:pPr>
              <w:spacing w:after="0" w:line="182" w:lineRule="exact"/>
              <w:rPr>
                <w:rFonts w:ascii="Arial" w:cs="Arial" w:eastAsia="Arial" w:hAnsi="Arial"/>
                <w:sz w:val="18"/>
                <w:szCs w:val="18"/>
                <w:color w:val="0000FF"/>
              </w:rPr>
            </w:pPr>
            <w:hyperlink w:anchor="page163">
              <w:r>
                <w:rPr>
                  <w:rFonts w:ascii="Arial" w:cs="Arial" w:eastAsia="Arial" w:hAnsi="Arial"/>
                  <w:sz w:val="18"/>
                  <w:szCs w:val="18"/>
                  <w:color w:val="0000FF"/>
                </w:rPr>
                <w:t>Principal Accounting Fees and Services</w:t>
              </w:r>
            </w:hyperlink>
          </w:p>
        </w:tc>
        <w:tc>
          <w:tcPr>
            <w:tcW w:w="32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700" w:type="dxa"/>
            <w:vAlign w:val="bottom"/>
            <w:gridSpan w:val="4"/>
            <w:vMerge w:val="restart"/>
          </w:tcPr>
          <w:p>
            <w:pPr>
              <w:spacing w:after="0"/>
              <w:rPr>
                <w:rFonts w:ascii="Arial" w:cs="Arial" w:eastAsia="Arial" w:hAnsi="Arial"/>
                <w:sz w:val="18"/>
                <w:szCs w:val="18"/>
                <w:b w:val="1"/>
                <w:bCs w:val="1"/>
                <w:color w:val="0000FF"/>
                <w:w w:val="95"/>
              </w:rPr>
            </w:pPr>
            <w:hyperlink w:anchor="page164">
              <w:r>
                <w:rPr>
                  <w:rFonts w:ascii="Arial" w:cs="Arial" w:eastAsia="Arial" w:hAnsi="Arial"/>
                  <w:sz w:val="18"/>
                  <w:szCs w:val="18"/>
                  <w:b w:val="1"/>
                  <w:bCs w:val="1"/>
                  <w:color w:val="0000FF"/>
                  <w:w w:val="95"/>
                </w:rPr>
                <w:t>PART IV</w:t>
              </w:r>
            </w:hyperlink>
          </w:p>
        </w:tc>
        <w:tc>
          <w:tcPr>
            <w:tcW w:w="4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00" w:type="dxa"/>
            <w:vAlign w:val="bottom"/>
            <w:tcBorders>
              <w:bottom w:val="single" w:sz="8" w:color="0000EE"/>
            </w:tcBorders>
            <w:gridSpan w:val="4"/>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9300" w:type="dxa"/>
            <w:vAlign w:val="bottom"/>
            <w:gridSpan w:val="24"/>
            <w:vMerge w:val="restart"/>
          </w:tcPr>
          <w:p>
            <w:pPr>
              <w:spacing w:after="0"/>
              <w:rPr>
                <w:rFonts w:ascii="Arial" w:cs="Arial" w:eastAsia="Arial" w:hAnsi="Arial"/>
                <w:sz w:val="18"/>
                <w:szCs w:val="18"/>
                <w:color w:val="0000FF"/>
              </w:rPr>
            </w:pPr>
            <w:hyperlink w:anchor="page164">
              <w:r>
                <w:rPr>
                  <w:rFonts w:ascii="Arial" w:cs="Arial" w:eastAsia="Arial" w:hAnsi="Arial"/>
                  <w:sz w:val="18"/>
                  <w:szCs w:val="18"/>
                  <w:color w:val="0000FF"/>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15.</w:t>
            </w:r>
          </w:p>
        </w:tc>
        <w:tc>
          <w:tcPr>
            <w:tcW w:w="9300" w:type="dxa"/>
            <w:vAlign w:val="bottom"/>
            <w:gridSpan w:val="2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5"/>
          </w:tcPr>
          <w:p>
            <w:pPr>
              <w:ind w:left="120"/>
              <w:spacing w:after="0" w:line="182" w:lineRule="exact"/>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5"/>
                <w:szCs w:val="15"/>
                <w:color w:val="auto"/>
              </w:rPr>
            </w:pPr>
          </w:p>
        </w:tc>
        <w:tc>
          <w:tcPr>
            <w:tcW w:w="3180" w:type="dxa"/>
            <w:vAlign w:val="bottom"/>
            <w:tcBorders>
              <w:top w:val="single" w:sz="8" w:color="0000EE"/>
            </w:tcBorders>
            <w:gridSpan w:val="13"/>
          </w:tcPr>
          <w:p>
            <w:pPr>
              <w:spacing w:after="0" w:line="182" w:lineRule="exact"/>
              <w:rPr>
                <w:rFonts w:ascii="Arial" w:cs="Arial" w:eastAsia="Arial" w:hAnsi="Arial"/>
                <w:sz w:val="18"/>
                <w:szCs w:val="18"/>
                <w:color w:val="0000FF"/>
              </w:rPr>
            </w:pPr>
            <w:hyperlink w:anchor="page167">
              <w:r>
                <w:rPr>
                  <w:rFonts w:ascii="Arial" w:cs="Arial" w:eastAsia="Arial" w:hAnsi="Arial"/>
                  <w:sz w:val="18"/>
                  <w:szCs w:val="18"/>
                  <w:color w:val="0000FF"/>
                </w:rPr>
                <w:t>Form 10-K Summary</w:t>
              </w:r>
            </w:hyperlink>
          </w:p>
        </w:tc>
        <w:tc>
          <w:tcPr>
            <w:tcW w:w="610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8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fosgonimeton may never lead to a marketable product.</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1a/1b clinical trial,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7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officer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any of our key personnel could significantly harm our business, results of operations and competitive position.</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continuing effects of the novel coronavirus disease, or COVID-19, pandemic could adversely impact our business, including our nonclinical studies and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fosgonimeton, and evaluate other and future product candidates. If we are unable to raise this funding when needed, we may be forced to delay, reduce, or eliminate our product development programs or other operations.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and certain of our directors and executive officers have been named as defendants in lawsuits that could result in substantial costs and divert management’s attention.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Actions of an activist stockholder against us have been disruptive and costly and the notice the activist stockholder has sent indicating he will wage a proxy contest and seek representation on our board of directors could cause uncertainty about the strategic direction of our business.</w:t>
      </w:r>
    </w:p>
    <w:p>
      <w:pPr>
        <w:spacing w:after="0" w:line="21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71"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product candidates, if approved;</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 Item 3 — "Legal Proceedings,” and elsewhere in this report;</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an activist stockholder against us, which have been disruptive and costly, and the outcome of any proxy contest, which could cause uncertainty about the strategic direction of our business;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continuing impact of COVID-19 on our business;</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 and</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1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7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report, “we,” “our,” “us,” “Athira,” and “the Company” refer to 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Athira is derived from the word Athir, the energy that reaches everyone. It captures our mission to restore lives by advancing bold therapies for neuronal health, thoughtfully and urgently. We aim to restore neuronal health for those suffering from devastating neurological diseases, including Alzheimer’s, Parkinson’s, and neuropsychiatric diseases, so that patients can regain their memories, lives, and family relationships.</w:t>
      </w:r>
    </w:p>
    <w:p>
      <w:pPr>
        <w:spacing w:after="0" w:line="160"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slow neurodegeneration. With our product candidates, we aim to provide rapid cognitive improvement and alter the course of neurological diseases, leveraging our novel mechanism of action. Our approach is designed to augment neuronal growth factor signaling through the hepatocyte growth factor/MET, or HGF/MET, a naturally occurring, repair and regenerative system. We believe enhancing HGF/MET signaling has the potential to protect existing neurons from damage, reduce inflammation, promote regeneration, and benefit brain physiology.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169" w:lineRule="exact"/>
        <w:rPr>
          <w:sz w:val="20"/>
          <w:szCs w:val="20"/>
          <w:color w:val="auto"/>
        </w:rPr>
      </w:pPr>
    </w:p>
    <w:p>
      <w:pPr>
        <w:jc w:val="both"/>
        <w:ind w:firstLine="509"/>
        <w:spacing w:after="0" w:line="222" w:lineRule="auto"/>
        <w:rPr>
          <w:sz w:val="20"/>
          <w:szCs w:val="20"/>
          <w:color w:val="auto"/>
        </w:rPr>
      </w:pPr>
      <w:r>
        <w:rPr>
          <w:rFonts w:ascii="Arial" w:cs="Arial" w:eastAsia="Arial" w:hAnsi="Arial"/>
          <w:sz w:val="18"/>
          <w:szCs w:val="18"/>
          <w:color w:val="auto"/>
        </w:rPr>
        <w:t>Our lead candidate, fosgonimeton (ATH-1017), is a subcutaneously administered, BBB-penetrating, small molecule HGF/MET positive modulator. The primary target indication is Alzheimer’s disease (AD). In our Phase 1a/b clinical trial, fosgonimeton was well tolerated in healthy young and elderly volunteers and AD subjects, without serious adverse events. This clinical trial recruited 88 subjects, including 11 AD subjects with mild to moderate AD, who were randomly assigned to active and control groups. Nonclinical studies and Phase 1 clinical trials with fosgonimeton demonstrated improvements in brain network activity indicating potentially positive effects on brain function. In AD subjects, multiple dosing of fosgonimeton significantly improved Event Related Potential (ERP) P300 latency. ERP P300 latency is a functional measure that is highly correlated with cognition; however, we have not yet established a connection between these ERP P300 latency results and improved cognition. In September 2020, we began site initiation and patient screening for LIFT-AD, our Phase 2/3 clinical trial with fosgonimeton designed with the potential to provide pivotal data in support of registration, for the treatment of mild-to-moderate AD, with topline results expected in the first half of 2023. In November 2020, we also initiated ACT-AD, a proof-of-concept Phase 2 clinical trial with ERP P300 latency as the primary endpoint, in mild-to-moderate AD, which trial is designed to better characterize the overall effects of fosgonimeton on working memory processing speed and cognitive measures, with topline results expected in the second quarter of 2022. In July 2021, we announced that we are enrolling patients into a 26-week open-label extension study for our LIFT-AD and ACT-AD clinical trials, which will allow us to collect up to a total of one year of safety and other data with fosgonimeton. In October 2021, we announced that we completed patient enrollment in our ACT-AD clinical trial. In January 2022, we increased the LIFT-AD study sample size by approximately 120 participants, from 300 to 420, to strengthen the statistical power of co-key secondary endpoints, including ADAS-Cog11.</w:t>
      </w:r>
    </w:p>
    <w:p>
      <w:pPr>
        <w:spacing w:after="0" w:line="177"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The primary focus of our Phase 1a/b clinical trial of fosgonimeton was to establish safety and obtain single plus multiple dose pharmacokinetics. Fosgonimeton was well tolerated at all tested doses, produced predictable pharmacokinetics with dose-linear exposures, and did not accumulate over the course of treatment. Pharmacodynamic measures evaluating brain penetration, target engagement and brain function with quantitative electroencephalography, or qEEG, methods produced a strong suite of data justifying further investigation of fosgonimeton in future clinical trials. Individuals with AD typically experience a general slowing of qEEG, including a reduction in higher frequency waves, such as gamma. Gamma power is typically associated with learning, memory and cognitive function. Administration of fosgonimeton treatment increased gamma power activity with a single dose in both young healthy volunteers and elderly healthy volunteers. Gamma power also improved in AD subjects. ERP P300 latency, a functional measure of working memory processing speed and executive function that highly correlates with cognition, was also substantially improved in AD subjects. After a single dose of fosgonimeton, all AD subjects started improving on ERP P300 latency, and by the end of the once-daily 8-day treatment cycle, average ERP P300 latency across the AD treatment group had improved by 73 milliseconds, a statistically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both"/>
        <w:spacing w:after="0" w:line="256" w:lineRule="auto"/>
        <w:rPr>
          <w:sz w:val="20"/>
          <w:szCs w:val="20"/>
          <w:color w:val="auto"/>
        </w:rPr>
      </w:pPr>
      <w:r>
        <w:rPr>
          <w:rFonts w:ascii="Arial" w:cs="Arial" w:eastAsia="Arial" w:hAnsi="Arial"/>
          <w:sz w:val="18"/>
          <w:szCs w:val="18"/>
          <w:color w:val="auto"/>
        </w:rPr>
        <w:t>significant change compared to the placebo group that did not show any directional change. These results suggest that fosgonimeton has the potential to substantially improve synaptic connectivity and brain function in AD subjects.</w:t>
      </w:r>
    </w:p>
    <w:p>
      <w:pPr>
        <w:spacing w:after="0" w:line="152"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8"/>
          <w:szCs w:val="18"/>
          <w:color w:val="auto"/>
        </w:rPr>
        <w:t>AD is a significant unmet medical need with currently 35 million cases estimated worldwide and no treatments that can significantly reduce the burden on individuals and families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neuronal network connectivity leads to cognitive impairment in subjects with AD and other forms of dementia. We believe the enhancement of the HGF/MET neurotrophic system in the brain will lead to increased synaptic density, network recovery and information transmission in the brain, which could ultimately result in cognitive improvement and clinical benefit.</w:t>
      </w:r>
    </w:p>
    <w:p>
      <w:pPr>
        <w:spacing w:after="0" w:line="17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Fosgonimeton has the potential to address the broader dementia patient population beyond AD. Therefore, at the end of 2021, we initiated a 26-week, double-blind Phase 2 proof-of-concept trial for the treatment of Parkinson’s disease dementia (PDD) and Dementia with Lewy Bodies (DLB). Dementia is a significant unmet medical need affecting over 55 million people worldwide. Given underlying healthcare trends, specifically the aging population globally, the prevalence of dementia is expected to grow significantly and almost triple by 2050.</w:t>
      </w:r>
    </w:p>
    <w:p>
      <w:pPr>
        <w:spacing w:after="0" w:line="16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We are pioneering the use of small molecules that are designed to enhance the HGF/MET neurotrophic system, a naturally occurring regenerative system, in neurological diseases.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natural repair mechanism of HGF/MET, can potentially address a wide range of clinical applications ranging from CNS disorders, such as AD, PDD/DLB, multiple sclerosis, or MS, and amyotrophic lateral sclerosis, or ALS, to more peripheral conditions such as peripheral neuropathy. In addition, pre-existing literature suggests that HGF/MET biology plays a role in neuropsychiatric indications such as depression, anxiety and schizophrenia.</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product candidate for our neuropsychiatric program is ATH-1020. ATH-1020 is a new compound for which we recently filed an Investigational New Drug (IND) application with the FDA at the end of 2021, and received notice of acceptance in January 2022. ATH-1020 is a novel small molecule compound designed to be an orally available once-daily treatment, to enhance the HGF/MET system, and to distribute to the CNS. In vivo testing has demonstrated that following oral delivery, ATH-1020 distributes to the brain and is neuroactive in animals, and has demonstrated anti-depressant effects in several models of depression, including the forced swim model of depression. A first-in-human Phase 1 study in healthy volunteers was initiated during the first quarter of 2022.</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Currently, we have several preclinical candidates for non-AD indications, including ATH-1019, which is being developed to address peripheral indications such as peripheral neuropathy. Late-stage non-clinical development work and potentially early clinical studies will support decisions on selection of further product candidates and target indications moving forward. Our ATH platform allows us the flexibility to engineer compounds that are BBB-penetrant or that generate specific activity in the periphery, and molecules that are suitable for the subcutaneous or oral routes of administration.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jc w:val="both"/>
        <w:ind w:firstLine="509"/>
        <w:spacing w:after="0" w:line="247"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386195" cy="2271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619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The fosgonimeton LIFT-AD Phase 3 clinical trial may provide pivotal data in support of registration with the FDA.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46" w:lineRule="exact"/>
        <w:rPr>
          <w:sz w:val="20"/>
          <w:szCs w:val="20"/>
          <w:color w:val="auto"/>
        </w:rPr>
      </w:pPr>
    </w:p>
    <w:p>
      <w:pPr>
        <w:jc w:val="both"/>
        <w:ind w:left="1020" w:hanging="503"/>
        <w:spacing w:after="0" w:line="207" w:lineRule="exact"/>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fosgonimeton through clinical development for AD</w:t>
      </w:r>
      <w:r>
        <w:rPr>
          <w:rFonts w:ascii="Arial" w:cs="Arial" w:eastAsia="Arial" w:hAnsi="Arial"/>
          <w:sz w:val="18"/>
          <w:szCs w:val="18"/>
          <w:color w:val="auto"/>
        </w:rPr>
        <w:t>. We believe fosgonimeton has the potential to rapidly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cognition and durably improve the lives of the millions of people suffering from AD who currently have limited therapeutic options. We initiated one clinical trial for AD in September 2020 and an additional clinical trial for AD in November 2020 to potentially accelerate our development timelines and further inform our development decisions. The first of these clinical trials is LIFT-AD, our Phase 3 clinical trial evaluating the holistic impact of fosgonimeton in AD, initiated in September 2020 with topline results expected in the first half of 2023, which results may provide pivotal evidence in support of registration. The second clinical trial is our ACT</w:t>
      </w:r>
      <w:r>
        <w:rPr>
          <w:rFonts w:ascii="MS PGothic" w:cs="MS PGothic" w:eastAsia="MS PGothic" w:hAnsi="MS PGothic"/>
          <w:sz w:val="18"/>
          <w:szCs w:val="18"/>
          <w:color w:val="auto"/>
        </w:rPr>
        <w:t>‑</w:t>
      </w:r>
      <w:r>
        <w:rPr>
          <w:rFonts w:ascii="Arial" w:cs="Arial" w:eastAsia="Arial" w:hAnsi="Arial"/>
          <w:sz w:val="18"/>
          <w:szCs w:val="18"/>
          <w:color w:val="auto"/>
        </w:rPr>
        <w:t>AD ERP P300 Phase 2 proof-of-concept clinical trial for AD evaluating the overall effects of fosgonimeton on working memory processing speed and cognitive measures, initiated in November 2020 with topline results expected in the second quarter of 2022.</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Expand the development of fosgonimeton to include additional dementia indications.</w:t>
      </w:r>
      <w:r>
        <w:rPr>
          <w:rFonts w:ascii="Arial" w:cs="Arial" w:eastAsia="Arial" w:hAnsi="Arial"/>
          <w:sz w:val="18"/>
          <w:szCs w:val="18"/>
          <w:color w:val="auto"/>
        </w:rPr>
        <w:t>We are developing fosgonimeton as a</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for mild-to-moderate AD, but over time we aim to expand development to cover all stages of AD. Beyond AD, we believe that fosgonimeton can ultimately address a broader dementia patient population, irrespective of cause. To begin this expansion, we initiated a Phase 2 proof-of-concept clinical trial for PDD and DLB at the end of 2021, dosing the first patient in the first quarter of 2022.</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 translatable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predictive measures, such as qEEG and ERP methods, early in development to guide clinical dose decisions, provide predictive and quantitative measures for potential clinical benefit, and advance product candidates through clinical development. We have focused on changes in cognitive processing and function, coupled with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ind w:left="1020"/>
        <w:spacing w:after="0"/>
        <w:rPr>
          <w:sz w:val="20"/>
          <w:szCs w:val="20"/>
          <w:color w:val="auto"/>
        </w:rPr>
      </w:pPr>
      <w:r>
        <w:rPr>
          <w:rFonts w:ascii="Arial" w:cs="Arial" w:eastAsia="Arial" w:hAnsi="Arial"/>
          <w:sz w:val="18"/>
          <w:szCs w:val="18"/>
          <w:color w:val="auto"/>
        </w:rPr>
        <w:t>measures of brain function with qEEG and ERP P300 latency, allowing for more efficient and cost-effective clinical trials.</w:t>
      </w:r>
    </w:p>
    <w:p>
      <w:pPr>
        <w:spacing w:after="0" w:line="104" w:lineRule="exact"/>
        <w:rPr>
          <w:sz w:val="20"/>
          <w:szCs w:val="20"/>
          <w:color w:val="auto"/>
        </w:rPr>
      </w:pPr>
    </w:p>
    <w:p>
      <w:pPr>
        <w:jc w:val="both"/>
        <w:ind w:left="1020" w:hanging="503"/>
        <w:spacing w:after="0" w:line="239"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innovative research to expand and develop our preclinical and clinical pipeline</w:t>
      </w:r>
      <w:r>
        <w:rPr>
          <w:rFonts w:ascii="Arial" w:cs="Arial" w:eastAsia="Arial" w:hAnsi="Arial"/>
          <w:sz w:val="18"/>
          <w:szCs w:val="18"/>
          <w:color w:val="auto"/>
        </w:rPr>
        <w:t>. Our strategy is to only advance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that show both strong pharmacokinetics and pharmacodynamics (PK/PD)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current and future clinical trials that our ATH platform, which is designed to enhance the body’s regenerative mechanism of HGF/MET, can potentially address a wide range of clinical applications ranging from CNS disorders, such as AD, PDD/DLB, MS, and ALS, to peripheral conditions such as peripheral neuropathy. In addition, we believe that HGF/MET biology plays a role in neuropsychiatric indications such as depression, anxiety, and schizophrenia.</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Optimize the value of fosgonimeton and other candidates in major markets</w:t>
      </w:r>
      <w:r>
        <w:rPr>
          <w:rFonts w:ascii="Arial" w:cs="Arial" w:eastAsia="Arial" w:hAnsi="Arial"/>
          <w:sz w:val="18"/>
          <w:szCs w:val="18"/>
          <w:color w:val="auto"/>
        </w:rPr>
        <w:t>. We own worldwide rights to fosgonimeton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proprietary small molecule candidates. We plan to develop and pursue approval of fosgonimeton and other future candidates in major markets. Where appropriate, we may use strategic collaborations or partnerships to accelerate development and maximize the commercial potential of our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PDD/DLB,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 to cognitive impairment in subjects with AD and other forms of dementia.</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neurotransmission) and memantine (targeting the NMDA receptor and glutamatergic neurotransmission/excitotoxicity). Beyond 6 to 12 months, the long-term efficacy for all of these drugs has not been proven; they can provide only temporary and modest clinical improvement.</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Additionally, Aduhelm, which recently received accelerated approval due to effects on a biomarker directed to clear amyloid beta, or Aβ, may have potential as a disease-modifying therapy, though impact on clinical efficacy has yet to be firmly established. Several other experimental therapeutic agents directed towards Aβ clearance, and inhibition of Tau protein aggregation or phosphorylated-Tau, or pTau, clearance for AD, are in various stages of clinical development. Though Aduhelm has been approved by the FDA, its early adoption has been limited. And with several other clinical failures involving Aβ clearance, this highlights the incomplete understanding of the pathological processes in AD and clearly demonstrate the need for novel strategies to fight the disease effectively.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HGF/MET system has diverse roles relevant for synaptic function, network recovery, survival, and regeneration. We believe activation of HGF/MET offers a unique opportunity to address many aspects of AD pathology through a single, highly specific, targeted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 w:name="page12"/>
    <w:bookmarkEnd w:id="11"/>
    <w:p>
      <w:pPr>
        <w:jc w:val="both"/>
        <w:ind w:firstLine="509"/>
        <w:spacing w:after="0" w:line="242"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 downstream effects of the HGF/MET system play critical roles in maintaining healthy connectivity and brain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116840</wp:posOffset>
            </wp:positionV>
            <wp:extent cx="3437255" cy="5349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7255"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Normal MET expression is crucial in homeostasis of the healthy adult brain. Multiple studies have demonstrated that the MET system is strictly regulated to have a stable expression pattern. MET is one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44" w:lineRule="auto"/>
        <w:rPr>
          <w:sz w:val="20"/>
          <w:szCs w:val="20"/>
          <w:color w:val="auto"/>
        </w:rPr>
      </w:pPr>
      <w:r>
        <w:rPr>
          <w:rFonts w:ascii="Arial" w:cs="Arial" w:eastAsia="Arial" w:hAnsi="Arial"/>
          <w:sz w:val="18"/>
          <w:szCs w:val="18"/>
          <w:color w:val="auto"/>
        </w:rPr>
        <w:t>a small number of uniquely regulated genes with very high differential stability in its quantitative pattern of mRNA gene transcript levels across hundreds of structures throughout the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Previous studies have shown that AD subjects have a significantly reduced MET expression in different brain regions compared to healthy age-matched adults. This reduction highlights another rationale to rescue the activity of this critical regenerative system. Amplification of the HGF/MET system has the potential to provide critical neuroprotective and neuroregenerative effects to rescue damaged and dysfunctional neurons and promote recovery of cognitive functions.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3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neurological disorders.</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i w:val="1"/>
          <w:iCs w:val="1"/>
          <w:color w:val="auto"/>
        </w:rPr>
        <w:t xml:space="preserve">Figure 3.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 the beneficial effects of HGF/MET on functional endpoints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50" w:lineRule="exact"/>
        <w:rPr>
          <w:sz w:val="20"/>
          <w:szCs w:val="20"/>
          <w:color w:val="auto"/>
        </w:rPr>
      </w:pPr>
    </w:p>
    <w:p>
      <w:pPr>
        <w:ind w:left="720"/>
        <w:spacing w:after="0"/>
        <w:tabs>
          <w:tab w:leader="none" w:pos="2320" w:val="left"/>
          <w:tab w:leader="none" w:pos="4440" w:val="left"/>
          <w:tab w:leader="none" w:pos="7200" w:val="left"/>
          <w:tab w:leader="none" w:pos="9800" w:val="left"/>
        </w:tabs>
        <w:rPr>
          <w:sz w:val="20"/>
          <w:szCs w:val="20"/>
          <w:color w:val="auto"/>
        </w:rPr>
      </w:pPr>
      <w:r>
        <w:rPr>
          <w:rFonts w:ascii="Arial" w:cs="Arial" w:eastAsia="Arial" w:hAnsi="Arial"/>
          <w:sz w:val="13"/>
          <w:szCs w:val="13"/>
          <w:b w:val="1"/>
          <w:bCs w:val="1"/>
          <w:color w:val="auto"/>
        </w:rPr>
        <w:t>Disease</w:t>
      </w:r>
      <w:r>
        <w:rPr>
          <w:sz w:val="20"/>
          <w:szCs w:val="20"/>
          <w:color w:val="auto"/>
        </w:rPr>
        <w:tab/>
      </w:r>
      <w:r>
        <w:rPr>
          <w:rFonts w:ascii="Arial" w:cs="Arial" w:eastAsia="Arial" w:hAnsi="Arial"/>
          <w:sz w:val="13"/>
          <w:szCs w:val="13"/>
          <w:b w:val="1"/>
          <w:bCs w:val="1"/>
          <w:color w:val="auto"/>
        </w:rPr>
        <w:t>Animal model (species)</w:t>
      </w:r>
      <w:r>
        <w:rPr>
          <w:sz w:val="20"/>
          <w:szCs w:val="20"/>
          <w:color w:val="auto"/>
        </w:rPr>
        <w:tab/>
      </w:r>
      <w:r>
        <w:rPr>
          <w:rFonts w:ascii="Arial" w:cs="Arial" w:eastAsia="Arial" w:hAnsi="Arial"/>
          <w:sz w:val="13"/>
          <w:szCs w:val="13"/>
          <w:b w:val="1"/>
          <w:bCs w:val="1"/>
          <w:color w:val="auto"/>
        </w:rPr>
        <w:t>HGF Delivery Method</w:t>
      </w:r>
      <w:r>
        <w:rPr>
          <w:sz w:val="20"/>
          <w:szCs w:val="20"/>
          <w:color w:val="auto"/>
        </w:rPr>
        <w:tab/>
      </w:r>
      <w:r>
        <w:rPr>
          <w:rFonts w:ascii="Arial" w:cs="Arial" w:eastAsia="Arial" w:hAnsi="Arial"/>
          <w:sz w:val="13"/>
          <w:szCs w:val="13"/>
          <w:b w:val="1"/>
          <w:bCs w:val="1"/>
          <w:color w:val="auto"/>
        </w:rPr>
        <w:t>Outcomes</w:t>
      </w:r>
      <w:r>
        <w:rPr>
          <w:sz w:val="20"/>
          <w:szCs w:val="20"/>
          <w:color w:val="auto"/>
        </w:rPr>
        <w:tab/>
      </w:r>
      <w:r>
        <w:rPr>
          <w:rFonts w:ascii="Arial" w:cs="Arial" w:eastAsia="Arial" w:hAnsi="Arial"/>
          <w:sz w:val="12"/>
          <w:szCs w:val="12"/>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AD</w:t>
            </w:r>
          </w:p>
        </w:tc>
        <w:tc>
          <w:tcPr>
            <w:tcW w:w="2080" w:type="dxa"/>
            <w:vAlign w:val="bottom"/>
          </w:tcPr>
          <w:p>
            <w:pPr>
              <w:jc w:val="center"/>
              <w:ind w:left="88"/>
              <w:spacing w:after="0"/>
              <w:rPr>
                <w:sz w:val="20"/>
                <w:szCs w:val="20"/>
                <w:color w:val="auto"/>
              </w:rPr>
            </w:pPr>
            <w:r>
              <w:rPr>
                <w:rFonts w:ascii="Arial" w:cs="Arial" w:eastAsia="Arial" w:hAnsi="Arial"/>
                <w:sz w:val="14"/>
                <w:szCs w:val="14"/>
                <w:color w:val="auto"/>
              </w:rPr>
              <w:t>Aβ-injection</w:t>
            </w:r>
          </w:p>
        </w:tc>
        <w:tc>
          <w:tcPr>
            <w:tcW w:w="1860" w:type="dxa"/>
            <w:vAlign w:val="bottom"/>
          </w:tcPr>
          <w:p>
            <w:pPr>
              <w:jc w:val="center"/>
              <w:ind w:left="248"/>
              <w:spacing w:after="0"/>
              <w:rPr>
                <w:sz w:val="20"/>
                <w:szCs w:val="20"/>
                <w:color w:val="auto"/>
              </w:rPr>
            </w:pPr>
            <w:r>
              <w:rPr>
                <w:rFonts w:ascii="Arial" w:cs="Arial" w:eastAsia="Arial" w:hAnsi="Arial"/>
                <w:sz w:val="14"/>
                <w:szCs w:val="14"/>
                <w:color w:val="auto"/>
              </w:rPr>
              <w:t>HGF gene therapy</w:t>
            </w:r>
          </w:p>
        </w:tc>
        <w:tc>
          <w:tcPr>
            <w:tcW w:w="0" w:type="dxa"/>
            <w:vAlign w:val="bottom"/>
          </w:tcPr>
          <w:p>
            <w:pPr>
              <w:spacing w:after="0"/>
              <w:rPr>
                <w:sz w:val="1"/>
                <w:szCs w:val="1"/>
                <w:color w:val="auto"/>
              </w:rPr>
            </w:pPr>
          </w:p>
        </w:tc>
      </w:tr>
      <w:tr>
        <w:trPr>
          <w:trHeight w:val="238"/>
        </w:trPr>
        <w:tc>
          <w:tcPr>
            <w:tcW w:w="1920" w:type="dxa"/>
            <w:vAlign w:val="bottom"/>
            <w:shd w:val="clear" w:color="auto" w:fill="CFF0FC"/>
          </w:tcPr>
          <w:p>
            <w:pPr>
              <w:spacing w:after="0"/>
              <w:rPr>
                <w:sz w:val="20"/>
                <w:szCs w:val="20"/>
                <w:color w:val="auto"/>
              </w:rPr>
            </w:pPr>
          </w:p>
        </w:tc>
        <w:tc>
          <w:tcPr>
            <w:tcW w:w="2080" w:type="dxa"/>
            <w:vAlign w:val="bottom"/>
          </w:tcPr>
          <w:p>
            <w:pPr>
              <w:jc w:val="center"/>
              <w:ind w:left="88"/>
              <w:spacing w:after="0"/>
              <w:rPr>
                <w:sz w:val="20"/>
                <w:szCs w:val="20"/>
                <w:color w:val="auto"/>
              </w:rPr>
            </w:pPr>
            <w:r>
              <w:rPr>
                <w:rFonts w:ascii="Arial" w:cs="Arial" w:eastAsia="Arial" w:hAnsi="Arial"/>
                <w:sz w:val="14"/>
                <w:szCs w:val="14"/>
                <w:color w:val="auto"/>
              </w:rPr>
              <w:t>(mouse)</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20" w:type="dxa"/>
            <w:vAlign w:val="bottom"/>
          </w:tcPr>
          <w:p>
            <w:pPr>
              <w:jc w:val="center"/>
              <w:spacing w:after="0"/>
              <w:rPr>
                <w:sz w:val="20"/>
                <w:szCs w:val="20"/>
                <w:color w:val="auto"/>
              </w:rPr>
            </w:pPr>
            <w:r>
              <w:rPr>
                <w:rFonts w:ascii="Arial" w:cs="Arial" w:eastAsia="Arial" w:hAnsi="Arial"/>
                <w:sz w:val="14"/>
                <w:szCs w:val="14"/>
                <w:color w:val="auto"/>
              </w:rPr>
              <w:t>Parkinson’s</w:t>
            </w:r>
          </w:p>
        </w:tc>
        <w:tc>
          <w:tcPr>
            <w:tcW w:w="2080" w:type="dxa"/>
            <w:vAlign w:val="bottom"/>
          </w:tcPr>
          <w:p>
            <w:pPr>
              <w:jc w:val="center"/>
              <w:ind w:left="108"/>
              <w:spacing w:after="0"/>
              <w:rPr>
                <w:sz w:val="20"/>
                <w:szCs w:val="20"/>
                <w:color w:val="auto"/>
              </w:rPr>
            </w:pPr>
            <w:r>
              <w:rPr>
                <w:rFonts w:ascii="Arial" w:cs="Arial" w:eastAsia="Arial" w:hAnsi="Arial"/>
                <w:sz w:val="14"/>
                <w:szCs w:val="14"/>
                <w:color w:val="auto"/>
              </w:rPr>
              <w:t>6-OHDA</w:t>
            </w:r>
          </w:p>
        </w:tc>
        <w:tc>
          <w:tcPr>
            <w:tcW w:w="1860" w:type="dxa"/>
            <w:vAlign w:val="bottom"/>
          </w:tcPr>
          <w:p>
            <w:pPr>
              <w:jc w:val="center"/>
              <w:ind w:left="248"/>
              <w:spacing w:after="0"/>
              <w:rPr>
                <w:sz w:val="20"/>
                <w:szCs w:val="20"/>
                <w:color w:val="auto"/>
              </w:rPr>
            </w:pPr>
            <w:r>
              <w:rPr>
                <w:rFonts w:ascii="Arial" w:cs="Arial" w:eastAsia="Arial" w:hAnsi="Arial"/>
                <w:sz w:val="14"/>
                <w:szCs w:val="14"/>
                <w:color w:val="auto"/>
              </w:rPr>
              <w:t>HGF gene therapy</w:t>
            </w:r>
          </w:p>
        </w:tc>
        <w:tc>
          <w:tcPr>
            <w:tcW w:w="0" w:type="dxa"/>
            <w:vAlign w:val="bottom"/>
          </w:tcPr>
          <w:p>
            <w:pPr>
              <w:spacing w:after="0"/>
              <w:rPr>
                <w:sz w:val="1"/>
                <w:szCs w:val="1"/>
                <w:color w:val="auto"/>
              </w:rPr>
            </w:pPr>
          </w:p>
        </w:tc>
      </w:tr>
      <w:tr>
        <w:trPr>
          <w:trHeight w:val="215"/>
        </w:trPr>
        <w:tc>
          <w:tcPr>
            <w:tcW w:w="1920" w:type="dxa"/>
            <w:vAlign w:val="bottom"/>
          </w:tcPr>
          <w:p>
            <w:pPr>
              <w:spacing w:after="0"/>
              <w:rPr>
                <w:sz w:val="18"/>
                <w:szCs w:val="18"/>
                <w:color w:val="auto"/>
              </w:rPr>
            </w:pPr>
          </w:p>
        </w:tc>
        <w:tc>
          <w:tcPr>
            <w:tcW w:w="2080" w:type="dxa"/>
            <w:vAlign w:val="bottom"/>
          </w:tcPr>
          <w:p>
            <w:pPr>
              <w:jc w:val="center"/>
              <w:ind w:left="108"/>
              <w:spacing w:after="0"/>
              <w:rPr>
                <w:sz w:val="20"/>
                <w:szCs w:val="20"/>
                <w:color w:val="auto"/>
              </w:rPr>
            </w:pPr>
            <w:r>
              <w:rPr>
                <w:rFonts w:ascii="Arial" w:cs="Arial" w:eastAsia="Arial" w:hAnsi="Arial"/>
                <w:sz w:val="14"/>
                <w:szCs w:val="14"/>
                <w:color w:val="auto"/>
              </w:rPr>
              <w:t>(rat)</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line="20" w:lineRule="exact"/>
              <w:rPr>
                <w:sz w:val="1"/>
                <w:szCs w:val="1"/>
                <w:color w:val="auto"/>
              </w:rPr>
            </w:pPr>
          </w:p>
        </w:tc>
        <w:tc>
          <w:tcPr>
            <w:tcW w:w="2080" w:type="dxa"/>
            <w:vAlign w:val="bottom"/>
            <w:vMerge w:val="restart"/>
          </w:tcPr>
          <w:p>
            <w:pPr>
              <w:jc w:val="center"/>
              <w:ind w:left="88"/>
              <w:spacing w:after="0"/>
              <w:rPr>
                <w:sz w:val="20"/>
                <w:szCs w:val="20"/>
                <w:color w:val="auto"/>
              </w:rPr>
            </w:pPr>
            <w:r>
              <w:rPr>
                <w:rFonts w:ascii="Arial" w:cs="Arial" w:eastAsia="Arial" w:hAnsi="Arial"/>
                <w:sz w:val="14"/>
                <w:szCs w:val="14"/>
                <w:color w:val="auto"/>
              </w:rPr>
              <w:t>Transient ischemia</w:t>
            </w:r>
          </w:p>
        </w:tc>
        <w:tc>
          <w:tcPr>
            <w:tcW w:w="1860" w:type="dxa"/>
            <w:vAlign w:val="bottom"/>
            <w:vMerge w:val="restart"/>
          </w:tcPr>
          <w:p>
            <w:pPr>
              <w:jc w:val="center"/>
              <w:ind w:left="268"/>
              <w:spacing w:after="0"/>
              <w:rPr>
                <w:sz w:val="20"/>
                <w:szCs w:val="20"/>
                <w:color w:val="auto"/>
              </w:rPr>
            </w:pPr>
            <w:r>
              <w:rPr>
                <w:rFonts w:ascii="Arial" w:cs="Arial" w:eastAsia="Arial" w:hAnsi="Arial"/>
                <w:sz w:val="14"/>
                <w:szCs w:val="14"/>
                <w:color w:val="auto"/>
              </w:rPr>
              <w:t>Injection of HGF protein</w:t>
            </w:r>
          </w:p>
        </w:tc>
        <w:tc>
          <w:tcPr>
            <w:tcW w:w="0" w:type="dxa"/>
            <w:vAlign w:val="bottom"/>
          </w:tcPr>
          <w:p>
            <w:pPr>
              <w:spacing w:after="0" w:line="20" w:lineRule="exact"/>
              <w:rPr>
                <w:sz w:val="1"/>
                <w:szCs w:val="1"/>
                <w:color w:val="auto"/>
              </w:rPr>
            </w:pPr>
          </w:p>
        </w:tc>
      </w:tr>
      <w:tr>
        <w:trPr>
          <w:trHeight w:val="139"/>
        </w:trPr>
        <w:tc>
          <w:tcPr>
            <w:tcW w:w="1920" w:type="dxa"/>
            <w:vAlign w:val="bottom"/>
            <w:shd w:val="clear" w:color="auto" w:fill="CFF0FC"/>
          </w:tcPr>
          <w:p>
            <w:pPr>
              <w:jc w:val="center"/>
              <w:spacing w:after="0" w:line="139" w:lineRule="exact"/>
              <w:rPr>
                <w:sz w:val="20"/>
                <w:szCs w:val="20"/>
                <w:color w:val="auto"/>
              </w:rPr>
            </w:pPr>
            <w:r>
              <w:rPr>
                <w:rFonts w:ascii="Arial" w:cs="Arial" w:eastAsia="Arial" w:hAnsi="Arial"/>
                <w:sz w:val="14"/>
                <w:szCs w:val="14"/>
                <w:color w:val="auto"/>
              </w:rPr>
              <w:t>Brain ischemia</w:t>
            </w:r>
          </w:p>
        </w:tc>
        <w:tc>
          <w:tcPr>
            <w:tcW w:w="20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spacing w:after="0"/>
              <w:rPr>
                <w:sz w:val="16"/>
                <w:szCs w:val="16"/>
                <w:color w:val="auto"/>
              </w:rPr>
            </w:pPr>
          </w:p>
        </w:tc>
        <w:tc>
          <w:tcPr>
            <w:tcW w:w="2080" w:type="dxa"/>
            <w:vAlign w:val="bottom"/>
          </w:tcPr>
          <w:p>
            <w:pPr>
              <w:jc w:val="center"/>
              <w:ind w:left="88"/>
              <w:spacing w:after="0"/>
              <w:rPr>
                <w:sz w:val="20"/>
                <w:szCs w:val="20"/>
                <w:color w:val="auto"/>
              </w:rPr>
            </w:pPr>
            <w:r>
              <w:rPr>
                <w:rFonts w:ascii="Arial" w:cs="Arial" w:eastAsia="Arial" w:hAnsi="Arial"/>
                <w:sz w:val="14"/>
                <w:szCs w:val="14"/>
                <w:color w:val="auto"/>
              </w:rPr>
              <w:t>(gerbil)</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20" w:type="dxa"/>
            <w:vAlign w:val="bottom"/>
          </w:tcPr>
          <w:p>
            <w:pPr>
              <w:jc w:val="center"/>
              <w:spacing w:after="0"/>
              <w:rPr>
                <w:sz w:val="20"/>
                <w:szCs w:val="20"/>
                <w:color w:val="auto"/>
              </w:rPr>
            </w:pPr>
            <w:r>
              <w:rPr>
                <w:rFonts w:ascii="Arial" w:cs="Arial" w:eastAsia="Arial" w:hAnsi="Arial"/>
                <w:sz w:val="14"/>
                <w:szCs w:val="14"/>
                <w:color w:val="auto"/>
                <w:w w:val="98"/>
              </w:rPr>
              <w:t>ALS</w:t>
            </w:r>
          </w:p>
        </w:tc>
        <w:tc>
          <w:tcPr>
            <w:tcW w:w="2080" w:type="dxa"/>
            <w:vAlign w:val="bottom"/>
          </w:tcPr>
          <w:p>
            <w:pPr>
              <w:jc w:val="center"/>
              <w:ind w:left="88"/>
              <w:spacing w:after="0"/>
              <w:rPr>
                <w:sz w:val="20"/>
                <w:szCs w:val="20"/>
                <w:color w:val="auto"/>
              </w:rPr>
            </w:pPr>
            <w:r>
              <w:rPr>
                <w:rFonts w:ascii="Arial" w:cs="Arial" w:eastAsia="Arial" w:hAnsi="Arial"/>
                <w:sz w:val="14"/>
                <w:szCs w:val="14"/>
                <w:color w:val="auto"/>
              </w:rPr>
              <w:t>SOD1-G93)</w:t>
            </w:r>
          </w:p>
        </w:tc>
        <w:tc>
          <w:tcPr>
            <w:tcW w:w="1860" w:type="dxa"/>
            <w:vAlign w:val="bottom"/>
          </w:tcPr>
          <w:p>
            <w:pPr>
              <w:jc w:val="center"/>
              <w:ind w:left="248"/>
              <w:spacing w:after="0"/>
              <w:rPr>
                <w:sz w:val="20"/>
                <w:szCs w:val="20"/>
                <w:color w:val="auto"/>
              </w:rPr>
            </w:pPr>
            <w:r>
              <w:rPr>
                <w:rFonts w:ascii="Arial" w:cs="Arial" w:eastAsia="Arial" w:hAnsi="Arial"/>
                <w:sz w:val="14"/>
                <w:szCs w:val="14"/>
                <w:color w:val="auto"/>
              </w:rPr>
              <w:t>HGF gene therapy</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2080" w:type="dxa"/>
            <w:vAlign w:val="bottom"/>
          </w:tcPr>
          <w:p>
            <w:pPr>
              <w:jc w:val="center"/>
              <w:ind w:left="88"/>
              <w:spacing w:after="0"/>
              <w:rPr>
                <w:sz w:val="20"/>
                <w:szCs w:val="20"/>
                <w:color w:val="auto"/>
              </w:rPr>
            </w:pPr>
            <w:r>
              <w:rPr>
                <w:rFonts w:ascii="Arial" w:cs="Arial" w:eastAsia="Arial" w:hAnsi="Arial"/>
                <w:sz w:val="14"/>
                <w:szCs w:val="14"/>
                <w:color w:val="auto"/>
              </w:rPr>
              <w:t>(mouse)</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Cerebral infarction</w:t>
            </w:r>
          </w:p>
        </w:tc>
        <w:tc>
          <w:tcPr>
            <w:tcW w:w="2080" w:type="dxa"/>
            <w:vAlign w:val="bottom"/>
          </w:tcPr>
          <w:p>
            <w:pPr>
              <w:jc w:val="center"/>
              <w:ind w:left="108"/>
              <w:spacing w:after="0"/>
              <w:rPr>
                <w:sz w:val="20"/>
                <w:szCs w:val="20"/>
                <w:color w:val="auto"/>
              </w:rPr>
            </w:pPr>
            <w:r>
              <w:rPr>
                <w:rFonts w:ascii="Arial" w:cs="Arial" w:eastAsia="Arial" w:hAnsi="Arial"/>
                <w:sz w:val="14"/>
                <w:szCs w:val="14"/>
                <w:color w:val="auto"/>
              </w:rPr>
              <w:t>Embolism</w:t>
            </w:r>
          </w:p>
        </w:tc>
        <w:tc>
          <w:tcPr>
            <w:tcW w:w="1860" w:type="dxa"/>
            <w:vAlign w:val="bottom"/>
          </w:tcPr>
          <w:p>
            <w:pPr>
              <w:jc w:val="center"/>
              <w:ind w:left="268"/>
              <w:spacing w:after="0"/>
              <w:rPr>
                <w:sz w:val="20"/>
                <w:szCs w:val="20"/>
                <w:color w:val="auto"/>
              </w:rPr>
            </w:pPr>
            <w:r>
              <w:rPr>
                <w:rFonts w:ascii="Arial" w:cs="Arial" w:eastAsia="Arial" w:hAnsi="Arial"/>
                <w:sz w:val="14"/>
                <w:szCs w:val="14"/>
                <w:color w:val="auto"/>
              </w:rPr>
              <w:t>Injection of HGF protein</w:t>
            </w:r>
          </w:p>
        </w:tc>
        <w:tc>
          <w:tcPr>
            <w:tcW w:w="0" w:type="dxa"/>
            <w:vAlign w:val="bottom"/>
          </w:tcPr>
          <w:p>
            <w:pPr>
              <w:spacing w:after="0"/>
              <w:rPr>
                <w:sz w:val="1"/>
                <w:szCs w:val="1"/>
                <w:color w:val="auto"/>
              </w:rPr>
            </w:pPr>
          </w:p>
        </w:tc>
      </w:tr>
      <w:tr>
        <w:trPr>
          <w:trHeight w:val="238"/>
        </w:trPr>
        <w:tc>
          <w:tcPr>
            <w:tcW w:w="1920" w:type="dxa"/>
            <w:vAlign w:val="bottom"/>
            <w:shd w:val="clear" w:color="auto" w:fill="CFF0FC"/>
          </w:tcPr>
          <w:p>
            <w:pPr>
              <w:spacing w:after="0"/>
              <w:rPr>
                <w:sz w:val="20"/>
                <w:szCs w:val="20"/>
                <w:color w:val="auto"/>
              </w:rPr>
            </w:pPr>
          </w:p>
        </w:tc>
        <w:tc>
          <w:tcPr>
            <w:tcW w:w="2080" w:type="dxa"/>
            <w:vAlign w:val="bottom"/>
          </w:tcPr>
          <w:p>
            <w:pPr>
              <w:jc w:val="center"/>
              <w:ind w:left="108"/>
              <w:spacing w:after="0"/>
              <w:rPr>
                <w:sz w:val="20"/>
                <w:szCs w:val="20"/>
                <w:color w:val="auto"/>
              </w:rPr>
            </w:pPr>
            <w:r>
              <w:rPr>
                <w:rFonts w:ascii="Arial" w:cs="Arial" w:eastAsia="Arial" w:hAnsi="Arial"/>
                <w:sz w:val="14"/>
                <w:szCs w:val="14"/>
                <w:color w:val="auto"/>
              </w:rPr>
              <w:t>(rat)</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20" w:type="dxa"/>
            <w:vAlign w:val="bottom"/>
          </w:tcPr>
          <w:p>
            <w:pPr>
              <w:jc w:val="center"/>
              <w:spacing w:after="0"/>
              <w:rPr>
                <w:sz w:val="20"/>
                <w:szCs w:val="20"/>
                <w:color w:val="auto"/>
              </w:rPr>
            </w:pPr>
            <w:r>
              <w:rPr>
                <w:rFonts w:ascii="Arial" w:cs="Arial" w:eastAsia="Arial" w:hAnsi="Arial"/>
                <w:sz w:val="14"/>
                <w:szCs w:val="14"/>
                <w:color w:val="auto"/>
              </w:rPr>
              <w:t>Spinal cord injury</w:t>
            </w:r>
          </w:p>
        </w:tc>
        <w:tc>
          <w:tcPr>
            <w:tcW w:w="2080" w:type="dxa"/>
            <w:vAlign w:val="bottom"/>
          </w:tcPr>
          <w:p>
            <w:pPr>
              <w:jc w:val="center"/>
              <w:ind w:left="108"/>
              <w:spacing w:after="0"/>
              <w:rPr>
                <w:sz w:val="20"/>
                <w:szCs w:val="20"/>
                <w:color w:val="auto"/>
              </w:rPr>
            </w:pPr>
            <w:r>
              <w:rPr>
                <w:rFonts w:ascii="Arial" w:cs="Arial" w:eastAsia="Arial" w:hAnsi="Arial"/>
                <w:sz w:val="14"/>
                <w:szCs w:val="14"/>
                <w:color w:val="auto"/>
              </w:rPr>
              <w:t>Trauma</w:t>
            </w:r>
          </w:p>
        </w:tc>
        <w:tc>
          <w:tcPr>
            <w:tcW w:w="1860" w:type="dxa"/>
            <w:vAlign w:val="bottom"/>
          </w:tcPr>
          <w:p>
            <w:pPr>
              <w:jc w:val="center"/>
              <w:ind w:left="248"/>
              <w:spacing w:after="0"/>
              <w:rPr>
                <w:sz w:val="20"/>
                <w:szCs w:val="20"/>
                <w:color w:val="auto"/>
              </w:rPr>
            </w:pPr>
            <w:r>
              <w:rPr>
                <w:rFonts w:ascii="Arial" w:cs="Arial" w:eastAsia="Arial" w:hAnsi="Arial"/>
                <w:sz w:val="14"/>
                <w:szCs w:val="14"/>
                <w:color w:val="auto"/>
              </w:rPr>
              <w:t>HGF gene therapy</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2080" w:type="dxa"/>
            <w:vAlign w:val="bottom"/>
          </w:tcPr>
          <w:p>
            <w:pPr>
              <w:jc w:val="center"/>
              <w:ind w:left="108"/>
              <w:spacing w:after="0"/>
              <w:rPr>
                <w:sz w:val="20"/>
                <w:szCs w:val="20"/>
                <w:color w:val="auto"/>
              </w:rPr>
            </w:pPr>
            <w:r>
              <w:rPr>
                <w:rFonts w:ascii="Arial" w:cs="Arial" w:eastAsia="Arial" w:hAnsi="Arial"/>
                <w:sz w:val="14"/>
                <w:szCs w:val="14"/>
                <w:color w:val="auto"/>
              </w:rPr>
              <w:t>(rat)</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MS</w:t>
            </w:r>
          </w:p>
        </w:tc>
        <w:tc>
          <w:tcPr>
            <w:tcW w:w="2080" w:type="dxa"/>
            <w:vAlign w:val="bottom"/>
          </w:tcPr>
          <w:p>
            <w:pPr>
              <w:jc w:val="center"/>
              <w:ind w:left="88"/>
              <w:spacing w:after="0"/>
              <w:rPr>
                <w:sz w:val="20"/>
                <w:szCs w:val="20"/>
                <w:color w:val="auto"/>
              </w:rPr>
            </w:pPr>
            <w:r>
              <w:rPr>
                <w:rFonts w:ascii="Arial" w:cs="Arial" w:eastAsia="Arial" w:hAnsi="Arial"/>
                <w:sz w:val="14"/>
                <w:szCs w:val="14"/>
                <w:color w:val="auto"/>
                <w:w w:val="99"/>
              </w:rPr>
              <w:t>EAE</w:t>
            </w:r>
          </w:p>
        </w:tc>
        <w:tc>
          <w:tcPr>
            <w:tcW w:w="1860" w:type="dxa"/>
            <w:vAlign w:val="bottom"/>
          </w:tcPr>
          <w:p>
            <w:pPr>
              <w:jc w:val="center"/>
              <w:ind w:left="268"/>
              <w:spacing w:after="0"/>
              <w:rPr>
                <w:sz w:val="20"/>
                <w:szCs w:val="20"/>
                <w:color w:val="auto"/>
              </w:rPr>
            </w:pPr>
            <w:r>
              <w:rPr>
                <w:rFonts w:ascii="Arial" w:cs="Arial" w:eastAsia="Arial" w:hAnsi="Arial"/>
                <w:sz w:val="14"/>
                <w:szCs w:val="14"/>
                <w:color w:val="auto"/>
              </w:rPr>
              <w:t>Injection of HGF protein</w:t>
            </w:r>
          </w:p>
        </w:tc>
        <w:tc>
          <w:tcPr>
            <w:tcW w:w="0" w:type="dxa"/>
            <w:vAlign w:val="bottom"/>
          </w:tcPr>
          <w:p>
            <w:pPr>
              <w:spacing w:after="0"/>
              <w:rPr>
                <w:sz w:val="1"/>
                <w:szCs w:val="1"/>
                <w:color w:val="auto"/>
              </w:rPr>
            </w:pPr>
          </w:p>
        </w:tc>
      </w:tr>
      <w:tr>
        <w:trPr>
          <w:trHeight w:val="238"/>
        </w:trPr>
        <w:tc>
          <w:tcPr>
            <w:tcW w:w="1920" w:type="dxa"/>
            <w:vAlign w:val="bottom"/>
            <w:shd w:val="clear" w:color="auto" w:fill="CFF0FC"/>
          </w:tcPr>
          <w:p>
            <w:pPr>
              <w:spacing w:after="0"/>
              <w:rPr>
                <w:sz w:val="20"/>
                <w:szCs w:val="20"/>
                <w:color w:val="auto"/>
              </w:rPr>
            </w:pPr>
          </w:p>
        </w:tc>
        <w:tc>
          <w:tcPr>
            <w:tcW w:w="2080" w:type="dxa"/>
            <w:vAlign w:val="bottom"/>
          </w:tcPr>
          <w:p>
            <w:pPr>
              <w:jc w:val="center"/>
              <w:ind w:left="88"/>
              <w:spacing w:after="0"/>
              <w:rPr>
                <w:sz w:val="20"/>
                <w:szCs w:val="20"/>
                <w:color w:val="auto"/>
              </w:rPr>
            </w:pPr>
            <w:r>
              <w:rPr>
                <w:rFonts w:ascii="Arial" w:cs="Arial" w:eastAsia="Arial" w:hAnsi="Arial"/>
                <w:sz w:val="14"/>
                <w:szCs w:val="14"/>
                <w:color w:val="auto"/>
              </w:rPr>
              <w:t>(mouse)</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920" w:type="dxa"/>
            <w:vAlign w:val="bottom"/>
          </w:tcPr>
          <w:p>
            <w:pPr>
              <w:jc w:val="center"/>
              <w:spacing w:after="0"/>
              <w:rPr>
                <w:sz w:val="20"/>
                <w:szCs w:val="20"/>
                <w:color w:val="auto"/>
              </w:rPr>
            </w:pPr>
            <w:r>
              <w:rPr>
                <w:rFonts w:ascii="Arial" w:cs="Arial" w:eastAsia="Arial" w:hAnsi="Arial"/>
                <w:sz w:val="14"/>
                <w:szCs w:val="14"/>
                <w:color w:val="auto"/>
              </w:rPr>
              <w:t>Peripheral neuropathy</w:t>
            </w:r>
          </w:p>
        </w:tc>
        <w:tc>
          <w:tcPr>
            <w:tcW w:w="2080" w:type="dxa"/>
            <w:vAlign w:val="bottom"/>
          </w:tcPr>
          <w:p>
            <w:pPr>
              <w:jc w:val="center"/>
              <w:ind w:left="108"/>
              <w:spacing w:after="0"/>
              <w:rPr>
                <w:sz w:val="20"/>
                <w:szCs w:val="20"/>
                <w:color w:val="auto"/>
              </w:rPr>
            </w:pPr>
            <w:r>
              <w:rPr>
                <w:rFonts w:ascii="Arial" w:cs="Arial" w:eastAsia="Arial" w:hAnsi="Arial"/>
                <w:sz w:val="14"/>
                <w:szCs w:val="14"/>
                <w:color w:val="auto"/>
              </w:rPr>
              <w:t>Nerve crush</w:t>
            </w:r>
          </w:p>
        </w:tc>
        <w:tc>
          <w:tcPr>
            <w:tcW w:w="1860" w:type="dxa"/>
            <w:vAlign w:val="bottom"/>
          </w:tcPr>
          <w:p>
            <w:pPr>
              <w:jc w:val="center"/>
              <w:ind w:left="248"/>
              <w:spacing w:after="0"/>
              <w:rPr>
                <w:sz w:val="20"/>
                <w:szCs w:val="20"/>
                <w:color w:val="auto"/>
              </w:rPr>
            </w:pPr>
            <w:r>
              <w:rPr>
                <w:rFonts w:ascii="Arial" w:cs="Arial" w:eastAsia="Arial" w:hAnsi="Arial"/>
                <w:sz w:val="14"/>
                <w:szCs w:val="14"/>
                <w:color w:val="auto"/>
              </w:rPr>
              <w:t>HGF gene therapy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-2205990</wp:posOffset>
            </wp:positionV>
            <wp:extent cx="71323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-1605915</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-1099820</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160" w:hanging="165"/>
        <w:spacing w:after="0" w:line="244" w:lineRule="auto"/>
        <w:rPr>
          <w:sz w:val="20"/>
          <w:szCs w:val="20"/>
          <w:color w:val="auto"/>
        </w:rPr>
      </w:pPr>
      <w:r>
        <w:rPr>
          <w:rFonts w:ascii="Arial" w:cs="Arial" w:eastAsia="Arial" w:hAnsi="Arial"/>
          <w:sz w:val="14"/>
          <w:szCs w:val="14"/>
          <w:color w:val="auto"/>
        </w:rPr>
        <w:t>Improvement in memory, increased cerebral blood flow, increased BDNF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-4445</wp:posOffset>
            </wp:positionV>
            <wp:extent cx="591502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15025" cy="102870"/>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Improved survival of dopaminergic neurons,</w:t>
      </w:r>
    </w:p>
    <w:p>
      <w:pPr>
        <w:spacing w:after="0" w:line="2"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improved motor function</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Improved neuronal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15240</wp:posOffset>
            </wp:positionV>
            <wp:extent cx="591502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5025" cy="10287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Improved survival of motor neurons,</w:t>
      </w:r>
    </w:p>
    <w:p>
      <w:pPr>
        <w:spacing w:after="0" w:line="2"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prolonged lifespan</w:t>
      </w:r>
    </w:p>
    <w:p>
      <w:pPr>
        <w:spacing w:after="0" w:line="149" w:lineRule="exact"/>
        <w:rPr>
          <w:sz w:val="20"/>
          <w:szCs w:val="20"/>
          <w:color w:val="auto"/>
        </w:rPr>
      </w:pPr>
    </w:p>
    <w:p>
      <w:pPr>
        <w:ind w:left="560" w:right="200" w:hanging="365"/>
        <w:spacing w:after="0" w:line="264" w:lineRule="auto"/>
        <w:rPr>
          <w:sz w:val="20"/>
          <w:szCs w:val="20"/>
          <w:color w:val="auto"/>
        </w:rPr>
      </w:pPr>
      <w:r>
        <w:rPr>
          <w:rFonts w:ascii="Arial" w:cs="Arial" w:eastAsia="Arial" w:hAnsi="Arial"/>
          <w:sz w:val="14"/>
          <w:szCs w:val="14"/>
          <w:color w:val="auto"/>
        </w:rPr>
        <w:t>Improvement in learning and memory, improved neuronal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-12700</wp:posOffset>
            </wp:positionV>
            <wp:extent cx="591502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5025" cy="102870"/>
                    </a:xfrm>
                    <a:prstGeom prst="rect">
                      <a:avLst/>
                    </a:prstGeom>
                    <a:noFill/>
                  </pic:spPr>
                </pic:pic>
              </a:graphicData>
            </a:graphic>
          </wp:anchor>
        </w:drawing>
      </w:r>
    </w:p>
    <w:p>
      <w:pPr>
        <w:spacing w:after="0" w:line="98" w:lineRule="exact"/>
        <w:rPr>
          <w:sz w:val="20"/>
          <w:szCs w:val="20"/>
          <w:color w:val="auto"/>
        </w:rPr>
      </w:pPr>
    </w:p>
    <w:p>
      <w:pPr>
        <w:ind w:left="180" w:right="140" w:firstLine="28"/>
        <w:spacing w:after="0" w:line="264" w:lineRule="auto"/>
        <w:rPr>
          <w:sz w:val="20"/>
          <w:szCs w:val="20"/>
          <w:color w:val="auto"/>
        </w:rPr>
      </w:pPr>
      <w:r>
        <w:rPr>
          <w:rFonts w:ascii="Arial" w:cs="Arial" w:eastAsia="Arial" w:hAnsi="Arial"/>
          <w:sz w:val="14"/>
          <w:szCs w:val="14"/>
          <w:color w:val="auto"/>
        </w:rPr>
        <w:t>Promoted neuron survival and axonal regrowth, improved functional recovery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Promoted remyelination of damaged axons,</w:t>
      </w:r>
    </w:p>
    <w:p>
      <w:pPr>
        <w:spacing w:after="0" w:line="2"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improved clinical scoring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6350</wp:posOffset>
            </wp:positionV>
            <wp:extent cx="5915025"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15025" cy="102870"/>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Promoted regeneration of nerve tissue by</w:t>
      </w:r>
    </w:p>
    <w:p>
      <w:pPr>
        <w:jc w:val="center"/>
        <w:spacing w:after="0" w:line="223" w:lineRule="auto"/>
        <w:rPr>
          <w:sz w:val="20"/>
          <w:szCs w:val="20"/>
          <w:color w:val="auto"/>
        </w:rPr>
      </w:pPr>
      <w:r>
        <w:rPr>
          <w:rFonts w:ascii="Arial" w:cs="Arial" w:eastAsia="Arial" w:hAnsi="Arial"/>
          <w:sz w:val="14"/>
          <w:szCs w:val="14"/>
          <w:color w:val="auto"/>
        </w:rPr>
        <w:t>recruitment of Schwann cells and</w:t>
      </w:r>
    </w:p>
    <w:p>
      <w:pPr>
        <w:jc w:val="center"/>
        <w:ind w:left="-39"/>
        <w:spacing w:after="0"/>
        <w:rPr>
          <w:sz w:val="20"/>
          <w:szCs w:val="20"/>
          <w:color w:val="auto"/>
        </w:rPr>
      </w:pPr>
      <w:r>
        <w:rPr>
          <w:rFonts w:ascii="Arial" w:cs="Arial" w:eastAsia="Arial" w:hAnsi="Arial"/>
          <w:sz w:val="14"/>
          <w:szCs w:val="14"/>
          <w:color w:val="auto"/>
        </w:rPr>
        <w:t>remyelination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Takeuchi et. al. 2008</w:t>
      </w:r>
    </w:p>
    <w:p>
      <w:pPr>
        <w:spacing w:after="0" w:line="3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Koike et. al.</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2006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Miyazawa et. al. 2007</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Sun et. al.</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2002</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Date et. al.</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2004</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Kitamura et. al. 2007</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Bai et al., 2012</w:t>
      </w:r>
    </w:p>
    <w:p>
      <w:pPr>
        <w:spacing w:after="0" w:line="39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Ko et al., 2018</w:t>
      </w:r>
    </w:p>
    <w:p>
      <w:pPr>
        <w:spacing w:after="0" w:line="163" w:lineRule="exact"/>
        <w:rPr>
          <w:sz w:val="20"/>
          <w:szCs w:val="20"/>
          <w:color w:val="auto"/>
        </w:rPr>
      </w:pPr>
    </w:p>
    <w:p>
      <w:pPr>
        <w:sectPr>
          <w:pgSz w:w="11900" w:h="16838" w:orient="portrait"/>
          <w:cols w:equalWidth="0" w:num="3">
            <w:col w:w="5860" w:space="240"/>
            <w:col w:w="2800" w:space="540"/>
            <w:col w:w="1800"/>
          </w:cols>
          <w:pgMar w:left="320" w:top="229" w:right="339" w:bottom="1440" w:gutter="0" w:footer="0" w:header="0"/>
          <w:type w:val="continuous"/>
        </w:sectPr>
      </w:pPr>
    </w:p>
    <w:p>
      <w:pPr>
        <w:ind w:left="2780"/>
        <w:spacing w:after="0"/>
        <w:rPr>
          <w:sz w:val="20"/>
          <w:szCs w:val="20"/>
          <w:color w:val="auto"/>
        </w:rPr>
      </w:pPr>
      <w:r>
        <w:rPr>
          <w:rFonts w:ascii="Arial" w:cs="Arial" w:eastAsia="Arial" w:hAnsi="Arial"/>
          <w:sz w:val="14"/>
          <w:szCs w:val="14"/>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auto"/>
        </w:rPr>
        <w:t>6-OHDA: 6-hydroxydopamine; BDNF: brain-derived neurotrophic factor; EAE: experimental autoimmune encephalomyelitis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jc w:val="both"/>
        <w:ind w:firstLine="509"/>
        <w:spacing w:after="0" w:line="247"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or infection. Further, they are also expensive and more challenging to scale which could limit their availability to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therapies have limited efficacy, often poor side effect profiles, and transient impact on quality of life if any. There remains an urgent need for new and novel approaches to address most neurodegenerative disorders including progressive and severe conditions such as AD, PDD, MS, and others.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Specific to AD, each of the currently approved symptomatic therapies only targets a single neurotransmitter, with limited and transient effects on cognition and low tolerability, which negatively impacts compliance and minimally reduces the caregiver burden. Other therapies in development that target a slowdown in disease progression so far showed only a marginal benefit on clinical decline and are mainly focused on the pre-dementia stages, i.e. amnestic mild cognitive impairment, or aMCI, to early-mild AD. All lack any immediate benefit in reducing the burden on patients and caregivers impacted by the disease. After targeting toxic proteins, these approaches may rely on the body’s repair mechanisms, which may also be damaged, and do not promote additional activation of regenerative pathways. This can add to variability of treatment outcomes and necessitates longer clinical development timelines. Further complicating drug development in AD has been the lack of utilization of biomarkers and measures that are able to detect early signs of efficacy and uncover promising candidates to take forward into larger trials. Biomarkers have revolutionized clinical research in oncology and other therapeutic areas, but traditionally not in AD. Historically, AD testing in clinical trials has relied heavily on imaging techniques to assess changes in amyloid and tau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qEEG and ERP.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61" w:lineRule="exact"/>
        <w:rPr>
          <w:sz w:val="20"/>
          <w:szCs w:val="20"/>
          <w:color w:val="auto"/>
        </w:rPr>
      </w:pPr>
    </w:p>
    <w:p>
      <w:pPr>
        <w:ind w:left="1020" w:right="20" w:hanging="503"/>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Synaptogenesis </w:t>
      </w:r>
      <w:r>
        <w:rPr>
          <w:rFonts w:ascii="Arial" w:cs="Arial" w:eastAsia="Arial" w:hAnsi="Arial"/>
          <w:sz w:val="18"/>
          <w:szCs w:val="18"/>
          <w:color w:val="auto"/>
        </w:rPr>
        <w:t>as the core need of disrupted neuronal networks, overcoming the disconnection syndrome common to many</w:t>
      </w:r>
      <w:r>
        <w:rPr>
          <w:rFonts w:ascii="Arial" w:cs="Arial" w:eastAsia="Arial" w:hAnsi="Arial"/>
          <w:sz w:val="18"/>
          <w:szCs w:val="18"/>
          <w:i w:val="1"/>
          <w:iCs w:val="1"/>
          <w:color w:val="auto"/>
        </w:rPr>
        <w:t xml:space="preserve"> </w:t>
      </w:r>
      <w:r>
        <w:rPr>
          <w:rFonts w:ascii="Arial" w:cs="Arial" w:eastAsia="Arial" w:hAnsi="Arial"/>
          <w:sz w:val="18"/>
          <w:szCs w:val="18"/>
          <w:color w:val="auto"/>
        </w:rPr>
        <w:t>neurodegenerative diseases.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oxidative stress, which is expected to reduce damage, slow down disease progression and improve network activity. Many therapies in development are focused only on slowing disease progression.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ind w:left="1020" w:right="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glia. Many other therapies only have a single mode of activity.</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fosgonimeton, to address the complex pathology in neurodegenerative diseases.</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have designed fosgonimeton to specifically enhance the ability of HGF to activate MET. This substantially increases MET activation levels, and amplifies the beneficial effects downstream of the HGF/MET system.</w:t>
      </w:r>
    </w:p>
    <w:p>
      <w:pPr>
        <w:spacing w:after="0" w:line="15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i w:val="1"/>
          <w:iCs w:val="1"/>
          <w:color w:val="auto"/>
        </w:rPr>
        <w:t>Figure 4.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15875</wp:posOffset>
            </wp:positionV>
            <wp:extent cx="5349240" cy="4380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Enhancing the HGF/MET system also captures the modulation of the NMDA neurotransmitter pathway in a way distinct from the only FDA approved NMDA modulator, memantine. Modulation of neurotransmitter systems serves as the basis for the four currently approved AD drugs.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However, unlike these currently approved AD drugs, fosgonimeton is designed to also activate regenerative and anti-inflammatory pathways. Figure 5 below illustrates the typical timing of the different beneficial effects as an outcome of activating the HGF/MET system, as derived from experimental results.</w:t>
      </w:r>
    </w:p>
    <w:p>
      <w:pPr>
        <w:spacing w:after="0" w:line="17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i w:val="1"/>
          <w:iCs w:val="1"/>
          <w:color w:val="auto"/>
        </w:rPr>
        <w:t xml:space="preserve">Figure 5. Our ATH Candidates Are Designed to Positively Modulate the HGF/MET System Which May Lead to Both Rapid and Long-term Beneficial Effects. </w:t>
      </w:r>
      <w:r>
        <w:rPr>
          <w:rFonts w:ascii="Arial" w:cs="Arial" w:eastAsia="Arial" w:hAnsi="Arial"/>
          <w:sz w:val="18"/>
          <w:szCs w:val="18"/>
          <w:color w:val="auto"/>
        </w:rPr>
        <w:t>We believe that following administration of fosgonimeton, the HGF/MET system will activate and lead to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downstream effects. We anticipate that these effects may rapidly boost cognition with multiple regenerative mechanisms and lead to a stable and sustained recovery of the brain network and function.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Timeline of Potential Effects with Daily Fosgonimeton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23205" cy="2057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2320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believe qEEG and ERP have the potential to revolutionize the development paradigm in AD clinical trials. Quantitative EEG and ERP methods are highly translatable, quantitative, and predictive measures that can guide clinical dose decisions and provide live measures which were shown to correlate to potential clinical benefit. These methods focus on electrophysiological changes known to occur in cognitive processing and function, can result in more efficient and cost-effective clinical trials, and potentially provide an accelerated development path compared to traditional AD drug development programs.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and ERP Methods Reflect Brain Activity and Function</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qEEG and ERP methods. Certain EEG/ERP components are valuable measures of cognition, such as quantitative EEG, or qEEG, an assessment of high frequency gamma power brain waves, and the P300 latency component of ERP.</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Commonly used in clinical research and clinical practice, qEEG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These methods assess the brain’s electrical activity from electrodes on the scalp. This non-invasive look at live brain activity is highly informative and can give insight into the brain penetration and neuroactivity of therapeutics directed to the brain. Quantitative EEG is a method to measure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color w:val="auto"/>
        </w:rPr>
        <w:t>brain activity at rest, while ERP is measured from the same (or certain key) electrodes but only arises in response to a task-related stimulus. Quantitative EEG/ERP methods can provide substantial insight into the overall brain health and connectivity, as these measures are significantly altered in disorders that lead to cognitive impairment, such as AD.</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For fosgonimeton, we incorporated a variety of translatable tools and measures into our clinical development plan. These measures, including both qEEG and P300 latency, have guided dose selection and provided predictive measures of cognitive improvement.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6 below. The electrical activity will present at different frequencies or waves which provide various insights into neuronal health. We are most focused on the faster, higher frequency gamma waves which are associated with learning, memory formation and higher cognitive functions. Quantitative EEG is a method to quantitatively determine the amount of electrical signal that resides in each waveform, often described as power.</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6. Noninvasive qEEG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136525</wp:posOffset>
            </wp:positionV>
            <wp:extent cx="5349240" cy="3771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jc w:val="both"/>
        <w:spacing w:after="0" w:line="244" w:lineRule="auto"/>
        <w:rPr>
          <w:sz w:val="20"/>
          <w:szCs w:val="20"/>
          <w:color w:val="auto"/>
        </w:rPr>
      </w:pPr>
      <w:r>
        <w:rPr>
          <w:rFonts w:ascii="Arial" w:cs="Arial" w:eastAsia="Arial" w:hAnsi="Arial"/>
          <w:sz w:val="18"/>
          <w:szCs w:val="18"/>
          <w:color w:val="auto"/>
        </w:rPr>
        <w:t>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 in higher frequency waves, such as gamma, is reduced. If therapies can reverse this pattern in AD, and increase gamma power, this may suggest treatment has helped improve brain activity. We utilized qEEG in our fosgonimeton Phase 1 clinical trial in healthy young, healthy elderly, and AD subjects as an indicator of CNS penetration and target engagement.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7.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136525</wp:posOffset>
            </wp:positionV>
            <wp:extent cx="5349240" cy="45173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451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8" w:name="page19"/>
    <w:bookmarkEnd w:id="18"/>
    <w:p>
      <w:pPr>
        <w:jc w:val="both"/>
        <w:ind w:firstLine="509"/>
        <w:spacing w:after="0" w:line="239"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young, cognitively normal individuals. Numerous studies have shown that P300 latency is strongly correlated with cognition. P300 latency is increased and continues to worsen as AD and cognitive decline progresses. As an example, P300 latency is expected to be markedly increased in subjects with severe AD, compared to subjects with mild AD. The connection between P300 latency and increased cognitive decline has been characterized in a number of diseases including AD, PDD, DLB, Huntington’s, major depressive disorder with cognitive impairment, and traumatic brain injury. Loss of synaptic connections and neuronal dysfunction are well characterized in AD, and likely are the primary causes of the increased P300 latency. Figure 8 below illustrates the latency 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8.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136525</wp:posOffset>
            </wp:positionV>
            <wp:extent cx="4671695" cy="30175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169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9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9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fosgonimeton Phase 1 study. Both drugs showed a modest improvement in P300 latency, with donepezil demonstrating a peak improvement of 16 ms and rivastigmine demonstrating a peak improvement of 22 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i w:val="1"/>
          <w:iCs w:val="1"/>
          <w:color w:val="auto"/>
        </w:rPr>
        <w:t>Figure 9.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136525</wp:posOffset>
            </wp:positionV>
            <wp:extent cx="5349240" cy="2211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Figure 10, below, summarizes the correlation between P300 latency and changes in cognition in studies involving approved therapies.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10.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6206490" cy="1903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0649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i w:val="1"/>
          <w:iCs w:val="1"/>
          <w:color w:val="auto"/>
        </w:rPr>
        <w:t>Source: Results for donepezil and rivastigmine adapted from Thomas et al., 2001; results for memantine adapted from Sallach et al., 2011, and results for scopolamine adapted from Potter et al., 2000.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qEEG/ERP for the clinical development of fosgonimeton. We believe these measures are particularly well-suited to provide early insight into drug effects in AD, given that as the cognitive decline progresses, subjects display a decrease in qEEG gamma power, and a progressive increase in ERP P300 latency.</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Utilizing qEEG/ERP as non-invasive, translatable, and quantitative measures early in clinical development helps to inform future clinical trial designs. Positive changes in qEEG and ERP P300 latency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8"/>
          <w:szCs w:val="18"/>
          <w:color w:val="auto"/>
        </w:rPr>
        <w:t>potentially indicate a positive cognitive effect of our ATH treatments, which increases our confidence that these effects may translate to clinical benefit in later-stage clinical trials.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Fosgonimeton for the Potential Treatment of AD and Other Neuronal Diseases</w:t>
      </w:r>
    </w:p>
    <w:p>
      <w:pPr>
        <w:spacing w:after="0" w:line="1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developing our lead product candidate, fosgonimeton, for the treatment of neurodegenerative disorders, with an initial focus on AD. Fosgonimeton is designed to improve neuronal health and promote regeneration, thereby improving symptoms in cognitively impaired subjects. As we continue to develop fosgonimeton, we will plan to assess additional functional and behavioral benefits. In our Phase 1a/b clinical trial, fosgonimeton for the treatment of AD was well tolerated with no serious adverse events across 88 subjects recruited in the study, including 11 subjects with mild-to-moderate AD, who were assigned to treatment and control groups. Additionally, fosgonimeton treatment led to improvements in brain network activity that indicated potentially positive effects on brain function. In the AD subjects, multiple dosing of fosgonimeton significantly improved P300 latency. P300 latency is a functional measure that is highly correlated with cognition; however, we have not yet established a connection between these P300 latency results and improved cognition. It is our goal to establish in current and future clinical trials that administration of fosgonimeton is effective in promoting cognitive improvement. In September 2020, we began site initiation and patient screening for LIFT-AD, our Phase 2/3 clinical trial with fosgonimeton designed with the potential to provide pivotal data in support of registration, for the treatment of mild-to-moderate AD, with topline results expected in the first half of 2023. In November 2020, we also initiated ACT-AD, a proof-of-concept Phase 2 clinical trial with ERP P300 latency as the primary endpoint, in mild-to-moderate AD, which trial is designed to better characterize the overall effects of fosgonimeton on working memory processing speed and cognitive capacity, with topline results expected in the second quarter of 2022. In July 2021, we announced that we are enrolling patients into a 26-week open-label extension study for our LIFT-AD and ACT-AD clinical trials, which will allow us to collect up to a total of one year of safety data with fosgonimeton. In October 2021, we announced that we completed patient enrollment in our ACT-AD clinical trial. In January 2022, we increased the LIFT-AD study sample size by approximately 120 participants, from 300 to 420, in order to strengthen the statistical power of co-key secondary endpoints, including ADAS-Cog11.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fosgonimeton, is a small molecule pro-drug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fosgonimeton treatment in our Phase 1a/b clinical trial.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 Clinical Trial</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IND for fosgonimeton in AD was filed in September 2017. Since then, we have completed our Phase 1 clinical trial, which enrolled a total of 88 subjects, including 48 healthy young male subjects (mean age = 33.4 ± 6.3), 29 healthy elderly subjects (mean age = 63.8 ± 4.0; 14 male, 15 female), and 11 AD subjects (mean age = 69.2 ± 7.1; 5 male, 6 female, median [range] MMSE = 20 [5–29]), as illustrated below in Figure 11. The clinical trial was randomized and double-blind and consisted of daily single injections over a nine-day period. While the primary endpoints of our Part A single ascending dose, or SAD, and Part B multiple ascending dose, or MAD, trial were focused on safety and assessment of human pharmacokinetics, we also included qEEG and ERP as measures to evaluate effects of fosgonimeton on brain activity in AD subjects. Together, these clinical trials assessed qEEG as a measure of brain circuitry and network activity and ERP as a measure of working memory access and cognitive processes in the brain.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11. 88 Subjects Included in the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136525</wp:posOffset>
            </wp:positionV>
            <wp:extent cx="5349240" cy="2400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firstLine="509"/>
        <w:spacing w:after="0" w:line="244" w:lineRule="auto"/>
        <w:rPr>
          <w:sz w:val="20"/>
          <w:szCs w:val="20"/>
          <w:color w:val="auto"/>
        </w:rPr>
      </w:pPr>
      <w:r>
        <w:rPr>
          <w:rFonts w:ascii="Arial" w:cs="Arial" w:eastAsia="Arial" w:hAnsi="Arial"/>
          <w:sz w:val="18"/>
          <w:szCs w:val="18"/>
          <w:color w:val="auto"/>
        </w:rPr>
        <w:t>Fosgonimeton was shown to be well-tolerated across all doses tested. There were no serious adverse events (AEs), or clinically relevant findings reported in blood chemistry, urinalysis, vital signs, ECG, EEG, physical, or neurological examinations. A maximum tolerated dose was not achieved. Fosgonimeton demonstrated a pulsatile mode of target activation, and the PK profile is compelling, with linear dose relationship, no accumulation, and no sex or age effect. We did not have any subject dropout due to serious adverse events during this clinical trial.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Fosgonimeton Changes in Brain Circuitry Activity</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Quantitative EEG was used as a translational tool to recapitulate the changes in brain network activity from fosgonimeton that were observed in our preclinical models and to help guide dose selection for late-stage clinical development. We collected qEEG recordings from healthy young, healthy elderly, and AD subjects to determine qEEG changes after the administration of fosgonimeton.</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8"/>
          <w:szCs w:val="18"/>
          <w:color w:val="auto"/>
        </w:rPr>
        <w:t>standards, and who were determined at the investigators’ discretion to be generally in good health as determined by medical history, vital signs, and physical and clinical examination.</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clinical trials, fosgonimeton increased the levels of the high frequency gamma power which is the frequency band that is associated with learning, memory, and cognitive function. Gamma is typically decreased in AD subjects. Fosgonimeton showed dose-dependent and consistent changes in gamma brain activity signals across all treated cohorts, consistent with the changes observed in non-clinical models.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 Part A SAD Clinical Trial</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fosgonimeton promoting HGF/MET induced synaptic relocation of NMDA receptors and potentiation of NMDA receptor currents. A dose-dependent increase was observed across the low, mid, and high doses with statistically significant changes at the highest dose levels assessed. Figure 12 below shows the change in qEEG gamma power from baseline following administration of placebo, low dose fosgonimeton (2 and 6 mg, pooled), mid dose (20 and 40 mg, pooled), and high dose (60 and 90 mg, pooled). The p-value maps show the statistics based on analysis of covariance, or ANCOVA, analysis. There were 12 subjects for each of the low- and mid-dose groups, and 11 subjects for the high-dose group. A single subject from the high-dose group in the single-dose data set in Figure 12 below was excluded from analysis due to an inability to capture or analyze data as a result of technical issues such as electrode placement or subject movement. All AD subjects’ data were captured at all data points.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12. Single Dose of Fosgonimeton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136525</wp:posOffset>
            </wp:positionV>
            <wp:extent cx="5349240" cy="2040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Phase 1 Part B MAD Clinical Trial in Healthy Elderly Subjects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main qEEG effect of fosgonimeton administration at all doses (20, 40, and 60 mg) in the healthy elderly subjects was increased gamma power, both at 3 hours post-dose on Day 1 and across multiple data points collected on Days 4 and 8 for all assessed doses of fosgonimeton. Figure 13 below shows the change in gamma power with once-daily administration of the 20 mg dose of fosgonimeton over 9 days. Similar effects were observed at 40 mg and 60 mg doses of fosgonimeton; data for the 80 mg dose level were not analyzed due to technical issues during data collection and a smaller sample size.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i w:val="1"/>
          <w:iCs w:val="1"/>
          <w:color w:val="auto"/>
        </w:rPr>
        <w:t>Figure 13. Fosgonimeton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136525</wp:posOffset>
            </wp:positionV>
            <wp:extent cx="5349240" cy="2503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fosgonimeton, fosgonimeton was measured and shown to be completely cleared from the plasma. These results suggest that the beneficial effects of fosgonimeton are sustained. The increase in gamma power was specific to the treatment groups as no increase was observed in subjects receiving placebo.</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14 below shows emerging recovery of acute gamma power induction after 4 days of fosgonimeton treatment which continues to increase after 8 days of treatment. This pattern was not observed in subjects receiving placebo, where there was no consistent change in acute gamma power induction.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i w:val="1"/>
          <w:iCs w:val="1"/>
          <w:color w:val="auto"/>
        </w:rPr>
        <w:t>Figure 14. Fosgonimeton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136525</wp:posOffset>
            </wp:positionV>
            <wp:extent cx="3094355" cy="514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94355" cy="51435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933450</wp:posOffset>
            </wp:positionV>
            <wp:extent cx="4345940" cy="1697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459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fosgonimeton from 20 to 90 mg.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our Phase 1 Part B clinical trial, ERP P300 recordings were collected from the MAD healthy elderly and AD subjects. Analysis of these P300 data demonstrated that one daily dose of fosgonimeton improved P300 latency over an 8-day dosing period in AD subjects, as shown in Figures 15–17.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fosgonimeton, all AD subjects tested had improved P300 latency, and by the end of a 9-day treatment cycle, average P300 latency across the AD treatment group had improved by 73 milliseconds, as measured on day 8, a statistically significant change compared to placebo group that did not show any significant directional change. We also observed sustained effects on P300 latency in the pre-dose recordings on subsequent testing days (the arrows in Figure 15 show the average P300 latency value from the fosgonimeton group as a heat map). At these time points, which are 24 hours after the last dose, fosgonimeton was measured and shown to be completely cleared from the plasma, while recorded P300 latency values remained lower than baseline. These data indicate fosgonimeton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5" w:name="page26"/>
    <w:bookmarkEnd w:id="25"/>
    <w:p>
      <w:pPr>
        <w:jc w:val="both"/>
        <w:ind w:firstLine="509"/>
        <w:spacing w:after="0" w:line="271" w:lineRule="auto"/>
        <w:rPr>
          <w:sz w:val="20"/>
          <w:szCs w:val="20"/>
          <w:color w:val="auto"/>
        </w:rPr>
      </w:pPr>
      <w:r>
        <w:rPr>
          <w:rFonts w:ascii="Arial" w:cs="Arial" w:eastAsia="Arial" w:hAnsi="Arial"/>
          <w:sz w:val="18"/>
          <w:szCs w:val="18"/>
          <w:i w:val="1"/>
          <w:iCs w:val="1"/>
          <w:color w:val="auto"/>
        </w:rPr>
        <w:t xml:space="preserve">Figure 15. Fosgonimeton Treatment Led to Continued and Sustained Improvement in P300 Latency in AD Subjects. </w:t>
      </w:r>
      <w:r>
        <w:rPr>
          <w:rFonts w:ascii="Arial" w:cs="Arial" w:eastAsia="Arial" w:hAnsi="Arial"/>
          <w:sz w:val="18"/>
          <w:szCs w:val="18"/>
          <w:color w:val="auto"/>
        </w:rPr>
        <w:t>The arrows</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 the sustained P300 latency benefit due to fosgonimeton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100965</wp:posOffset>
            </wp:positionV>
            <wp:extent cx="5349240" cy="2374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i w:val="1"/>
          <w:iCs w:val="1"/>
          <w:color w:val="auto"/>
        </w:rPr>
        <w:t xml:space="preserve">Figure 16. Quantification of the Change in P300 Latency from Baseline, Fosgonimeton Significantly Reduced P300 Latency Compared to the Placebo Group on Day 8 Recordings. </w:t>
      </w:r>
      <w:r>
        <w:rPr>
          <w:rFonts w:ascii="Arial" w:cs="Arial" w:eastAsia="Arial" w:hAnsi="Arial"/>
          <w:sz w:val="18"/>
          <w:szCs w:val="18"/>
          <w:color w:val="auto"/>
        </w:rPr>
        <w:t>Data show average P300 latency values of 7 AD subjects treated with fosgonimeton vs. 4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on placebo * p=0.027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111125</wp:posOffset>
            </wp:positionV>
            <wp:extent cx="5349240" cy="254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509"/>
        <w:spacing w:after="0" w:line="269" w:lineRule="auto"/>
        <w:rPr>
          <w:sz w:val="20"/>
          <w:szCs w:val="20"/>
          <w:color w:val="auto"/>
        </w:rPr>
      </w:pPr>
      <w:r>
        <w:rPr>
          <w:rFonts w:ascii="Arial" w:cs="Arial" w:eastAsia="Arial" w:hAnsi="Arial"/>
          <w:sz w:val="18"/>
          <w:szCs w:val="18"/>
          <w:i w:val="1"/>
          <w:iCs w:val="1"/>
          <w:color w:val="auto"/>
        </w:rPr>
        <w:t>Figure 17. Data from Each Subject in the Clinical Trial Showing the Change in P300 Latency from Baseline. Every Subject Receiving Fosgonimeton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101600</wp:posOffset>
            </wp:positionV>
            <wp:extent cx="5349240" cy="3754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Safety</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Fosgonimeton, administered once daily by subcutaneous injection, was well tolerated with no serious adverse events in our placebo-controlled double blind Phase 1 clinical trial completed to date, where we enrolled 88 subjects recruited in the study, including 11 subjects with mild-to-moderate AD, who were randomized to treatment and control groups.</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Additionally, three chronic GLP toxicology studies, a 6-month toxicity study in rats, a 6-month toxicity study in dogs, and a separate 9-month toxicity study in dogs showed no fosgonimeton-related clinical or veterinary observations or effects on quantitative ECG parameters (dogs) or clinical pathology parameters, macroscopic findings, or organ weight changes in both species. Daily subcutaneous administration of fosgonimeton to rats and dogs for 26 weeks and 39 weeks in dogs at dose levels of 2, 4, and 8mg/kg/day was tolerated. The only adverse finding was necrosis of the injection site subcutaneous tissue in male animals at 8mg/kg/day. The systemic NOAEL was the high dose at 8mg/kg/day, equivalent to a 290mg Human Equivalent Dose (based on ATH-1001 Cmax in rats). Moreover, GLP safety pharmacology studies on rats and dogs reported no fosgonimeton-related effects on cardiovascular, respiratory, or CNS function at the high dose of 8mg/kg/day. There were no indications of fosgonimeton-related mutagenicity or genotoxicity in in vitro genotoxicity assays or evidence of clastogenicity or aneugenicity in in vivo micronucleus assays.</w:t>
      </w:r>
    </w:p>
    <w:p>
      <w:pPr>
        <w:spacing w:after="0" w:line="1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summary, human exposures from the planned dose range of 40-70 mg for the Phase 2 and 3 clinical trials are well below the animal no observable adverse event level, or NOAEL, exposures.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8"/>
          <w:szCs w:val="18"/>
          <w:color w:val="auto"/>
        </w:rPr>
        <w:t>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Fosgonimeton is delivered by once-daily subcutaneous injection. The fosgonimeton formulation is non-viscous, near physiological pH, and is expected to be dispensed and administered at room temperature. These attributes and the use of small-gauge needles (29), and low volume (1 mL) significantly optimize the fosgonimeton product profile for a subcutaneous route of administration. Subcutaneous injections are a common route of administration of chronic therapies, including those for diabetic or MS patients, and are easy to administer for patients and/or caregivers while being generally well tolerated. With the progression of neurodegenerative disorders, oral administration can become challenging as:</w:t>
      </w:r>
    </w:p>
    <w:p>
      <w:pPr>
        <w:spacing w:after="0" w:line="7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safe swallowing often becomes increasingly difficult;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resistance to care can also impact compliance.</w:t>
      </w:r>
    </w:p>
    <w:p>
      <w:pPr>
        <w:spacing w:after="0" w:line="2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Subcutaneous injectables do not present as a potential barrier to adoption, and as the base-case target product profile, represents a significant opportunity. Following our initial medication management research initiative, where we surveyed a number of caregivers and medical professionals to understand compliance challenges in the AD population, an external market research firm independently assessed the adoption potential of fosgonimeton as a once-daily subcutaneous injectable across neurologists, patients/caregivers and subcutaneous injectables experts. Key findings are in line with prior research and continue to support this product profile (pre-filled syringe, subcutaneous injection) as a well-known route of administration among this patient population; and has the potential to overcome identified patient-related challenges, including forgetfulness and compliance, swallowing, agitation and behavior.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development strategy is designed to support a rapid and risk mitigated approach to bring fosgonimeton to the market. While we believe the compound can improve cognition in all stages of AD, our initial focus is on the mild to moderate AD stage because this is the area of highest medical need while allowing for shorter pivotal trials and in following an established regulatory pathway.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LIFT-AD Trial: A 26-Week Phase 3 Clinical Trial in Mild-to-Moderate AD Subjects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safety and translational Phase 1a/b clinical trial results, including AD subjects, we are conducting LIFT-AD, a Phase 3 randomized, double-blind, placebo-controlled clinical trial. This clinical trial is designed to assess the efficacy, safety, and tolerability of two dose levels of fosgonimeton (40 mg and 70 mg) in subjects with mild-to-moderate AD compared to placebo over a 26-week period. The clinical trial is intended to enroll approximately 420 AD subjects. Subjects enrolled in the clinical trial will have a severity range within the conventional boundaries for mild-to-moderate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in the first half of 2023. While the results may qualify for pivotal data in support of registration, the FDA or other regulators might still require additional trials, even if results from the LIFT-AD trial are positive.</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fosgonimeton may induce a rapid boost in cognition, which enables us to design our trial with a 26-week treatment period and potentially accelerate the clinical development of fosgonimeton.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509"/>
        <w:spacing w:after="0" w:line="239" w:lineRule="auto"/>
        <w:rPr>
          <w:sz w:val="20"/>
          <w:szCs w:val="20"/>
          <w:color w:val="auto"/>
        </w:rPr>
      </w:pPr>
      <w:r>
        <w:rPr>
          <w:rFonts w:ascii="Arial" w:cs="Arial" w:eastAsia="Arial" w:hAnsi="Arial"/>
          <w:sz w:val="18"/>
          <w:szCs w:val="18"/>
          <w:color w:val="auto"/>
        </w:rPr>
        <w:t>The primary endpoint in LIFT-AD is the Global Statistical Test, or GST, and this unbiased, unweighted composite single outcome will provide the assessment of proof-of-concept. The GST is a mathematical algorithm based on actual psychometric performance tests of ADAS-Cog11 and either ADCS-CGIC or ADCS-ADL23. The co-key secondary endpoints will potentially provide pivotal evidence to support registration. ADAS-Cog11 refers to the 11 tasks that make up the ADAS-Cog neuropsychological assessment. ADCS-CGIC refers to the Alzheimer’s Disease Cooperative Study-Clinical Global Impression of Change, a systematic method to support clinical relevance of statistically significant benefits in cognitive performance testing. The GST composite provides a more sensitive endpoint to the overall treatment effect of multiple variables and increases our chances of understanding the full impact of fosgonimeton clinical outcomes. If co-key secondary endpoints – e.g., ADAS-Cog-11 and ADCS-CGIC – are only trending, then GST may still be statistically significant. Thus, positive GST data will support proof of concept, and positive results from the co-key secondary endpoints will potentially provide pivotal evidence to support regulatory approval.</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Further secondary endpoints include the Controlled Oral Word Association Test, or COWAT, to specifically assess changes in executive memory function, the Alzheimer’s Disease Cooperative Study – Activities of Daily Living, or ADCS-ADL23, scale to assess 23 instrumental activities of daily living, and the Neuropsychiatric Inventory, or NPI, to assess any changes in behavior.</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Exploratory pharmaco-economic outcomes are comprised of validated scales to capture resource utilization (RUD-lite 3.3), caregiver burden (Zarit Burden Interview) and quality of life (EQ-5D-5L).</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our co-key outcomes, e.g. the ADAS-Cog11, ADCS-CGIC, and ADCS-ADL23. In January 2022, we announced that we are increasing the LIFT-AD study sample size by approximately 120 participants, from 300 to 420, in order to strengthen the statistical power of these co-key secondary endpoints.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73" w:lineRule="exact"/>
        <w:rPr>
          <w:sz w:val="20"/>
          <w:szCs w:val="20"/>
          <w:color w:val="auto"/>
        </w:rPr>
      </w:pPr>
    </w:p>
    <w:p>
      <w:pPr>
        <w:jc w:val="both"/>
        <w:ind w:firstLine="509"/>
        <w:spacing w:after="0" w:line="219" w:lineRule="exact"/>
        <w:rPr>
          <w:sz w:val="20"/>
          <w:szCs w:val="20"/>
          <w:color w:val="auto"/>
        </w:rPr>
      </w:pPr>
      <w:r>
        <w:rPr>
          <w:rFonts w:ascii="Arial" w:cs="Arial" w:eastAsia="Arial" w:hAnsi="Arial"/>
          <w:sz w:val="18"/>
          <w:szCs w:val="18"/>
          <w:color w:val="auto"/>
        </w:rPr>
        <w:t>In addition to LIFT-AD, in November 2020 we initiated ACT</w:t>
      </w:r>
      <w:r>
        <w:rPr>
          <w:rFonts w:ascii="MS PGothic" w:cs="MS PGothic" w:eastAsia="MS PGothic" w:hAnsi="MS PGothic"/>
          <w:sz w:val="18"/>
          <w:szCs w:val="18"/>
          <w:color w:val="auto"/>
        </w:rPr>
        <w:t>‑</w:t>
      </w:r>
      <w:r>
        <w:rPr>
          <w:rFonts w:ascii="Arial" w:cs="Arial" w:eastAsia="Arial" w:hAnsi="Arial"/>
          <w:sz w:val="18"/>
          <w:szCs w:val="18"/>
          <w:color w:val="auto"/>
        </w:rPr>
        <w:t>AD, a randomized, placebo-controlled P300 Phase 2 clinical trial designed to test the same dose levels of fosgonimeton (40 and 70 mg/d) in subjects with mild-to-moderate AD compared to placebo. We completed enrollment in October 2021 at 77 mild-to-moderate AD subjects using the same enrollment criteria as described above and include a 26-week treatment period.</w:t>
      </w:r>
    </w:p>
    <w:p>
      <w:pPr>
        <w:spacing w:after="0" w:line="18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primary endpoint of ACT-AD is change in ERP P300 latency. Several secondary endpoints will be assessed, including ADAS-Cog11, ADCS-CGIC, and ADCS-ADL23. The ACT-AD trial was similarly designed to the potentially pivotal LIFT-AD trial; key findings from ACT-AD could function as an interim analysis for LIFT-AD without statistical penalty. Additionally, ACT-AD will continue to assess safety of fosgonimeton in mild-to-moderate AD during the 26-week trial period, with potential to add an additional up to 26-weeks of safety data in an optional open label extension study.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Open Label Extension of LIFT-AD and ACT-AD Clinical Trials</w:t>
      </w:r>
    </w:p>
    <w:p>
      <w:pPr>
        <w:spacing w:after="0" w:line="21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Following the completion of the 26-week treatment period during the LIFT-AD and ACT-AD trials, patients may elect to continue on an open label extension and receive treatment with fosgonimeton at the high dose (70mg/day) for up to an additional 26-weeks. The data collected from this open label extension may provide us with a better understanding of the long-term safety and efficacy profile of fosgonimeton. Additionally, we are currently considering further extending the open label extension of the LIFT-AD and ACT-AD trials.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color w:val="auto"/>
        </w:rPr>
        <w:t>Phase 2 Proof-of-Concept Clinical Trial in PDD and DLB Subjects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to the three AD clinical trials, we are moving beyond AD and are also testing the effects of fosgonimeton in PDD and DLB subjects. After initial limitation to the nigrostriatal system neurons, PD is a condition that leads to a progressive damage of more neuronal networks over time, ultimately impacting function and cognition and resulting in dementia in the majority of subjects affected. Like AD, PDD subjects demonstrate an increase in their P300 latency, which increases the likelihood that fosgonimeton can potentially address dementia in PDD subjects. This clinical trial was called SHAPE and is a randomized, double-blind, placebo-controlled, parallel-group Phase 2 proof-of-concept clinical trial in PDD and DLB subjects. It was initiated at the end of 2021 and the first patient was dosed in January 2022. The population severity will include Hoehn-Yahr stages 1 through 4, inclusive, who will receive 40 mg and 70 mg once daily of fosgonimeton versus placebo. Endpoints will include ERP P300 latency, cognition, function, and behavior, and also motor function.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Fosgonimeton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Fosgonimeton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Fosgonimeton also activated HGF/MET, which in turn has been shown to enhance long-term potentiation. Long-term potentiation refers to a process at the individual neuron level, where memory formation is thought to involve a sustained increase in synaptic efficiency following repeated stimulation. In the aged animal model of dementia, fosgonimeton increased synaptic density and in multiple models of dementia improved performance in tests of spatial memory.</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Similar to the clinical findings, fosgonimeton treatment also increased the qEEG gamma power that is associated with cognitive processing and memory in a non-clinical AD animal model (APP1/PS1), as shown in Figure 18. Changes in gamma brain activity signals are highly translatable which helped guide our selection of the clinical doses.</w:t>
      </w:r>
    </w:p>
    <w:p>
      <w:pPr>
        <w:spacing w:after="0" w:line="27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i w:val="1"/>
          <w:iCs w:val="1"/>
          <w:color w:val="auto"/>
        </w:rPr>
        <w:t>Figure 18. Fosgonimeton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240"/>
          </w:cols>
          <w:pgMar w:left="320" w:top="447" w:right="339" w:bottom="1440" w:gutter="0" w:footer="0" w:header="0"/>
        </w:sectPr>
      </w:pPr>
    </w:p>
    <w:p>
      <w:pPr>
        <w:spacing w:after="0" w:line="142" w:lineRule="exact"/>
        <w:rPr>
          <w:sz w:val="20"/>
          <w:szCs w:val="20"/>
          <w:color w:val="auto"/>
        </w:rPr>
      </w:pPr>
    </w:p>
    <w:p>
      <w:pPr>
        <w:jc w:val="center"/>
        <w:ind w:left="320"/>
        <w:spacing w:after="0" w:line="249" w:lineRule="auto"/>
        <w:rPr>
          <w:sz w:val="20"/>
          <w:szCs w:val="20"/>
          <w:color w:val="auto"/>
        </w:rPr>
      </w:pPr>
      <w:r>
        <w:rPr>
          <w:rFonts w:ascii="Arial" w:cs="Arial" w:eastAsia="Arial" w:hAnsi="Arial"/>
          <w:sz w:val="18"/>
          <w:szCs w:val="18"/>
          <w:b w:val="1"/>
          <w:bCs w:val="1"/>
          <w:color w:val="auto"/>
        </w:rPr>
        <w:t>Fosgonimeton Induces an Acute Dose-Dependent Increase in Relative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-11430</wp:posOffset>
            </wp:positionV>
            <wp:extent cx="2082800" cy="1885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8280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Two Weeks of Fosgonimeton Treatment Induced Increased Gamma</w:t>
      </w:r>
    </w:p>
    <w:p>
      <w:pPr>
        <w:ind w:left="460"/>
        <w:spacing w:after="0"/>
        <w:rPr>
          <w:sz w:val="20"/>
          <w:szCs w:val="20"/>
          <w:color w:val="auto"/>
        </w:rPr>
      </w:pPr>
      <w:r>
        <w:rPr>
          <w:rFonts w:ascii="Arial" w:cs="Arial" w:eastAsia="Arial" w:hAnsi="Arial"/>
          <w:sz w:val="18"/>
          <w:szCs w:val="18"/>
          <w:b w:val="1"/>
          <w:bCs w:val="1"/>
          <w:color w:val="auto"/>
        </w:rPr>
        <w:t>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6350</wp:posOffset>
            </wp:positionV>
            <wp:extent cx="2880360" cy="2099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0360" cy="209994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4580" w:space="620"/>
            <w:col w:w="6040"/>
          </w:cols>
          <w:pgMar w:left="320" w:top="4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***p&lt;0.001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85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Our ATH Platform</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61" w:lineRule="exact"/>
        <w:rPr>
          <w:sz w:val="20"/>
          <w:szCs w:val="20"/>
          <w:color w:val="auto"/>
        </w:rPr>
      </w:pPr>
    </w:p>
    <w:p>
      <w:pPr>
        <w:jc w:val="both"/>
        <w:ind w:left="102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104" w:lineRule="exact"/>
        <w:rPr>
          <w:sz w:val="20"/>
          <w:szCs w:val="20"/>
          <w:color w:val="auto"/>
        </w:rPr>
      </w:pPr>
    </w:p>
    <w:p>
      <w:pPr>
        <w:jc w:val="both"/>
        <w:ind w:left="10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 characteristics</w:t>
      </w:r>
      <w:r>
        <w:rPr>
          <w:rFonts w:ascii="Arial" w:cs="Arial" w:eastAsia="Arial" w:hAnsi="Arial"/>
          <w:sz w:val="18"/>
          <w:szCs w:val="18"/>
          <w:i w:val="1"/>
          <w:iCs w:val="1"/>
          <w:color w:val="auto"/>
        </w:rPr>
        <w:t xml:space="preserve"> </w:t>
      </w:r>
      <w:r>
        <w:rPr>
          <w:rFonts w:ascii="Arial" w:cs="Arial" w:eastAsia="Arial" w:hAnsi="Arial"/>
          <w:sz w:val="18"/>
          <w:szCs w:val="18"/>
          <w:color w:val="auto"/>
        </w:rPr>
        <w:t>and optimize for drug-like characteristics with medicinal chemistry and structure-activity relationship studies to produce candidates ready for further development.</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Gain insight to inform future therapeutic development</w:t>
      </w:r>
      <w:r>
        <w:rPr>
          <w:rFonts w:ascii="Arial" w:cs="Arial" w:eastAsia="Arial" w:hAnsi="Arial"/>
          <w:sz w:val="18"/>
          <w:szCs w:val="18"/>
          <w:color w:val="auto"/>
        </w:rPr>
        <w:t>. We consider the drug discovery process as a cycle, with past work</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informing future drug design, ultimately optimizing the process as we advance our knowledge and expertise.</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This system has supported the identification of several candidates for development, including fosgonimeton. We are using our ATH platform and discovery engine to explore potential development of therapeutic candidates in additional nervous system disorders including ALS, MS, and neuropsychiatric indications, as well as in peripheral indications such as peripheral neuropathy. We are also actively exploring the potential of expanding the focus of our discovery engine to multiple molecular targets relevant to nervous system disorders.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Neuropsychiatric Program (ATH</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1969770</wp:posOffset>
            </wp:positionH>
            <wp:positionV relativeFrom="paragraph">
              <wp:posOffset>-51435</wp:posOffset>
            </wp:positionV>
            <wp:extent cx="6413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currently developing ATH-1020 for neuropsychiatric conditions. The HGF/MET system is relevant for multiple neuropsychiatric indications including depression, anxiety and schizophrenia, as well as the cognitive impairment regularly associated with these conditions.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product candidate for the neuropsychiatric program is ATH-1020. ATH-1020 is a new compound for which we recently filed an IND application with the FDA at the end of 2021, and received notice of acceptance in January 2022. We initiated the Phase 1 clinical trial for ATH-1020 in the first quarter of 2022, which is designed to evaluate the safety, tolerability, and pharmacokinetics of ATH-1020 in approximately 68 healthy young and elderly volunteers. ATH-1020 is a novel small molecule compound designed to be an orally available once-daily treatment, to enhance the HGF/MET system, and to distribute to the CNS. Preclinical testing has demonstrated neuroprotective effects leading to increased neuron viability in response to several neurotoxic insults. Additionally, treatment with ATH-1020 mitigated depression-related behaviors in an animal model of depression, as shown in Figure 19. In the MK-801 rodent model of schizophrenia, ATH-1020 rescued mismatch negativity response, a translatable electroencephalogram (EEG) measure that shows consistent and robust deficits in both rodent models and schizophrenia patients (Figure 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both"/>
        <w:ind w:firstLine="509"/>
        <w:spacing w:after="0" w:line="247" w:lineRule="auto"/>
        <w:rPr>
          <w:sz w:val="20"/>
          <w:szCs w:val="20"/>
          <w:color w:val="auto"/>
        </w:rPr>
      </w:pPr>
      <w:r>
        <w:rPr>
          <w:rFonts w:ascii="Arial" w:cs="Arial" w:eastAsia="Arial" w:hAnsi="Arial"/>
          <w:sz w:val="18"/>
          <w:szCs w:val="18"/>
          <w:i w:val="1"/>
          <w:iCs w:val="1"/>
          <w:color w:val="auto"/>
        </w:rPr>
        <w:t xml:space="preserve">Figure 19. ATH-1020 Improve Depressive-like Behaviors in Rats in the Forced Swim Model of Depression. </w:t>
      </w:r>
      <w:r>
        <w:rPr>
          <w:rFonts w:ascii="Arial" w:cs="Arial" w:eastAsia="Arial" w:hAnsi="Arial"/>
          <w:sz w:val="18"/>
          <w:szCs w:val="18"/>
          <w:color w:val="auto"/>
        </w:rPr>
        <w:t>Data show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frequency of behaviors normalized to vehicle for ten rats per group. ATH-1020 significantly improved performance in the forced swim test, by reducing immobility, a depressive-like behavior, and increasing swimming, commonly interpreted as an antidepressant effect, compared to vehicle (*p&lt;0.05, **p&lt;0.01, ***p&lt;0.001).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182245</wp:posOffset>
            </wp:positionV>
            <wp:extent cx="4114800" cy="2708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1480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i w:val="1"/>
          <w:iCs w:val="1"/>
          <w:color w:val="auto"/>
        </w:rPr>
        <w:t xml:space="preserve">Figure 20. ATH-1020 Rescues the Mismatch Negativity (MMN) Deficit Seen in the Rat MK-801 Schizophrenia Model. </w:t>
      </w:r>
      <w:r>
        <w:rPr>
          <w:rFonts w:ascii="Arial" w:cs="Arial" w:eastAsia="Arial" w:hAnsi="Arial"/>
          <w:sz w:val="18"/>
          <w:szCs w:val="18"/>
          <w:color w:val="auto"/>
        </w:rPr>
        <w:t>Data show EEG</w:t>
      </w:r>
      <w:r>
        <w:rPr>
          <w:rFonts w:ascii="Arial" w:cs="Arial" w:eastAsia="Arial" w:hAnsi="Arial"/>
          <w:sz w:val="18"/>
          <w:szCs w:val="18"/>
          <w:i w:val="1"/>
          <w:iCs w:val="1"/>
          <w:color w:val="auto"/>
        </w:rPr>
        <w:t xml:space="preserve"> </w:t>
      </w:r>
      <w:r>
        <w:rPr>
          <w:rFonts w:ascii="Arial" w:cs="Arial" w:eastAsia="Arial" w:hAnsi="Arial"/>
          <w:sz w:val="18"/>
          <w:szCs w:val="18"/>
          <w:color w:val="auto"/>
        </w:rPr>
        <w:t>recordings in vehicle control, MK-801 only, and MK-801 plus ATH-1020 treatment groups. ATH-1020 rescues MMN wave back to the range of normal healthy animals. (*p&lt;0.05, ***p&lt;0.001).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110490</wp:posOffset>
            </wp:positionV>
            <wp:extent cx="5349240" cy="2048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From several preclinical findings, we believe the stimulating activity of ATH compounds on the HGF/MET system is well-suited to address neuropsychiatric conditions because:</w:t>
      </w:r>
    </w:p>
    <w:p>
      <w:pPr>
        <w:spacing w:after="0" w:line="46" w:lineRule="exact"/>
        <w:rPr>
          <w:sz w:val="20"/>
          <w:szCs w:val="20"/>
          <w:color w:val="auto"/>
        </w:rPr>
      </w:pPr>
    </w:p>
    <w:p>
      <w:pPr>
        <w:ind w:left="5520" w:right="1860" w:hanging="5003"/>
        <w:spacing w:after="0" w:line="521" w:lineRule="auto"/>
        <w:tabs>
          <w:tab w:leader="none" w:pos="1023"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HGF/MET signaling is deficient in neuropsychiatric patients and negatively correlated to disease severity;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HGF/MET signaling is a causative agent of depression and anxiety behaviors in rodents;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enhancement of HGF concentrations in the brain has anti-depressive and anxiolytic effects in rodent models; and</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 a rodent model of schizophrenia, enhancement of HGF/MET activity rescued MMN response (a translatable EEG measure from rodents to humans).</w:t>
      </w:r>
    </w:p>
    <w:p>
      <w:pPr>
        <w:spacing w:after="0" w:line="1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A similar correlation is observed in patients suffering from other neuropsychiatric disorders. Our HGF positive modulator for the treatment of AD, fosgonimeton,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ATH-1020 for further development for neuropsychiatric indications and submitted our IND to the FDA at the end of 2021. Late-stage non-clinical development work and potentially early clinical studies will support decisions on selection of the product candidate and indication moving forward.</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Peripheral Indication Program (ATH-1019)</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initiated a discovery program to evaluate ATH compounds for peripheral nervous system disorders, such as neuropathy. ATH-1019 (formerly ATH-1018) is a novel, orally active candidate that has demonstrated ability to significantly promote the activity of the HGF/MET system. We are planning to administer ATH-1019 at doses that are expected to largely relegate its activity to the periphery. ATH-1019 potentially represents a new strategy to address peripheral nervous system disorders by promoting the regenerative power of the HGF/MET system with a small molecule therapy. Consideration of HGF/MET activators as a therapeutic approach for peripheral nervous system disorders including neuropathy was initiated following review of studies demonstrating that HGF/MET activating treatment repaired peripheral nerve injury and reduced neuropathy.</w:t>
      </w:r>
    </w:p>
    <w:p>
      <w:pPr>
        <w:spacing w:after="0" w:line="18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peripheral nervous system disorders including neuropathy given that HGF/MET signaling has been shown to:</w:t>
      </w:r>
    </w:p>
    <w:p>
      <w:pPr>
        <w:spacing w:after="0" w:line="4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protect nerve cells from damage and death;</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21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peripheral nervous system disorders is supported by both preclinical and clinical research, and we are evaluating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18"/>
          <w:szCs w:val="18"/>
          <w:color w:val="auto"/>
        </w:rPr>
        <w:t>next generation oral ATH compounds for peripheral activity. We are advancing ATH-1019 to further discovery and development for peripheral nervous system indications.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Fosgonimeton is being advanced for mild-to-moderate AD patients initially. The AD dementia market today in 2022 is reported to be approximately 6.2 million Americans and is projected to reach nearly 14 million by 2050 in the U.S. alone. Worldwide, as many as 35 million people are estimated to have AD and the patient population was projected in 2007 to grow to over 100 million by 2050. Our strategy is to ultimately position fosgonimeton as a treatment for dementia broadly. Spanning all dementias globally, an estimated 55 million people are reported to be affected today in 2022 and this number is projected to be 150 million by 2050. Many factors contribute to the growing numbers of the potentially treatable population, including “baby boomers” reaching age 65 and increasing life expectancy beyond 80.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immediate next pipeline opportunities include: ATH-1020 for neuropsychiatric indications and ATH-1019 for peripheral neuropathy. Neuropsychiatric indications, specifically depression and schizophrenia, are estimated to affect approximately 280 million and 20 million people worldwide, respectively. In the U.S., 13.1 million adults 18 and older and 3.2 million Americans are affected by depression and schizophrenia, respectively. Beyond these specific examples of depression and schizophrenia, and with a reported lifetime prevalence of nearly 30% for all neuropsychiatric indications, the addressable 2020 patient population of adults 18 and older is reported to reach nearly 50 million in the U.S. alone.</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estimated prevalence of peripheral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Fosgonimeton is initially being developed as a regenerative medicine for AD. For the initial target patient population of mild-to-moderate AD patients, our commercialization strategy of fosgonimeton will consider the following key elements:</w:t>
      </w:r>
    </w:p>
    <w:p>
      <w:pPr>
        <w:spacing w:after="0" w:line="4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first-line therapy;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1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aim to demonstrate the unique short- and long-term value provided by fosgonimeton by linking the core symptoms of dementia (cognition and behavioral and psychological symptoms of dementia) to both improved outcomes and reduced costs and the benefits of fosgonimeton through increased compliance rates in our initial indications.</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anticipate exploring two distribution strategies for fosgonimeton, traditional wholesaler and specialty pharmacy. While the traditional wholesaler could be a suitable option, we believe that the additional patient services that could be provided through specialty pharmacy may offer more value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53" w:lineRule="auto"/>
        <w:rPr>
          <w:sz w:val="20"/>
          <w:szCs w:val="20"/>
          <w:color w:val="auto"/>
        </w:rPr>
      </w:pPr>
      <w:r>
        <w:rPr>
          <w:rFonts w:ascii="Arial" w:cs="Arial" w:eastAsia="Arial" w:hAnsi="Arial"/>
          <w:sz w:val="18"/>
          <w:szCs w:val="18"/>
          <w:color w:val="auto"/>
        </w:rPr>
        <w:t>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151" w:lineRule="exact"/>
        <w:rPr>
          <w:sz w:val="20"/>
          <w:szCs w:val="20"/>
          <w:color w:val="auto"/>
        </w:rPr>
      </w:pPr>
    </w:p>
    <w:p>
      <w:pPr>
        <w:jc w:val="both"/>
        <w:ind w:firstLine="509"/>
        <w:spacing w:after="0" w:line="215" w:lineRule="exact"/>
        <w:rPr>
          <w:sz w:val="20"/>
          <w:szCs w:val="20"/>
          <w:color w:val="auto"/>
        </w:rPr>
      </w:pPr>
      <w:r>
        <w:rPr>
          <w:rFonts w:ascii="Arial" w:cs="Arial" w:eastAsia="Arial" w:hAnsi="Arial"/>
          <w:sz w:val="18"/>
          <w:szCs w:val="18"/>
          <w:color w:val="auto"/>
        </w:rPr>
        <w:t>We have enough fosgonimeton supply to support our LIFT-AD Phase 3 and our ACT</w:t>
      </w:r>
      <w:r>
        <w:rPr>
          <w:rFonts w:ascii="MS PGothic" w:cs="MS PGothic" w:eastAsia="MS PGothic" w:hAnsi="MS PGothic"/>
          <w:sz w:val="18"/>
          <w:szCs w:val="18"/>
          <w:color w:val="auto"/>
        </w:rPr>
        <w:t>‑</w:t>
      </w:r>
      <w:r>
        <w:rPr>
          <w:rFonts w:ascii="Arial" w:cs="Arial" w:eastAsia="Arial" w:hAnsi="Arial"/>
          <w:sz w:val="18"/>
          <w:szCs w:val="18"/>
          <w:color w:val="auto"/>
        </w:rPr>
        <w:t>AD Phase 2 clinical trials in AD. We believe the synthesis of fosgonimeton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Fosgonimeton is purified as a stable solid and then released to additional CDMOs for formulation and packaging into final drug product for use in clinical testing.</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fosgonimeton. The syringes utilize materials and components that are readily available commercially. The fosgonimeton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17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slow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 academic, government, and public and private research institutions. Any product candidates that we successfully develop and commercialize will compete with current treatments and new treatments that may become available in the future. With the advancement of fosgonimeton as a novel small molecule therapeutic positively modulating a neurotrophic factor pathway, the HGF/MET system, and its liquid formulation as a subcutaneous deliverable, we also consider as competitors companies developing small molecule AD therapies targeting neurotrophic factors with or without a subcutaneous route of administration.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509"/>
        <w:spacing w:after="0" w:line="238"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fosgonimeton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fosgonimeton, but also our novel pipeline of therapeutics with a focus on overall neuronal health. In particular, the following summarizes certain categories of our potential competition.</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KP-100, a recombinant HGF protein, developed by Kringle Pharma for acute spinal cord injury and ALS; and Collategene developed by Mitsubishi Tanabe and AnGes as a gene therapy for the treatment of critical limb ischemia. Although ANG-3777 was reported to not have reached primary endpoints for their Phase 2 and 3 trials in 2021, the scientific basis remains unchanged and the company is evaluating next steps for the program. KP-100 is currently in Phase 3 studies for acute spinal cord injury and Phase 2 studies for ALS. Collategene was launched in Japan in the third quarter of 2019. In addition, we are aware of p75 ligands being developed by PharmatrophiX for the treatment of neurodegenerative and other disorders, including AD, as well as VM-202, a regenerative plasmid DNA therapy candidate in Phase 3 development by Helixmith for the treatment of diabetic peripheral neuropathy. We are not aware of any direct competitors currently targeting the HGF/MET system for neurological conditions.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Fosgonimeton is being advanced as either a monotherapy (potentially as a first-line therapy) or an add-on therapy for patients on AChEIs. In addition to being a potential add-on therapy to currently approved therapies, we do not anticipate fosgonimeton to be a direct competitor to, but rather complementary to, other therapeutic developments focused on Aβ, pTau, AChE, BACE inhibitors, inflammation and others. Similarly, because fosgonimeton presents a novel mechanism of action, we do not view monoclonal antibody therapies currently approved or under development by large pharmaceutical companies of which we are aware, including Biogen, Eisai, Eli Lilly and Roche, as competitors, but potentially as complementary to our approach.</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2021, our patent portfolio includes our exclusively owned intellectual property, including one issued U.S. patent, two pending U.S. patent applications, one issued patent in a jurisdiction outside of the United States, nine pending patent applications in jurisdictions outside of the United States,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rPr>
          <w:sz w:val="20"/>
          <w:szCs w:val="20"/>
          <w:color w:val="auto"/>
        </w:rPr>
      </w:pPr>
      <w:r>
        <w:rPr>
          <w:rFonts w:ascii="Arial" w:cs="Arial" w:eastAsia="Arial" w:hAnsi="Arial"/>
          <w:sz w:val="18"/>
          <w:szCs w:val="18"/>
          <w:color w:val="auto"/>
        </w:rPr>
        <w:t>and three pending international patent applications filed under the Patent Cooperation Treaty. The patents and patent applications issued and pending outside the United States are generally counterparts to the foregoing U.S. patents and patent applications and are held in Europe, Canada, Japan, Australia, Hong Kong, India, China, Argentina and Taiwan. These owned patents and patent applications have claims directed to fosgonimeton and related compounds, including but not limited to ATH-1019 and ATH-1020, methods of using fosgonimeton, and methods of using related compounds, including but not limited to ATH-1019 and ATH -1020. 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patent portfolio also includes eight issued U.S. patents and approximately 13 patents issued and one patent application pending in jurisdictions outside of the United States that are exclusively licensed to us by Washington State University. Our in-licensed patents and patent applications include, among others, claims directed to dihexa, the active metabolite of fosgonimeton.</w:t>
      </w:r>
    </w:p>
    <w:p>
      <w:pPr>
        <w:spacing w:after="0" w:line="1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Our in-licensed issued patents will expire on dates ranging from 2023 to 2035, exclusive of any patent term adjustment or patent term extension. Our owned issued patents will expire in 2037, exclusive of any patent term adjustment or patent term extension. If patents are issued on our owned pending patent applications, the resulting patents are projected to expire on dates ranging from 2037 to 2041, exclusive of any patent term adjustment or patent term extension.</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When appropriate, we seek to protect aspects of our technology and business not amenable to, or that we do not consider appropriate for, patent protection as trade secrets. We seek to protect this intellectual property,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seek trademark protection in the United States and in certain other jurisdictions where available and when we deem appropriate. Our trademark portfolio currently consists of two pending trademark applications in the United States, two pending trademark applications in Australia, two issued trademark registrations in the United Kingdom, and two issued trademark registrations in the European Union.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Washington State University License Agreement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party to an amended and restated exclusive license agreement with Washington State University (“WSU”) that we entered into in September of 2015. Under this agreement, WSU granted us an exclusive license to make, use, sell, and offer for sale products covered by certain licensed patents, including dihexa, the chemical compound into which fosgonimeton metabolizes following administration. We do not expect WSU’s joint ownership of the patent with Pacific Northwest Biotechnology, Inc. will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materially affect our license of such patent or the development of any of our product candidates to which the patent relates.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initiation of our first Phase 2 clinical trial in September 2020 triggered a $50,000 liability to WSU.</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also be obligated to pay to WSU the following if the related milestones are reached:</w:t>
      </w:r>
    </w:p>
    <w:p>
      <w:pPr>
        <w:spacing w:after="0" w:line="104" w:lineRule="exact"/>
        <w:rPr>
          <w:sz w:val="20"/>
          <w:szCs w:val="20"/>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report,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(“LSDF”) under the terms of two matching grant award agreements. The consummation of the Company’s initial public offering in September 2020 was a triggering event under the terms of the grant and the liability was remeasured to the pay-off amount of $1.5 million as of September 30, 2020 and repaid in full as of December 31, 2020.</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2020, we accepted a grant from the National Institutes of Health (“NIH”) for Alzheimer’s research in the amount of approximately $7.8 million with the potential for an additional $7.4 million up to an aggregate of $15.2 million, subject to the availability of funds and satisfactory progress of the research. As this grant involves federally funded research, per the Bayh-Dole Act, we will be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jc w:val="both"/>
        <w:spacing w:after="0" w:line="244" w:lineRule="auto"/>
        <w:rPr>
          <w:sz w:val="20"/>
          <w:szCs w:val="20"/>
          <w:color w:val="auto"/>
        </w:rPr>
      </w:pPr>
      <w:r>
        <w:rPr>
          <w:rFonts w:ascii="Arial" w:cs="Arial" w:eastAsia="Arial" w:hAnsi="Arial"/>
          <w:sz w:val="18"/>
          <w:szCs w:val="18"/>
          <w:color w:val="auto"/>
        </w:rPr>
        <w:t>such grant. We also are expected to commercialize any inventions we file patent protection on for the benefit of public health. For more information see the section of this report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89" w:lineRule="exact"/>
        <w:rPr>
          <w:rFonts w:ascii="Times New Roman" w:cs="Times New Roman" w:eastAsia="Times New Roman" w:hAnsi="Times New Roman"/>
          <w:sz w:val="18"/>
          <w:szCs w:val="18"/>
          <w:color w:val="auto"/>
        </w:rPr>
      </w:pPr>
    </w:p>
    <w:p>
      <w:pPr>
        <w:jc w:val="both"/>
        <w:ind w:left="1020" w:hanging="503"/>
        <w:spacing w:after="0" w:line="238"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58"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jc w:val="both"/>
        <w:ind w:firstLine="509"/>
        <w:spacing w:after="0" w:line="225"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1"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jc w:val="both"/>
        <w:ind w:left="1020" w:hanging="503"/>
        <w:spacing w:after="0" w:line="243"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product candidate is initially introduced into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1" w:name="page42"/>
    <w:bookmarkEnd w:id="41"/>
    <w:p>
      <w:pPr>
        <w:jc w:val="both"/>
        <w:ind w:firstLine="509"/>
        <w:spacing w:after="0" w:line="242"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509"/>
        <w:spacing w:after="0" w:line="24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509"/>
        <w:spacing w:after="0"/>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509"/>
        <w:spacing w:after="0" w:line="24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8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spacing w:after="0" w:line="233" w:lineRule="auto"/>
        <w:rPr>
          <w:sz w:val="20"/>
          <w:szCs w:val="20"/>
          <w:color w:val="auto"/>
        </w:rPr>
      </w:pPr>
      <w:r>
        <w:rPr>
          <w:rFonts w:ascii="Arial" w:cs="Arial" w:eastAsia="Arial" w:hAnsi="Arial"/>
          <w:sz w:val="18"/>
          <w:szCs w:val="18"/>
          <w:color w:val="auto"/>
        </w:rPr>
        <w:t>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69"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88"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18"/>
          <w:szCs w:val="18"/>
          <w:color w:val="auto"/>
        </w:rPr>
        <w:t>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247" w:lineRule="auto"/>
        <w:rPr>
          <w:sz w:val="20"/>
          <w:szCs w:val="20"/>
          <w:color w:val="auto"/>
        </w:rPr>
      </w:pPr>
      <w:r>
        <w:rPr>
          <w:rFonts w:ascii="Arial" w:cs="Arial" w:eastAsia="Arial" w:hAnsi="Arial"/>
          <w:sz w:val="18"/>
          <w:szCs w:val="18"/>
          <w:color w:val="auto"/>
        </w:rPr>
        <w:t>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implemented during the Trump administration. As a result, the Biden administration and HHS have delayed the implementation or published rules rescinding some of these Trump-era policies.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addition, Congress is considering legislation that, if passed, could have significant impact on prices of prescription drugs covered by Medicare, including limitations on drug price increases and allowing Medicare to negotiate pricing for certain covered drug products. The impact of these regulations and any future healthcare measures and agency rules implemented by the Biden administration on us and the pharmaceutical industry as a whole is currently unknown. The implementation of cost containment measures or other healthcare reforms may prevent us from being able to generate revenue, attain profitability, or commercialize our product candidates if approved.</w:t>
      </w:r>
    </w:p>
    <w:p>
      <w:pPr>
        <w:spacing w:after="0" w:line="19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jc w:val="both"/>
        <w:spacing w:after="0" w:line="242" w:lineRule="auto"/>
        <w:rPr>
          <w:sz w:val="20"/>
          <w:szCs w:val="20"/>
          <w:color w:val="auto"/>
        </w:rPr>
      </w:pPr>
      <w:r>
        <w:rPr>
          <w:rFonts w:ascii="Arial" w:cs="Arial" w:eastAsia="Arial" w:hAnsi="Arial"/>
          <w:sz w:val="18"/>
          <w:szCs w:val="18"/>
          <w:color w:val="auto"/>
        </w:rPr>
        <w:t>price transparency and reporting laws that could substantially increase our compliance burdens and expose us to greater liability under such state laws once we begin commercialization after obtaining regulatory approval for any of our products. It is possible that additional governmental action may be taken to address the COVID-19 pandemic. Furthermore, there has been increased interest by third party payors and governmental authorities in reference to pricing systems and publication of discounts and list prices. The implementation of cost containment measures or other healthcare reforms may prevent us from being able to generate revenue, attain profitability or commercialize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December 31, 2021, we had 35 employees, 34 of whom were full-time and 20 of whom were engaged in research and development activities. Eleven of our employees hold Ph.D. or M.D. degrees. Substantially all of our employees are located in the greater Seattle, Washington area. None of our employees are represented by a labor union or covered under a collective bargaining agreement. We consider our relationship with our employees to be good.</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make available on or through our website certain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w:t>
      </w:r>
    </w:p>
    <w:p>
      <w:pPr>
        <w:spacing w:after="0" w:line="10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Annual Report on Form 10-K</w:t>
      </w:r>
      <w:r>
        <w:rPr>
          <w:rFonts w:ascii="Arial" w:cs="Arial" w:eastAsia="Arial" w:hAnsi="Arial"/>
          <w:sz w:val="18"/>
          <w:szCs w:val="18"/>
          <w:color w:val="231F20"/>
        </w:rPr>
        <w:t>, including the “Management’s Discussion and Analysis of Financial Condition and Results of Operations” section</w:t>
      </w:r>
      <w:r>
        <w:rPr>
          <w:rFonts w:ascii="Arial" w:cs="Arial" w:eastAsia="Arial" w:hAnsi="Arial"/>
          <w:sz w:val="18"/>
          <w:szCs w:val="18"/>
          <w:i w:val="1"/>
          <w:iCs w:val="1"/>
          <w:color w:val="231F20"/>
        </w:rPr>
        <w:t xml:space="preserve"> and our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0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2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fosgonimeton and one or more of our other future product candidates. Our ability to generate revenue and achieve profitability depends significantly on our ability to achieve a number of objectives, including:</w:t>
      </w:r>
    </w:p>
    <w:p>
      <w:pPr>
        <w:spacing w:after="0" w:line="68" w:lineRule="exact"/>
        <w:rPr>
          <w:sz w:val="20"/>
          <w:szCs w:val="20"/>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ind w:left="1020"/>
        <w:spacing w:after="0"/>
        <w:rPr>
          <w:sz w:val="20"/>
          <w:szCs w:val="20"/>
          <w:color w:val="auto"/>
        </w:rPr>
      </w:pPr>
      <w:r>
        <w:rPr>
          <w:rFonts w:ascii="Arial" w:cs="Arial" w:eastAsia="Arial" w:hAnsi="Arial"/>
          <w:sz w:val="18"/>
          <w:szCs w:val="18"/>
          <w:color w:val="auto"/>
        </w:rPr>
        <w:t>unforeseen costs we may incur as a result of nonclinical study or clinical trial delays due to COVID-19 or other causes;</w:t>
      </w:r>
    </w:p>
    <w:p>
      <w:pPr>
        <w:spacing w:after="0" w:line="104" w:lineRule="exact"/>
        <w:rPr>
          <w:sz w:val="20"/>
          <w:szCs w:val="20"/>
          <w:color w:val="auto"/>
        </w:rPr>
      </w:pPr>
    </w:p>
    <w:p>
      <w:pPr>
        <w:ind w:left="1020" w:right="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5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0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jc w:val="both"/>
        <w:ind w:firstLine="509"/>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fosgonimeton may never lead to a marketable product.</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We may not succeed in demonstrating safety and efficacy of fosgonimeton in our LIFT-AD trial or in other clinical trials.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fosgonimeton as a small molecule aimed at restoring neuronal health creates significant challenges for us, including:</w:t>
      </w:r>
    </w:p>
    <w:p>
      <w:pPr>
        <w:spacing w:after="0" w:line="10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if fosgonimeton is approved, educating medical personnel regarding the potential efficacy and safety benefits, as well as the challenges, of incorporating fosgonimeton into existing treatment regimens, including in combination with other treatments for AD; and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13"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1a/1b clinical trial,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188" w:lineRule="exact"/>
        <w:rPr>
          <w:sz w:val="20"/>
          <w:szCs w:val="20"/>
          <w:color w:val="auto"/>
        </w:rPr>
      </w:pPr>
    </w:p>
    <w:p>
      <w:pPr>
        <w:jc w:val="both"/>
        <w:ind w:firstLine="509"/>
        <w:spacing w:after="0" w:line="212"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fosgonimeton, which is under development to treat Alzheimer’s disease, or AD, and Parkinson’s disease dementia, or PDD.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98" w:lineRule="exact"/>
        <w:rPr>
          <w:sz w:val="20"/>
          <w:szCs w:val="20"/>
          <w:color w:val="auto"/>
        </w:rPr>
      </w:pPr>
    </w:p>
    <w:p>
      <w:pPr>
        <w:jc w:val="both"/>
        <w:ind w:firstLine="509"/>
        <w:spacing w:after="0" w:line="218" w:lineRule="auto"/>
        <w:rPr>
          <w:sz w:val="20"/>
          <w:szCs w:val="20"/>
          <w:color w:val="auto"/>
        </w:rPr>
      </w:pPr>
      <w:r>
        <w:rPr>
          <w:rFonts w:ascii="Arial" w:cs="Arial" w:eastAsia="Arial" w:hAnsi="Arial"/>
          <w:sz w:val="18"/>
          <w:szCs w:val="18"/>
          <w:color w:val="auto"/>
        </w:rPr>
        <w:t>Based on the results of our nonclinical and clinical studies to date, we believe fosgonimeton has the potential to rapidly improve cognition and durably restore the lives of patients suffering from AD. However, these ideas and this approach are novel, and we currently have limited data based on our Phase 1a/b clinical trial, which enrolled 88 subjects, including only 11 patients with mild to moderate AD, of whom seven patients were treated with fosgonimeton and the other four patients were randomized to the control. Data from our Phase 1a/1b clinical trial, while promising, were obtained from a relatively small number of subjects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2" w:name="page53"/>
    <w:bookmarkEnd w:id="52"/>
    <w:p>
      <w:pPr>
        <w:jc w:val="both"/>
        <w:spacing w:after="0" w:line="210" w:lineRule="auto"/>
        <w:rPr>
          <w:sz w:val="20"/>
          <w:szCs w:val="20"/>
          <w:color w:val="auto"/>
        </w:rPr>
      </w:pPr>
      <w:r>
        <w:rPr>
          <w:rFonts w:ascii="Arial" w:cs="Arial" w:eastAsia="Arial" w:hAnsi="Arial"/>
          <w:sz w:val="18"/>
          <w:szCs w:val="18"/>
          <w:color w:val="auto"/>
        </w:rPr>
        <w:t>and a single clinical site and we cannot be certain that future trials involving a larger number of subjects and clinical sites will yield similar data. Additionally, in our Phase 1a/1b clinical trial,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1a/1b clinical trial,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this trial, we may in the future face similar issues with EEG methods, which could compromise future clinical trial results. We may ultimately discover that fosgonimeton, or any of our other small molecules, do not possess certain properties required for therapeutic effectiveness. We have no long-term evidence regarding the efficacy, safety and tolerability of fosgonimeton or other small molecules in our product platform. We may spend substantial funds attempting to develop these product candidates and never succeed in doing so.</w:t>
      </w:r>
    </w:p>
    <w:p>
      <w:pPr>
        <w:spacing w:after="0" w:line="183"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central nervous system and peripheral degenerative disorders, a field that has seen very limited success in product development.</w:t>
      </w:r>
    </w:p>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have focused our research and development efforts on addressing central nervous system, or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2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i w:val="1"/>
          <w:iCs w:val="1"/>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19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0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jc w:val="both"/>
        <w:spacing w:after="0" w:line="242" w:lineRule="auto"/>
        <w:rPr>
          <w:sz w:val="20"/>
          <w:szCs w:val="20"/>
          <w:color w:val="auto"/>
        </w:rPr>
      </w:pPr>
      <w:r>
        <w:rPr>
          <w:rFonts w:ascii="Arial" w:cs="Arial" w:eastAsia="Arial" w:hAnsi="Arial"/>
          <w:sz w:val="18"/>
          <w:szCs w:val="18"/>
          <w:color w:val="auto"/>
        </w:rPr>
        <w:t>applications, licenses and grants, and could lead to further investigation from government agencies, including the FDA, any of which could have a material adverse impact on our business and prospects. As discussed under “</w:t>
      </w:r>
      <w:r>
        <w:rPr>
          <w:rFonts w:ascii="Arial" w:cs="Arial" w:eastAsia="Arial" w:hAnsi="Arial"/>
          <w:sz w:val="18"/>
          <w:szCs w:val="18"/>
          <w:i w:val="1"/>
          <w:iCs w:val="1"/>
          <w:color w:val="auto"/>
        </w:rPr>
        <w:t>—The loss of any of our key personnel could</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significantly harm our business, results of operations and competitive position,</w:t>
      </w:r>
      <w:r>
        <w:rPr>
          <w:rFonts w:ascii="Arial" w:cs="Arial" w:eastAsia="Arial" w:hAnsi="Arial"/>
          <w:sz w:val="18"/>
          <w:szCs w:val="18"/>
          <w:color w:val="auto"/>
        </w:rPr>
        <w:t>” on October 18, 2021, Dr. Kawas submitted her resignation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w:t>
      </w:r>
    </w:p>
    <w:p>
      <w:pPr>
        <w:spacing w:after="0" w:line="20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disclosed elsewhere in this report, including in this “Risk Factors” section under the heading “</w:t>
      </w:r>
      <w:r>
        <w:rPr>
          <w:rFonts w:ascii="Arial" w:cs="Arial" w:eastAsia="Arial" w:hAnsi="Arial"/>
          <w:sz w:val="18"/>
          <w:szCs w:val="18"/>
          <w:i w:val="1"/>
          <w:iCs w:val="1"/>
          <w:color w:val="auto"/>
        </w:rPr>
        <w:t>—We and certain of our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have been named as defendants in lawsuits that could result in substantial costs and divert management’s attention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I, Item 3—Legal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3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Washington State University has undertaken a review of claims of potential research misconduct involving our former chief executive officer’s doctoral research at Washington State University.</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cs="Arial" w:eastAsia="Arial" w:hAnsi="Arial"/>
          <w:sz w:val="18"/>
          <w:szCs w:val="18"/>
          <w:i w:val="1"/>
          <w:iCs w:val="1"/>
          <w:color w:val="auto"/>
        </w:rPr>
        <w:t>An</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special committee of our board of directors engaged in a review of 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cs="Arial" w:eastAsia="Arial" w:hAnsi="Arial"/>
          <w:sz w:val="18"/>
          <w:szCs w:val="18"/>
          <w:color w:val="auto"/>
        </w:rPr>
        <w:t>”. The conclusions from WSU’s investigation could have a material adverse impact on our business, reputation, scientific credibility,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prospects, as well as our in-licensed patents and pending patent applications, current grants and pending grant applications, and our relationship with WSU, from whom we in-license patents and patent applications underlying certain of our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4" w:name="page55"/>
    <w:bookmarkEnd w:id="54"/>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19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lead product candidate, fosgonimeton, is in clinical development for the potential treatment of AD and PDD. Our additional product candidates, including ATH -1019 and ATH-1020, are in nonclinical development. It is impossible to predict when or if any of our product candidates will prove to be effective and safe in humans or will receive regulatory approval.</w:t>
      </w:r>
    </w:p>
    <w:p>
      <w:pPr>
        <w:spacing w:after="0" w:line="209" w:lineRule="exact"/>
        <w:rPr>
          <w:sz w:val="20"/>
          <w:szCs w:val="20"/>
          <w:color w:val="auto"/>
        </w:rPr>
      </w:pPr>
    </w:p>
    <w:p>
      <w:pPr>
        <w:jc w:val="both"/>
        <w:ind w:firstLine="509"/>
        <w:spacing w:after="0" w:line="204" w:lineRule="exact"/>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fosgonimeton on working memory processing speed and cognitive measures, with topline results expected in the first half of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w:t>
      </w:r>
      <w:r>
        <w:rPr>
          <w:rFonts w:ascii="MS PGothic" w:cs="MS PGothic" w:eastAsia="MS PGothic" w:hAnsi="MS PGothic"/>
          <w:sz w:val="18"/>
          <w:szCs w:val="18"/>
          <w:color w:val="auto"/>
        </w:rPr>
        <w:t>‑</w:t>
      </w:r>
      <w:r>
        <w:rPr>
          <w:rFonts w:ascii="Arial" w:cs="Arial" w:eastAsia="Arial" w:hAnsi="Arial"/>
          <w:sz w:val="18"/>
          <w:szCs w:val="18"/>
          <w:color w:val="auto"/>
        </w:rPr>
        <w:t>AD and LIFT-AD trials, we cannot be certain that the FDA or other regulators will find such data sufficient for approval of fosgonimeton.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55" w:name="page56"/>
    <w:bookmarkEnd w:id="55"/>
    <w:p>
      <w:pPr>
        <w:jc w:val="both"/>
        <w:ind w:firstLine="509"/>
        <w:spacing w:after="0" w:line="238" w:lineRule="auto"/>
        <w:rPr>
          <w:sz w:val="20"/>
          <w:szCs w:val="20"/>
          <w:color w:val="auto"/>
        </w:rPr>
      </w:pPr>
      <w:r>
        <w:rPr>
          <w:rFonts w:ascii="Arial" w:cs="Arial" w:eastAsia="Arial" w:hAnsi="Arial"/>
          <w:sz w:val="18"/>
          <w:szCs w:val="18"/>
          <w:color w:val="auto"/>
        </w:rPr>
        <w:t>On July 6, 2021, we announced the initiation of an open-label extension for the LIFT-AD and ACT-AD trials. Following completion of the 26-week treatment period during the LIFT-AD or ACT-AD trials, patients may elect to continue on the open-label extension and receive treatment with fosgonimeton for up to an additional 26 weeks.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1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6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clinical development strategy or statistical plan;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product candidate;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5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6" w:name="page57"/>
    <w:bookmarkEnd w:id="56"/>
    <w:p>
      <w:pPr>
        <w:jc w:val="both"/>
        <w:ind w:firstLine="509"/>
        <w:spacing w:after="0" w:line="23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1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6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24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7" w:name="page58"/>
    <w:bookmarkEnd w:id="57"/>
    <w:p>
      <w:pPr>
        <w:jc w:val="both"/>
        <w:ind w:firstLine="515"/>
        <w:spacing w:after="0" w:line="230"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10" w:lineRule="exact"/>
        <w:rPr>
          <w:sz w:val="20"/>
          <w:szCs w:val="20"/>
          <w:color w:val="auto"/>
        </w:rPr>
      </w:pPr>
    </w:p>
    <w:p>
      <w:pPr>
        <w:jc w:val="both"/>
        <w:ind w:firstLine="515"/>
        <w:spacing w:after="0" w:line="226"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fosgonimeton on working memory processing speed and cognitive measures, with topline results expected in the first half of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fosgonimeton.</w:t>
      </w:r>
    </w:p>
    <w:p>
      <w:pPr>
        <w:spacing w:after="0" w:line="209" w:lineRule="exact"/>
        <w:rPr>
          <w:sz w:val="20"/>
          <w:szCs w:val="20"/>
          <w:color w:val="auto"/>
        </w:rPr>
      </w:pPr>
    </w:p>
    <w:p>
      <w:pPr>
        <w:jc w:val="both"/>
        <w:ind w:firstLine="515"/>
        <w:spacing w:after="0" w:line="22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1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165"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09"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If we are delayed or unsuccessful in enrolling the desired number of subjects in our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fosgonimeton could be negatively impacted. For example, enrollment in our ongoing clinical trials has been slowed due to the effects of the COVID-19 pandemic, including governmental restrictions imposed in Australia, where certain of our clinical trial sites are located. In our ACT-AD clinical trial, this slowed recruitment resulted in a change in the anticipated timing of top-line results from our Phase 2 ACT-AD clinical trial, which are currently expected by the first half of 2022. We have since completed enrollment in the ACT-AD clinical trial, but we cannot ensure that similar enrollment issues will not occur again in the future. Even if we are successful in enrolling the targeted number of subjects in our trials, the FDA and other regulators may request additional clinical trials with larger numbers of subjects as a condition to any regulatory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both"/>
        <w:ind w:firstLine="509"/>
        <w:spacing w:after="0"/>
        <w:rPr>
          <w:sz w:val="20"/>
          <w:szCs w:val="20"/>
          <w:color w:val="auto"/>
        </w:rPr>
      </w:pPr>
      <w:r>
        <w:rPr>
          <w:rFonts w:ascii="Arial" w:cs="Arial" w:eastAsia="Arial" w:hAnsi="Arial"/>
          <w:sz w:val="18"/>
          <w:szCs w:val="18"/>
          <w:color w:val="auto"/>
        </w:rPr>
        <w:t>Enrollment of patients in our clinical trials may be further delayed or limited as our clinical trial sites limit their onsite staff or temporarily close as a result of the COVID-19 pandemic, including in response to the emergence of any new variants thereof.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2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0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this report.</w:t>
      </w:r>
    </w:p>
    <w:p>
      <w:pPr>
        <w:spacing w:after="0" w:line="22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9" w:name="page60"/>
    <w:bookmarkEnd w:id="59"/>
    <w:p>
      <w:pPr>
        <w:jc w:val="both"/>
        <w:spacing w:after="0" w:line="242" w:lineRule="auto"/>
        <w:rPr>
          <w:sz w:val="20"/>
          <w:szCs w:val="20"/>
          <w:color w:val="auto"/>
        </w:rPr>
      </w:pPr>
      <w:r>
        <w:rPr>
          <w:rFonts w:ascii="Arial" w:cs="Arial" w:eastAsia="Arial" w:hAnsi="Arial"/>
          <w:sz w:val="18"/>
          <w:szCs w:val="18"/>
          <w:color w:val="auto"/>
        </w:rPr>
        <w:t>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2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2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0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60" w:name="page61"/>
    <w:bookmarkEnd w:id="60"/>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5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0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0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1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significantly harm our business, results of operations and competitive position.</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1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June 2021 our board of directors placed Dr. Leen Kawas, our then chief executive officer, on temporary leave pending a review of papers co-authored by Dr. Kawas in connection with her doctoral research at WSU, among other things. An independent special committee of our board of directors, assisted by independent legal counsel, conducted an investigation of allegations raised regarding doctoral research by Dr. Kawas conducted while at WSU, as well as related matters. The special committee’s primary finding was that Dr. Kawas altered images in her 2011 doctoral dissertation and at least four research papers that she co-authored while a graduate student at WSU, and published from 2011 to 2014.</w:t>
      </w:r>
    </w:p>
    <w:p>
      <w:pPr>
        <w:spacing w:after="0" w:line="20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October 18, 2021, Dr. Kawas 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 This succession and transition process may have a direct or indirect adverse effect on our business, results of operations, hiring and retention efforts, and competitive position.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24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The continuing effects of the novel coronavirus disease, or COVID-19, pandemic could adversely impact our business, including our nonclinical studies and clinical trials.</w:t>
      </w:r>
    </w:p>
    <w:p>
      <w:pPr>
        <w:spacing w:after="0" w:line="180" w:lineRule="exact"/>
        <w:rPr>
          <w:sz w:val="20"/>
          <w:szCs w:val="20"/>
          <w:color w:val="auto"/>
        </w:rPr>
      </w:pPr>
    </w:p>
    <w:p>
      <w:pPr>
        <w:jc w:val="both"/>
        <w:ind w:firstLine="509"/>
        <w:spacing w:after="0" w:line="205" w:lineRule="exact"/>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 similar health epidemic could recur at any time, which may cause us to again close down our facilities or take other measures in response.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In addition, a number of our clinical trial sites have been subject to restrictions related to COVID -19 that have adversely affected their operations. While COVID-19 related restrictions have been eased in many of our clinical trial sites, new restrictions could be imposed at any time, whether in response to an outbreak of a new variant of COVID-19 or any similar outbreak. While the extent of the continuing impact of the COVID-19 pandemic on our business and financial results is uncertain, a resurgence in cases of COVID-19 or similar epidemic could have a material negative impact on our business, financial condition and operating results.</w:t>
      </w:r>
    </w:p>
    <w:p>
      <w:pPr>
        <w:spacing w:after="0" w:line="23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62" w:name="page63"/>
    <w:bookmarkEnd w:id="62"/>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9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1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1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1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4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$54.9 million and $19.9 million for the years ended December 31, 2021 and 2020</w:t>
      </w:r>
      <w:r>
        <w:rPr>
          <w:rFonts w:ascii="Arial" w:cs="Arial" w:eastAsia="Arial" w:hAnsi="Arial"/>
          <w:sz w:val="18"/>
          <w:szCs w:val="18"/>
          <w:color w:val="212529"/>
        </w:rPr>
        <w:t>, respectively, and an accumulated deficit of $95.9 million as of December 31, 2021.</w:t>
      </w:r>
    </w:p>
    <w:p>
      <w:pPr>
        <w:spacing w:after="0" w:line="20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fosgonimeton for the treatment of mild-to-moderate AD in addition to LIFT-AD, or potentially further extend the open label extension of the ACT-AD and LIFT-AD trials;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expand our facilities and lab space;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incur expenses in connection with legal proceedings, or addressing stockholder activism;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25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combined with expected future losses, have had and will continue to have an adverse effect on our stockholders’ equity.</w:t>
      </w:r>
    </w:p>
    <w:p>
      <w:pPr>
        <w:spacing w:after="0" w:line="24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fosgonimeton, and evaluate other and future product candidates. If we are unable to raise this funding when needed, we may be forced to delay, reduce, or eliminate our product development programs or other operations.</w:t>
      </w:r>
    </w:p>
    <w:p>
      <w:pPr>
        <w:spacing w:after="0" w:line="20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and any other indications that we may pursue in the future will require substantial amounts of capital. In addition, if we </w:t>
      </w:r>
      <w:r>
        <w:rPr>
          <w:rFonts w:ascii="Arial" w:cs="Arial" w:eastAsia="Arial" w:hAnsi="Arial"/>
          <w:sz w:val="18"/>
          <w:szCs w:val="18"/>
          <w:color w:val="212529"/>
        </w:rPr>
        <w:t>obtain marketing approval for fosgonimeton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2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December 31, 2021, we had cash, cash equivalents, and investments of $319.7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fosgonimeton, including for potential additional indications that we are pursuing beyond AD, such as PDD, and a potential further extension of the open label extension of the ACT-AD and LIFT-AD trials;</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fosgonimeton for AD;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be or may in the future become involved in;</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65" w:name="page66"/>
    <w:bookmarkEnd w:id="65"/>
    <w:p>
      <w:pPr>
        <w:ind w:left="1020" w:right="20"/>
        <w:spacing w:after="0" w:line="271" w:lineRule="auto"/>
        <w:rPr>
          <w:sz w:val="20"/>
          <w:szCs w:val="20"/>
          <w:color w:val="auto"/>
        </w:rPr>
      </w:pPr>
      <w:r>
        <w:rPr>
          <w:rFonts w:ascii="Arial" w:cs="Arial" w:eastAsia="Arial" w:hAnsi="Arial"/>
          <w:sz w:val="18"/>
          <w:szCs w:val="18"/>
          <w:color w:val="auto"/>
        </w:rPr>
        <w:t>receive, in connection with the licensing, filing, prosecution, defense and enforcement of any patents or other intellectual property rights;</w:t>
      </w:r>
    </w:p>
    <w:p>
      <w:pPr>
        <w:spacing w:after="0" w:line="4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9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25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529"/>
        </w:rPr>
        <w:t xml:space="preserve">As of December 31, 2021, we had federal net operating loss carryforwards, or NOLs, to offset future taxable income of approximately $9.5 million and federal tax credit carryforwards of approximately $ 2.9 million. The federal NOLs generated during and after fiscal 2017 totaling $80.7 million are carried forward indefinitely, while all others, if not utilized, will expire in various </w:t>
      </w:r>
      <w:r>
        <w:rPr>
          <w:rFonts w:ascii="Arial" w:cs="Arial" w:eastAsia="Arial" w:hAnsi="Arial"/>
          <w:sz w:val="18"/>
          <w:szCs w:val="18"/>
          <w:color w:val="000000"/>
        </w:rPr>
        <w:t>years</w:t>
      </w:r>
      <w:r>
        <w:rPr>
          <w:rFonts w:ascii="Arial" w:cs="Arial" w:eastAsia="Arial" w:hAnsi="Arial"/>
          <w:sz w:val="18"/>
          <w:szCs w:val="18"/>
          <w:color w:val="212529"/>
        </w:rPr>
        <w:t xml:space="preserve"> beginning in 2025.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4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jc w:val="both"/>
        <w:ind w:firstLine="509"/>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90" w:lineRule="exact"/>
        <w:rPr>
          <w:sz w:val="20"/>
          <w:szCs w:val="20"/>
          <w:color w:val="auto"/>
        </w:rPr>
      </w:pPr>
    </w:p>
    <w:p>
      <w:pPr>
        <w:ind w:left="10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45" w:lineRule="exact"/>
        <w:rPr>
          <w:rFonts w:ascii="Times New Roman" w:cs="Times New Roman" w:eastAsia="Times New Roman" w:hAnsi="Times New Roman"/>
          <w:sz w:val="18"/>
          <w:szCs w:val="18"/>
          <w:color w:val="auto"/>
        </w:rPr>
      </w:pPr>
    </w:p>
    <w:p>
      <w:pPr>
        <w:jc w:val="both"/>
        <w:ind w:left="1020" w:right="20" w:hanging="503"/>
        <w:spacing w:after="0" w:line="238"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5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45"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45"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45"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45" w:lineRule="exact"/>
        <w:rPr>
          <w:rFonts w:ascii="Times New Roman" w:cs="Times New Roman" w:eastAsia="Times New Roman" w:hAnsi="Times New Roman"/>
          <w:sz w:val="18"/>
          <w:szCs w:val="18"/>
          <w:color w:val="auto"/>
        </w:rPr>
      </w:pPr>
    </w:p>
    <w:p>
      <w:pPr>
        <w:jc w:val="both"/>
        <w:ind w:left="1020" w:hanging="503"/>
        <w:spacing w:after="0" w:line="233"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in connection with the recent controversy and ongoing government investigation of the FDA’s approval process for Biogen’s AD biologic drug Aduhelm.</w:t>
      </w:r>
    </w:p>
    <w:p>
      <w:pPr>
        <w:spacing w:after="0" w:line="20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67" w:name="page68"/>
    <w:bookmarkEnd w:id="67"/>
    <w:p>
      <w:pPr>
        <w:jc w:val="both"/>
        <w:ind w:firstLine="509"/>
        <w:spacing w:after="0" w:line="233"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19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00" w:lineRule="exact"/>
        <w:rPr>
          <w:sz w:val="20"/>
          <w:szCs w:val="20"/>
          <w:color w:val="auto"/>
        </w:rPr>
      </w:pPr>
    </w:p>
    <w:p>
      <w:pPr>
        <w:jc w:val="both"/>
        <w:ind w:firstLine="515"/>
        <w:spacing w:after="0" w:line="227"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09" w:lineRule="exact"/>
        <w:rPr>
          <w:sz w:val="20"/>
          <w:szCs w:val="20"/>
          <w:color w:val="auto"/>
        </w:rPr>
      </w:pPr>
    </w:p>
    <w:p>
      <w:pPr>
        <w:jc w:val="both"/>
        <w:ind w:firstLine="515"/>
        <w:spacing w:after="0" w:line="227"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09" w:lineRule="exact"/>
        <w:rPr>
          <w:sz w:val="20"/>
          <w:szCs w:val="20"/>
          <w:color w:val="auto"/>
        </w:rPr>
      </w:pPr>
    </w:p>
    <w:p>
      <w:pPr>
        <w:jc w:val="both"/>
        <w:ind w:firstLine="515"/>
        <w:spacing w:after="0" w:line="208"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98" w:lineRule="exact"/>
        <w:rPr>
          <w:sz w:val="20"/>
          <w:szCs w:val="20"/>
          <w:color w:val="auto"/>
        </w:rPr>
      </w:pPr>
    </w:p>
    <w:p>
      <w:pPr>
        <w:jc w:val="both"/>
        <w:ind w:firstLine="515"/>
        <w:spacing w:after="0" w:line="218"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2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8" w:lineRule="exact"/>
        <w:rPr>
          <w:sz w:val="20"/>
          <w:szCs w:val="20"/>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69" w:name="page70"/>
    <w:bookmarkEnd w:id="69"/>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5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0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2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1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06" w:lineRule="exact"/>
        <w:rPr>
          <w:sz w:val="20"/>
          <w:szCs w:val="20"/>
          <w:color w:val="auto"/>
        </w:rPr>
      </w:pPr>
    </w:p>
    <w:p>
      <w:pPr>
        <w:jc w:val="both"/>
        <w:ind w:firstLine="515"/>
        <w:spacing w:after="0" w:line="21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jc w:val="both"/>
        <w:spacing w:after="0" w:line="208" w:lineRule="auto"/>
        <w:rPr>
          <w:sz w:val="20"/>
          <w:szCs w:val="20"/>
          <w:color w:val="auto"/>
        </w:rPr>
      </w:pPr>
      <w:r>
        <w:rPr>
          <w:rFonts w:ascii="Arial" w:cs="Arial" w:eastAsia="Arial" w:hAnsi="Arial"/>
          <w:sz w:val="18"/>
          <w:szCs w:val="18"/>
          <w:color w:val="auto"/>
        </w:rPr>
        <w:t>resume routine surveillance, bioresearch monitoring and pre-approval inspections on a prioritized basis. The FDA has developed a rating system to assist in determining when and where it is safest to conduct prioritized domestic inspections. In 2020 and 2021, a number of companies announced receipt of complete response letters due to the FDA’s inability to complete required inspections for their applications. As of May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Good Manufacturing Practices. However, the FDA may not be able to continue its current inspection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04" w:lineRule="exact"/>
        <w:rPr>
          <w:sz w:val="20"/>
          <w:szCs w:val="20"/>
          <w:color w:val="auto"/>
        </w:rPr>
      </w:pPr>
    </w:p>
    <w:p>
      <w:pPr>
        <w:jc w:val="both"/>
        <w:ind w:firstLine="515"/>
        <w:spacing w:after="0" w:line="216"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90" w:lineRule="exact"/>
        <w:rPr>
          <w:sz w:val="20"/>
          <w:szCs w:val="20"/>
          <w:color w:val="auto"/>
        </w:rPr>
      </w:pPr>
    </w:p>
    <w:p>
      <w:pPr>
        <w:jc w:val="both"/>
        <w:ind w:firstLine="515"/>
        <w:spacing w:after="0" w:line="209"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both"/>
        <w:spacing w:after="0" w:line="271" w:lineRule="auto"/>
        <w:rPr>
          <w:sz w:val="20"/>
          <w:szCs w:val="20"/>
          <w:color w:val="auto"/>
        </w:rPr>
      </w:pPr>
      <w:r>
        <w:rPr>
          <w:rFonts w:ascii="Arial" w:cs="Arial" w:eastAsia="Arial" w:hAnsi="Arial"/>
          <w:sz w:val="18"/>
          <w:szCs w:val="18"/>
          <w:color w:val="auto"/>
        </w:rPr>
        <w:t>time period to commercialization of such product candidate, could increase the cost of development of such product candidate and could harm our competitive position in the marketplace.</w:t>
      </w:r>
    </w:p>
    <w:p>
      <w:pPr>
        <w:spacing w:after="0" w:line="18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It is unclear how this investigation will generally impact the FDA’s review process, policies, and data requirements for the accelerated approval program in the future or specifically impact new drug applications in the treatment of Alzheimer’s disease and our clinical development programs.</w:t>
      </w:r>
    </w:p>
    <w:p>
      <w:pPr>
        <w:spacing w:after="0" w:line="227"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6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product labeling;</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products; or</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81" w:lineRule="exact"/>
        <w:rPr>
          <w:sz w:val="20"/>
          <w:szCs w:val="20"/>
          <w:color w:val="auto"/>
        </w:rPr>
      </w:pPr>
    </w:p>
    <w:p>
      <w:pPr>
        <w:jc w:val="both"/>
        <w:ind w:firstLine="515"/>
        <w:spacing w:after="0" w:line="222"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72" w:name="page73"/>
    <w:bookmarkEnd w:id="72"/>
    <w:p>
      <w:pPr>
        <w:jc w:val="both"/>
        <w:spacing w:after="0" w:line="256" w:lineRule="auto"/>
        <w:rPr>
          <w:sz w:val="20"/>
          <w:szCs w:val="20"/>
          <w:color w:val="auto"/>
        </w:rPr>
      </w:pPr>
      <w:r>
        <w:rPr>
          <w:rFonts w:ascii="Arial" w:cs="Arial" w:eastAsia="Arial" w:hAnsi="Arial"/>
          <w:sz w:val="18"/>
          <w:szCs w:val="18"/>
          <w:color w:val="auto"/>
        </w:rPr>
        <w:t>pharmaceutical manufacturers to pay more in rebates than it receives on the sale of products, which could have a material impact on our business.</w:t>
      </w:r>
    </w:p>
    <w:p>
      <w:pPr>
        <w:spacing w:after="0" w:line="1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 Complying with any new legislation and regulatory requirements could be time-intensive and expensive, resulting in a material adverse effect on our business.</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w:t>
      </w:r>
    </w:p>
    <w:p>
      <w:pPr>
        <w:spacing w:after="0" w:line="20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implemented during the Trump administration. As a result, the Biden administration and HHS have delayed the implementation or published rules rescinding some of these Trump-era policies.</w:t>
      </w:r>
    </w:p>
    <w:p>
      <w:pPr>
        <w:spacing w:after="0" w:line="2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both"/>
        <w:spacing w:after="0" w:line="244" w:lineRule="auto"/>
        <w:rPr>
          <w:sz w:val="20"/>
          <w:szCs w:val="20"/>
          <w:color w:val="auto"/>
        </w:rPr>
      </w:pPr>
      <w:r>
        <w:rPr>
          <w:rFonts w:ascii="Arial" w:cs="Arial" w:eastAsia="Arial" w:hAnsi="Arial"/>
          <w:sz w:val="18"/>
          <w:szCs w:val="18"/>
          <w:color w:val="auto"/>
        </w:rPr>
        <w:t>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0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Further, CMS recently released a draft National Coverage Determination (NCD) decision memorandum that proposes covering FDA-approved monoclonal antibodies that target amyloid for the treatment of Alzheimer’s disease through coverage with evidence development, which means that FDA-approved drugs in this class would be covered by Medicare only if the patients are enrolled in qualifying clinical trials. Currently, Aduhelm is the only monoclonal antibody directed against amyloid beta approved by the FDA for the treatment of Alzheimer’s disease and potentially subject to this NCD if finalized by CMS.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spacing w:after="0" w:line="22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2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0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product candidates, if we obtain regulatory approval;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74" w:name="page75"/>
    <w:bookmarkEnd w:id="74"/>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2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jc w:val="both"/>
        <w:ind w:left="1020" w:hanging="503"/>
        <w:spacing w:after="0" w:line="238"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75" w:name="page76"/>
    <w:bookmarkEnd w:id="75"/>
    <w:p>
      <w:pPr>
        <w:jc w:val="both"/>
        <w:ind w:left="503" w:hanging="503"/>
        <w:spacing w:after="0" w:line="237" w:lineRule="auto"/>
        <w:tabs>
          <w:tab w:leader="none" w:pos="503"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76" w:lineRule="exact"/>
        <w:rPr>
          <w:rFonts w:ascii="Times New Roman" w:cs="Times New Roman" w:eastAsia="Times New Roman" w:hAnsi="Times New Roman"/>
          <w:sz w:val="18"/>
          <w:szCs w:val="18"/>
          <w:color w:val="auto"/>
        </w:rPr>
      </w:pPr>
    </w:p>
    <w:p>
      <w:pPr>
        <w:jc w:val="both"/>
        <w:ind w:left="503" w:hanging="503"/>
        <w:spacing w:after="0" w:line="239" w:lineRule="auto"/>
        <w:tabs>
          <w:tab w:leader="none" w:pos="503"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8" w:lineRule="exact"/>
        <w:rPr>
          <w:rFonts w:ascii="Times New Roman" w:cs="Times New Roman" w:eastAsia="Times New Roman" w:hAnsi="Times New Roman"/>
          <w:sz w:val="18"/>
          <w:szCs w:val="18"/>
          <w:color w:val="auto"/>
        </w:rPr>
      </w:pPr>
    </w:p>
    <w:p>
      <w:pPr>
        <w:jc w:val="both"/>
        <w:ind w:left="503" w:hanging="503"/>
        <w:spacing w:after="0" w:line="239" w:lineRule="auto"/>
        <w:tabs>
          <w:tab w:leader="none" w:pos="503"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86"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29" w:right="339" w:bottom="1440" w:gutter="0" w:footer="0" w:header="0"/>
        </w:sectPr>
      </w:pPr>
    </w:p>
    <w:bookmarkStart w:id="76" w:name="page77"/>
    <w:bookmarkEnd w:id="76"/>
    <w:p>
      <w:pPr>
        <w:jc w:val="both"/>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38"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2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9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8"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jc w:val="both"/>
        <w:spacing w:after="0" w:line="226" w:lineRule="auto"/>
        <w:rPr>
          <w:sz w:val="20"/>
          <w:szCs w:val="20"/>
          <w:color w:val="auto"/>
        </w:rPr>
      </w:pPr>
      <w:r>
        <w:rPr>
          <w:rFonts w:ascii="Arial" w:cs="Arial" w:eastAsia="Arial" w:hAnsi="Arial"/>
          <w:sz w:val="18"/>
          <w:szCs w:val="18"/>
          <w:color w:val="auto"/>
        </w:rPr>
        <w:t>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9"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1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9"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4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0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1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2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79" w:name="page80"/>
    <w:bookmarkEnd w:id="79"/>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9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jc w:val="both"/>
        <w:ind w:left="1020" w:hanging="503"/>
        <w:spacing w:after="0" w:line="252"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80" w:name="page81"/>
    <w:bookmarkEnd w:id="80"/>
    <w:p>
      <w:pPr>
        <w:jc w:val="both"/>
        <w:spacing w:after="0"/>
        <w:rPr>
          <w:sz w:val="20"/>
          <w:szCs w:val="20"/>
          <w:color w:val="auto"/>
        </w:rPr>
      </w:pPr>
      <w:r>
        <w:rPr>
          <w:rFonts w:ascii="Arial" w:cs="Arial" w:eastAsia="Arial" w:hAnsi="Arial"/>
          <w:sz w:val="18"/>
          <w:szCs w:val="18"/>
          <w:color w:val="auto"/>
        </w:rPr>
        <w:t>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0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0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25"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81" w:name="page82"/>
    <w:bookmarkEnd w:id="81"/>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18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1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cs="Arial" w:eastAsia="Arial" w:hAnsi="Arial"/>
          <w:sz w:val="18"/>
          <w:szCs w:val="18"/>
          <w:i w:val="1"/>
          <w:iCs w:val="1"/>
          <w:color w:val="auto"/>
        </w:rPr>
        <w:t>An independent special committee of our board of directors engaged in a review of</w:t>
      </w:r>
      <w:r>
        <w:rPr>
          <w:rFonts w:ascii="Arial" w:cs="Arial" w:eastAsia="Arial" w:hAnsi="Arial"/>
          <w:sz w:val="18"/>
          <w:szCs w:val="18"/>
          <w:color w:val="auto"/>
        </w:rPr>
        <w:t xml:space="preserve"> </w:t>
      </w:r>
      <w:r>
        <w:rPr>
          <w:rFonts w:ascii="Arial" w:cs="Arial" w:eastAsia="Arial" w:hAnsi="Arial"/>
          <w:sz w:val="18"/>
          <w:szCs w:val="18"/>
          <w:i w:val="1"/>
          <w:iCs w:val="1"/>
          <w:color w:val="auto"/>
        </w:rPr>
        <w:t>papers co-authored by our former chief executive officer in connection with her doctoral research at Washington State University. The special committee’s findings included that (i) our former chief executive office altered images in her 2011 doctoral dissertation and at least four research papers that she co-authored while a graduate student at Washington State University, and published from 2011 to 2014, (ii) that we cited challenged research papers in certain communications and applications, and (iii)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cs="Arial" w:eastAsia="Arial" w:hAnsi="Arial"/>
          <w:sz w:val="18"/>
          <w:szCs w:val="18"/>
          <w:color w:val="auto"/>
        </w:rPr>
        <w:t>,” may discourage potential counterparties from entering into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with us.</w:t>
      </w:r>
    </w:p>
    <w:p>
      <w:pPr>
        <w:spacing w:after="0" w:line="22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1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46"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0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82" w:name="page83"/>
    <w:bookmarkEnd w:id="82"/>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1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1"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jc w:val="both"/>
        <w:ind w:firstLine="509"/>
        <w:spacing w:after="0" w:line="271"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254"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61"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candidate is approved;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of physician acceptance of FDA-approved Alzheimer’s therapies;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75"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4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11"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8"/>
          <w:szCs w:val="18"/>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19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79" w:lineRule="exact"/>
        <w:rPr>
          <w:sz w:val="20"/>
          <w:szCs w:val="20"/>
          <w:color w:val="auto"/>
        </w:rPr>
      </w:pPr>
    </w:p>
    <w:p>
      <w:pPr>
        <w:jc w:val="both"/>
        <w:ind w:firstLine="509"/>
        <w:spacing w:after="0" w:line="221" w:lineRule="auto"/>
        <w:rPr>
          <w:sz w:val="20"/>
          <w:szCs w:val="20"/>
          <w:color w:val="auto"/>
        </w:rPr>
      </w:pPr>
      <w:r>
        <w:rPr>
          <w:rFonts w:ascii="Arial" w:cs="Arial" w:eastAsia="Arial" w:hAnsi="Arial"/>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8"/>
          <w:szCs w:val="18"/>
          <w:color w:val="212529"/>
        </w:rPr>
        <w:t>which we retain</w:t>
      </w:r>
      <w:r>
        <w:rPr>
          <w:rFonts w:ascii="Arial" w:cs="Arial" w:eastAsia="Arial" w:hAnsi="Arial"/>
          <w:sz w:val="18"/>
          <w:szCs w:val="18"/>
          <w:color w:val="auto"/>
        </w:rPr>
        <w:t xml:space="preserve"> </w:t>
      </w:r>
      <w:r>
        <w:rPr>
          <w:rFonts w:ascii="Arial" w:cs="Arial" w:eastAsia="Arial" w:hAnsi="Arial"/>
          <w:sz w:val="18"/>
          <w:szCs w:val="18"/>
          <w:color w:val="212529"/>
        </w:rPr>
        <w:t>commercialization rights and marketing approval, we will have to develop our own sales, marketing and supply organization or outsource these activities to a third party.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84" w:name="page85"/>
    <w:bookmarkEnd w:id="84"/>
    <w:p>
      <w:pPr>
        <w:jc w:val="both"/>
        <w:ind w:firstLine="509"/>
        <w:spacing w:after="0" w:line="212"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0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2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 candidates or products that we may develop;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1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0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number of factors, including, but not limited to, the third-party payor’s determination that use of a product is:</w:t>
      </w:r>
    </w:p>
    <w:p>
      <w:pPr>
        <w:spacing w:after="0" w:line="10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3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2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8"/>
          <w:szCs w:val="18"/>
          <w:color w:val="212529"/>
        </w:rPr>
        <w:t>results, our ability to</w:t>
      </w:r>
      <w:r>
        <w:rPr>
          <w:rFonts w:ascii="Arial" w:cs="Arial" w:eastAsia="Arial" w:hAnsi="Arial"/>
          <w:sz w:val="18"/>
          <w:szCs w:val="18"/>
          <w:color w:val="auto"/>
        </w:rPr>
        <w:t xml:space="preserve"> </w:t>
      </w:r>
      <w:r>
        <w:rPr>
          <w:rFonts w:ascii="Arial" w:cs="Arial" w:eastAsia="Arial" w:hAnsi="Arial"/>
          <w:sz w:val="18"/>
          <w:szCs w:val="18"/>
          <w:color w:val="212529"/>
        </w:rPr>
        <w:t>raise capital needed to commercialize product candidates, and our overall financial condition.</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0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w:t>
      </w:r>
      <w:r>
        <w:rPr>
          <w:rFonts w:ascii="Arial" w:cs="Arial" w:eastAsia="Arial" w:hAnsi="Arial"/>
          <w:sz w:val="18"/>
          <w:szCs w:val="18"/>
          <w:color w:val="212529"/>
        </w:rPr>
        <w:t xml:space="preserve"> </w:t>
      </w:r>
      <w:r>
        <w:rPr>
          <w:rFonts w:ascii="Arial" w:cs="Arial" w:eastAsia="Arial" w:hAnsi="Arial"/>
          <w:sz w:val="18"/>
          <w:szCs w:val="18"/>
          <w:color w:val="000000"/>
        </w:rPr>
        <w:t>we commercialize and, if reimbursement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87" w:name="page88"/>
    <w:bookmarkEnd w:id="87"/>
    <w:p>
      <w:pPr>
        <w:jc w:val="both"/>
        <w:spacing w:after="0"/>
        <w:rPr>
          <w:sz w:val="20"/>
          <w:szCs w:val="20"/>
          <w:color w:val="auto"/>
        </w:rPr>
      </w:pPr>
      <w:r>
        <w:rPr>
          <w:rFonts w:ascii="Arial" w:cs="Arial" w:eastAsia="Arial" w:hAnsi="Arial"/>
          <w:sz w:val="18"/>
          <w:szCs w:val="18"/>
          <w:color w:val="auto"/>
        </w:rPr>
        <w:t>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8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46" w:lineRule="exact"/>
        <w:rPr>
          <w:sz w:val="20"/>
          <w:szCs w:val="20"/>
          <w:color w:val="auto"/>
        </w:rPr>
      </w:pPr>
    </w:p>
    <w:p>
      <w:pPr>
        <w:ind w:left="1020" w:right="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88" w:name="page89"/>
    <w:bookmarkEnd w:id="88"/>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5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190"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03"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As of December 31, 2021, our patent portfolio includes one issued U.S. patent, two pending U.S. patent applications, one issued patent in a jurisdiction outside of the U.S., nine pending patent applications in jurisdictions outside of the U.S., and three pending international patent applications filed under the Patent Cooperation Treaty. Our owned patent and patent applications have claims directed to our product candidate fosgonimeton as composition of matter and methods of treatment with fosgonimeton, as well as other small molecule therapeutics. The U.S. patent will expire in June 2037, absent any patent term extensions for regulatory delay. Dr. Kawas is an inventor on these company-owned patents. Our patent portfolio also includes eight issued U.S. patents and approximately 13 patents issued and one patent application pending in jurisdictions outside of the U.S. that are exclusively licensed to us by WSU. The in-licensed patent portfolio includes issued U.S. patents that do not directly cover fosgonimeton as a composition of matter or pharmaceutical formulation, but instead cover the active metabolite of fosgonimeton, which is hexanoic-tyrosine-isoleucine-(6)-amino-hexanoic amide (dihexa), and uses of dihexa. Dr. Kawas is an inventor on five of the in-licensed issued U.S. patents.</w:t>
      </w:r>
    </w:p>
    <w:p>
      <w:pPr>
        <w:spacing w:after="0" w:line="21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jc w:val="both"/>
        <w:ind w:firstLine="509"/>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59" w:lineRule="exact"/>
        <w:rPr>
          <w:sz w:val="20"/>
          <w:szCs w:val="20"/>
          <w:color w:val="auto"/>
        </w:rPr>
      </w:pPr>
    </w:p>
    <w:p>
      <w:pPr>
        <w:jc w:val="both"/>
        <w:ind w:left="1020" w:right="20" w:hanging="503"/>
        <w:spacing w:after="0" w:line="238"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8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patents and patent applications may be challenged, invalidated, modified, revoked, circumvented, found to be unenforceable or otherwise may not provide any competitive advantage;</w:t>
      </w:r>
    </w:p>
    <w:p>
      <w:pPr>
        <w:spacing w:after="0" w:line="45"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patent laws in the United States or in other countries may limit the ability to obtain, defend or enforce patents, or may apply retroactively to affect the terms and/or scope of patents;</w:t>
      </w:r>
    </w:p>
    <w:p>
      <w:pPr>
        <w:spacing w:after="0" w:line="45" w:lineRule="exact"/>
        <w:rPr>
          <w:rFonts w:ascii="Times New Roman" w:cs="Times New Roman" w:eastAsia="Times New Roman" w:hAnsi="Times New Roman"/>
          <w:sz w:val="18"/>
          <w:szCs w:val="18"/>
          <w:color w:val="auto"/>
        </w:rPr>
      </w:pPr>
    </w:p>
    <w:p>
      <w:pPr>
        <w:jc w:val="both"/>
        <w:ind w:left="1020" w:hanging="503"/>
        <w:spacing w:after="0" w:line="238"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58" w:lineRule="exact"/>
        <w:rPr>
          <w:rFonts w:ascii="Times New Roman" w:cs="Times New Roman" w:eastAsia="Times New Roman" w:hAnsi="Times New Roman"/>
          <w:sz w:val="18"/>
          <w:szCs w:val="18"/>
          <w:color w:val="auto"/>
        </w:rPr>
      </w:pPr>
    </w:p>
    <w:p>
      <w:pPr>
        <w:jc w:val="both"/>
        <w:ind w:left="1020" w:hanging="503"/>
        <w:spacing w:after="0" w:line="238"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5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80"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09"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0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1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which effectively prevent others from commercializing competitive product candidates.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jc w:val="both"/>
        <w:ind w:firstLine="509"/>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0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p>
    <w:p>
      <w:pPr>
        <w:spacing w:after="0" w:line="22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our patents or the patents of any current or future licensors may become subject to post-grant challenge proceedings, such as oppositions in a foreign patent office, that challenge our claim of priority of invention or other features of patentability with respect to our patents and patent applications and those of any current or future licensors.</w:t>
      </w:r>
    </w:p>
    <w:p>
      <w:pPr>
        <w:spacing w:after="0" w:line="20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example, in view of the lawsuits disclosed elsewhere in this report including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and certain of our directors and executive officers have been named as defendants in lawsuits that could result in substantial costs and divert management’s attention</w:t>
      </w:r>
      <w:r>
        <w:rPr>
          <w:rFonts w:ascii="Arial" w:cs="Arial" w:eastAsia="Arial" w:hAnsi="Arial"/>
          <w:sz w:val="18"/>
          <w:szCs w:val="18"/>
          <w:color w:val="auto"/>
        </w:rPr>
        <w:t>,” and in “Part I, Item 3—Legal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spacing w:after="0" w:line="21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though we own patents and patent applications covering fosgonimeton,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spacing w:after="0" w:line="22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and/or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91" w:name="page92"/>
    <w:bookmarkEnd w:id="91"/>
    <w:p>
      <w:pPr>
        <w:jc w:val="both"/>
        <w:spacing w:after="0" w:line="244" w:lineRule="auto"/>
        <w:rPr>
          <w:sz w:val="20"/>
          <w:szCs w:val="20"/>
          <w:color w:val="auto"/>
        </w:rPr>
      </w:pPr>
      <w:r>
        <w:rPr>
          <w:rFonts w:ascii="Arial" w:cs="Arial" w:eastAsia="Arial" w:hAnsi="Arial"/>
          <w:sz w:val="18"/>
          <w:szCs w:val="18"/>
          <w:color w:val="auto"/>
        </w:rPr>
        <w:t>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6" w:lineRule="exact"/>
        <w:rPr>
          <w:sz w:val="20"/>
          <w:szCs w:val="20"/>
          <w:color w:val="auto"/>
        </w:rPr>
      </w:pPr>
    </w:p>
    <w:p>
      <w:pPr>
        <w:ind w:left="1020" w:right="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file patent applications covering certain of our inventions;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4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0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92" w:name="page93"/>
    <w:bookmarkEnd w:id="92"/>
    <w:p>
      <w:pPr>
        <w:jc w:val="both"/>
        <w:spacing w:after="0" w:line="247" w:lineRule="auto"/>
        <w:rPr>
          <w:sz w:val="20"/>
          <w:szCs w:val="20"/>
          <w:color w:val="auto"/>
        </w:rPr>
      </w:pPr>
      <w:r>
        <w:rPr>
          <w:rFonts w:ascii="Arial" w:cs="Arial" w:eastAsia="Arial" w:hAnsi="Arial"/>
          <w:sz w:val="18"/>
          <w:szCs w:val="18"/>
          <w:color w:val="auto"/>
        </w:rPr>
        <w:t>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5"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0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9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publicity and could prohibit us from marketing or otherwise commercializing our product candidates and technology.</w:t>
      </w:r>
    </w:p>
    <w:p>
      <w:pPr>
        <w:spacing w:after="0" w:line="23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2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0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current or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misrepresented or fraudulently withheld relevant information from the USPTO or made a misleading statement during prosecution.</w:t>
      </w:r>
    </w:p>
    <w:p>
      <w:pPr>
        <w:spacing w:after="0" w:line="22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94" w:name="page95"/>
    <w:bookmarkEnd w:id="94"/>
    <w:p>
      <w:pPr>
        <w:jc w:val="both"/>
        <w:spacing w:after="0" w:line="244" w:lineRule="auto"/>
        <w:rPr>
          <w:sz w:val="20"/>
          <w:szCs w:val="20"/>
          <w:color w:val="auto"/>
        </w:rPr>
      </w:pPr>
      <w:r>
        <w:rPr>
          <w:rFonts w:ascii="Arial" w:cs="Arial" w:eastAsia="Arial" w:hAnsi="Arial"/>
          <w:sz w:val="18"/>
          <w:szCs w:val="18"/>
          <w:color w:val="auto"/>
        </w:rPr>
        <w:t>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0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2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1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1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9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or legal proceedings may lead to unfavorable publicity that harms our reputation and causes the market price of our common shares to decline.</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95" w:name="page96"/>
    <w:bookmarkEnd w:id="95"/>
    <w:p>
      <w:pPr>
        <w:jc w:val="both"/>
        <w:spacing w:after="0" w:line="253" w:lineRule="auto"/>
        <w:rPr>
          <w:sz w:val="20"/>
          <w:szCs w:val="20"/>
          <w:color w:val="auto"/>
        </w:rPr>
      </w:pPr>
      <w:r>
        <w:rPr>
          <w:rFonts w:ascii="Arial" w:cs="Arial" w:eastAsia="Arial" w:hAnsi="Arial"/>
          <w:sz w:val="18"/>
          <w:szCs w:val="18"/>
          <w:color w:val="auto"/>
        </w:rPr>
        <w:t>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79"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1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184"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or (2) invent any of the inventions claimed in the patents or patent applications.</w:t>
      </w:r>
    </w:p>
    <w:p>
      <w:pPr>
        <w:spacing w:after="0" w:line="217"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10"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current or future licensors and the enforcement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96" w:name="page97"/>
    <w:bookmarkEnd w:id="96"/>
    <w:p>
      <w:pPr>
        <w:jc w:val="both"/>
        <w:spacing w:after="0" w:line="256" w:lineRule="auto"/>
        <w:rPr>
          <w:sz w:val="20"/>
          <w:szCs w:val="20"/>
          <w:color w:val="auto"/>
        </w:rPr>
      </w:pPr>
      <w:r>
        <w:rPr>
          <w:rFonts w:ascii="Arial" w:cs="Arial" w:eastAsia="Arial" w:hAnsi="Arial"/>
          <w:sz w:val="18"/>
          <w:szCs w:val="18"/>
          <w:color w:val="auto"/>
        </w:rPr>
        <w:t>defense of our issued patents or those of any current or future licensors, all of which could have a material adverse effect on our business, financial condition, results of operations and prospects.</w:t>
      </w:r>
    </w:p>
    <w:p>
      <w:pPr>
        <w:spacing w:after="0" w:line="18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79"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2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no earlier that October 1, 2022,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22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3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5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own and in-license patents issued and patent applications pending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0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98" w:name="page99"/>
    <w:bookmarkEnd w:id="98"/>
    <w:p>
      <w:pPr>
        <w:jc w:val="both"/>
        <w:spacing w:after="0" w:line="253" w:lineRule="auto"/>
        <w:rPr>
          <w:sz w:val="20"/>
          <w:szCs w:val="20"/>
          <w:color w:val="auto"/>
        </w:rPr>
      </w:pPr>
      <w:r>
        <w:rPr>
          <w:rFonts w:ascii="Arial" w:cs="Arial" w:eastAsia="Arial" w:hAnsi="Arial"/>
          <w:sz w:val="18"/>
          <w:szCs w:val="18"/>
          <w:color w:val="auto"/>
        </w:rPr>
        <w:t>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9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12" w:lineRule="exact"/>
        <w:rPr>
          <w:sz w:val="20"/>
          <w:szCs w:val="20"/>
          <w:color w:val="auto"/>
        </w:rPr>
      </w:pPr>
    </w:p>
    <w:p>
      <w:pPr>
        <w:jc w:val="both"/>
        <w:ind w:firstLine="515"/>
        <w:spacing w:after="0" w:line="23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86" w:lineRule="exact"/>
        <w:rPr>
          <w:sz w:val="20"/>
          <w:szCs w:val="20"/>
          <w:color w:val="auto"/>
        </w:rPr>
      </w:pPr>
    </w:p>
    <w:p>
      <w:pPr>
        <w:jc w:val="both"/>
        <w:ind w:firstLine="515"/>
        <w:spacing w:after="0" w:line="211"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00" w:lineRule="exact"/>
        <w:rPr>
          <w:sz w:val="20"/>
          <w:szCs w:val="20"/>
          <w:color w:val="auto"/>
        </w:rPr>
      </w:pPr>
    </w:p>
    <w:p>
      <w:pPr>
        <w:jc w:val="both"/>
        <w:ind w:firstLine="515"/>
        <w:spacing w:after="0" w:line="24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9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and/or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99" w:name="page100"/>
    <w:bookmarkEnd w:id="99"/>
    <w:p>
      <w:pPr>
        <w:jc w:val="both"/>
        <w:spacing w:after="0" w:line="271" w:lineRule="auto"/>
        <w:rPr>
          <w:sz w:val="20"/>
          <w:szCs w:val="20"/>
          <w:color w:val="auto"/>
        </w:rPr>
      </w:pPr>
      <w:r>
        <w:rPr>
          <w:rFonts w:ascii="Arial" w:cs="Arial" w:eastAsia="Arial" w:hAnsi="Arial"/>
          <w:sz w:val="18"/>
          <w:szCs w:val="18"/>
          <w:color w:val="auto"/>
        </w:rPr>
        <w:t>property may be ineffective and could result in substantial costs and diversion of resources and could adversely affect our financial condition or results of operations.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2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2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00" w:name="page101"/>
    <w:bookmarkEnd w:id="100"/>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2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may be subject, in part, to the terms and conditions of licenses granted to us by others.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spacing w:after="0" w:line="20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spacing w:after="0" w:line="22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spacing w:after="0" w:line="21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01" w:name="page102"/>
    <w:bookmarkEnd w:id="101"/>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1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Disputes may arise between us and our current or future licensors regarding intellectual property and other rights subject to a license agreement, including:</w:t>
      </w:r>
    </w:p>
    <w:p>
      <w:pPr>
        <w:spacing w:after="0" w:line="46"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product candidates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to third parties;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2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25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 applications and patents relating to our product candidates,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02" w:name="page103"/>
    <w:bookmarkEnd w:id="102"/>
    <w:p>
      <w:pPr>
        <w:jc w:val="both"/>
        <w:ind w:right="20"/>
        <w:spacing w:after="0" w:line="271" w:lineRule="auto"/>
        <w:rPr>
          <w:sz w:val="20"/>
          <w:szCs w:val="20"/>
          <w:color w:val="auto"/>
        </w:rPr>
      </w:pPr>
      <w:r>
        <w:rPr>
          <w:rFonts w:ascii="Arial" w:cs="Arial" w:eastAsia="Arial" w:hAnsi="Arial"/>
          <w:sz w:val="18"/>
          <w:szCs w:val="18"/>
          <w:color w:val="auto"/>
        </w:rPr>
        <w:t>affected or prejudiced by actions or inactions of our licensees, our licensors and their counsel that took place prior to the date upon which we assumed control over patent prosecution.</w:t>
      </w:r>
    </w:p>
    <w:p>
      <w:pPr>
        <w:spacing w:after="0" w:line="183"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0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Cybersecurity</w:t>
      </w:r>
    </w:p>
    <w:p>
      <w:pPr>
        <w:spacing w:after="0" w:line="24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0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03" w:name="page104"/>
    <w:bookmarkEnd w:id="103"/>
    <w:p>
      <w:pPr>
        <w:jc w:val="both"/>
        <w:spacing w:after="0" w:line="238" w:lineRule="auto"/>
        <w:rPr>
          <w:sz w:val="20"/>
          <w:szCs w:val="20"/>
          <w:color w:val="auto"/>
        </w:rPr>
      </w:pPr>
      <w:r>
        <w:rPr>
          <w:rFonts w:ascii="Arial" w:cs="Arial" w:eastAsia="Arial" w:hAnsi="Arial"/>
          <w:sz w:val="18"/>
          <w:szCs w:val="18"/>
          <w:color w:val="auto"/>
        </w:rPr>
        <w:t>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1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1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04" w:name="page105"/>
    <w:bookmarkEnd w:id="104"/>
    <w:p>
      <w:pPr>
        <w:jc w:val="both"/>
        <w:spacing w:after="0" w:line="242" w:lineRule="auto"/>
        <w:rPr>
          <w:sz w:val="20"/>
          <w:szCs w:val="20"/>
          <w:color w:val="auto"/>
        </w:rPr>
      </w:pPr>
      <w:r>
        <w:rPr>
          <w:rFonts w:ascii="Arial" w:cs="Arial" w:eastAsia="Arial" w:hAnsi="Arial"/>
          <w:sz w:val="18"/>
          <w:szCs w:val="18"/>
          <w:color w:val="auto"/>
        </w:rPr>
        <w:t>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0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The UK has exited the EU and has implemented legislation similar to the GDPR, referred to as the UK GDPR, which provides for fines of up to the greater of up to the greater of £17.5 million or 4% of global turnover. The relationship between the UK and the EU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12"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8"/>
          <w:szCs w:val="18"/>
          <w:color w:val="auto"/>
        </w:rPr>
        <w:t>In addition,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Additionally, other states have proposed or enacted laws addressing privacy and security that impose obligations similar to those of the CCPA. In March 2021, Virginia enacted the Virginia Consumer Data Protection Act, or CDPA, which becomes effective on January 1, 2023, and on June 8, 2021, Colorado enacted the Colorado Privacy Act, or CPA, which takes effect on July 1, 2023. The CDPA and CPA share similarities with the CCPA, the CPRA, and legislation proposed in other states. The CCPA, CPRA, and other evolving state privacy legislation may impact our business activities and exemplifies the vulnerability of our business to the evolving regulatory environment related to personal data and protected health information.</w:t>
      </w:r>
    </w:p>
    <w:p>
      <w:pPr>
        <w:spacing w:after="0" w:line="210"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05" w:name="page106"/>
    <w:bookmarkEnd w:id="105"/>
    <w:p>
      <w:pPr>
        <w:ind w:left="5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named as defendants in lawsuits that could result in substantial costs and divert management’s attention.</w:t>
      </w:r>
    </w:p>
    <w:p>
      <w:pPr>
        <w:spacing w:after="0" w:line="179"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8"/>
          <w:szCs w:val="18"/>
          <w:color w:val="auto"/>
        </w:rPr>
        <w:t>As described elsewhere in this report in “Part I, Item 3—Legal Proceedings,” we and certain of our executive officers and directors have been named as defendants in class action lawsuits that generally allege that we and certain of our officers and directors violated Sections 10(b) and/or 20(a) of the Exchange Act and Rule 10b-5 promulgated thereunder by making allegedly false and/or misleading statements and omitted material adverse facts regarding the Company’s business. These complaints seek unspecified compensatory and punitive damages, and reasonable costs and expenses, including attorneys’ fees. As of the date of this report, we are unable to predict the outcome of these matters. Although we have insurance, it provides for a substantial retention of liability and is subject to limitations and may not cover a significant portion, or any, of the expenses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2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b w:val="1"/>
          <w:bCs w:val="1"/>
          <w:i w:val="1"/>
          <w:iCs w:val="1"/>
          <w:color w:val="auto"/>
        </w:rPr>
        <w:t>Actions of an activist stockholder against us have been disruptive and costly and the notice the activist stockholder has sent indicating he will wage a proxy contest and seek representation on our board of directors could cause uncertainty about the strategic direction of our business.</w:t>
      </w:r>
    </w:p>
    <w:p>
      <w:pPr>
        <w:spacing w:after="0" w:line="173"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8"/>
          <w:szCs w:val="18"/>
          <w:color w:val="auto"/>
        </w:rPr>
        <w:t>On February 25, 2022, Mr. Richard A. Kayne announced his intention to nominate himself and one other candidate for election to our board of directors at our 2022 annual meeting of stockholders. Mr. Kayne’s stated reasons for nominating himself and one other candidate for election to our board of directors, include his request for a formal consulting relationship between Athira and Dr. Kawas, our former president and chief executive officer; the immediate termination of Dr. Litton as our chief executive officer (or the commencement of a search process to find Dr. Litton’s replacement); and various changes in the manner in which we were pursuing our clinical trials. Mr. Kayne also expressed concerns over capital allocation matters.</w:t>
      </w:r>
    </w:p>
    <w:p>
      <w:pPr>
        <w:spacing w:after="0" w:line="2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strive to maintain constructive communications with our stockholders, including Mr. Kayne, and welcome his views and opinions with the goal of enhancing value for all stockholders. However, an activist campaign that seeks to replace members of our board of directors and/or changes our strategic direction could have an adverse effect on us because:</w:t>
      </w:r>
    </w:p>
    <w:p>
      <w:pPr>
        <w:spacing w:after="0" w:line="73" w:lineRule="exact"/>
        <w:rPr>
          <w:sz w:val="20"/>
          <w:szCs w:val="20"/>
          <w:color w:val="auto"/>
        </w:rPr>
      </w:pPr>
    </w:p>
    <w:p>
      <w:pPr>
        <w:jc w:val="both"/>
        <w:ind w:left="1020" w:hanging="503"/>
        <w:spacing w:after="0" w:line="252"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actions by Mr. Kayne and any other activist stockholders can disrupt our operations, are costly and time-consuming, and divert the attention of our board of directors and senior management team from the pursuit of business strategies, which could adversely affect our results of operations and financial condition;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uncertainties as to our future direction as a result of changes to the composition of our board of directors may lead to the perception of a change in the direction of the business, instability or lack of continuity which may be exploited by our competitors, may result in the loss of potential business opportunities, cause concern for those enrolling in our clinical trials, and make it more difficult to attract and retain qualified personnel and business partners;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Mr. Kayne’s proposal may interfere with our efforts to raise capital;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jc w:val="both"/>
        <w:ind w:left="1020" w:hanging="503"/>
        <w:spacing w:after="0" w:line="252"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Mr. Kayne’s actions and similar types of actions could cause significant fluctuations in our stock price based on temporary or speculative market perceptions or other factors that do not necessarily reflect the underlying fundamentals and prospects of our business;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as a result of the pending proxy contest, or if other activist stockholder activities ensue, our business could be adversely affected because responding to proxy contests can be disruptive, costly, and time-consuming;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if individuals are elected to our board of directors with a specific agenda, it may adversely affect our ability to effectively implement our business strategy and to create additional value for our stockholders.</w:t>
      </w:r>
    </w:p>
    <w:p>
      <w:pPr>
        <w:spacing w:after="0" w:line="195"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At this time, we cannot be certain if Mr. Kayne’s proxy contest will be successful. Even if Mr. Kayne’s proxy contest is not successful, the increased costs we must bear and the distraction of our board of directors and senior management will negatively impact our business, though we cannot predict with certainty the extent of such negative impacts.</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b w:val="1"/>
          <w:bCs w:val="1"/>
          <w:i w:val="1"/>
          <w:iCs w:val="1"/>
          <w:color w:val="auto"/>
        </w:rPr>
        <w:t>We do not know whether an active market for our common stock will be sustained, and, as a result, it may be difficult for you to sell your shares of our common stock.</w:t>
      </w:r>
    </w:p>
    <w:p>
      <w:pPr>
        <w:spacing w:after="0" w:line="179"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3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46"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 and, in particular, our LIFT-AD, ACT-AD, and SHAPE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impact of the COVID-19 pandemic on our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negative press coverage;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status of ongoing litigation and potential commencement of additional litigation;</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the investigation by the independent special committee of the board of directors and the separate ongoing investigation by WSU;</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direct or indirect impacts on our business, our suppliers and other third parties and our clinical sites as a result of geopolitical events, including the Russia-Ukraine war;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“Part I, Item 1A—Risk Factors” section.</w:t>
      </w:r>
    </w:p>
    <w:p>
      <w:pPr>
        <w:spacing w:after="0" w:line="2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1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1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as of February 28, 2022, the holders of approximately 3.7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jc w:val="both"/>
        <w:spacing w:after="0" w:line="271" w:lineRule="auto"/>
        <w:rPr>
          <w:sz w:val="20"/>
          <w:szCs w:val="20"/>
          <w:color w:val="auto"/>
        </w:rPr>
      </w:pPr>
      <w:r>
        <w:rPr>
          <w:rFonts w:ascii="Arial" w:cs="Arial" w:eastAsia="Arial" w:hAnsi="Arial"/>
          <w:sz w:val="18"/>
          <w:szCs w:val="18"/>
          <w:color w:val="auto"/>
        </w:rPr>
        <w:t>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directors, executive officers, significant holders of our outstanding common stock and their respective affiliates beneficially own a significant amount of our outstanding common stock as of December 31, 2021.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2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20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09" w:name="page110"/>
    <w:bookmarkEnd w:id="109"/>
    <w:p>
      <w:pPr>
        <w:jc w:val="both"/>
        <w:spacing w:after="0" w:line="244" w:lineRule="auto"/>
        <w:rPr>
          <w:sz w:val="20"/>
          <w:szCs w:val="20"/>
          <w:color w:val="auto"/>
        </w:rPr>
      </w:pPr>
      <w:r>
        <w:rPr>
          <w:rFonts w:ascii="Arial" w:cs="Arial" w:eastAsia="Arial" w:hAnsi="Arial"/>
          <w:sz w:val="18"/>
          <w:szCs w:val="18"/>
          <w:color w:val="auto"/>
        </w:rPr>
        <w:t>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1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66" w:lineRule="exact"/>
        <w:rPr>
          <w:sz w:val="20"/>
          <w:szCs w:val="20"/>
          <w:color w:val="auto"/>
        </w:rPr>
      </w:pPr>
    </w:p>
    <w:p>
      <w:pPr>
        <w:ind w:left="1020" w:right="20" w:hanging="503"/>
        <w:spacing w:after="0" w:line="270"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7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10" w:name="page111"/>
    <w:bookmarkEnd w:id="110"/>
    <w:p>
      <w:pPr>
        <w:jc w:val="both"/>
        <w:spacing w:after="0" w:line="244" w:lineRule="auto"/>
        <w:rPr>
          <w:sz w:val="20"/>
          <w:szCs w:val="20"/>
          <w:color w:val="auto"/>
        </w:rPr>
      </w:pPr>
      <w:r>
        <w:rPr>
          <w:rFonts w:ascii="Arial" w:cs="Arial" w:eastAsia="Arial" w:hAnsi="Arial"/>
          <w:sz w:val="18"/>
          <w:szCs w:val="18"/>
          <w:color w:val="auto"/>
        </w:rPr>
        <w:t>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both"/>
        <w:spacing w:after="0" w:line="247" w:lineRule="auto"/>
        <w:rPr>
          <w:sz w:val="20"/>
          <w:szCs w:val="20"/>
          <w:color w:val="auto"/>
        </w:rPr>
      </w:pPr>
      <w:r>
        <w:rPr>
          <w:rFonts w:ascii="Arial" w:cs="Arial" w:eastAsia="Arial" w:hAnsi="Arial"/>
          <w:sz w:val="18"/>
          <w:szCs w:val="18"/>
          <w:color w:val="212529"/>
        </w:rPr>
        <w:t>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84"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6"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3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jc w:val="both"/>
        <w:ind w:firstLine="509"/>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18"/>
          <w:szCs w:val="18"/>
          <w:i w:val="1"/>
          <w:iCs w:val="1"/>
          <w:color w:val="auto"/>
        </w:rPr>
        <w:t>Wang v. Athira Pharma,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2:21-cv-00861. Plaintiffs Wang and Gao assert claims under Sections 10(b) and 20(a) of the Securities Exchange Act of 1934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 Rule 10b-5, alleging that the defendants made materially false and misleading statements and omitted material adverse facts regarding our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we failed to disclose to investors that certain research conducted by Dr. Kawas was allegedly tainted by scientific misconduct during her doctoral work at Washington State University, or WSU, including the manipulation of data, and that as a result, the defendants’ positive statements about our business, operations, and prospects were materially misleading. The </w:t>
      </w:r>
      <w:r>
        <w:rPr>
          <w:rFonts w:ascii="Arial" w:cs="Arial" w:eastAsia="Arial" w:hAnsi="Arial"/>
          <w:sz w:val="18"/>
          <w:szCs w:val="18"/>
          <w:i w:val="1"/>
          <w:iCs w:val="1"/>
          <w:color w:val="auto"/>
        </w:rPr>
        <w:t xml:space="preserve">Wang </w:t>
      </w:r>
      <w:r>
        <w:rPr>
          <w:rFonts w:ascii="Arial" w:cs="Arial" w:eastAsia="Arial" w:hAnsi="Arial"/>
          <w:sz w:val="18"/>
          <w:szCs w:val="18"/>
          <w:color w:val="auto"/>
        </w:rPr>
        <w:t>plaintiffs seek unspecified compensatory and punitive damages, and reasonable costs and expenses, including attorneys’ fees.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us, Dr. Kawas, the Company’s Chief Financial Officer, certain members of our board of directors at the time of our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xml:space="preserve">, No. 2:21-cv-00862. The </w:t>
      </w:r>
      <w:r>
        <w:rPr>
          <w:rFonts w:ascii="Arial" w:cs="Arial" w:eastAsia="Arial" w:hAnsi="Arial"/>
          <w:sz w:val="18"/>
          <w:szCs w:val="18"/>
          <w:i w:val="1"/>
          <w:iCs w:val="1"/>
          <w:color w:val="auto"/>
        </w:rPr>
        <w:t xml:space="preserve">Jawandha </w:t>
      </w:r>
      <w:r>
        <w:rPr>
          <w:rFonts w:ascii="Arial" w:cs="Arial" w:eastAsia="Arial" w:hAnsi="Arial"/>
          <w:sz w:val="18"/>
          <w:szCs w:val="18"/>
          <w:color w:val="auto"/>
        </w:rPr>
        <w:t>complaint asserts violations of Sections 11 and 15 of the Securities Act of 1933, alleging that that our IPO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plaintiff seeks unspecified compensatory damages, and reasonable costs and expenses, including attorneys’ fees.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of 1933, alleging that purported issues with Dr. Kawas’s doctoral research at WSU should have been disclosed in our IPO registration statement.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spacing w:after="0" w:line="271" w:lineRule="auto"/>
        <w:rPr>
          <w:sz w:val="20"/>
          <w:szCs w:val="20"/>
          <w:color w:val="auto"/>
        </w:rPr>
      </w:pPr>
      <w:r>
        <w:rPr>
          <w:rFonts w:ascii="Arial" w:cs="Arial" w:eastAsia="Arial" w:hAnsi="Arial"/>
          <w:sz w:val="18"/>
          <w:szCs w:val="18"/>
          <w:i w:val="1"/>
          <w:iCs w:val="1"/>
          <w:color w:val="auto"/>
        </w:rPr>
        <w:t xml:space="preserve">Slyne </w:t>
      </w:r>
      <w:r>
        <w:rPr>
          <w:rFonts w:ascii="Arial" w:cs="Arial" w:eastAsia="Arial" w:hAnsi="Arial"/>
          <w:sz w:val="18"/>
          <w:szCs w:val="18"/>
          <w:color w:val="auto"/>
        </w:rPr>
        <w:t>plaintiffs seek unspecified compensatory damages, reasonable costs and expenses, including attorneys’ fees, and injunctive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equitable relief.</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On August 9, 2021, the Honorable Judge Thomas S. Zilly, the district judge presiding over </w:t>
      </w:r>
      <w:r>
        <w:rPr>
          <w:rFonts w:ascii="Arial" w:cs="Arial" w:eastAsia="Arial" w:hAnsi="Arial"/>
          <w:sz w:val="18"/>
          <w:szCs w:val="18"/>
          <w:i w:val="1"/>
          <w:iCs w:val="1"/>
          <w:color w:val="auto"/>
        </w:rPr>
        <w:t>Wang v. Athira Pharma, Inc., et al.</w:t>
      </w:r>
      <w:r>
        <w:rPr>
          <w:rFonts w:ascii="Arial" w:cs="Arial" w:eastAsia="Arial" w:hAnsi="Arial"/>
          <w:sz w:val="18"/>
          <w:szCs w:val="18"/>
          <w:color w:val="auto"/>
        </w:rPr>
        <w:t>,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2:21-cv-00861, issued an order consolidating the three cases under that case number. On October 5, 2021, the district court issued an order</w:t>
      </w:r>
    </w:p>
    <w:p>
      <w:pPr>
        <w:spacing w:after="0"/>
        <w:rPr>
          <w:sz w:val="20"/>
          <w:szCs w:val="20"/>
          <w:color w:val="auto"/>
        </w:rPr>
      </w:pPr>
      <w:r>
        <w:rPr>
          <w:rFonts w:ascii="Arial" w:cs="Arial" w:eastAsia="Arial" w:hAnsi="Arial"/>
          <w:sz w:val="18"/>
          <w:szCs w:val="18"/>
          <w:color w:val="auto"/>
        </w:rPr>
        <w:t>appointing lead plaintiffs and approved their selection of lead and liaison counsel.</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Securities Exchange Act of 1934 and SEC Rule 10b-5 and Sections 11, 12, and 15 of the Securities Act of 1933. The consolidated amended complaint is brought against us, Dr. Kawas, our chief financial officer, certain members of our board of directors at the time of our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equitable and injunctive relief, and reasonable costs and expenses, including attorneys’ fees, on behalf of themselves and the purported class. On March 8, 2022, the defendants filed a motion to dismiss lead plaintiffs’ consolidated amended complaint for failure to state a claim under the federal securities laws.</w:t>
      </w:r>
    </w:p>
    <w:p>
      <w:pPr>
        <w:spacing w:after="0" w:line="1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cannot predict the outcome of these suits. Failure by us to obtain a favorable resolution of these suits could have a material adverse effect on our business, results of operations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20"/>
        <w:spacing w:after="0" w:line="3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jc w:val="both"/>
        <w:ind w:firstLine="509"/>
        <w:spacing w:after="0" w:line="271" w:lineRule="auto"/>
        <w:rPr>
          <w:sz w:val="20"/>
          <w:szCs w:val="20"/>
          <w:color w:val="auto"/>
        </w:rPr>
      </w:pPr>
      <w:r>
        <w:rPr>
          <w:rFonts w:ascii="Arial" w:cs="Arial" w:eastAsia="Arial" w:hAnsi="Arial"/>
          <w:sz w:val="18"/>
          <w:szCs w:val="18"/>
          <w:color w:val="auto"/>
        </w:rPr>
        <w:t>Our common stock began trading on The Nasdaq Global Select Market under the symbol “ATHA” on September 18, 2020. Prior to that date, there was no public trading market for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March 21, 2022, there were approximately 49 holders of record of our common stock. Because many of our shares are held by brokers and other institutions on behalf of shareholders, we are unable to estimate the total number of shareholders represented by these record 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currently intend to retain all available funds and future earnings to fund the development and growth of our business and we do not anticipate paying any cash dividends in the foreseeable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201(e)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slow neurodegeneration. With our product candidates, we aim to provide rapid cognitive improvement and alter the course of neurological diseases, leveraging our novel mechanism of action. Our approach is designed to augment neuronal growth factor signaling through the hepatocyte growth factor/MET, or HGF/MET, a naturally occurring, repair and regenerative system. We believe enhancing HGF/MET signaling has the potential to protect existing neurons from damage, reduce inflammation, promote regeneration, and benefit brain physiology.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lead candidate, fosgonimeton (ATH-1017), is a subcutaneously administered, BBB-penetrating, small molecule HGF/MET positive modulator. The primary target indication is Alzheimer’s disease (AD). In our Phase 1a/b clinical trial, fosgonimeton was well tolerated in healthy young and elderly volunteers and AD subjects, without serious adverse events. This clinical trial recruited 88 subjects, including 11 AD subjects with mild-to-moderate AD, who were randomly assigned to active and control groups. Nonclinical studies and Phase 1 clinical trials with fosgonimeton demonstrated improvements in brain network activity indicating potentially positive effects on brain function. In AD subjects, multiple dosing of fosgonimeton significantly improved Event Related Potential (ERP) P300 latency. ERP P300 latency is a functional measure that is highly correlated with cognition; however, we have not yet established a connection between these ERP P300 latency results and improved cognition. In September 2020, we began site initiation and patient screening for LIFT-AD, our Phase 2/3 clinical trial with fosgonimeton designed with the potential to provide pivotal data in support of registration, for the treatment of mild-to-moderate AD, with topline results expected in the first half of 2023. In November 2020, we also initiated ACT-AD, a proof-of-concept Phase 2 clinical trial with ERP P300 latency as the primary endpoint, in mild-to-moderate AD, which trial is designed to better characterize the overall effects of fosgonimeton on working memory processing speed and cognitive measures, with topline results expected in the second quarter of 2022. In July 2021, we announced that we are enrolling patients into a 26-week open-label extension study for our LIFT-AD and ACT-AD clinical trials, which will allow us to collect up to a total of one year of safety data with fosgonimeton. In October 2021, we announced that we completed patient enrollment in our ACT-AD clinical trial. In January 2022, we increased the LIFT-AD study sample size by approximately 120 participants, from 300 to 420, to strengthen the statistical power of co-key secondary endpoints, including ADAS-Cog11.</w:t>
      </w:r>
    </w:p>
    <w:p>
      <w:pPr>
        <w:spacing w:after="0" w:line="18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following figure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spacing w:after="0" w:line="271" w:lineRule="auto"/>
        <w:rPr>
          <w:sz w:val="20"/>
          <w:szCs w:val="20"/>
          <w:color w:val="auto"/>
        </w:rPr>
      </w:pPr>
      <w:r>
        <w:rPr>
          <w:rFonts w:ascii="Arial" w:cs="Arial" w:eastAsia="Arial" w:hAnsi="Arial"/>
          <w:sz w:val="18"/>
          <w:szCs w:val="18"/>
          <w:color w:val="auto"/>
        </w:rPr>
        <w:t>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6223635" cy="2220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2363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fosgonimeton LIFT-AD Phase 3 clinical trial may provide pivotal data in support of registration with the FDA.</w:t>
      </w:r>
    </w:p>
    <w:p>
      <w:pPr>
        <w:spacing w:after="0" w:line="20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ind w:firstLine="509"/>
        <w:spacing w:after="0"/>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December 31, 2021, we have raised aggregate net cash proceeds of approximately $407.4 million primarily from the issuance of our common stock, convertible preferred stock, common stock warrants, and convertible notes. We have incurred significant operating losses to date. Our net losses were $54.9 million and $19.9 million for the years ended December 31, 2021 and 2020, respectively. As of December 31, 2021, we had an accumulated deficit of $95.9 million and cash, cash equivalents and investments of $319.7 million.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380" w:hanging="372"/>
        <w:spacing w:after="0" w:line="270" w:lineRule="auto"/>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fosgonimeton and our other product candidates through preclinical studies and clinical trials, and potentially further extend the open label extension of the ACT-AD and LIFT-AD trials;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laboratory and office facilities;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operational, financial and management information systems;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02"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incur legal expenses associated with ongoing litigation, as further described in “Part I, Item 3—Legal Proceedings,” and elsewhere in this report.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firstLine="509"/>
        <w:spacing w:after="0" w:line="206" w:lineRule="exact"/>
        <w:rPr>
          <w:sz w:val="20"/>
          <w:szCs w:val="20"/>
          <w:color w:val="auto"/>
        </w:rPr>
      </w:pPr>
      <w:r>
        <w:rPr>
          <w:rFonts w:ascii="Arial" w:cs="Arial" w:eastAsia="Arial" w:hAnsi="Arial"/>
          <w:sz w:val="18"/>
          <w:szCs w:val="18"/>
          <w:color w:val="auto"/>
        </w:rPr>
        <w:t>The global COVID-19 pandemic continues to evolve, and we will continue to monitor the COVID-19 situation closely. While COVID-19 related restrictions have been eased in many locations around the globe, including in Bothell, Washington, where our principal offices are located, a resurgence in cases of COVID-19 or similar health epidemic could occur at any time, and the ultimate impact of the COVID-19 pandemic or a similar health epidemic is highly uncertain and subject to change.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We will continue to actively monitor the evolving situation and ongoing impacts on our clinical trial enrollment, trial sites, contract research organizations, or CROs, third-party manufacturers, and other third parties with whom we do business, as well as on regulatory authorities and our key scientific and management personnel. As the situation evolves, we may take further actions that alter our operations, including those that may be required by federal, state or local authorities, or that we determine are in the best interests of our employees and other third parties with whom we do business. At this point, the ultimate extent to which the COVID-19 pandemic, or any potential resurgence of a variant thereof, may affect our business, operations and clinical development timelines and plans, including the resulting impact on our expenditures and capital needs, remains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and Grant Agreements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Washington State University License Agreement</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party to an amended and restated exclusive license agreement with Washington State University (“WSU”) that we entered into in September of 2015. Under this agreement, WSU granted us an exclusive license to make, use, sell, and offer for sale products covered by certain of the licensed patents, including dihexa, the chemical compound into which fosgonimeton metabolizes following administration. The term of the license continues until the earlier of the date in which no valid claim remains enforceable and the payment of royalties ceases for more than four consecutive quarters after such royalty payments begin.</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initiation of our first Phase 2 clinical trial in September 2020 triggered a $50,000 liability to WSU, which was repaid in full as of December 31, 2020.</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020" w:hanging="503"/>
        <w:spacing w:after="0" w:line="270" w:lineRule="auto"/>
        <w:tabs>
          <w:tab w:leader="none" w:pos="10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(“LSDF”) under the terms of two matching grant award agreements. The consummation of our initial public offering in September 2020 was a triggering event under the terms of the grant and the liability was remeasured to the pay-off amount of $1.5 million as of September 30, 2020 and repaid in full as of December 31,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2020, we accepted a grant from the National Institutes of Health (“NIH”) to support our ACT-AD Phase 2 clinical trial for fosgonimeton. Under the terms of the agreement, we may receive approximately $ 7.8 million with the potential for an additional $ 7.4 million up to an aggregate of $15.2 million. For additional information regarding this grant, see the section of this Annual Report on Form 10-K titled “Business—Our Collaboration and Grant Agreements.” We recognized $ 8.8 million and $1.1 million of income related to our NIH grant during the years ended December 31, 2021 and 2020, respectively. During the year ended December 31, 2021, we received cash of $7.6 million in connection with the NIH grant. As of December 31, 2021 and 2020, we had incurred qualifying expenses in excess of cash received of approximately $2.3 million and $1.1 million, respectively, which is included in unbilled grant receivable on the consolidated balance sheets. In February 2022, we received cash of $2.3 million in connection with the unbilled grant receivable balance as of December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the Cloud</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2019, the Alzheimer’s Association awarded us a $1.0 million Part the Cloud research grant. Grant proceeds must be used to advance our fosgonimeton product candidate in the Alzheimer’s disease setting. Reporting of expenses incurred supported by the grant as well as research updates are sent to the Alzheimer’s Association semi-annually. Under the terms of the agreement, we received $776,000 in 2019 and received the remaining $224,000 in March 2021 after having completed certain development milestones in October 2020. We recognize income related to the Part the Cloud research grant as qualifying expenses under the grant agreement are incurred. As of December 31, 2020, we had incurred qualifying expenses in excess of cash received of approximately $224,000, which is included in unbilled grant receivable on the consolidated balance sheets.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20" w:name="page121"/>
    <w:bookmarkEnd w:id="120"/>
    <w:p>
      <w:pPr>
        <w:jc w:val="both"/>
        <w:spacing w:after="0" w:line="244" w:lineRule="auto"/>
        <w:rPr>
          <w:sz w:val="20"/>
          <w:szCs w:val="20"/>
          <w:color w:val="auto"/>
        </w:rPr>
      </w:pPr>
      <w:r>
        <w:rPr>
          <w:rFonts w:ascii="Arial" w:cs="Arial" w:eastAsia="Arial" w:hAnsi="Arial"/>
          <w:sz w:val="18"/>
          <w:szCs w:val="18"/>
          <w:color w:val="auto"/>
        </w:rPr>
        <w:t>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conduct our Phase 2 and Phase 3 clinical trials for fosgonimeton, including the open-label extension for those trials. Additionally, we may experience an overall increase in research and development expenses as a result of inflation.</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61"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to further extend the open label extension of the ACT-AD and LIFT-AD trials;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COVID-19 on timelines and clinical operations, which may lead to increased costs; and</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2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both"/>
        <w:ind w:right="20"/>
        <w:spacing w:after="0" w:line="271" w:lineRule="auto"/>
        <w:rPr>
          <w:sz w:val="20"/>
          <w:szCs w:val="20"/>
          <w:color w:val="auto"/>
        </w:rPr>
      </w:pPr>
      <w:r>
        <w:rPr>
          <w:rFonts w:ascii="Arial" w:cs="Arial" w:eastAsia="Arial" w:hAnsi="Arial"/>
          <w:sz w:val="18"/>
          <w:szCs w:val="18"/>
          <w:color w:val="auto"/>
        </w:rPr>
        <w:t>auditing and tax related fees, consulting fees and facilities and other expenses not otherwise included as research and development expenses. We expense general and administrative costs as incurred.</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an increase in legal expenses related to our ongoing class action litigation and proxy contest. We also expect to continue to increase the size of our administrative function to support the growth of our business. Additionally, we may experience an overall increase in general and administrative expenses as a result of inflation.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Grant income consists of income related to the NIH grant and the Part the Cloud grant, which was completed in 2020. Income from these grants is recognized as qualifying expenses under the grant agreements are incurred. We expect grant income associated with the NIH grant will increase in future years, as we expect qualifying expenses under the grant terms to increase substantially in relation to our continued research activities and development of our programs. Under the terms of the agreement, we may receive approximately $7.8 million, with the potential for an additional $7.4 million, up to an aggregate of $15.2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Other income (expense), net consists of interest earned on our cash, cash equivalents, and investments, periodic mark-to-market gains and losses on the derivative, grant, and convertible preferred stock warrant liabilities carried at fair value, and interest expense on our convertible notes. In the future, we expect investment income to be the primary component of other income, net as the mark-to-market liabilities and convertible notes were all settled in 2020 and will no longer be adjusted to fair value.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60"/>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530"/>
              <w:spacing w:after="0" w:line="160" w:lineRule="exact"/>
              <w:rPr>
                <w:sz w:val="20"/>
                <w:szCs w:val="20"/>
                <w:color w:val="auto"/>
              </w:rPr>
            </w:pPr>
            <w:r>
              <w:rPr>
                <w:rFonts w:ascii="Arial" w:cs="Arial" w:eastAsia="Arial" w:hAnsi="Arial"/>
                <w:sz w:val="14"/>
                <w:szCs w:val="14"/>
                <w:b w:val="1"/>
                <w:bCs w:val="1"/>
                <w:color w:val="auto"/>
              </w:rPr>
              <w:t>Dollar</w:t>
            </w:r>
          </w:p>
        </w:tc>
        <w:tc>
          <w:tcPr>
            <w:tcW w:w="900" w:type="dxa"/>
            <w:vAlign w:val="bottom"/>
          </w:tcPr>
          <w:p>
            <w:pPr>
              <w:jc w:val="right"/>
              <w:ind w:right="294"/>
              <w:spacing w:after="0" w:line="160"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r>
      <w:tr>
        <w:trPr>
          <w:trHeight w:val="185"/>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6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03"/>
        </w:trPr>
        <w:tc>
          <w:tcPr>
            <w:tcW w:w="4600" w:type="dxa"/>
            <w:vAlign w:val="bottom"/>
          </w:tcPr>
          <w:p>
            <w:pPr>
              <w:ind w:left="26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42,794</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13,286</w:t>
            </w:r>
          </w:p>
        </w:tc>
        <w:tc>
          <w:tcPr>
            <w:tcW w:w="22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29,508</w:t>
            </w:r>
          </w:p>
        </w:tc>
        <w:tc>
          <w:tcPr>
            <w:tcW w:w="20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222 %</w:t>
            </w:r>
          </w:p>
        </w:tc>
      </w:tr>
      <w:tr>
        <w:trPr>
          <w:trHeight w:val="203"/>
        </w:trPr>
        <w:tc>
          <w:tcPr>
            <w:tcW w:w="460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21,228</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6,709</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14,519</w:t>
            </w:r>
          </w:p>
        </w:tc>
        <w:tc>
          <w:tcPr>
            <w:tcW w:w="2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460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64,022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19,995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44,027</w:t>
            </w:r>
          </w:p>
        </w:tc>
        <w:tc>
          <w:tcPr>
            <w:tcW w:w="2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c>
          <w:tcPr>
            <w:tcW w:w="300" w:type="dxa"/>
            <w:vAlign w:val="bottom"/>
          </w:tcPr>
          <w:p>
            <w:pPr>
              <w:spacing w:after="0"/>
              <w:rPr>
                <w:sz w:val="17"/>
                <w:szCs w:val="17"/>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(64,022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(19,995</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(44,027</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w:t>
            </w:r>
          </w:p>
        </w:tc>
        <w:tc>
          <w:tcPr>
            <w:tcW w:w="30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Grant income</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8,835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7,514</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569</w:t>
            </w:r>
          </w:p>
        </w:tc>
        <w:tc>
          <w:tcPr>
            <w:tcW w:w="30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(1,281 )</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1,615</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r>
      <w:tr>
        <w:trPr>
          <w:trHeight w:val="196"/>
        </w:trPr>
        <w:tc>
          <w:tcPr>
            <w:tcW w:w="460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81"/>
              <w:spacing w:after="0" w:line="182" w:lineRule="exact"/>
              <w:rPr>
                <w:sz w:val="20"/>
                <w:szCs w:val="20"/>
                <w:color w:val="auto"/>
              </w:rPr>
            </w:pPr>
            <w:r>
              <w:rPr>
                <w:rFonts w:ascii="Arial" w:cs="Arial" w:eastAsia="Arial" w:hAnsi="Arial"/>
                <w:sz w:val="18"/>
                <w:szCs w:val="18"/>
                <w:color w:val="auto"/>
              </w:rPr>
              <w:t>(54,853 )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(19,955 )</w:t>
            </w:r>
          </w:p>
        </w:tc>
        <w:tc>
          <w:tcPr>
            <w:tcW w:w="240" w:type="dxa"/>
            <w:vAlign w:val="bottom"/>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(34,898 )</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175</w:t>
            </w:r>
          </w:p>
        </w:tc>
        <w:tc>
          <w:tcPr>
            <w:tcW w:w="30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-690880</wp:posOffset>
            </wp:positionV>
            <wp:extent cx="774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-690880</wp:posOffset>
            </wp:positionV>
            <wp:extent cx="7747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-690880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-159385</wp:posOffset>
            </wp:positionV>
            <wp:extent cx="7747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-159385</wp:posOffset>
            </wp:positionV>
            <wp:extent cx="7747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Not meaningful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5"/>
              <w:spacing w:after="0" w:line="160" w:lineRule="exact"/>
              <w:rPr>
                <w:sz w:val="20"/>
                <w:szCs w:val="20"/>
                <w:color w:val="auto"/>
              </w:rPr>
            </w:pPr>
            <w:r>
              <w:rPr>
                <w:rFonts w:ascii="Arial" w:cs="Arial" w:eastAsia="Arial" w:hAnsi="Arial"/>
                <w:sz w:val="14"/>
                <w:szCs w:val="14"/>
                <w:b w:val="1"/>
                <w:bCs w:val="1"/>
                <w:color w:val="auto"/>
              </w:rPr>
              <w:t>Dollar</w:t>
            </w:r>
          </w:p>
        </w:tc>
        <w:tc>
          <w:tcPr>
            <w:tcW w:w="1120" w:type="dxa"/>
            <w:vAlign w:val="bottom"/>
            <w:gridSpan w:val="2"/>
          </w:tcPr>
          <w:p>
            <w:pPr>
              <w:jc w:val="right"/>
              <w:ind w:right="348"/>
              <w:spacing w:after="0" w:line="160"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top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Direct costs: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60"/>
              <w:spacing w:after="0" w:line="202" w:lineRule="exact"/>
              <w:rPr>
                <w:sz w:val="20"/>
                <w:szCs w:val="20"/>
                <w:color w:val="auto"/>
              </w:rPr>
            </w:pPr>
            <w:r>
              <w:rPr>
                <w:rFonts w:ascii="Arial" w:cs="Arial" w:eastAsia="Arial" w:hAnsi="Arial"/>
                <w:sz w:val="18"/>
                <w:szCs w:val="18"/>
                <w:color w:val="auto"/>
              </w:rPr>
              <w:t>Fosgonimeton (ATH-1017)</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34,488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10,648</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23,840</w:t>
            </w:r>
          </w:p>
        </w:tc>
        <w:tc>
          <w:tcPr>
            <w:tcW w:w="14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Preclinical programs and other direct costs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2,968</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337</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2,631</w:t>
            </w:r>
          </w:p>
        </w:tc>
        <w:tc>
          <w:tcPr>
            <w:tcW w:w="112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781</w:t>
            </w:r>
          </w:p>
        </w:tc>
        <w:tc>
          <w:tcPr>
            <w:tcW w:w="3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Total direct costs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37,456</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10,985</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26,471</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Indirect costs: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60"/>
              <w:spacing w:after="0" w:line="162" w:lineRule="exact"/>
              <w:rPr>
                <w:sz w:val="20"/>
                <w:szCs w:val="20"/>
                <w:color w:val="auto"/>
              </w:rPr>
            </w:pPr>
            <w:r>
              <w:rPr>
                <w:rFonts w:ascii="Arial" w:cs="Arial" w:eastAsia="Arial" w:hAnsi="Arial"/>
                <w:sz w:val="18"/>
                <w:szCs w:val="18"/>
                <w:color w:val="auto"/>
              </w:rPr>
              <w:t>Personnel-related costs, including stock-</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2,714</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20"/>
              <w:spacing w:after="0"/>
              <w:rPr>
                <w:sz w:val="20"/>
                <w:szCs w:val="20"/>
                <w:color w:val="auto"/>
              </w:rPr>
            </w:pPr>
            <w:r>
              <w:rPr>
                <w:rFonts w:ascii="Arial" w:cs="Arial" w:eastAsia="Arial" w:hAnsi="Arial"/>
                <w:sz w:val="18"/>
                <w:szCs w:val="18"/>
                <w:color w:val="auto"/>
              </w:rPr>
              <w:t>based compensation</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Facilities and other costs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793</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470</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323</w:t>
            </w:r>
          </w:p>
        </w:tc>
        <w:tc>
          <w:tcPr>
            <w:tcW w:w="112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3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line="182"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42,794</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13,286</w:t>
            </w:r>
          </w:p>
        </w:tc>
        <w:tc>
          <w:tcPr>
            <w:tcW w:w="3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29,508</w:t>
            </w:r>
          </w:p>
        </w:tc>
        <w:tc>
          <w:tcPr>
            <w:tcW w:w="1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222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-802005</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-802005</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-802005</wp:posOffset>
            </wp:positionV>
            <wp:extent cx="431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-159385</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-159385</wp:posOffset>
            </wp:positionV>
            <wp:extent cx="431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Research and development expenses increased by $29.5 million, from $13.3 million for the year ended December 31, 2020 to $42.8 million for the year ended December 31, 2021. The increase was driven primarily by an increase in expenses for fosgonimeton of $23.8 million related to continued patient enrollment and clinical site visit activity for our Phase 2 and Phase 3 clinical trials and the corresponding open-label extension for our Phase 2 and Phase 3 clinical trials, an increase in personnel-related costs of $2.7 million due to an increase in headcount and stock-based compensation expense in connection with awards granted subsequent to our IPO, and an increase in preclinical research and development expenses of $2.6 million for new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General and administrative expenses increased by $14.5 million, from $6.7 million for the year ended December 31, 2020 to $ 21.2 million for the year ended December 31, 2021. The increase was primarily due to an increase in personnel-related costs of $5.5 million, due primarily to increases in headcount to support our continued growth and in stock-based compensation expense in connection with awards granted subsequent to our IPO, an increase in legal costs of $3.1 million, which includes costs related to legal proceedings and the board of directors' special committee investigation, an increase in insurance costs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3" w:name="page124"/>
    <w:bookmarkEnd w:id="123"/>
    <w:p>
      <w:pPr>
        <w:jc w:val="both"/>
        <w:spacing w:after="0" w:line="271" w:lineRule="auto"/>
        <w:rPr>
          <w:sz w:val="20"/>
          <w:szCs w:val="20"/>
          <w:color w:val="auto"/>
        </w:rPr>
      </w:pPr>
      <w:r>
        <w:rPr>
          <w:rFonts w:ascii="Arial" w:cs="Arial" w:eastAsia="Arial" w:hAnsi="Arial"/>
          <w:sz w:val="18"/>
          <w:szCs w:val="18"/>
          <w:color w:val="auto"/>
        </w:rPr>
        <w:t>$2.4 million, an increase in facilities costs of $1.4 million, an increase in business development expenses of $1.1 million, and to a lesser extent, increases in accounting, technical and consulting services expenses.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Grant income increased by $7.5 million, from $1.3 million for the year ended December 31, 2020 to $ 8.8 million for the year ended December 31, 2021. The increase was solely driven by research progress on our program that is reimbursable by the NIH grant, under which we recognized grant income of $8.8 million. Grant income recognized during the year ended December 31, 2020 under the Part the Cloud grant did not recur in the year ended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Other income (expense), net, changed from expense of $1.3 million for the year ended December 31, 2020 to income of $0.3 million for the year ended December 31, 2021. Other income for the year ended December 31, 2021 consisted of interest income on our available for sale securities. Other expense for the year ended December 31, 2020 consisted of losses on liability instruments recorded at fair value of $1.2 million, interest expense and accretion of discounts on convertible notes of $0.2 million, offset by a gain of $0.2 million on the extinguishment of convertible notes.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2021, we have raised aggregate net cash proceeds of $407.4 million primarily from the issuance of our common stock, convertible preferred stock, common stock warrants, and convertible notes.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sales of our common stock were as follows: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5"/>
                <w:szCs w:val="15"/>
                <w:color w:val="auto"/>
              </w:rPr>
            </w:pPr>
          </w:p>
        </w:tc>
      </w:tr>
      <w:tr>
        <w:trPr>
          <w:trHeight w:val="175"/>
        </w:trPr>
        <w:tc>
          <w:tcPr>
            <w:tcW w:w="54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16"/>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rPr>
              <w:t>Proceeds</w:t>
            </w:r>
          </w:p>
        </w:tc>
        <w:tc>
          <w:tcPr>
            <w:tcW w:w="80" w:type="dxa"/>
            <w:vAlign w:val="bottom"/>
          </w:tcPr>
          <w:p>
            <w:pPr>
              <w:spacing w:after="0"/>
              <w:rPr>
                <w:sz w:val="15"/>
                <w:szCs w:val="15"/>
                <w:color w:val="auto"/>
              </w:rPr>
            </w:pPr>
          </w:p>
        </w:tc>
      </w:tr>
      <w:tr>
        <w:trPr>
          <w:trHeight w:val="185"/>
        </w:trPr>
        <w:tc>
          <w:tcPr>
            <w:tcW w:w="54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September 2020 IPO</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12,000,000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186.4</w:t>
            </w:r>
          </w:p>
        </w:tc>
        <w:tc>
          <w:tcPr>
            <w:tcW w:w="8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October 2020 overallotment exercise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1,397,712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80" w:type="dxa"/>
            <w:vAlign w:val="bottom"/>
          </w:tcPr>
          <w:p>
            <w:pPr>
              <w:spacing w:after="0"/>
              <w:rPr>
                <w:sz w:val="17"/>
                <w:szCs w:val="17"/>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January 2021 follow-on public offering</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84.1</w:t>
            </w:r>
          </w:p>
        </w:tc>
        <w:tc>
          <w:tcPr>
            <w:tcW w:w="8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February 2021 overallotment exercise</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22.50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80" w:type="dxa"/>
            <w:vAlign w:val="bottom"/>
          </w:tcPr>
          <w:p>
            <w:pPr>
              <w:spacing w:after="0"/>
              <w:rPr>
                <w:sz w:val="17"/>
                <w:szCs w:val="17"/>
                <w:color w:val="auto"/>
              </w:rPr>
            </w:pPr>
          </w:p>
        </w:tc>
      </w:tr>
      <w:tr>
        <w:trPr>
          <w:trHeight w:val="236"/>
        </w:trPr>
        <w:tc>
          <w:tcPr>
            <w:tcW w:w="540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17,997,712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December 31, 2021, we had $319.7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and Future Funding Requirements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material cash requirements include our operating leases for laboratory and office facilities. As of December 31, 2021, we had lease payment obligations of $ 2.7 million, with $0.5 million payable within 12 months. For additional information regarding our lease commitments, see Note 9 to our consolidated financial statements included elsewhere in this report. We are contingently committed to $0.9 million of potential future research and development milestone payments, in addition to sales-based payments and royalties, under our license agreement with WSU. Payments generally are due and payable only upon achievement of certain developmental, regulatory, and sales milestones for which the specific timing cannot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jc w:val="both"/>
        <w:spacing w:after="0"/>
        <w:rPr>
          <w:sz w:val="20"/>
          <w:szCs w:val="20"/>
          <w:color w:val="auto"/>
        </w:rPr>
      </w:pPr>
      <w:r>
        <w:rPr>
          <w:rFonts w:ascii="Arial" w:cs="Arial" w:eastAsia="Arial" w:hAnsi="Arial"/>
          <w:sz w:val="18"/>
          <w:szCs w:val="18"/>
          <w:color w:val="auto"/>
        </w:rPr>
        <w:t>be predicted. Refer to Note 7 to our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product candidates through clinical trials and increase our headcount to support our operations as we advance through clinical development and incur legal and other professional expenses related to our ongoing class action litigation and proxy contest. We cannot predict with certainty the amount and timing of these increased expenses.</w:t>
      </w:r>
    </w:p>
    <w:p>
      <w:pPr>
        <w:spacing w:after="0" w:line="7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Based upon our current operating plan, we estimate that our $319.7 million of cash, cash equivalents, and investments at December 31, 2021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6"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02"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related to ongoing legal proceedings;</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expanding our laboratory and office facilities; and</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7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118"/>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79"/>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(43,098 )</w:t>
            </w:r>
          </w:p>
        </w:tc>
        <w:tc>
          <w:tcPr>
            <w:tcW w:w="46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(24,113 )</w:t>
            </w:r>
          </w:p>
        </w:tc>
      </w:tr>
      <w:tr>
        <w:trPr>
          <w:trHeight w:val="203"/>
        </w:trPr>
        <w:tc>
          <w:tcPr>
            <w:tcW w:w="57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(4,079 )</w:t>
            </w:r>
          </w:p>
        </w:tc>
        <w:tc>
          <w:tcPr>
            <w:tcW w:w="4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(210,068 )</w:t>
            </w:r>
          </w:p>
        </w:tc>
      </w:tr>
      <w:tr>
        <w:trPr>
          <w:trHeight w:val="203"/>
        </w:trPr>
        <w:tc>
          <w:tcPr>
            <w:tcW w:w="5720" w:type="dxa"/>
            <w:vAlign w:val="bottom"/>
          </w:tcPr>
          <w:p>
            <w:pPr>
              <w:ind w:left="260"/>
              <w:spacing w:after="0" w:line="202" w:lineRule="exact"/>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97,089</w:t>
            </w: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292,750</w:t>
            </w:r>
          </w:p>
        </w:tc>
        <w:tc>
          <w:tcPr>
            <w:tcW w:w="100" w:type="dxa"/>
            <w:vAlign w:val="bottom"/>
          </w:tcPr>
          <w:p>
            <w:pPr>
              <w:spacing w:after="0"/>
              <w:rPr>
                <w:sz w:val="17"/>
                <w:szCs w:val="17"/>
                <w:color w:val="auto"/>
              </w:rPr>
            </w:pPr>
          </w:p>
        </w:tc>
      </w:tr>
      <w:tr>
        <w:trPr>
          <w:trHeight w:val="236"/>
        </w:trPr>
        <w:tc>
          <w:tcPr>
            <w:tcW w:w="5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49,912</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center"/>
              <w:ind w:right="27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58,569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During the year ended December 31, 2021, net cash used in operating activities was $ 43.1 million. This consisted primarily of a net loss of $54.9 million, partially offset by non-cash charges of $5.6 million and a decrease in our net operating assets of $6.2 million. The non-cash charges primarily consisted of stock-based compensation expense, depreciation expense, and amortization of premiums and accretion of discounts on our available for sale securities. The decrease in our net operating assets was due to an increase in accounts payable and accrued expenses and a decrease in prepaid expenses and other current assets, partially offset by an increase in unbilled grant receivable.</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During the year ended December 31, 2020, net cash used in operating activities was $ 24.1 million. This consisted primarily of a net loss of $19.9 million, partially offset by non-cash charges of $2.3 million and an increase in our net operating assets of $6.5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unbilled grant receivable and prepaid expenses and other current assets and a decrease in grant liabilities, partially offset by an increase in accounts payable and accrued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 ended December 31, 2021, net cash used in investing activities was $4.1 million. This consisted primarily of purchases of available-for-sale securities of $299.2 million and purchases of property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8"/>
          <w:szCs w:val="18"/>
          <w:color w:val="auto"/>
        </w:rPr>
        <w:t>and equipment of $1.6 million, partially offset by maturities of available-for-sale securities of $278.6 million and sales of available-for-sale securities of $18.1 million.</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2020, net cash used in investing activities was $210.1 million. This consisted primarily of purchases of available-for-sale securities of $226.8 million and purchases of property and equipment of $2.3 million, partially offset by maturities of available-for-sale securities of $19.1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2021, net cash provided by financing activities was $97.1 million, primarily driven by proceeds received from our follow-on public offering, and to a lesser extent from exercises of stock options.</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year ended December 31, 2020, net cash provided by financing activities was $292.8 million. This consisted primarily of net proceeds received from our IPO of $208.5 million, net proceeds of $81.9 million from the issuance of our Series B convertible preferred stock and common stock warrants, $1.7 million from the issuance of our convertible notes, and to a lesser extent from exercises of stock options and common stock warrants.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convertible notes had conversion and redemption features that met the definition of an embedded derivative and were therefore subject to derivative accounting. The initial fair value of the derivative was recorded as a discount to the convertible notes, with a corresponding derivative liability. The discount to the convertible notes was amortized using the effective interest method. The amortization of the discount was included in other income (expense), net in our statements of operations and comprehensive loss. The derivative liability related to these features was recorded at estimated fair value on a recurring basis. Any changes in fair value were reflected in other income (expense), net in our statements of operations and comprehensive loss at each period end while such instruments were outstanding. The derivative liability was remeasured to fair value until its settlement in May 2020 upon the conversion of the underlying convertible notes into shares of our Series B-1 convertible preferred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Freestanding warrants to purchase shares of our convertible preferred stock were accounted for as liabilities at fair value, because the shares underlying the warrants contained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The liability is adjusted for changes in the fair value of these warrants until the earlier of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7" w:name="page128"/>
    <w:bookmarkEnd w:id="127"/>
    <w:p>
      <w:pPr>
        <w:jc w:val="both"/>
        <w:spacing w:after="0" w:line="253" w:lineRule="auto"/>
        <w:rPr>
          <w:sz w:val="20"/>
          <w:szCs w:val="20"/>
          <w:color w:val="auto"/>
        </w:rPr>
      </w:pPr>
      <w:r>
        <w:rPr>
          <w:rFonts w:ascii="Arial" w:cs="Arial" w:eastAsia="Arial" w:hAnsi="Arial"/>
          <w:sz w:val="18"/>
          <w:szCs w:val="18"/>
          <w:color w:val="auto"/>
        </w:rPr>
        <w:t>exercise of the warrants, the expiration of the warrants, or until such time as the warrants are no longer considered liability instruments. The convertible preferred stock warrant liability was remeasured to fair value until its settlement in September 2020 upon the net exercise of warrants in connection with our IPO.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grant liability associated with the grants from the LSDF was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was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consolidated financial statements included elsewhere in this report, as well as a discount rate based on market data for securities with similar durations and credit ratings to us, and the expected payment amount. The assumptions used to calculate the fair value of the grant liability were subject to significant judgment, and payment may be in an amount different from the liability that we estimate. The consummation of our IPO in September 2020 was a triggering event under the terms of the grant and the liability was remeasured to the pay-off amount of $1.5 million as of September 30, 2020 and repaid in full as of December 31,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2019, the Alzheimer’s Association awarded us a $1.0 million Part the Cloud research grant. Grant proceeds must be used to advance our fosgonimeton product candidate in the Alzheimer’s disease setting. In December 2020, we accepted a grant from the National Institutes of Health (“NIH”) to support our ACT-AD Phase 2 clinical trial for fosgonimeton. Under the terms of the agreement, we may receive approximately $7.8 million with the potential for an additional $7.4 million up to an aggregate of $15.2 million. We recognize income related to the Part the Cloud research grant and NIH grant within the consolidated statement of operations and comprehensive loss as qualifying expenses under the grant agreement are incurred. We record qualifying expenses incurred in excess of cash received in unbilled grant receivable on the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ind w:right="20"/>
        <w:spacing w:after="0" w:line="271" w:lineRule="auto"/>
        <w:rPr>
          <w:sz w:val="20"/>
          <w:szCs w:val="20"/>
          <w:color w:val="auto"/>
        </w:rPr>
      </w:pPr>
      <w:r>
        <w:rPr>
          <w:rFonts w:ascii="Arial" w:cs="Arial" w:eastAsia="Arial" w:hAnsi="Arial"/>
          <w:sz w:val="18"/>
          <w:szCs w:val="18"/>
          <w:color w:val="auto"/>
        </w:rPr>
        <w:t>performance-based milestone, management evaluates when the achievement of any such performance-based milestone is probable based on the relative satisfaction of the performance conditions as of the reporting date.</w:t>
      </w:r>
    </w:p>
    <w:p>
      <w:pPr>
        <w:spacing w:after="0" w:line="15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46"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were privately held prior to September 2020 and do not yet have sufficient trading history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See Note 12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recognize stock-based compensation expense for restricted stock units on a straight-line basis over the requisite service period and account for forfeitures as they occur. We recognize compensation expense for restricted stock unit grants subject to performance-based milestone vesting using the accelerated attribution method over the remaining service period when we determine that achievement of the milestone is probable. We evaluate when the achievement of a performance-based milestone is probable based on the relative satisfaction of the performance conditions as of the reporting date. Our stock-based compensation costs for restricted stock units are based upon the fair market value of our common stock based on its closing price as reported on the date of grant on the Nasdaq Global Select Market.</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recorded stock-based compensation expense of $4.6 million and $0.6 million for the years ended December 31, 2021 and 2020, respectively. As of December 31, 2021, there was $10.2 million of total unrecognized stock-based compensation expense related to non-vested stock options which we expect to recognize over a remaining weighted-average period of 1.52 years. As of December 31, 2021, there was $4.8 million of total unrecognized stock-based compensation expense related to non-vested restricted stock units which we expect to recognize over a remaining weighted-average period of 1.33 years.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Historically, for all periods prior to our IPO, since there was no public market of our common stock,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 but are not limited to:</w:t>
      </w:r>
    </w:p>
    <w:p>
      <w:pPr>
        <w:spacing w:after="0" w:line="77"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stage of development and material risks related to our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of our research and development activities;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conditions and projections;</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as a private company;</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0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of key personnel and the experience of management;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developments in our industry;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1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Since the completion of our IPO in September 2020, our board of directors determines the fair market value of our common stock based on its closing price as reported on the date of grant on the Nasdaq Global Select Market.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December 31, 2021, we had $9.5 million of federal net operating loss, or NOL, carryforwards and $2.9 million of tax credit carryforwards which expire over a period of 10 to 16 years. As of December 31, 2021, we had $80.7 million of such NOLs that do not expire.</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to our consolidated financial statements included elsewhere in this report for additional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2" w:name="page133"/>
    <w:bookmarkEnd w:id="132"/>
    <w:p>
      <w:pPr>
        <w:jc w:val="center"/>
        <w:ind w:left="500"/>
        <w:spacing w:after="0"/>
        <w:rPr>
          <w:sz w:val="20"/>
          <w:szCs w:val="20"/>
          <w:color w:val="auto"/>
        </w:rPr>
      </w:pPr>
      <w:r>
        <w:rPr>
          <w:rFonts w:ascii="Arial" w:cs="Arial" w:eastAsia="Arial" w:hAnsi="Arial"/>
          <w:sz w:val="18"/>
          <w:szCs w:val="18"/>
          <w:b w:val="1"/>
          <w:bCs w:val="1"/>
          <w:color w:val="auto"/>
        </w:rPr>
        <w:t>Athira Pharma, Inc.</w:t>
      </w:r>
    </w:p>
    <w:p>
      <w:pPr>
        <w:spacing w:after="0" w:line="10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Index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700" w:type="dxa"/>
            <w:vAlign w:val="bottom"/>
            <w:gridSpan w:val="7"/>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Report of Independent Registered Public Accounting Firm (PCAOB ID: 42)</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Borders>
              <w:top w:val="single" w:sz="8" w:color="0000EE"/>
            </w:tcBorders>
            <w:gridSpan w:val="5"/>
          </w:tcPr>
          <w:p>
            <w:pPr>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Consolidated Balance Sheets</w:t>
              </w:r>
            </w:hyperlink>
          </w:p>
        </w:tc>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20" w:type="dxa"/>
            <w:vAlign w:val="bottom"/>
          </w:tcPr>
          <w:p>
            <w:pPr>
              <w:jc w:val="right"/>
              <w:spacing w:after="0" w:line="169"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2360" w:type="dxa"/>
            <w:vAlign w:val="bottom"/>
            <w:tcBorders>
              <w:top w:val="single" w:sz="8" w:color="0000EE"/>
              <w:bottom w:val="single" w:sz="8" w:color="0000EE"/>
            </w:tcBorders>
          </w:tcPr>
          <w:p>
            <w:pPr>
              <w:spacing w:after="0" w:line="169" w:lineRule="exact"/>
              <w:rPr>
                <w:rFonts w:ascii="Arial" w:cs="Arial" w:eastAsia="Arial" w:hAnsi="Arial"/>
                <w:sz w:val="18"/>
                <w:szCs w:val="18"/>
                <w:color w:val="0000FF"/>
              </w:rPr>
            </w:pPr>
            <w:hyperlink w:anchor="page136">
              <w:r>
                <w:rPr>
                  <w:rFonts w:ascii="Arial" w:cs="Arial" w:eastAsia="Arial" w:hAnsi="Arial"/>
                  <w:sz w:val="18"/>
                  <w:szCs w:val="18"/>
                  <w:color w:val="0000FF"/>
                </w:rPr>
                <w:t>Consolidated Statements of</w:t>
              </w:r>
            </w:hyperlink>
          </w:p>
        </w:tc>
        <w:tc>
          <w:tcPr>
            <w:tcW w:w="2880" w:type="dxa"/>
            <w:vAlign w:val="bottom"/>
            <w:tcBorders>
              <w:bottom w:val="single" w:sz="8" w:color="0000EE"/>
            </w:tcBorders>
            <w:gridSpan w:val="3"/>
          </w:tcPr>
          <w:p>
            <w:pPr>
              <w:spacing w:after="0" w:line="169" w:lineRule="exact"/>
              <w:rPr>
                <w:rFonts w:ascii="Arial" w:cs="Arial" w:eastAsia="Arial" w:hAnsi="Arial"/>
                <w:sz w:val="18"/>
                <w:szCs w:val="18"/>
                <w:color w:val="0000FF"/>
                <w:w w:val="96"/>
              </w:rPr>
            </w:pPr>
            <w:hyperlink w:anchor="page136">
              <w:r>
                <w:rPr>
                  <w:rFonts w:ascii="Arial" w:cs="Arial" w:eastAsia="Arial" w:hAnsi="Arial"/>
                  <w:sz w:val="18"/>
                  <w:szCs w:val="18"/>
                  <w:color w:val="0000FF"/>
                  <w:w w:val="96"/>
                </w:rPr>
                <w:t>Operations and Comprehensive Loss</w:t>
              </w:r>
            </w:hyperlink>
          </w:p>
        </w:tc>
        <w:tc>
          <w:tcPr>
            <w:tcW w:w="3460" w:type="dxa"/>
            <w:vAlign w:val="bottom"/>
            <w:gridSpan w:val="3"/>
          </w:tcPr>
          <w:p>
            <w:pPr>
              <w:spacing w:after="0"/>
              <w:rPr>
                <w:sz w:val="14"/>
                <w:szCs w:val="14"/>
                <w:color w:val="auto"/>
              </w:rPr>
            </w:pPr>
          </w:p>
        </w:tc>
        <w:tc>
          <w:tcPr>
            <w:tcW w:w="2520" w:type="dxa"/>
            <w:vAlign w:val="bottom"/>
          </w:tcPr>
          <w:p>
            <w:pPr>
              <w:jc w:val="right"/>
              <w:spacing w:after="0" w:line="16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7"/>
          </w:tcPr>
          <w:p>
            <w:pPr>
              <w:spacing w:after="0" w:line="169" w:lineRule="exact"/>
              <w:rPr>
                <w:rFonts w:ascii="Arial" w:cs="Arial" w:eastAsia="Arial" w:hAnsi="Arial"/>
                <w:sz w:val="18"/>
                <w:szCs w:val="18"/>
                <w:color w:val="0000FF"/>
              </w:rPr>
            </w:pPr>
            <w:hyperlink w:anchor="page137">
              <w:r>
                <w:rPr>
                  <w:rFonts w:ascii="Arial" w:cs="Arial" w:eastAsia="Arial" w:hAnsi="Arial"/>
                  <w:sz w:val="18"/>
                  <w:szCs w:val="18"/>
                  <w:color w:val="0000FF"/>
                </w:rPr>
                <w:t>Consolidated Statements of Convertible Preferred Stock and Stockholders' Equity</w:t>
              </w:r>
            </w:hyperlink>
          </w:p>
        </w:tc>
        <w:tc>
          <w:tcPr>
            <w:tcW w:w="2520" w:type="dxa"/>
            <w:vAlign w:val="bottom"/>
          </w:tcPr>
          <w:p>
            <w:pPr>
              <w:jc w:val="right"/>
              <w:spacing w:after="0" w:line="169"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500" w:type="dxa"/>
            <w:vAlign w:val="bottom"/>
            <w:tcBorders>
              <w:top w:val="single" w:sz="8" w:color="0000EE"/>
            </w:tcBorders>
            <w:gridSpan w:val="6"/>
          </w:tcPr>
          <w:p>
            <w:pPr>
              <w:spacing w:after="0" w:line="169" w:lineRule="exact"/>
              <w:rPr>
                <w:rFonts w:ascii="Arial" w:cs="Arial" w:eastAsia="Arial" w:hAnsi="Arial"/>
                <w:sz w:val="18"/>
                <w:szCs w:val="18"/>
                <w:color w:val="0000FF"/>
              </w:rPr>
            </w:pPr>
            <w:hyperlink w:anchor="page138">
              <w:r>
                <w:rPr>
                  <w:rFonts w:ascii="Arial" w:cs="Arial" w:eastAsia="Arial" w:hAnsi="Arial"/>
                  <w:sz w:val="18"/>
                  <w:szCs w:val="18"/>
                  <w:color w:val="0000FF"/>
                </w:rPr>
                <w:t>Consolidated Statements of Cash Flows</w:t>
              </w:r>
            </w:hyperlink>
          </w:p>
        </w:tc>
        <w:tc>
          <w:tcPr>
            <w:tcW w:w="2200" w:type="dxa"/>
            <w:vAlign w:val="bottom"/>
          </w:tcPr>
          <w:p>
            <w:pPr>
              <w:spacing w:after="0"/>
              <w:rPr>
                <w:sz w:val="14"/>
                <w:szCs w:val="14"/>
                <w:color w:val="auto"/>
              </w:rPr>
            </w:pPr>
          </w:p>
        </w:tc>
        <w:tc>
          <w:tcPr>
            <w:tcW w:w="2520" w:type="dxa"/>
            <w:vAlign w:val="bottom"/>
          </w:tcPr>
          <w:p>
            <w:pPr>
              <w:jc w:val="right"/>
              <w:spacing w:after="0" w:line="169"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25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gridSpan w:val="7"/>
          </w:tcPr>
          <w:p>
            <w:pPr>
              <w:spacing w:after="0" w:line="169" w:lineRule="exact"/>
              <w:rPr>
                <w:rFonts w:ascii="Arial" w:cs="Arial" w:eastAsia="Arial" w:hAnsi="Arial"/>
                <w:sz w:val="18"/>
                <w:szCs w:val="18"/>
                <w:color w:val="0000FF"/>
              </w:rPr>
            </w:pPr>
            <w:hyperlink w:anchor="page139">
              <w:r>
                <w:rPr>
                  <w:rFonts w:ascii="Arial" w:cs="Arial" w:eastAsia="Arial" w:hAnsi="Arial"/>
                  <w:sz w:val="18"/>
                  <w:szCs w:val="18"/>
                  <w:color w:val="0000FF"/>
                </w:rPr>
                <w:t>Notes to Consolidated Financial Statements</w:t>
              </w:r>
            </w:hyperlink>
          </w:p>
        </w:tc>
        <w:tc>
          <w:tcPr>
            <w:tcW w:w="2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3500" w:type="dxa"/>
            <w:vAlign w:val="bottom"/>
            <w:tcBorders>
              <w:top w:val="single" w:sz="8" w:color="0000EE"/>
            </w:tcBorders>
            <w:gridSpan w:val="3"/>
          </w:tcPr>
          <w:p>
            <w:pPr>
              <w:spacing w:after="0"/>
              <w:rPr>
                <w:sz w:val="24"/>
                <w:szCs w:val="24"/>
                <w:color w:val="auto"/>
              </w:rPr>
            </w:pPr>
          </w:p>
        </w:tc>
        <w:tc>
          <w:tcPr>
            <w:tcW w:w="244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ind w:right="2260" w:firstLine="2269"/>
        <w:spacing w:after="0" w:line="443"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Stockholders and the Board of Directors of Athira Pharma, Inc.: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04"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We have audited the accompanying consolidated balance sheets of Athira Pharma, Inc. (the Company) as of December 31, 2021 and 2020, the related consolidated statements of operations and comprehensive loss, convertible preferred stock and stockholders’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04"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March 28, 2022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110,537</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143,222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124,057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Unbilled grant receivable</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2,336</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4,704</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260,799</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192,337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3,757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1,460</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65,936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83,509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52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332,008</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8,437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Current operating lease liability</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w:t>
            </w: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52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9,292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liability, less current portion</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1,632</w:t>
            </w:r>
          </w:p>
        </w:tc>
        <w:tc>
          <w:tcPr>
            <w:tcW w:w="2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10,924</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80"/>
              <w:spacing w:after="0" w:line="162" w:lineRule="exact"/>
              <w:rPr>
                <w:sz w:val="20"/>
                <w:szCs w:val="20"/>
                <w:color w:val="auto"/>
              </w:rPr>
            </w:pPr>
            <w:r>
              <w:rPr>
                <w:rFonts w:ascii="Arial" w:cs="Arial" w:eastAsia="Arial" w:hAnsi="Arial"/>
                <w:sz w:val="18"/>
                <w:szCs w:val="18"/>
                <w:color w:val="auto"/>
              </w:rPr>
              <w:t>Common stock, $0.0001 par value; 900,000,000 shares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tcPr>
          <w:p>
            <w:pPr>
              <w:ind w:left="420"/>
              <w:spacing w:after="0" w:line="176" w:lineRule="exact"/>
              <w:rPr>
                <w:sz w:val="20"/>
                <w:szCs w:val="20"/>
                <w:color w:val="auto"/>
              </w:rPr>
            </w:pPr>
            <w:r>
              <w:rPr>
                <w:rFonts w:ascii="Arial" w:cs="Arial" w:eastAsia="Arial" w:hAnsi="Arial"/>
                <w:sz w:val="18"/>
                <w:szCs w:val="18"/>
                <w:color w:val="auto"/>
              </w:rPr>
              <w:t>authorized at December 31, 2021 and December 31, 2020,</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420"/>
              <w:spacing w:after="0" w:line="176" w:lineRule="exact"/>
              <w:rPr>
                <w:sz w:val="20"/>
                <w:szCs w:val="20"/>
                <w:color w:val="auto"/>
              </w:rPr>
            </w:pPr>
            <w:r>
              <w:rPr>
                <w:rFonts w:ascii="Arial" w:cs="Arial" w:eastAsia="Arial" w:hAnsi="Arial"/>
                <w:sz w:val="18"/>
                <w:szCs w:val="18"/>
                <w:color w:val="auto"/>
              </w:rPr>
              <w:t>respectively; 37,379,077 and 32,485,784 shares issued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20" w:type="dxa"/>
            <w:vAlign w:val="bottom"/>
          </w:tcPr>
          <w:p>
            <w:pPr>
              <w:ind w:left="420"/>
              <w:spacing w:after="0" w:line="176" w:lineRule="exact"/>
              <w:rPr>
                <w:sz w:val="20"/>
                <w:szCs w:val="20"/>
                <w:color w:val="auto"/>
              </w:rPr>
            </w:pPr>
            <w:r>
              <w:rPr>
                <w:rFonts w:ascii="Arial" w:cs="Arial" w:eastAsia="Arial" w:hAnsi="Arial"/>
                <w:sz w:val="18"/>
                <w:szCs w:val="18"/>
                <w:color w:val="auto"/>
              </w:rPr>
              <w:t>and outstanding at December 31, 2021 and December 31,</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20"/>
              <w:spacing w:after="0"/>
              <w:rPr>
                <w:sz w:val="20"/>
                <w:szCs w:val="20"/>
                <w:color w:val="auto"/>
              </w:rPr>
            </w:pPr>
            <w:r>
              <w:rPr>
                <w:rFonts w:ascii="Arial" w:cs="Arial" w:eastAsia="Arial" w:hAnsi="Arial"/>
                <w:sz w:val="18"/>
                <w:szCs w:val="18"/>
                <w:color w:val="auto"/>
              </w:rPr>
              <w:t>2020, respectively</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417,363</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315,288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28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38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(388 )</w:t>
            </w: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(95,895 )</w:t>
            </w:r>
          </w:p>
        </w:tc>
        <w:tc>
          <w:tcPr>
            <w:tcW w:w="4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(41,042 )</w:t>
            </w:r>
          </w:p>
        </w:tc>
        <w:tc>
          <w:tcPr>
            <w:tcW w:w="0" w:type="dxa"/>
            <w:vAlign w:val="bottom"/>
          </w:tcPr>
          <w:p>
            <w:pPr>
              <w:spacing w:after="0"/>
              <w:rPr>
                <w:sz w:val="1"/>
                <w:szCs w:val="1"/>
                <w:color w:val="auto"/>
              </w:rPr>
            </w:pPr>
          </w:p>
        </w:tc>
      </w:tr>
      <w:tr>
        <w:trPr>
          <w:trHeight w:val="196"/>
        </w:trPr>
        <w:tc>
          <w:tcPr>
            <w:tcW w:w="7620" w:type="dxa"/>
            <w:vAlign w:val="bottom"/>
            <w:tcBorders>
              <w:top w:val="single" w:sz="8" w:color="CFF0FC"/>
            </w:tcBorders>
          </w:tcPr>
          <w:p>
            <w:pPr>
              <w:ind w:left="520"/>
              <w:spacing w:after="0" w:line="196" w:lineRule="exact"/>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321,084</w:t>
            </w:r>
          </w:p>
        </w:tc>
        <w:tc>
          <w:tcPr>
            <w:tcW w:w="28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274,282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2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332,008</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279,563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-2602230</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-2602230</wp:posOffset>
            </wp:positionV>
            <wp:extent cx="596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-1796415</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-1796415</wp:posOffset>
            </wp:positionV>
            <wp:extent cx="596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-1530985</wp:posOffset>
            </wp:positionV>
            <wp:extent cx="685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-1530985</wp:posOffset>
            </wp:positionV>
            <wp:extent cx="596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-296545</wp:posOffset>
            </wp:positionV>
            <wp:extent cx="685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5"/>
          </w:tcPr>
          <w:p>
            <w:pPr>
              <w:jc w:val="right"/>
              <w:ind w:right="91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42,794</w:t>
            </w:r>
          </w:p>
        </w:tc>
        <w:tc>
          <w:tcPr>
            <w:tcW w:w="30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21,228</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64,022</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(64,022</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(19,995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Grant income</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8,835</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(1,281 )</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(54,853 )</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(19,955 )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Unrealized (loss) gain on available-for-sale securities</w:t>
            </w: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(421</w:t>
            </w:r>
          </w:p>
        </w:tc>
        <w:tc>
          <w:tcPr>
            <w:tcW w:w="300" w:type="dxa"/>
            <w:vAlign w:val="bottom"/>
            <w:tcBorders>
              <w:bottom w:val="single" w:sz="8" w:color="CFF0FC"/>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 attributable to common stockholders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(55,274 )</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(19,922 )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Net loss per share attributable to common</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(1.49 )</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80"/>
              <w:spacing w:after="0" w:line="156" w:lineRule="exact"/>
              <w:rPr>
                <w:sz w:val="20"/>
                <w:szCs w:val="20"/>
                <w:color w:val="auto"/>
              </w:rPr>
            </w:pPr>
            <w:r>
              <w:rPr>
                <w:rFonts w:ascii="Arial" w:cs="Arial" w:eastAsia="Arial" w:hAnsi="Arial"/>
                <w:sz w:val="18"/>
                <w:szCs w:val="18"/>
                <w:color w:val="auto"/>
              </w:rPr>
              <w:t>stockholders, basic and diluted</w:t>
            </w:r>
          </w:p>
        </w:tc>
        <w:tc>
          <w:tcPr>
            <w:tcW w:w="380" w:type="dxa"/>
            <w:vAlign w:val="bottom"/>
            <w:vMerge w:val="continue"/>
            <w:shd w:val="clear" w:color="auto" w:fill="CFF0FC"/>
          </w:tcPr>
          <w:p>
            <w:pPr>
              <w:spacing w:after="0"/>
              <w:rPr>
                <w:sz w:val="18"/>
                <w:szCs w:val="18"/>
                <w:color w:val="auto"/>
              </w:rPr>
            </w:pPr>
          </w:p>
        </w:tc>
        <w:tc>
          <w:tcPr>
            <w:tcW w:w="1560" w:type="dxa"/>
            <w:vAlign w:val="bottom"/>
            <w:gridSpan w:val="2"/>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7600" w:type="dxa"/>
            <w:vAlign w:val="bottom"/>
            <w:tcBorders>
              <w:top w:val="single" w:sz="8" w:color="CFF0FC"/>
            </w:tcBorders>
          </w:tcPr>
          <w:p>
            <w:pPr>
              <w:ind w:left="20"/>
              <w:spacing w:after="0" w:line="142" w:lineRule="exact"/>
              <w:rPr>
                <w:sz w:val="20"/>
                <w:szCs w:val="20"/>
                <w:color w:val="auto"/>
              </w:rPr>
            </w:pPr>
            <w:r>
              <w:rPr>
                <w:rFonts w:ascii="Arial" w:cs="Arial" w:eastAsia="Arial" w:hAnsi="Arial"/>
                <w:sz w:val="16"/>
                <w:szCs w:val="16"/>
                <w:color w:val="auto"/>
              </w:rPr>
              <w:t>Weighted-average shares used in computing</w:t>
            </w:r>
          </w:p>
        </w:tc>
        <w:tc>
          <w:tcPr>
            <w:tcW w:w="3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180"/>
              <w:spacing w:after="0" w:line="176"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36,921,172</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11,966,912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180"/>
              <w:spacing w:after="0" w:line="156" w:lineRule="exact"/>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-1573530</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-1573530</wp:posOffset>
            </wp:positionV>
            <wp:extent cx="596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-1042035</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-1042035</wp:posOffset>
            </wp:positionV>
            <wp:extent cx="596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-750570</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-750570</wp:posOffset>
            </wp:positionV>
            <wp:extent cx="5969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-376555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-359410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-376555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-359410</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940" w:type="dxa"/>
            <w:vAlign w:val="bottom"/>
            <w:tcBorders>
              <w:right w:val="single" w:sz="8" w:color="auto"/>
            </w:tcBorders>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Convertible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940" w:type="dxa"/>
            <w:vAlign w:val="bottom"/>
            <w:tcBorders>
              <w:right w:val="single" w:sz="8" w:color="auto"/>
            </w:tcBorders>
            <w:gridSpan w:val="5"/>
            <w:vMerge w:val="continue"/>
          </w:tcPr>
          <w:p>
            <w:pPr>
              <w:spacing w:after="0"/>
              <w:rPr>
                <w:sz w:val="12"/>
                <w:szCs w:val="12"/>
                <w:color w:val="auto"/>
              </w:rPr>
            </w:pPr>
          </w:p>
        </w:tc>
        <w:tc>
          <w:tcPr>
            <w:tcW w:w="178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Comprehensi</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08"/>
              <w:spacing w:after="0" w:line="145"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940" w:type="dxa"/>
            <w:vAlign w:val="bottom"/>
            <w:tcBorders>
              <w:right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Preferred Stock</w:t>
            </w:r>
          </w:p>
        </w:tc>
        <w:tc>
          <w:tcPr>
            <w:tcW w:w="17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ve</w:t>
            </w:r>
          </w:p>
        </w:tc>
        <w:tc>
          <w:tcPr>
            <w:tcW w:w="160" w:type="dxa"/>
            <w:vAlign w:val="bottom"/>
          </w:tcPr>
          <w:p>
            <w:pPr>
              <w:spacing w:after="0"/>
              <w:rPr>
                <w:sz w:val="15"/>
                <w:szCs w:val="15"/>
                <w:color w:val="auto"/>
              </w:rPr>
            </w:pPr>
          </w:p>
        </w:tc>
        <w:tc>
          <w:tcPr>
            <w:tcW w:w="8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5"/>
                <w:szCs w:val="15"/>
                <w:color w:val="auto"/>
              </w:rPr>
            </w:pPr>
          </w:p>
        </w:tc>
        <w:tc>
          <w:tcPr>
            <w:tcW w:w="82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9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right w:val="single" w:sz="8" w:color="auto"/>
            </w:tcBorders>
          </w:tcPr>
          <w:p>
            <w:pPr>
              <w:spacing w:after="0"/>
              <w:rPr>
                <w:sz w:val="14"/>
                <w:szCs w:val="14"/>
                <w:color w:val="auto"/>
              </w:rPr>
            </w:pPr>
          </w:p>
        </w:tc>
        <w:tc>
          <w:tcPr>
            <w:tcW w:w="8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4"/>
                <w:szCs w:val="14"/>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2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January 1, 2020</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2,617,386</w:t>
            </w: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180" w:type="dxa"/>
            <w:vAlign w:val="bottom"/>
            <w:tcBorders>
              <w:right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3,641,449</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1,364</w:t>
            </w:r>
          </w:p>
        </w:tc>
        <w:tc>
          <w:tcPr>
            <w:tcW w:w="1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(21,087</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(19,723</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39"/>
        </w:trPr>
        <w:tc>
          <w:tcPr>
            <w:tcW w:w="3320" w:type="dxa"/>
            <w:vAlign w:val="bottom"/>
          </w:tcPr>
          <w:p>
            <w:pPr>
              <w:ind w:left="200"/>
              <w:spacing w:after="0" w:line="139" w:lineRule="exact"/>
              <w:rPr>
                <w:sz w:val="20"/>
                <w:szCs w:val="20"/>
                <w:color w:val="auto"/>
              </w:rPr>
            </w:pPr>
            <w:r>
              <w:rPr>
                <w:rFonts w:ascii="Arial" w:cs="Arial" w:eastAsia="Arial" w:hAnsi="Arial"/>
                <w:sz w:val="14"/>
                <w:szCs w:val="14"/>
                <w:color w:val="auto"/>
              </w:rPr>
              <w:t>Issuance of common stock upon exercise of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540,934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320"/>
              <w:spacing w:after="0"/>
              <w:rPr>
                <w:sz w:val="20"/>
                <w:szCs w:val="20"/>
                <w:color w:val="auto"/>
              </w:rPr>
            </w:pPr>
            <w:r>
              <w:rPr>
                <w:rFonts w:ascii="Arial" w:cs="Arial" w:eastAsia="Arial" w:hAnsi="Arial"/>
                <w:sz w:val="14"/>
                <w:szCs w:val="14"/>
                <w:color w:val="auto"/>
              </w:rPr>
              <w:t>common stock options</w:t>
            </w: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Issuance of Series B convertible preferred</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stock</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320"/>
              <w:spacing w:after="0" w:line="149" w:lineRule="exact"/>
              <w:rPr>
                <w:sz w:val="20"/>
                <w:szCs w:val="20"/>
                <w:color w:val="auto"/>
              </w:rPr>
            </w:pPr>
            <w:r>
              <w:rPr>
                <w:rFonts w:ascii="Arial" w:cs="Arial" w:eastAsia="Arial" w:hAnsi="Arial"/>
                <w:sz w:val="14"/>
                <w:szCs w:val="14"/>
                <w:color w:val="auto"/>
              </w:rPr>
              <w:t>and common stock warrants, net of issuance</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9,372,765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70,971</w:t>
            </w:r>
          </w:p>
        </w:tc>
        <w:tc>
          <w:tcPr>
            <w:tcW w:w="180" w:type="dxa"/>
            <w:vAlign w:val="bottom"/>
            <w:tcBorders>
              <w:right w:val="single" w:sz="8" w:color="auto"/>
            </w:tcBorders>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10,591</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10,591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shd w:val="clear" w:color="auto" w:fill="CFF0FC"/>
          </w:tcPr>
          <w:p>
            <w:pPr>
              <w:ind w:left="320"/>
              <w:spacing w:after="0"/>
              <w:rPr>
                <w:sz w:val="20"/>
                <w:szCs w:val="20"/>
                <w:color w:val="auto"/>
              </w:rPr>
            </w:pPr>
            <w:r>
              <w:rPr>
                <w:rFonts w:ascii="Arial" w:cs="Arial" w:eastAsia="Arial" w:hAnsi="Arial"/>
                <w:sz w:val="14"/>
                <w:szCs w:val="14"/>
                <w:color w:val="auto"/>
              </w:rPr>
              <w:t>costs</w:t>
            </w:r>
          </w:p>
        </w:tc>
        <w:tc>
          <w:tcPr>
            <w:tcW w:w="8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tcPr>
          <w:p>
            <w:pPr>
              <w:ind w:left="200"/>
              <w:spacing w:after="0" w:line="139" w:lineRule="exact"/>
              <w:rPr>
                <w:sz w:val="20"/>
                <w:szCs w:val="20"/>
                <w:color w:val="auto"/>
              </w:rPr>
            </w:pPr>
            <w:r>
              <w:rPr>
                <w:rFonts w:ascii="Arial" w:cs="Arial" w:eastAsia="Arial" w:hAnsi="Arial"/>
                <w:sz w:val="14"/>
                <w:szCs w:val="14"/>
                <w:color w:val="auto"/>
              </w:rPr>
              <w:t>Issuance of the Series B-1 convertible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preferred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512,858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4,515</w:t>
            </w:r>
          </w:p>
        </w:tc>
        <w:tc>
          <w:tcPr>
            <w:tcW w:w="180" w:type="dxa"/>
            <w:vAlign w:val="bottom"/>
            <w:tcBorders>
              <w:right w:val="single" w:sz="8" w:color="auto"/>
            </w:tcBorders>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320" w:type="dxa"/>
            <w:vAlign w:val="bottom"/>
          </w:tcPr>
          <w:p>
            <w:pPr>
              <w:ind w:left="320"/>
              <w:spacing w:after="0"/>
              <w:rPr>
                <w:sz w:val="20"/>
                <w:szCs w:val="20"/>
                <w:color w:val="auto"/>
              </w:rPr>
            </w:pPr>
            <w:r>
              <w:rPr>
                <w:rFonts w:ascii="Arial" w:cs="Arial" w:eastAsia="Arial" w:hAnsi="Arial"/>
                <w:sz w:val="14"/>
                <w:szCs w:val="14"/>
                <w:color w:val="auto"/>
              </w:rPr>
              <w:t>stock upon conversion of convertible notes</w:t>
            </w: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Proceeds from initial public offering, net of</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320"/>
              <w:spacing w:after="0" w:line="149" w:lineRule="exact"/>
              <w:rPr>
                <w:sz w:val="20"/>
                <w:szCs w:val="20"/>
                <w:color w:val="auto"/>
              </w:rPr>
            </w:pPr>
            <w:r>
              <w:rPr>
                <w:rFonts w:ascii="Arial" w:cs="Arial" w:eastAsia="Arial" w:hAnsi="Arial"/>
                <w:sz w:val="14"/>
                <w:szCs w:val="14"/>
                <w:color w:val="auto"/>
              </w:rPr>
              <w:t>underwriters' discounts and commissions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13,397,712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208,515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208,517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shd w:val="clear" w:color="auto" w:fill="CFF0FC"/>
          </w:tcPr>
          <w:p>
            <w:pPr>
              <w:ind w:left="320"/>
              <w:spacing w:after="0"/>
              <w:rPr>
                <w:sz w:val="20"/>
                <w:szCs w:val="20"/>
                <w:color w:val="auto"/>
              </w:rPr>
            </w:pPr>
            <w:r>
              <w:rPr>
                <w:rFonts w:ascii="Arial" w:cs="Arial" w:eastAsia="Arial" w:hAnsi="Arial"/>
                <w:sz w:val="14"/>
                <w:szCs w:val="14"/>
                <w:color w:val="auto"/>
              </w:rPr>
              <w:t>issuance costs</w:t>
            </w:r>
          </w:p>
        </w:tc>
        <w:tc>
          <w:tcPr>
            <w:tcW w:w="9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auto"/>
            </w:tcBorders>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vMerge w:val="restart"/>
          </w:tcPr>
          <w:p>
            <w:pPr>
              <w:ind w:left="200"/>
              <w:spacing w:after="0"/>
              <w:rPr>
                <w:sz w:val="20"/>
                <w:szCs w:val="20"/>
                <w:color w:val="auto"/>
              </w:rPr>
            </w:pPr>
            <w:r>
              <w:rPr>
                <w:rFonts w:ascii="Arial" w:cs="Arial" w:eastAsia="Arial" w:hAnsi="Arial"/>
                <w:sz w:val="14"/>
                <w:szCs w:val="14"/>
                <w:color w:val="auto"/>
              </w:rPr>
              <w:t>Conversion of convertible preferred stock</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(12,503,00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4"/>
                <w:szCs w:val="14"/>
                <w:color w:val="auto"/>
              </w:rPr>
              <w:t>(92,537 )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12,503,009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92,536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vMerge w:val="continue"/>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9 )</w:t>
            </w:r>
          </w:p>
        </w:tc>
        <w:tc>
          <w:tcPr>
            <w:tcW w:w="12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common stock warrants</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2,402,680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gain on available-for-sale securities</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(19,955 )</w:t>
            </w: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(19,955 )</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right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32,485,784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315,288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(41,042</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274,282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320" w:type="dxa"/>
            <w:vAlign w:val="bottom"/>
          </w:tcPr>
          <w:p>
            <w:pPr>
              <w:ind w:left="200"/>
              <w:spacing w:after="0" w:line="120" w:lineRule="exact"/>
              <w:rPr>
                <w:sz w:val="20"/>
                <w:szCs w:val="20"/>
                <w:color w:val="auto"/>
              </w:rPr>
            </w:pPr>
            <w:r>
              <w:rPr>
                <w:rFonts w:ascii="Arial" w:cs="Arial" w:eastAsia="Arial" w:hAnsi="Arial"/>
                <w:sz w:val="13"/>
                <w:szCs w:val="13"/>
                <w:color w:val="auto"/>
              </w:rPr>
              <w:t>Issuance of common stock upon exercise of</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320"/>
              <w:spacing w:after="0" w:line="149" w:lineRule="exact"/>
              <w:rPr>
                <w:sz w:val="20"/>
                <w:szCs w:val="20"/>
                <w:color w:val="auto"/>
              </w:rPr>
            </w:pPr>
            <w:r>
              <w:rPr>
                <w:rFonts w:ascii="Arial" w:cs="Arial" w:eastAsia="Arial" w:hAnsi="Arial"/>
                <w:sz w:val="14"/>
                <w:szCs w:val="14"/>
                <w:color w:val="auto"/>
              </w:rPr>
              <w:t>common stock options and vesting of</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restricted</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266,653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320"/>
              <w:spacing w:after="0"/>
              <w:rPr>
                <w:sz w:val="20"/>
                <w:szCs w:val="20"/>
                <w:color w:val="auto"/>
              </w:rPr>
            </w:pPr>
            <w:r>
              <w:rPr>
                <w:rFonts w:ascii="Arial" w:cs="Arial" w:eastAsia="Arial" w:hAnsi="Arial"/>
                <w:sz w:val="14"/>
                <w:szCs w:val="14"/>
                <w:color w:val="auto"/>
              </w:rPr>
              <w:t>stock units</w:t>
            </w: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Issuance of common stock under employee</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rPr>
              <w:t>stock</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26,640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shd w:val="clear" w:color="auto" w:fill="CFF0FC"/>
          </w:tcPr>
          <w:p>
            <w:pPr>
              <w:ind w:left="320"/>
              <w:spacing w:after="0"/>
              <w:rPr>
                <w:sz w:val="20"/>
                <w:szCs w:val="20"/>
                <w:color w:val="auto"/>
              </w:rPr>
            </w:pPr>
            <w:r>
              <w:rPr>
                <w:rFonts w:ascii="Arial" w:cs="Arial" w:eastAsia="Arial" w:hAnsi="Arial"/>
                <w:sz w:val="14"/>
                <w:szCs w:val="14"/>
                <w:color w:val="auto"/>
              </w:rPr>
              <w:t>purchase plan</w:t>
            </w:r>
          </w:p>
        </w:tc>
        <w:tc>
          <w:tcPr>
            <w:tcW w:w="9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auto"/>
            </w:tcBorders>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tcPr>
          <w:p>
            <w:pPr>
              <w:ind w:left="200"/>
              <w:spacing w:after="0" w:line="139" w:lineRule="exact"/>
              <w:rPr>
                <w:sz w:val="20"/>
                <w:szCs w:val="20"/>
                <w:color w:val="auto"/>
              </w:rPr>
            </w:pPr>
            <w:r>
              <w:rPr>
                <w:rFonts w:ascii="Arial" w:cs="Arial" w:eastAsia="Arial" w:hAnsi="Arial"/>
                <w:sz w:val="14"/>
                <w:szCs w:val="14"/>
                <w:color w:val="auto"/>
              </w:rPr>
              <w:t>Proceeds from follow-on public offering, net of</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320"/>
              <w:spacing w:after="0" w:line="149" w:lineRule="exact"/>
              <w:rPr>
                <w:sz w:val="20"/>
                <w:szCs w:val="20"/>
                <w:color w:val="auto"/>
              </w:rPr>
            </w:pPr>
            <w:r>
              <w:rPr>
                <w:rFonts w:ascii="Arial" w:cs="Arial" w:eastAsia="Arial" w:hAnsi="Arial"/>
                <w:sz w:val="14"/>
                <w:szCs w:val="14"/>
                <w:color w:val="auto"/>
              </w:rPr>
              <w:t>underwriters' discounts and commissions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4,600,000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96,761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96,762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320"/>
              <w:spacing w:after="0"/>
              <w:rPr>
                <w:sz w:val="20"/>
                <w:szCs w:val="20"/>
                <w:color w:val="auto"/>
              </w:rPr>
            </w:pPr>
            <w:r>
              <w:rPr>
                <w:rFonts w:ascii="Arial" w:cs="Arial" w:eastAsia="Arial" w:hAnsi="Arial"/>
                <w:sz w:val="14"/>
                <w:szCs w:val="14"/>
                <w:color w:val="auto"/>
              </w:rPr>
              <w:t>issuance costs</w:t>
            </w: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Unrealized loss on available-for-sale securities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(421 )</w:t>
            </w:r>
          </w:p>
        </w:tc>
        <w:tc>
          <w:tcPr>
            <w:tcW w:w="160" w:type="dxa"/>
            <w:vAlign w:val="bottom"/>
          </w:tcPr>
          <w:p>
            <w:pPr>
              <w:spacing w:after="0"/>
              <w:rPr>
                <w:sz w:val="15"/>
                <w:szCs w:val="15"/>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(421 )</w:t>
            </w: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(54,853 )</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(54,853 )</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auto"/>
            </w:tcBorders>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37,379,077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417,363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(388 )</w:t>
            </w:r>
          </w:p>
        </w:tc>
        <w:tc>
          <w:tcPr>
            <w:tcW w:w="160" w:type="dxa"/>
            <w:vAlign w:val="bottom"/>
          </w:tcPr>
          <w:p>
            <w:pPr>
              <w:spacing w:after="0"/>
              <w:rPr>
                <w:sz w:val="14"/>
                <w:szCs w:val="14"/>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4"/>
                <w:szCs w:val="14"/>
                <w:color w:val="auto"/>
              </w:rPr>
              <w:t>(95,895 )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321,084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-1593850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-1576705</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-1593850</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-1576705</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-1593850</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-1576705</wp:posOffset>
            </wp:positionV>
            <wp:extent cx="342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-1593850</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-1576705</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-1593850</wp:posOffset>
            </wp:positionV>
            <wp:extent cx="260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-1576705</wp:posOffset>
            </wp:positionV>
            <wp:extent cx="260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-1593850</wp:posOffset>
            </wp:positionV>
            <wp:extent cx="342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-1576705</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-1593850</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-1576705</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-1593850</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-1576705</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-142240</wp:posOffset>
            </wp:positionV>
            <wp:extent cx="431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-142240</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-142240</wp:posOffset>
            </wp:positionV>
            <wp:extent cx="3429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-142240</wp:posOffset>
            </wp:positionV>
            <wp:extent cx="3429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-142240</wp:posOffset>
            </wp:positionV>
            <wp:extent cx="260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-142240</wp:posOffset>
            </wp:positionV>
            <wp:extent cx="3429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-142240</wp:posOffset>
            </wp:positionV>
            <wp:extent cx="3429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-142240</wp:posOffset>
            </wp:positionV>
            <wp:extent cx="3429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(54,853 )</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(19,955 )</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4,623</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expense</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80"/>
              <w:spacing w:after="0"/>
              <w:rPr>
                <w:sz w:val="20"/>
                <w:szCs w:val="20"/>
                <w:color w:val="auto"/>
              </w:rPr>
            </w:pPr>
            <w:r>
              <w:rPr>
                <w:rFonts w:ascii="Arial" w:cs="Arial" w:eastAsia="Arial" w:hAnsi="Arial"/>
                <w:sz w:val="14"/>
                <w:szCs w:val="14"/>
                <w:color w:val="auto"/>
              </w:rPr>
              <w:t>Other non-cash expense</w:t>
            </w:r>
          </w:p>
        </w:tc>
        <w:tc>
          <w:tcPr>
            <w:tcW w:w="1020" w:type="dxa"/>
            <w:vAlign w:val="bottom"/>
          </w:tcPr>
          <w:p>
            <w:pPr>
              <w:spacing w:after="0"/>
              <w:rPr>
                <w:sz w:val="15"/>
                <w:szCs w:val="15"/>
                <w:color w:val="auto"/>
              </w:rPr>
            </w:pPr>
          </w:p>
        </w:tc>
        <w:tc>
          <w:tcPr>
            <w:tcW w:w="8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FF0FC"/>
          </w:tcPr>
          <w:p>
            <w:pPr>
              <w:ind w:left="380"/>
              <w:spacing w:after="0" w:line="139" w:lineRule="exact"/>
              <w:rPr>
                <w:sz w:val="20"/>
                <w:szCs w:val="20"/>
                <w:color w:val="auto"/>
              </w:rPr>
            </w:pPr>
            <w:r>
              <w:rPr>
                <w:rFonts w:ascii="Arial" w:cs="Arial" w:eastAsia="Arial" w:hAnsi="Arial"/>
                <w:sz w:val="14"/>
                <w:szCs w:val="14"/>
                <w:color w:val="auto"/>
              </w:rPr>
              <w:t>Amortization of premiums and accretion of discounts on</w:t>
            </w:r>
          </w:p>
        </w:tc>
        <w:tc>
          <w:tcPr>
            <w:tcW w:w="10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493</w:t>
            </w: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available-for-sale securities, net</w:t>
            </w:r>
          </w:p>
        </w:tc>
        <w:tc>
          <w:tcPr>
            <w:tcW w:w="102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Unbilled grant receivable</w:t>
            </w:r>
          </w:p>
        </w:tc>
        <w:tc>
          <w:tcPr>
            <w:tcW w:w="10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(1,036 )</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(1,300 )</w:t>
            </w:r>
          </w:p>
        </w:tc>
        <w:tc>
          <w:tcPr>
            <w:tcW w:w="0" w:type="dxa"/>
            <w:vAlign w:val="bottom"/>
          </w:tcPr>
          <w:p>
            <w:pPr>
              <w:spacing w:after="0"/>
              <w:rPr>
                <w:sz w:val="1"/>
                <w:szCs w:val="1"/>
                <w:color w:val="auto"/>
              </w:rPr>
            </w:pPr>
          </w:p>
        </w:tc>
      </w:tr>
      <w:tr>
        <w:trPr>
          <w:trHeight w:val="176"/>
        </w:trPr>
        <w:tc>
          <w:tcPr>
            <w:tcW w:w="764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(6,310 )</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 and accrued liabilities</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5,150</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560"/>
              <w:spacing w:after="0"/>
              <w:rPr>
                <w:sz w:val="20"/>
                <w:szCs w:val="20"/>
                <w:color w:val="auto"/>
              </w:rPr>
            </w:pPr>
            <w:r>
              <w:rPr>
                <w:rFonts w:ascii="Arial" w:cs="Arial" w:eastAsia="Arial" w:hAnsi="Arial"/>
                <w:sz w:val="14"/>
                <w:szCs w:val="14"/>
                <w:color w:val="auto"/>
              </w:rPr>
              <w:t>Operating lease liability</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396</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Grant Liability</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(1,500 )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tcPr>
          <w:p>
            <w:pPr>
              <w:ind w:left="740"/>
              <w:spacing w:after="0"/>
              <w:rPr>
                <w:sz w:val="20"/>
                <w:szCs w:val="20"/>
                <w:color w:val="auto"/>
              </w:rPr>
            </w:pPr>
            <w:r>
              <w:rPr>
                <w:rFonts w:ascii="Arial" w:cs="Arial" w:eastAsia="Arial" w:hAnsi="Arial"/>
                <w:sz w:val="14"/>
                <w:szCs w:val="14"/>
                <w:color w:val="auto"/>
              </w:rPr>
              <w:t>Net cash used in operating activities</w:t>
            </w:r>
          </w:p>
        </w:tc>
        <w:tc>
          <w:tcPr>
            <w:tcW w:w="1020" w:type="dxa"/>
            <w:vAlign w:val="bottom"/>
          </w:tcPr>
          <w:p>
            <w:pPr>
              <w:spacing w:after="0"/>
              <w:rPr>
                <w:sz w:val="14"/>
                <w:szCs w:val="14"/>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(43,098 )</w:t>
            </w:r>
          </w:p>
        </w:tc>
        <w:tc>
          <w:tcPr>
            <w:tcW w:w="10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(24,113 )</w:t>
            </w:r>
          </w:p>
        </w:tc>
        <w:tc>
          <w:tcPr>
            <w:tcW w:w="0" w:type="dxa"/>
            <w:vAlign w:val="bottom"/>
          </w:tcPr>
          <w:p>
            <w:pPr>
              <w:spacing w:after="0"/>
              <w:rPr>
                <w:sz w:val="1"/>
                <w:szCs w:val="1"/>
                <w:color w:val="auto"/>
              </w:rPr>
            </w:pPr>
          </w:p>
        </w:tc>
      </w:tr>
      <w:tr>
        <w:trPr>
          <w:trHeight w:val="169"/>
        </w:trPr>
        <w:tc>
          <w:tcPr>
            <w:tcW w:w="76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Purchases of available-for-sale securities</w:t>
            </w:r>
          </w:p>
        </w:tc>
        <w:tc>
          <w:tcPr>
            <w:tcW w:w="1020" w:type="dxa"/>
            <w:vAlign w:val="bottom"/>
          </w:tcPr>
          <w:p>
            <w:pPr>
              <w:spacing w:after="0"/>
              <w:rPr>
                <w:sz w:val="15"/>
                <w:szCs w:val="15"/>
                <w:color w:val="auto"/>
              </w:rPr>
            </w:pPr>
          </w:p>
        </w:tc>
        <w:tc>
          <w:tcPr>
            <w:tcW w:w="880" w:type="dxa"/>
            <w:vAlign w:val="bottom"/>
            <w:gridSpan w:val="2"/>
          </w:tcPr>
          <w:p>
            <w:pPr>
              <w:jc w:val="right"/>
              <w:ind w:right="128"/>
              <w:spacing w:after="0"/>
              <w:rPr>
                <w:sz w:val="20"/>
                <w:szCs w:val="20"/>
                <w:color w:val="auto"/>
              </w:rPr>
            </w:pPr>
            <w:r>
              <w:rPr>
                <w:rFonts w:ascii="Arial" w:cs="Arial" w:eastAsia="Arial" w:hAnsi="Arial"/>
                <w:sz w:val="14"/>
                <w:szCs w:val="14"/>
                <w:color w:val="auto"/>
              </w:rPr>
              <w:t>(299,197 )</w:t>
            </w:r>
          </w:p>
        </w:tc>
        <w:tc>
          <w:tcPr>
            <w:tcW w:w="10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(226,837 )</w:t>
            </w: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Maturities of available-for-sale securities</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278,639</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19,053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Proceeds from sales of available-for-sale securities</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18,052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(1,573 )</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(2,320 )</w:t>
            </w: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rPr>
                <w:sz w:val="20"/>
                <w:szCs w:val="20"/>
                <w:color w:val="auto"/>
              </w:rPr>
            </w:pPr>
            <w:r>
              <w:rPr>
                <w:rFonts w:ascii="Arial" w:cs="Arial" w:eastAsia="Arial" w:hAnsi="Arial"/>
                <w:sz w:val="14"/>
                <w:szCs w:val="14"/>
                <w:color w:val="auto"/>
              </w:rPr>
              <w:t>Principal payments received on stockholder note receivable</w:t>
            </w:r>
          </w:p>
        </w:tc>
        <w:tc>
          <w:tcPr>
            <w:tcW w:w="1020" w:type="dxa"/>
            <w:vAlign w:val="bottom"/>
          </w:tcPr>
          <w:p>
            <w:pPr>
              <w:spacing w:after="0"/>
              <w:rPr>
                <w:sz w:val="15"/>
                <w:szCs w:val="15"/>
                <w:color w:val="auto"/>
              </w:rPr>
            </w:pPr>
          </w:p>
        </w:tc>
        <w:tc>
          <w:tcPr>
            <w:tcW w:w="8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Net cash used in investing activities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(4,079</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(210,068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common stock options and common stock warrants</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200"/>
              <w:spacing w:after="0"/>
              <w:rPr>
                <w:sz w:val="20"/>
                <w:szCs w:val="20"/>
                <w:color w:val="auto"/>
              </w:rPr>
            </w:pPr>
            <w:r>
              <w:rPr>
                <w:rFonts w:ascii="Arial" w:cs="Arial" w:eastAsia="Arial" w:hAnsi="Arial"/>
                <w:sz w:val="14"/>
                <w:szCs w:val="14"/>
                <w:color w:val="auto"/>
              </w:rPr>
              <w:t>Proceeds from public offering, net of issuance costs</w:t>
            </w: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96,762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208,517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FF0FC"/>
          </w:tcPr>
          <w:p>
            <w:pPr>
              <w:ind w:left="200"/>
              <w:spacing w:after="0" w:line="139" w:lineRule="exact"/>
              <w:rPr>
                <w:sz w:val="20"/>
                <w:szCs w:val="20"/>
                <w:color w:val="auto"/>
              </w:rPr>
            </w:pPr>
            <w:r>
              <w:rPr>
                <w:rFonts w:ascii="Arial" w:cs="Arial" w:eastAsia="Arial" w:hAnsi="Arial"/>
                <w:sz w:val="14"/>
                <w:szCs w:val="14"/>
                <w:color w:val="auto"/>
              </w:rPr>
              <w:t>Proceeds from issuance of convertible preferred stock and common</w:t>
            </w:r>
          </w:p>
        </w:tc>
        <w:tc>
          <w:tcPr>
            <w:tcW w:w="10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81,926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40" w:type="dxa"/>
            <w:vAlign w:val="bottom"/>
            <w:shd w:val="clear" w:color="auto" w:fill="CFF0FC"/>
          </w:tcPr>
          <w:p>
            <w:pPr>
              <w:ind w:left="320"/>
              <w:spacing w:after="0"/>
              <w:rPr>
                <w:sz w:val="20"/>
                <w:szCs w:val="20"/>
                <w:color w:val="auto"/>
              </w:rPr>
            </w:pPr>
            <w:r>
              <w:rPr>
                <w:rFonts w:ascii="Arial" w:cs="Arial" w:eastAsia="Arial" w:hAnsi="Arial"/>
                <w:sz w:val="14"/>
                <w:szCs w:val="14"/>
                <w:color w:val="auto"/>
              </w:rPr>
              <w:t>stock warrants, net of issuance costs</w:t>
            </w:r>
          </w:p>
        </w:tc>
        <w:tc>
          <w:tcPr>
            <w:tcW w:w="10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40" w:type="dxa"/>
            <w:vAlign w:val="bottom"/>
          </w:tcPr>
          <w:p>
            <w:pPr>
              <w:ind w:left="200"/>
              <w:spacing w:after="0" w:line="139" w:lineRule="exact"/>
              <w:rPr>
                <w:sz w:val="20"/>
                <w:szCs w:val="20"/>
                <w:color w:val="auto"/>
              </w:rPr>
            </w:pPr>
            <w:r>
              <w:rPr>
                <w:rFonts w:ascii="Arial" w:cs="Arial" w:eastAsia="Arial" w:hAnsi="Arial"/>
                <w:sz w:val="14"/>
                <w:szCs w:val="14"/>
                <w:color w:val="auto"/>
              </w:rPr>
              <w:t>Proceeds from issuance of convertible notes, including derivative,</w:t>
            </w:r>
          </w:p>
        </w:tc>
        <w:tc>
          <w:tcPr>
            <w:tcW w:w="1020" w:type="dxa"/>
            <w:vAlign w:val="bottom"/>
          </w:tcPr>
          <w:p>
            <w:pPr>
              <w:spacing w:after="0"/>
              <w:rPr>
                <w:sz w:val="12"/>
                <w:szCs w:val="12"/>
                <w:color w:val="auto"/>
              </w:rPr>
            </w:pPr>
          </w:p>
        </w:tc>
        <w:tc>
          <w:tcPr>
            <w:tcW w:w="88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40" w:type="dxa"/>
            <w:vAlign w:val="bottom"/>
          </w:tcPr>
          <w:p>
            <w:pPr>
              <w:ind w:left="320"/>
              <w:spacing w:after="0"/>
              <w:rPr>
                <w:sz w:val="20"/>
                <w:szCs w:val="20"/>
                <w:color w:val="auto"/>
              </w:rPr>
            </w:pPr>
            <w:r>
              <w:rPr>
                <w:rFonts w:ascii="Arial" w:cs="Arial" w:eastAsia="Arial" w:hAnsi="Arial"/>
                <w:sz w:val="14"/>
                <w:szCs w:val="14"/>
                <w:color w:val="auto"/>
              </w:rPr>
              <w:t>net of issuance costs</w:t>
            </w:r>
          </w:p>
        </w:tc>
        <w:tc>
          <w:tcPr>
            <w:tcW w:w="10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97,089</w:t>
            </w:r>
          </w:p>
        </w:tc>
        <w:tc>
          <w:tcPr>
            <w:tcW w:w="2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292,750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49,912</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58,569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60,625</w:t>
            </w:r>
          </w:p>
        </w:tc>
        <w:tc>
          <w:tcPr>
            <w:tcW w:w="2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110,537</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0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640" w:type="dxa"/>
            <w:vAlign w:val="bottom"/>
          </w:tcPr>
          <w:p>
            <w:pPr>
              <w:ind w:left="200"/>
              <w:spacing w:after="0" w:line="139" w:lineRule="exact"/>
              <w:rPr>
                <w:sz w:val="20"/>
                <w:szCs w:val="20"/>
                <w:color w:val="auto"/>
              </w:rPr>
            </w:pPr>
            <w:r>
              <w:rPr>
                <w:rFonts w:ascii="Arial" w:cs="Arial" w:eastAsia="Arial" w:hAnsi="Arial"/>
                <w:sz w:val="14"/>
                <w:szCs w:val="14"/>
                <w:color w:val="auto"/>
              </w:rPr>
              <w:t>Purchases of property and equipment included in accounts</w:t>
            </w:r>
          </w:p>
        </w:tc>
        <w:tc>
          <w:tcPr>
            <w:tcW w:w="102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1000" w:type="dxa"/>
            <w:vAlign w:val="bottom"/>
            <w:vMerge w:val="restart"/>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tcPr>
          <w:p>
            <w:pPr>
              <w:ind w:left="320"/>
              <w:spacing w:after="0" w:line="125" w:lineRule="exact"/>
              <w:rPr>
                <w:sz w:val="20"/>
                <w:szCs w:val="20"/>
                <w:color w:val="auto"/>
              </w:rPr>
            </w:pPr>
            <w:r>
              <w:rPr>
                <w:rFonts w:ascii="Arial" w:cs="Arial" w:eastAsia="Arial" w:hAnsi="Arial"/>
                <w:sz w:val="14"/>
                <w:szCs w:val="14"/>
                <w:color w:val="auto"/>
              </w:rPr>
              <w:t>payable and accrued liabilities</w:t>
            </w: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Deferred offering costs included in accounts payable and accrued liabilities</w:t>
            </w:r>
          </w:p>
        </w:tc>
        <w:tc>
          <w:tcPr>
            <w:tcW w:w="1020" w:type="dxa"/>
            <w:vAlign w:val="bottom"/>
            <w:tcBorders>
              <w:top w:val="single" w:sz="8" w:color="auto"/>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ind w:right="82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77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7640" w:type="dxa"/>
            <w:vAlign w:val="bottom"/>
          </w:tcPr>
          <w:p>
            <w:pPr>
              <w:ind w:left="200"/>
              <w:spacing w:after="0" w:line="120" w:lineRule="exact"/>
              <w:rPr>
                <w:sz w:val="20"/>
                <w:szCs w:val="20"/>
                <w:color w:val="auto"/>
              </w:rPr>
            </w:pPr>
            <w:r>
              <w:rPr>
                <w:rFonts w:ascii="Arial" w:cs="Arial" w:eastAsia="Arial" w:hAnsi="Arial"/>
                <w:sz w:val="13"/>
                <w:szCs w:val="13"/>
                <w:color w:val="auto"/>
              </w:rPr>
              <w:t>Allocation of proceeds to common stock warrants issued in Series B</w:t>
            </w:r>
          </w:p>
        </w:tc>
        <w:tc>
          <w:tcPr>
            <w:tcW w:w="102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spacing w:after="0"/>
              <w:rPr>
                <w:sz w:val="10"/>
                <w:szCs w:val="10"/>
                <w:color w:val="auto"/>
              </w:rPr>
            </w:pPr>
          </w:p>
        </w:tc>
        <w:tc>
          <w:tcPr>
            <w:tcW w:w="1000" w:type="dxa"/>
            <w:vAlign w:val="bottom"/>
            <w:vMerge w:val="restart"/>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10,591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40" w:type="dxa"/>
            <w:vAlign w:val="bottom"/>
          </w:tcPr>
          <w:p>
            <w:pPr>
              <w:ind w:left="320"/>
              <w:spacing w:after="0" w:line="125" w:lineRule="exact"/>
              <w:rPr>
                <w:sz w:val="20"/>
                <w:szCs w:val="20"/>
                <w:color w:val="auto"/>
              </w:rPr>
            </w:pPr>
            <w:r>
              <w:rPr>
                <w:rFonts w:ascii="Arial" w:cs="Arial" w:eastAsia="Arial" w:hAnsi="Arial"/>
                <w:sz w:val="14"/>
                <w:szCs w:val="14"/>
                <w:color w:val="auto"/>
              </w:rPr>
              <w:t>convertible preferred stock financing</w:t>
            </w: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Issuance of Series B-1 preferred stock upon conversion of promissory notes</w:t>
            </w:r>
          </w:p>
        </w:tc>
        <w:tc>
          <w:tcPr>
            <w:tcW w:w="1020" w:type="dxa"/>
            <w:vAlign w:val="bottom"/>
            <w:tcBorders>
              <w:top w:val="single" w:sz="8" w:color="auto"/>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ind w:right="82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4,515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7640" w:type="dxa"/>
            <w:vAlign w:val="bottom"/>
          </w:tcPr>
          <w:p>
            <w:pPr>
              <w:ind w:left="200"/>
              <w:spacing w:after="0" w:line="120" w:lineRule="exact"/>
              <w:rPr>
                <w:sz w:val="20"/>
                <w:szCs w:val="20"/>
                <w:color w:val="auto"/>
              </w:rPr>
            </w:pPr>
            <w:r>
              <w:rPr>
                <w:rFonts w:ascii="Arial" w:cs="Arial" w:eastAsia="Arial" w:hAnsi="Arial"/>
                <w:sz w:val="13"/>
                <w:szCs w:val="13"/>
                <w:color w:val="auto"/>
              </w:rPr>
              <w:t>Recognition of warrant liability in connection with Series B convertible</w:t>
            </w:r>
          </w:p>
        </w:tc>
        <w:tc>
          <w:tcPr>
            <w:tcW w:w="1020" w:type="dxa"/>
            <w:vAlign w:val="bottom"/>
            <w:vMerge w:val="restart"/>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spacing w:after="0"/>
              <w:rPr>
                <w:sz w:val="10"/>
                <w:szCs w:val="10"/>
                <w:color w:val="auto"/>
              </w:rPr>
            </w:pPr>
          </w:p>
        </w:tc>
        <w:tc>
          <w:tcPr>
            <w:tcW w:w="1000" w:type="dxa"/>
            <w:vAlign w:val="bottom"/>
            <w:vMerge w:val="restart"/>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40" w:type="dxa"/>
            <w:vAlign w:val="bottom"/>
          </w:tcPr>
          <w:p>
            <w:pPr>
              <w:ind w:left="320"/>
              <w:spacing w:after="0" w:line="125" w:lineRule="exact"/>
              <w:rPr>
                <w:sz w:val="20"/>
                <w:szCs w:val="20"/>
                <w:color w:val="auto"/>
              </w:rPr>
            </w:pPr>
            <w:r>
              <w:rPr>
                <w:rFonts w:ascii="Arial" w:cs="Arial" w:eastAsia="Arial" w:hAnsi="Arial"/>
                <w:sz w:val="14"/>
                <w:szCs w:val="14"/>
                <w:color w:val="auto"/>
              </w:rPr>
              <w:t>preferred stock financing</w:t>
            </w: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Recognition of derivative liability upon issuance of convertible notes</w:t>
            </w:r>
          </w:p>
        </w:tc>
        <w:tc>
          <w:tcPr>
            <w:tcW w:w="1020" w:type="dxa"/>
            <w:vAlign w:val="bottom"/>
            <w:tcBorders>
              <w:top w:val="single" w:sz="8" w:color="auto"/>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ind w:right="82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774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200"/>
              <w:spacing w:after="0" w:line="156" w:lineRule="exact"/>
              <w:rPr>
                <w:sz w:val="20"/>
                <w:szCs w:val="20"/>
                <w:color w:val="auto"/>
              </w:rPr>
            </w:pPr>
            <w:r>
              <w:rPr>
                <w:rFonts w:ascii="Arial" w:cs="Arial" w:eastAsia="Arial" w:hAnsi="Arial"/>
                <w:sz w:val="14"/>
                <w:szCs w:val="14"/>
                <w:color w:val="auto"/>
              </w:rPr>
              <w:t>Conversion of convertible preferred stock upon closing of initial public offering</w:t>
            </w:r>
          </w:p>
        </w:tc>
        <w:tc>
          <w:tcPr>
            <w:tcW w:w="1020" w:type="dxa"/>
            <w:vAlign w:val="bottom"/>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8"/>
              <w:spacing w:after="0" w:line="156"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28"/>
              <w:spacing w:after="0" w:line="156"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rPr>
              <w:t>92,537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Right-of-use asset obtained in exchange for new operating lease liability</w:t>
            </w:r>
          </w:p>
        </w:tc>
        <w:tc>
          <w:tcPr>
            <w:tcW w:w="1020" w:type="dxa"/>
            <w:vAlign w:val="bottom"/>
            <w:tcBorders>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680</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28"/>
              <w:spacing w:after="0" w:line="156"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975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-3571240</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-3571240</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-2653665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-2653665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-1788160</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-1788160</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-1556385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-1556385</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-984885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-967740</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-984885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-967740</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-642620</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-624840</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-642620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-624840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-299720</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-281940</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stop neurodegeneration.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September 11, 2020, the Company effected a one-for-7.9302 reverse split of its issued and outstanding common stock, convertible preferred stock, warrants, and stock options. The par value of the common stock and convertible preferred stock was not adjusted as a result of the reverse stock split. All share and per share amounts in the accompanying consolidated financial statements and notes to the consolidated financial statements have been retroactively adjusted for all periods presented to reflect the reverse stock split.</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September 2020, the Company completed its initial public offering of common stock (“IPO”) in which the Company issued and sold 12,000,000 shares of common stock at a public offering price of $17.00 per share, resulting in net proceeds of $186.4 million after deducting underwriting discounts and commissions and offering expenses paid by the Company. In October 2020, the Company sold an additional 1,397,712 shares of common stock to the underwriters of the IPO upon partial exercise of the underwriters’ option to purchase additional shares at the initial public offering price of $17.00 per share, less underwriting discounts and commissions and offering costs resulting in additional net proceeds to the Company of approximately $22.1 million.</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connection with the closing of the IPO, all of the Company’s outstanding shares of convertible preferred stock were automatically converted into 12,503,009 shares of common stock. Immediately prior to the Company’s IPO, all outstanding common stock warrants were exercised into 1,085,334 shares of common stock. Additionally, all outstanding Series B convertible preferred stock warrants were remeasured to their fair value. The final remeasurement of the Series B convertible preferred stock warrant liability resulted in a $0.6 million loss which was recorded to other income (expense), net. Following remeasurement, all Series B convertible preferred stock warrants automatically net exercised into 59,093 shares of common stock and the corresponding liability was reclassified to additional paid in capital. Following the IPO, there are no shares of convertible preferred stock, common stock warrants, or Series B convertible preferred stock warrants outstanding.</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1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2021, the Company completed a follow-on public offering of its common stock. As part of the follow-on offering, the Company issued and sold 4,000,000 shares of its common stock at a public offering price of $22.50 per share. The Company received net proceeds of approximately $84.1 million from the follow-on offering, after deducting underwriting discounts and commissions and offering costs. In February 2021, the Company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additional net proceeds to the Company of approximately $12.7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2021, it has raised aggregate net cash proceeds of $407.4 million primarily from the issuance of its common stock, convertible preferred stock, common stock warrants, and convertible notes. As of December 31, 2021, the Company had $319.7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Based upon the Company’s current operating plan, it estimates that its $319.7 million of cash, cash equivalents, and investments at December 31, 2021 will be sufficient to fund its operating expenses and capital expenditure requirements through at least the next 12 months following the date of the Company’s Annual Report on Form 10-K.</w:t>
      </w:r>
    </w:p>
    <w:p>
      <w:pPr>
        <w:spacing w:after="0" w:line="277" w:lineRule="exact"/>
        <w:rPr>
          <w:sz w:val="20"/>
          <w:szCs w:val="20"/>
          <w:color w:val="auto"/>
        </w:rPr>
      </w:pPr>
    </w:p>
    <w:p>
      <w:pPr>
        <w:jc w:val="center"/>
        <w:ind w:right="8340"/>
        <w:spacing w:after="0"/>
        <w:rPr>
          <w:sz w:val="20"/>
          <w:szCs w:val="20"/>
          <w:color w:val="auto"/>
        </w:rPr>
      </w:pPr>
      <w:r>
        <w:rPr>
          <w:rFonts w:ascii="Arial" w:cs="Arial" w:eastAsia="Arial" w:hAnsi="Arial"/>
          <w:sz w:val="18"/>
          <w:szCs w:val="18"/>
          <w:b w:val="1"/>
          <w:bCs w:val="1"/>
          <w:color w:val="auto"/>
        </w:rPr>
        <w:t>2. Significant Accounting Policies</w:t>
      </w:r>
    </w:p>
    <w:p>
      <w:pPr>
        <w:spacing w:after="0" w:line="106" w:lineRule="exact"/>
        <w:rPr>
          <w:sz w:val="20"/>
          <w:szCs w:val="20"/>
          <w:color w:val="auto"/>
        </w:rPr>
      </w:pPr>
    </w:p>
    <w:p>
      <w:pPr>
        <w:jc w:val="center"/>
        <w:ind w:right="83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consolidated financial statements. Certain prior period amounts have been reclassified to conform to current period presentation.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income or loss. Realized gains and losses on the sale of these securities are recognized in net loss.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40" w:name="page141"/>
    <w:bookmarkEnd w:id="140"/>
    <w:p>
      <w:pPr>
        <w:jc w:val="both"/>
        <w:spacing w:after="0" w:line="244" w:lineRule="auto"/>
        <w:rPr>
          <w:sz w:val="20"/>
          <w:szCs w:val="20"/>
          <w:color w:val="auto"/>
        </w:rPr>
      </w:pPr>
      <w:r>
        <w:rPr>
          <w:rFonts w:ascii="Arial" w:cs="Arial" w:eastAsia="Arial" w:hAnsi="Arial"/>
          <w:sz w:val="18"/>
          <w:szCs w:val="18"/>
          <w:color w:val="auto"/>
        </w:rPr>
        <w:t>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Property and equipment consist of computer equipment, computer software, laboratory equipment, leasehold improvements and furniture and office equipment. Property and equipment are recorded at cost and depreciation is recognized using the straight-line method based on estimated useful life, generally three to five years. Leasehold improvements are amortized over the shorter of their useful life or the remaining lease term. Maintenance and repairs are charged to expense as incurred, and costs of improvements are capitalized.</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reviews long-lived assets for impairment whenever events or circumstances indicate the carrying amount of an asset group may not be recoverable. Should an impairment exist, the impairment 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 impairment losses in the years ended December 31, 2021 and 2020 as there have been no events warranting an impairment analysis.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carrying amounts of certain financial instruments, including cash, cash equivalents, investments, accounts payable and accrued expenses approximate their fair values due to the short-term nature of those financial instruments. The fair values of the grant liability to Washington Life Sciences Discovery Fund (“LSDF”), currently managed by the Washington State Department of Commerce, the derivative liability, and the convertible preferred stock warrant liability were estimated using level 3 unobservable inputs.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Freestanding warrants to purchase shares of the Company’s convertible preferred stock were accounted for as liabilities at fair value, because the shares underlying the warrants contained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and comprehensive loss. The Company adjusted the liability for the final change in the fair value of these warrants immediately preceding their automatic exercise in connection with the Company’s IPO. Subsequent to the Company’s IPO, the corresponding liability was reclassified to additional paid in capital.</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grant liability associated with the grants from the Washington LSDF was accounted for under Accounting Standards Codification (“ASC”) 825-10, Financial Instruments − Overall. The estimated fair value of the grant liability was reassessed at each balance sheet date, with changes in fair value reflected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both"/>
        <w:spacing w:after="0" w:line="242" w:lineRule="auto"/>
        <w:rPr>
          <w:sz w:val="20"/>
          <w:szCs w:val="20"/>
          <w:color w:val="auto"/>
        </w:rPr>
      </w:pPr>
      <w:r>
        <w:rPr>
          <w:rFonts w:ascii="Arial" w:cs="Arial" w:eastAsia="Arial" w:hAnsi="Arial"/>
          <w:sz w:val="18"/>
          <w:szCs w:val="18"/>
          <w:color w:val="auto"/>
        </w:rPr>
        <w:t>in other income (expense), net. The Company estimated the fair value of the grant liability by using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were subject to significant judgment. The consummation of the Company’s IPO in September 2020 was a triggering event under the terms of the grant and the liability was remeasured to the pay-off amount of $1.5 million and repaid in full as of December 31, 2020. See Note 7.</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Company’s convertible notes (see Note 8) had conversion and redemption features that met the definition of an embedded derivative and were therefore subject to derivative accounting. The initial fair value of the derivative was recorded as a discount to the convertible notes, with a corresponding derivative liability. The discount to the convertible notes was amortized using the effective interest method. The amortization of the discount is included in other income (expense), net in the statements of operations and comprehensive loss. The derivative liability related to these features was recorded at estimated fair value on a recurring basis. Any changes in fair value were reflected in other income (expense), net in the statements of operations and comprehensive loss at each period end while such instruments were outstanding. The derivative liability was settled in May 2020 upon conversion of the underlying convertible notes into Series B-1 convertible preferred stock. See Note 10.</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Grant income in the accompanying consolidated statements of operations and comprehensive loss consisted of the following (in thousands):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Alzheimer's Association Part the Cloud</w:t>
            </w:r>
          </w:p>
        </w:tc>
        <w:tc>
          <w:tcPr>
            <w:tcW w:w="920" w:type="dxa"/>
            <w:vAlign w:val="bottom"/>
            <w:vMerge w:val="restart"/>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Research Grant</w:t>
            </w:r>
          </w:p>
        </w:tc>
        <w:tc>
          <w:tcPr>
            <w:tcW w:w="920" w:type="dxa"/>
            <w:vAlign w:val="bottom"/>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National Institutes of Health Grant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8,835</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grant income</w:t>
            </w:r>
          </w:p>
        </w:tc>
        <w:tc>
          <w:tcPr>
            <w:tcW w:w="920" w:type="dxa"/>
            <w:vAlign w:val="bottom"/>
            <w:tcBorders>
              <w:bottom w:val="single" w:sz="8" w:color="auto"/>
            </w:tcBorders>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8,835</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Amounts recorded in the accompanying consolidated balance sheets as unbilled grant receivable from these granting agencies were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Alzheimer's Association Part the Cloud Research</w:t>
            </w:r>
          </w:p>
        </w:tc>
        <w:tc>
          <w:tcPr>
            <w:tcW w:w="920" w:type="dxa"/>
            <w:vAlign w:val="bottom"/>
            <w:vMerge w:val="restart"/>
            <w:shd w:val="clear" w:color="auto" w:fill="CFF0FC"/>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Grant</w:t>
            </w:r>
          </w:p>
        </w:tc>
        <w:tc>
          <w:tcPr>
            <w:tcW w:w="920" w:type="dxa"/>
            <w:vAlign w:val="bottom"/>
            <w:vMerge w:val="continue"/>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National Institutes of Health Grant</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2,336</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unbilled grant receivable</w:t>
            </w:r>
          </w:p>
        </w:tc>
        <w:tc>
          <w:tcPr>
            <w:tcW w:w="920" w:type="dxa"/>
            <w:vAlign w:val="bottom"/>
            <w:tcBorders>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2,336</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January 2019, the Alzheimer’s Association awarded the Company a $1.0 million Part the Cloud research grant. Grant proceeds must be used to advance the Company’s fosgonimeton product candidate in the Alzheimer’s disease setting. Reporting of expenses incurred supported by the grant as well as research updates are sent to the Alzheimer’s Association semi-annually. Under the terms of the agreement, the Company received $776,000 in 2019 and received the remaining $224,000 in March 2021 after having completed certain development milestones in October 2020. The Company recognized income related to the Part the Cloud research grant as qualifying expenses under the grant agreement were incurred.</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fosgonimeton, the Company’s lead therapeutic candidate being developed for the treatment of individuals with mild-to-moderate Alzheimer’s disease. Under the terms of the agreement, the Company may potentially receive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2" w:name="page143"/>
    <w:bookmarkEnd w:id="142"/>
    <w:p>
      <w:pPr>
        <w:jc w:val="both"/>
        <w:spacing w:after="0" w:line="253" w:lineRule="auto"/>
        <w:rPr>
          <w:sz w:val="20"/>
          <w:szCs w:val="20"/>
          <w:color w:val="auto"/>
        </w:rPr>
      </w:pPr>
      <w:r>
        <w:rPr>
          <w:rFonts w:ascii="Arial" w:cs="Arial" w:eastAsia="Arial" w:hAnsi="Arial"/>
          <w:sz w:val="18"/>
          <w:szCs w:val="18"/>
          <w:color w:val="auto"/>
        </w:rPr>
        <w:t>$7.8 million with the potential for an additional $7.4 million, up to an aggregate of $15.2 million. The Company recognizes income related to the NIH grant as qualifying expenses under the grant agreement are incurred. The Company received cash of $7.6 million related to the NIH grant during the year ended December 31, 2021.</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ind w:firstLine="509"/>
        <w:spacing w:after="0" w:line="242"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6"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both"/>
        <w:spacing w:after="0" w:line="271" w:lineRule="auto"/>
        <w:rPr>
          <w:sz w:val="20"/>
          <w:szCs w:val="20"/>
          <w:color w:val="auto"/>
        </w:rPr>
      </w:pPr>
      <w:r>
        <w:rPr>
          <w:rFonts w:ascii="Arial" w:cs="Arial" w:eastAsia="Arial" w:hAnsi="Arial"/>
          <w:sz w:val="18"/>
          <w:szCs w:val="18"/>
          <w:color w:val="auto"/>
        </w:rPr>
        <w:t>which the change in judgment occurs. The Company accrues interest and penalties related to unrecognized tax benefits in its provision for incomes taxes.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 Attributable to Common Stockholders</w:t>
      </w:r>
    </w:p>
    <w:p>
      <w:pPr>
        <w:spacing w:after="0" w:line="102"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 Remeasurement Adjustments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(expense), net in the consolidated statement of operations and comprehensive loss. The functional currency of the Company’s Australian subsidiary is the U.S. dollar.</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impacts of the ASU on its financial condition, results of operations, cash flows and financial statement disclosures.</w:t>
      </w:r>
    </w:p>
    <w:p>
      <w:pPr>
        <w:spacing w:after="0" w:line="2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4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4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4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reflects the Company’s financial asset balances measured on a recurring basis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rPr>
              <w:t>Level</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173"/>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120" w:type="dxa"/>
            <w:vAlign w:val="bottom"/>
            <w:gridSpan w:val="2"/>
          </w:tcPr>
          <w:p>
            <w:pPr>
              <w:jc w:val="right"/>
              <w:ind w:right="270"/>
              <w:spacing w:after="0" w:line="133"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1"/>
                <w:szCs w:val="11"/>
                <w:color w:val="auto"/>
              </w:rPr>
            </w:pPr>
          </w:p>
        </w:tc>
        <w:tc>
          <w:tcPr>
            <w:tcW w:w="1020" w:type="dxa"/>
            <w:vAlign w:val="bottom"/>
          </w:tcPr>
          <w:p>
            <w:pPr>
              <w:jc w:val="right"/>
              <w:ind w:right="433"/>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Money market fund</w:t>
            </w:r>
          </w:p>
        </w:tc>
        <w:tc>
          <w:tcPr>
            <w:tcW w:w="700" w:type="dxa"/>
            <w:vAlign w:val="bottom"/>
          </w:tcPr>
          <w:p>
            <w:pPr>
              <w:jc w:val="center"/>
              <w:ind w:left="192"/>
              <w:spacing w:after="0" w:line="196" w:lineRule="exact"/>
              <w:rPr>
                <w:sz w:val="20"/>
                <w:szCs w:val="20"/>
                <w:color w:val="auto"/>
              </w:rPr>
            </w:pPr>
            <w:r>
              <w:rPr>
                <w:rFonts w:ascii="Arial" w:cs="Arial" w:eastAsia="Arial" w:hAnsi="Arial"/>
                <w:sz w:val="18"/>
                <w:szCs w:val="18"/>
                <w:color w:val="auto"/>
                <w:w w:val="99"/>
              </w:rPr>
              <w:t>1</w:t>
            </w: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700" w:type="dxa"/>
            <w:vAlign w:val="bottom"/>
            <w:shd w:val="clear" w:color="auto" w:fill="CFF0FC"/>
          </w:tcPr>
          <w:p>
            <w:pPr>
              <w:jc w:val="center"/>
              <w:ind w:left="192"/>
              <w:spacing w:after="0" w:line="202" w:lineRule="exact"/>
              <w:rPr>
                <w:sz w:val="20"/>
                <w:szCs w:val="20"/>
                <w:color w:val="auto"/>
              </w:rPr>
            </w:pPr>
            <w:r>
              <w:rPr>
                <w:rFonts w:ascii="Arial" w:cs="Arial" w:eastAsia="Arial" w:hAnsi="Arial"/>
                <w:sz w:val="18"/>
                <w:szCs w:val="18"/>
                <w:color w:val="auto"/>
                <w:w w:val="99"/>
              </w:rPr>
              <w:t>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96,120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(5 )</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96,115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 cash equivalents</w:t>
            </w:r>
          </w:p>
        </w:tc>
        <w:tc>
          <w:tcPr>
            <w:tcW w:w="7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96,177</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(5 )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96,172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Commercial paper</w:t>
            </w:r>
          </w:p>
        </w:tc>
        <w:tc>
          <w:tcPr>
            <w:tcW w:w="700" w:type="dxa"/>
            <w:vAlign w:val="bottom"/>
          </w:tcPr>
          <w:p>
            <w:pPr>
              <w:jc w:val="center"/>
              <w:ind w:left="192"/>
              <w:spacing w:after="0" w:line="196" w:lineRule="exact"/>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74,170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(35 )</w:t>
            </w:r>
          </w:p>
        </w:tc>
        <w:tc>
          <w:tcPr>
            <w:tcW w:w="2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74,135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40" w:type="dxa"/>
            <w:vAlign w:val="bottom"/>
            <w:gridSpan w:val="2"/>
            <w:shd w:val="clear" w:color="auto" w:fill="CFF0FC"/>
          </w:tcPr>
          <w:p>
            <w:pPr>
              <w:ind w:left="280"/>
              <w:spacing w:after="0" w:line="162" w:lineRule="exact"/>
              <w:rPr>
                <w:sz w:val="20"/>
                <w:szCs w:val="20"/>
                <w:color w:val="auto"/>
              </w:rPr>
            </w:pPr>
            <w:r>
              <w:rPr>
                <w:rFonts w:ascii="Arial" w:cs="Arial" w:eastAsia="Arial" w:hAnsi="Arial"/>
                <w:sz w:val="18"/>
                <w:szCs w:val="18"/>
                <w:color w:val="auto"/>
              </w:rPr>
              <w:t>U.S. government debt, municipal</w:t>
            </w:r>
          </w:p>
        </w:tc>
        <w:tc>
          <w:tcPr>
            <w:tcW w:w="700" w:type="dxa"/>
            <w:vAlign w:val="bottom"/>
            <w:vMerge w:val="restart"/>
            <w:shd w:val="clear" w:color="auto" w:fill="CFF0FC"/>
          </w:tcPr>
          <w:p>
            <w:pPr>
              <w:jc w:val="center"/>
              <w:ind w:left="192"/>
              <w:spacing w:after="0"/>
              <w:rPr>
                <w:sz w:val="20"/>
                <w:szCs w:val="20"/>
                <w:color w:val="auto"/>
              </w:rPr>
            </w:pPr>
            <w:r>
              <w:rPr>
                <w:rFonts w:ascii="Arial" w:cs="Arial" w:eastAsia="Arial" w:hAnsi="Arial"/>
                <w:sz w:val="18"/>
                <w:szCs w:val="18"/>
                <w:color w:val="auto"/>
                <w:w w:val="99"/>
              </w:rPr>
              <w:t>2</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62,149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(59 )</w:t>
            </w:r>
          </w:p>
        </w:tc>
        <w:tc>
          <w:tcPr>
            <w:tcW w:w="2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62,092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bonds, and agency securities</w:t>
            </w:r>
          </w:p>
        </w:tc>
        <w:tc>
          <w:tcPr>
            <w:tcW w:w="7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Corporate bonds</w:t>
            </w:r>
          </w:p>
        </w:tc>
        <w:tc>
          <w:tcPr>
            <w:tcW w:w="700" w:type="dxa"/>
            <w:vAlign w:val="bottom"/>
          </w:tcPr>
          <w:p>
            <w:pPr>
              <w:jc w:val="center"/>
              <w:ind w:left="192"/>
              <w:spacing w:after="0" w:line="202" w:lineRule="exact"/>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7,004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(9 )</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7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143,323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143,222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Long-term investments:</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auto"/>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center"/>
              <w:ind w:left="192"/>
              <w:spacing w:after="0" w:line="196" w:lineRule="exact"/>
              <w:rPr>
                <w:sz w:val="20"/>
                <w:szCs w:val="20"/>
                <w:color w:val="auto"/>
              </w:rPr>
            </w:pPr>
            <w:r>
              <w:rPr>
                <w:rFonts w:ascii="Arial" w:cs="Arial" w:eastAsia="Arial" w:hAnsi="Arial"/>
                <w:sz w:val="18"/>
                <w:szCs w:val="18"/>
                <w:color w:val="auto"/>
                <w:w w:val="99"/>
              </w:rPr>
              <w:t>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3,307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(20 )</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ind w:left="280"/>
              <w:spacing w:after="0" w:line="162" w:lineRule="exact"/>
              <w:rPr>
                <w:sz w:val="20"/>
                <w:szCs w:val="20"/>
                <w:color w:val="auto"/>
              </w:rPr>
            </w:pPr>
            <w:r>
              <w:rPr>
                <w:rFonts w:ascii="Arial" w:cs="Arial" w:eastAsia="Arial" w:hAnsi="Arial"/>
                <w:sz w:val="18"/>
                <w:szCs w:val="18"/>
                <w:color w:val="auto"/>
              </w:rPr>
              <w:t>U.S. government debt and agency</w:t>
            </w:r>
          </w:p>
        </w:tc>
        <w:tc>
          <w:tcPr>
            <w:tcW w:w="700" w:type="dxa"/>
            <w:vAlign w:val="bottom"/>
            <w:vMerge w:val="restart"/>
          </w:tcPr>
          <w:p>
            <w:pPr>
              <w:jc w:val="center"/>
              <w:ind w:left="192"/>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62,911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(262 )</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62,649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securities</w:t>
            </w:r>
          </w:p>
        </w:tc>
        <w:tc>
          <w:tcPr>
            <w:tcW w:w="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7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66,218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65,936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-2353945</wp:posOffset>
            </wp:positionV>
            <wp:extent cx="7747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-2087880</wp:posOffset>
            </wp:positionV>
            <wp:extent cx="7683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-2087880</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-2087880</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-2087880</wp:posOffset>
            </wp:positionV>
            <wp:extent cx="5969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-1796415</wp:posOffset>
            </wp:positionV>
            <wp:extent cx="7747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-1156970</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-1139190</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-1156970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-1156970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-1139190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-1156970</wp:posOffset>
            </wp:positionV>
            <wp:extent cx="596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-1139190</wp:posOffset>
            </wp:positionV>
            <wp:extent cx="596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-496570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-479425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-496570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-479425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-496570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-479425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172"/>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12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920" w:type="dxa"/>
            <w:vAlign w:val="bottom"/>
          </w:tcPr>
          <w:p>
            <w:pPr>
              <w:jc w:val="right"/>
              <w:ind w:right="372"/>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6"/>
                <w:szCs w:val="16"/>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Money market fund</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0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44,318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(2 )</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80"/>
              <w:spacing w:after="0" w:line="162" w:lineRule="exact"/>
              <w:rPr>
                <w:sz w:val="20"/>
                <w:szCs w:val="20"/>
                <w:color w:val="auto"/>
              </w:rPr>
            </w:pPr>
            <w:r>
              <w:rPr>
                <w:rFonts w:ascii="Arial" w:cs="Arial" w:eastAsia="Arial" w:hAnsi="Arial"/>
                <w:sz w:val="18"/>
                <w:szCs w:val="18"/>
                <w:color w:val="auto"/>
              </w:rPr>
              <w:t>U.S. government debt and agency</w:t>
            </w:r>
          </w:p>
        </w:tc>
        <w:tc>
          <w:tcPr>
            <w:tcW w:w="1000" w:type="dxa"/>
            <w:vAlign w:val="bottom"/>
          </w:tcPr>
          <w:p>
            <w:pPr>
              <w:jc w:val="center"/>
              <w:spacing w:after="0" w:line="162"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4,999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20"/>
              <w:spacing w:after="0"/>
              <w:rPr>
                <w:sz w:val="20"/>
                <w:szCs w:val="20"/>
                <w:color w:val="auto"/>
              </w:rPr>
            </w:pPr>
            <w:r>
              <w:rPr>
                <w:rFonts w:ascii="Arial" w:cs="Arial" w:eastAsia="Arial" w:hAnsi="Arial"/>
                <w:sz w:val="18"/>
                <w:szCs w:val="18"/>
                <w:color w:val="auto"/>
              </w:rPr>
              <w:t>securities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bills</w:t>
            </w:r>
          </w:p>
        </w:tc>
        <w:tc>
          <w:tcPr>
            <w:tcW w:w="100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4,450</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Total cash equivalents</w:t>
            </w:r>
          </w:p>
        </w:tc>
        <w:tc>
          <w:tcPr>
            <w:tcW w:w="1000" w:type="dxa"/>
            <w:vAlign w:val="bottom"/>
          </w:tcPr>
          <w:p>
            <w:pPr>
              <w:spacing w:after="0"/>
              <w:rPr>
                <w:sz w:val="17"/>
                <w:szCs w:val="17"/>
                <w:color w:val="auto"/>
              </w:rPr>
            </w:pP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53,772</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53,770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Commercial paper</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77,272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(4 )</w:t>
            </w: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77,269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FF0FC"/>
          </w:tcPr>
          <w:p>
            <w:pPr>
              <w:ind w:left="280"/>
              <w:spacing w:after="0" w:line="162" w:lineRule="exact"/>
              <w:rPr>
                <w:sz w:val="20"/>
                <w:szCs w:val="20"/>
                <w:color w:val="auto"/>
              </w:rPr>
            </w:pPr>
            <w:r>
              <w:rPr>
                <w:rFonts w:ascii="Arial" w:cs="Arial" w:eastAsia="Arial" w:hAnsi="Arial"/>
                <w:sz w:val="18"/>
                <w:szCs w:val="18"/>
                <w:color w:val="auto"/>
              </w:rPr>
              <w:t>U.S. government debt and agency</w:t>
            </w:r>
          </w:p>
        </w:tc>
        <w:tc>
          <w:tcPr>
            <w:tcW w:w="100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31,835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31,842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0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U.S. treasury bills</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14,029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(3 )</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 bonds</w:t>
            </w:r>
          </w:p>
        </w:tc>
        <w:tc>
          <w:tcPr>
            <w:tcW w:w="100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920</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000" w:type="dxa"/>
            <w:vAlign w:val="bottom"/>
          </w:tcPr>
          <w:p>
            <w:pPr>
              <w:spacing w:after="0"/>
              <w:rPr>
                <w:sz w:val="17"/>
                <w:szCs w:val="17"/>
                <w:color w:val="auto"/>
              </w:rPr>
            </w:pP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124,056</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(7 )</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124,057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Long-term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gridSpan w:val="2"/>
          </w:tcPr>
          <w:p>
            <w:pPr>
              <w:ind w:left="280"/>
              <w:spacing w:after="0" w:line="156" w:lineRule="exact"/>
              <w:rPr>
                <w:sz w:val="20"/>
                <w:szCs w:val="20"/>
                <w:color w:val="auto"/>
              </w:rPr>
            </w:pPr>
            <w:r>
              <w:rPr>
                <w:rFonts w:ascii="Arial" w:cs="Arial" w:eastAsia="Arial" w:hAnsi="Arial"/>
                <w:sz w:val="18"/>
                <w:szCs w:val="18"/>
                <w:color w:val="auto"/>
              </w:rPr>
              <w:t>U.S. government debt and agency</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78,924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78,956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20"/>
              <w:spacing w:after="0"/>
              <w:rPr>
                <w:sz w:val="20"/>
                <w:szCs w:val="20"/>
                <w:color w:val="auto"/>
              </w:rPr>
            </w:pPr>
            <w:r>
              <w:rPr>
                <w:rFonts w:ascii="Arial" w:cs="Arial" w:eastAsia="Arial" w:hAnsi="Arial"/>
                <w:sz w:val="18"/>
                <w:szCs w:val="18"/>
                <w:color w:val="auto"/>
              </w:rPr>
              <w:t>securities</w:t>
            </w: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bills</w:t>
            </w:r>
          </w:p>
        </w:tc>
        <w:tc>
          <w:tcPr>
            <w:tcW w:w="100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4,551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4,553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000" w:type="dxa"/>
            <w:vAlign w:val="bottom"/>
          </w:tcPr>
          <w:p>
            <w:pPr>
              <w:spacing w:after="0"/>
              <w:rPr>
                <w:sz w:val="17"/>
                <w:szCs w:val="17"/>
                <w:color w:val="auto"/>
              </w:rPr>
            </w:pP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83,475</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83,509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-2388235</wp:posOffset>
            </wp:positionV>
            <wp:extent cx="7683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-1753870</wp:posOffset>
            </wp:positionV>
            <wp:extent cx="7747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-1753870</wp:posOffset>
            </wp:positionV>
            <wp:extent cx="685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-1753870</wp:posOffset>
            </wp:positionV>
            <wp:extent cx="685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-1753870</wp:posOffset>
            </wp:positionV>
            <wp:extent cx="5969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-1462405</wp:posOffset>
            </wp:positionV>
            <wp:extent cx="7683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-828040</wp:posOffset>
            </wp:positionV>
            <wp:extent cx="7747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-828040</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-828040</wp:posOffset>
            </wp:positionV>
            <wp:extent cx="6858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-828040</wp:posOffset>
            </wp:positionV>
            <wp:extent cx="5969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-536575</wp:posOffset>
            </wp:positionV>
            <wp:extent cx="7683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-159385</wp:posOffset>
            </wp:positionV>
            <wp:extent cx="7747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-159385</wp:posOffset>
            </wp:positionV>
            <wp:extent cx="685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-159385</wp:posOffset>
            </wp:positionV>
            <wp:extent cx="685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Prior to the IPO, the Company’s level 3 financial liabilities carried at fair value and remeasured on a recurring basis are the grant liability, derivative liability, and the convertible preferred stock warrant liability. In the third quarter of 2020 the Company recorded an additional $464,000 to bring the total grant liability to $1.5 million as the Company’s IPO triggered the repayment obligation (see Note 7), and the derivative was settled upon the Company’s conversion of its convertible notes in May 2020 (see Note 8). The losses resulting from the change in fair value of the grant liability, the bifurcated conversion and redemption features related to the derivative liability, and the convertible preferred stock warrant liability are classified as other income (expense), net in the accompanying consolidated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activity for the grant liability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Fair value at beginning of period</w:t>
            </w:r>
          </w:p>
        </w:tc>
        <w:tc>
          <w:tcPr>
            <w:tcW w:w="21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1,036</w:t>
            </w:r>
          </w:p>
        </w:tc>
        <w:tc>
          <w:tcPr>
            <w:tcW w:w="14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Change in fair value of grant liability</w:t>
            </w:r>
          </w:p>
        </w:tc>
        <w:tc>
          <w:tcPr>
            <w:tcW w:w="2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Grant liability settled upon completion of IPO</w:t>
            </w:r>
          </w:p>
        </w:tc>
        <w:tc>
          <w:tcPr>
            <w:tcW w:w="2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(1,500 )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6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Fair value at end of period</w:t>
            </w:r>
          </w:p>
        </w:tc>
        <w:tc>
          <w:tcPr>
            <w:tcW w:w="21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20" w:type="dxa"/>
            <w:vAlign w:val="bottom"/>
            <w:vMerge w:val="restart"/>
          </w:tcPr>
          <w:p>
            <w:pPr>
              <w:jc w:val="right"/>
              <w:ind w:right="1610"/>
              <w:spacing w:after="0"/>
              <w:rPr>
                <w:sz w:val="20"/>
                <w:szCs w:val="20"/>
                <w:color w:val="auto"/>
              </w:rPr>
            </w:pPr>
            <w:r>
              <w:rPr>
                <w:rFonts w:ascii="Arial" w:cs="Arial" w:eastAsia="Arial" w:hAnsi="Arial"/>
                <w:sz w:val="18"/>
                <w:szCs w:val="18"/>
                <w:color w:val="auto"/>
              </w:rPr>
              <w:t>145</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700" w:type="dxa"/>
            <w:vAlign w:val="bottom"/>
            <w:tcBorders>
              <w:bottom w:val="single" w:sz="8" w:color="9A9A9A"/>
            </w:tcBorders>
          </w:tcPr>
          <w:p>
            <w:pPr>
              <w:spacing w:after="0"/>
              <w:rPr>
                <w:sz w:val="6"/>
                <w:szCs w:val="6"/>
                <w:color w:val="auto"/>
              </w:rPr>
            </w:pPr>
          </w:p>
        </w:tc>
        <w:tc>
          <w:tcPr>
            <w:tcW w:w="3660" w:type="dxa"/>
            <w:vAlign w:val="bottom"/>
            <w:tcBorders>
              <w:bottom w:val="single" w:sz="8" w:color="9A9A9A"/>
            </w:tcBorders>
          </w:tcPr>
          <w:p>
            <w:pPr>
              <w:spacing w:after="0"/>
              <w:rPr>
                <w:sz w:val="6"/>
                <w:szCs w:val="6"/>
                <w:color w:val="auto"/>
              </w:rPr>
            </w:pPr>
          </w:p>
        </w:tc>
        <w:tc>
          <w:tcPr>
            <w:tcW w:w="21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-622300</wp:posOffset>
            </wp:positionV>
            <wp:extent cx="8572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ind w:left="520"/>
        <w:spacing w:after="0"/>
        <w:rPr>
          <w:sz w:val="20"/>
          <w:szCs w:val="20"/>
          <w:color w:val="auto"/>
        </w:rPr>
      </w:pPr>
      <w:r>
        <w:rPr>
          <w:rFonts w:ascii="Arial" w:cs="Arial" w:eastAsia="Arial" w:hAnsi="Arial"/>
          <w:sz w:val="18"/>
          <w:szCs w:val="18"/>
          <w:color w:val="auto"/>
        </w:rPr>
        <w:t>The following table presents the activity for the derivative liability (in thousands):</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Fair value at beginning of period</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8"/>
                <w:szCs w:val="18"/>
                <w:color w:val="auto"/>
              </w:rPr>
              <w:t>Derivative liability recorded upon issuance of</w:t>
            </w: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 of derivative liability</w:t>
            </w:r>
          </w:p>
        </w:tc>
        <w:tc>
          <w:tcPr>
            <w:tcW w:w="12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8"/>
                <w:szCs w:val="18"/>
                <w:color w:val="auto"/>
              </w:rPr>
              <w:t>Derivative liability settled upon conversion of</w:t>
            </w:r>
          </w:p>
        </w:tc>
        <w:tc>
          <w:tcPr>
            <w:tcW w:w="120" w:type="dxa"/>
            <w:vAlign w:val="bottom"/>
          </w:tcPr>
          <w:p>
            <w:pPr>
              <w:spacing w:after="0"/>
              <w:rPr>
                <w:sz w:val="14"/>
                <w:szCs w:val="14"/>
                <w:color w:val="auto"/>
              </w:rPr>
            </w:pPr>
          </w:p>
        </w:tc>
        <w:tc>
          <w:tcPr>
            <w:tcW w:w="2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(1,905 )</w:t>
            </w:r>
          </w:p>
        </w:tc>
        <w:tc>
          <w:tcPr>
            <w:tcW w:w="0" w:type="dxa"/>
            <w:vAlign w:val="bottom"/>
          </w:tcPr>
          <w:p>
            <w:pPr>
              <w:spacing w:after="0"/>
              <w:rPr>
                <w:sz w:val="1"/>
                <w:szCs w:val="1"/>
                <w:color w:val="auto"/>
              </w:rPr>
            </w:pPr>
          </w:p>
        </w:tc>
      </w:tr>
      <w:tr>
        <w:trPr>
          <w:trHeight w:val="203"/>
        </w:trPr>
        <w:tc>
          <w:tcPr>
            <w:tcW w:w="5660" w:type="dxa"/>
            <w:vAlign w:val="bottom"/>
          </w:tcPr>
          <w:p>
            <w:pPr>
              <w:ind w:left="160"/>
              <w:spacing w:after="0" w:line="202" w:lineRule="exact"/>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Fair value at end of period</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-24765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activity for the convertible preferred stock warrant liability (in thousands):</w:t>
      </w:r>
    </w:p>
    <w:p>
      <w:pPr>
        <w:sectPr>
          <w:pgSz w:w="11900" w:h="16838" w:orient="portrait"/>
          <w:cols w:equalWidth="0" w:num="1">
            <w:col w:w="11240"/>
          </w:cols>
          <w:pgMar w:left="320" w:top="593"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Fair value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-118745</wp:posOffset>
            </wp:positionV>
            <wp:extent cx="4989195"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2" w:lineRule="auto"/>
        <w:rPr>
          <w:sz w:val="20"/>
          <w:szCs w:val="20"/>
          <w:color w:val="auto"/>
        </w:rPr>
      </w:pPr>
      <w:r>
        <w:rPr>
          <w:rFonts w:ascii="Arial" w:cs="Arial" w:eastAsia="Arial" w:hAnsi="Arial"/>
          <w:sz w:val="17"/>
          <w:szCs w:val="17"/>
          <w:color w:val="auto"/>
        </w:rPr>
        <w:t>Recognition of convertible preferred stock</w:t>
      </w:r>
    </w:p>
    <w:p>
      <w:pPr>
        <w:ind w:left="1860"/>
        <w:spacing w:after="0" w:line="234" w:lineRule="auto"/>
        <w:rPr>
          <w:sz w:val="20"/>
          <w:szCs w:val="20"/>
          <w:color w:val="auto"/>
        </w:rPr>
      </w:pPr>
      <w:r>
        <w:rPr>
          <w:rFonts w:ascii="Arial" w:cs="Arial" w:eastAsia="Arial" w:hAnsi="Arial"/>
          <w:sz w:val="18"/>
          <w:szCs w:val="18"/>
          <w:color w:val="auto"/>
        </w:rPr>
        <w:t>warrant liability</w:t>
      </w:r>
    </w:p>
    <w:p>
      <w:pPr>
        <w:ind w:left="1700"/>
        <w:spacing w:after="0" w:line="235" w:lineRule="auto"/>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-127000</wp:posOffset>
            </wp:positionV>
            <wp:extent cx="4989195"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Settlement upon IPO</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Fair value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Year Ended December 31,</w:t>
      </w:r>
    </w:p>
    <w:p>
      <w:pPr>
        <w:spacing w:after="0" w:line="2"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wp:posOffset>
            </wp:positionV>
            <wp:extent cx="13030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364</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641</w:t>
      </w:r>
    </w:p>
    <w:p>
      <w:pPr>
        <w:jc w:val="right"/>
        <w:ind w:right="1740"/>
        <w:spacing w:after="0"/>
        <w:rPr>
          <w:sz w:val="20"/>
          <w:szCs w:val="20"/>
          <w:color w:val="auto"/>
        </w:rPr>
      </w:pPr>
      <w:r>
        <w:rPr>
          <w:rFonts w:ascii="Arial" w:cs="Arial" w:eastAsia="Arial" w:hAnsi="Arial"/>
          <w:sz w:val="18"/>
          <w:szCs w:val="18"/>
          <w:color w:val="auto"/>
        </w:rPr>
        <w:t>(1,005 )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wp:posOffset>
            </wp:positionV>
            <wp:extent cx="13030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680" w:space="720"/>
            <w:col w:w="3840"/>
          </w:cols>
          <w:pgMar w:left="320" w:top="593" w:right="339" w:bottom="1440" w:gutter="0" w:footer="0" w:header="0"/>
          <w:type w:val="continuous"/>
        </w:sectPr>
      </w:pP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Prior to the IPO, the activity for the convertible preferred stock warrant liability presented in the table above was shown in the Company’s financial statements as level 3. Following the IPO, the preferred stock warrant liability was revalued based on the IPO price of $17.00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 equipment</w:t>
            </w:r>
          </w:p>
        </w:tc>
        <w:tc>
          <w:tcPr>
            <w:tcW w:w="900" w:type="dxa"/>
            <w:vAlign w:val="bottom"/>
            <w:shd w:val="clear" w:color="auto" w:fill="CFF0FC"/>
          </w:tcPr>
          <w:p>
            <w:pPr>
              <w:jc w:val="right"/>
              <w:ind w:right="69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line="162" w:lineRule="exact"/>
              <w:rPr>
                <w:sz w:val="20"/>
                <w:szCs w:val="20"/>
                <w:color w:val="auto"/>
              </w:rPr>
            </w:pPr>
            <w:r>
              <w:rPr>
                <w:rFonts w:ascii="Arial" w:cs="Arial" w:eastAsia="Arial" w:hAnsi="Arial"/>
                <w:sz w:val="18"/>
                <w:szCs w:val="18"/>
                <w:color w:val="auto"/>
              </w:rPr>
              <w:t>Office furniture, fixtures, and</w:t>
            </w:r>
          </w:p>
        </w:tc>
        <w:tc>
          <w:tcPr>
            <w:tcW w:w="9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160"/>
              <w:spacing w:after="0"/>
              <w:rPr>
                <w:sz w:val="20"/>
                <w:szCs w:val="20"/>
                <w:color w:val="auto"/>
              </w:rPr>
            </w:pPr>
            <w:r>
              <w:rPr>
                <w:rFonts w:ascii="Arial" w:cs="Arial" w:eastAsia="Arial" w:hAnsi="Arial"/>
                <w:sz w:val="18"/>
                <w:szCs w:val="18"/>
                <w:color w:val="auto"/>
              </w:rPr>
              <w:t>computer equipment</w:t>
            </w:r>
          </w:p>
        </w:tc>
        <w:tc>
          <w:tcPr>
            <w:tcW w:w="9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9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2,563</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1,124</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at cost</w:t>
            </w:r>
          </w:p>
        </w:tc>
        <w:tc>
          <w:tcPr>
            <w:tcW w:w="9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4,280</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9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(523 )</w:t>
            </w:r>
          </w:p>
        </w:tc>
        <w:tc>
          <w:tcPr>
            <w:tcW w:w="42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auto"/>
              <w:bottom w:val="single" w:sz="8" w:color="auto"/>
            </w:tcBorders>
            <w:shd w:val="clear" w:color="auto" w:fill="CFF0FC"/>
          </w:tcPr>
          <w:p>
            <w:pPr>
              <w:jc w:val="right"/>
              <w:ind w:right="696"/>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3,757</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$479,000 and $2,000 for the years ended December 31, 2021 and 2020,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5. Accrued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820" w:type="dxa"/>
            <w:vAlign w:val="bottom"/>
            <w:shd w:val="clear" w:color="auto" w:fill="CFF0FC"/>
          </w:tcPr>
          <w:p>
            <w:pPr>
              <w:jc w:val="right"/>
              <w:ind w:right="618"/>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97"/>
              </w:rPr>
              <w:t>5,723</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Employee compensation and benefits</w:t>
            </w:r>
          </w:p>
        </w:tc>
        <w:tc>
          <w:tcPr>
            <w:tcW w:w="8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1,907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 and other</w:t>
            </w:r>
          </w:p>
        </w:tc>
        <w:tc>
          <w:tcPr>
            <w:tcW w:w="8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807</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5000" w:type="dxa"/>
            <w:vAlign w:val="bottom"/>
          </w:tcPr>
          <w:p>
            <w:pPr>
              <w:ind w:left="260"/>
              <w:spacing w:after="0" w:line="196" w:lineRule="exact"/>
              <w:rPr>
                <w:sz w:val="20"/>
                <w:szCs w:val="20"/>
                <w:color w:val="auto"/>
              </w:rPr>
            </w:pPr>
            <w:r>
              <w:rPr>
                <w:rFonts w:ascii="Arial" w:cs="Arial" w:eastAsia="Arial" w:hAnsi="Arial"/>
                <w:sz w:val="18"/>
                <w:szCs w:val="18"/>
                <w:color w:val="auto"/>
              </w:rPr>
              <w:t>Total accrued liabilities</w:t>
            </w:r>
          </w:p>
        </w:tc>
        <w:tc>
          <w:tcPr>
            <w:tcW w:w="820" w:type="dxa"/>
            <w:vAlign w:val="bottom"/>
          </w:tcPr>
          <w:p>
            <w:pPr>
              <w:jc w:val="right"/>
              <w:ind w:right="618"/>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8,437</w:t>
            </w:r>
          </w:p>
        </w:tc>
        <w:tc>
          <w:tcPr>
            <w:tcW w:w="580" w:type="dxa"/>
            <w:vAlign w:val="bottom"/>
            <w:gridSpan w:val="3"/>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Income (Expense), Net</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7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00" w:type="dxa"/>
            <w:vAlign w:val="bottom"/>
            <w:gridSpan w:val="2"/>
          </w:tcPr>
          <w:p>
            <w:pPr>
              <w:ind w:left="520"/>
              <w:spacing w:after="0"/>
              <w:rPr>
                <w:sz w:val="20"/>
                <w:szCs w:val="20"/>
                <w:color w:val="auto"/>
              </w:rPr>
            </w:pPr>
            <w:r>
              <w:rPr>
                <w:rFonts w:ascii="Arial" w:cs="Arial" w:eastAsia="Arial" w:hAnsi="Arial"/>
                <w:sz w:val="18"/>
                <w:szCs w:val="18"/>
                <w:color w:val="auto"/>
              </w:rPr>
              <w:t>Other income (expense), net consisted of the following (in thousands):</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7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60" w:type="dxa"/>
            <w:vAlign w:val="bottom"/>
            <w:gridSpan w:val="9"/>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and other income</w:t>
            </w:r>
          </w:p>
        </w:tc>
        <w:tc>
          <w:tcPr>
            <w:tcW w:w="820" w:type="dxa"/>
            <w:vAlign w:val="bottom"/>
            <w:shd w:val="clear" w:color="auto" w:fill="CFF0FC"/>
          </w:tcPr>
          <w:p>
            <w:pPr>
              <w:jc w:val="right"/>
              <w:ind w:right="618"/>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7"/>
                <w:szCs w:val="17"/>
                <w:color w:val="auto"/>
              </w:rPr>
            </w:pP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(3 )</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 of derivative liability</w:t>
            </w:r>
          </w:p>
        </w:tc>
        <w:tc>
          <w:tcPr>
            <w:tcW w:w="8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Change in fair value of grant liability</w:t>
            </w:r>
          </w:p>
        </w:tc>
        <w:tc>
          <w:tcPr>
            <w:tcW w:w="82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0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Change in convertible preferred stock</w:t>
            </w:r>
          </w:p>
        </w:tc>
        <w:tc>
          <w:tcPr>
            <w:tcW w:w="820" w:type="dxa"/>
            <w:vAlign w:val="bottom"/>
            <w:shd w:val="clear" w:color="auto" w:fill="CFF0FC"/>
          </w:tcPr>
          <w:p>
            <w:pPr>
              <w:spacing w:after="0"/>
              <w:rPr>
                <w:sz w:val="14"/>
                <w:szCs w:val="14"/>
                <w:color w:val="auto"/>
              </w:rPr>
            </w:pPr>
          </w:p>
        </w:tc>
        <w:tc>
          <w:tcPr>
            <w:tcW w:w="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8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(641 )</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0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warrant liability</w:t>
            </w:r>
          </w:p>
        </w:tc>
        <w:tc>
          <w:tcPr>
            <w:tcW w:w="820" w:type="dxa"/>
            <w:vAlign w:val="bottom"/>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gridSpan w:val="3"/>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Gain on extinguishment of convertible notes</w:t>
            </w:r>
          </w:p>
        </w:tc>
        <w:tc>
          <w:tcPr>
            <w:tcW w:w="82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00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other income (expense), net</w:t>
            </w:r>
          </w:p>
        </w:tc>
        <w:tc>
          <w:tcPr>
            <w:tcW w:w="820" w:type="dxa"/>
            <w:vAlign w:val="bottom"/>
            <w:tcBorders>
              <w:top w:val="single" w:sz="8" w:color="auto"/>
              <w:bottom w:val="single" w:sz="8" w:color="auto"/>
            </w:tcBorders>
            <w:shd w:val="clear" w:color="auto" w:fill="CFF0FC"/>
          </w:tcPr>
          <w:p>
            <w:pPr>
              <w:jc w:val="right"/>
              <w:ind w:right="618"/>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334</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(1,281</w:t>
            </w: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-2122170</wp:posOffset>
            </wp:positionV>
            <wp:extent cx="5143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-2122170</wp:posOffset>
            </wp:positionV>
            <wp:extent cx="5143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is party to an amended and restated exclusive license agreement with sublicensing terms between the Company and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annual maintenance fees. All contractual requirements have been met as of December 31, 2021.</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020" w:hanging="503"/>
        <w:spacing w:after="0" w:line="270"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$600,000 – Upon receipt of marketing approval in the United States, European Union or Japan for the first licensed product.</w:t>
      </w:r>
    </w:p>
    <w:p>
      <w:pPr>
        <w:spacing w:after="0" w:line="2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2021, no sales of any licensed products had occurred and the Company had not incurred a royalty obligation under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9" w:name="page150"/>
    <w:bookmarkEnd w:id="149"/>
    <w:p>
      <w:pPr>
        <w:jc w:val="both"/>
        <w:ind w:firstLine="509"/>
        <w:spacing w:after="0" w:line="247"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December 31, 2021, the Company has not entered into or incurred any liability from a sublicense agreement.</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LSDF Grant Liability</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61"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To appropriately capture the economics of this arrangement, the grant liability was accounted for under ASC 825-10, Financial Instruments − Overall. The estimated fair value of the grant liability was reassessed at each balance sheet date, with changes in fair value 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were subject to significant judgment, and payment may have been in an amount different from the liability that the Company estimated. However, total payments under the agreements would not exceed $1.5 million.</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consummation of the Company’s IPO in September 2020 was a triggering event under the terms of the grant and the liability was remeasured to the pay-off amount of $1.5 million prior to settlement. The change in the fair value of the liability resulted in expense of approximately $464,000 for the year ended December 31, 2020, which was included in other income (expense), net in the accompanying consolidated statements of operations and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Notes</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Company issued unsecured convertible notes with an aggregate principal amount of $1.7 million in 2020. Previously, the Company issued unsecured convertible notes with aggregate principal amounts of $0.9 million and $1.3 million in 2019 and 2018, respectively. The notes accrued interest at a rate of 5% per year and mature in December 2021, unless earlier converted. No principal or interest was payable prior to maturity as the convertible notes and any accrued interest would automatically convert upon a qualified financing event at a conversion price equal to 85% of the price per share of the qualified financing. Holders may have also elected to convert their notes to shares of common stock upon the maturity of the notes at the then fair value of common stock. If the Company experienced a change in control, holders may have either converted the outstanding principal amount plus any accrued interest into shares of common stock at the then fair value of common stock or may have required the Company to repurchase the notes in cash at a price equal to 200% of the outstanding principal amount plus any accrued interest.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jc w:val="both"/>
        <w:ind w:firstLine="509"/>
        <w:spacing w:after="0" w:line="242"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262" w:lineRule="exact"/>
        <w:rPr>
          <w:sz w:val="20"/>
          <w:szCs w:val="20"/>
          <w:color w:val="auto"/>
        </w:rPr>
      </w:pPr>
    </w:p>
    <w:p>
      <w:pPr>
        <w:ind w:left="500" w:right="8180" w:hanging="492"/>
        <w:spacing w:after="0" w:line="381" w:lineRule="auto"/>
        <w:tabs>
          <w:tab w:leader="none" w:pos="20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jc w:val="both"/>
        <w:ind w:firstLine="509"/>
        <w:spacing w:after="0" w:line="247"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We accrue a liability when management believes that it is both probable that a liability has been incurred and the amount of loss can be reasonably estimated, and as of December 31, 2021, we have not recorded any such liabilities. The following is a brief description of the more significant legal proceedings.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23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18"/>
          <w:szCs w:val="18"/>
          <w:i w:val="1"/>
          <w:iCs w:val="1"/>
          <w:color w:val="auto"/>
        </w:rPr>
        <w:t>Wang v.</w:t>
      </w:r>
      <w:r>
        <w:rPr>
          <w:rFonts w:ascii="Arial" w:cs="Arial" w:eastAsia="Arial" w:hAnsi="Arial"/>
          <w:sz w:val="18"/>
          <w:szCs w:val="18"/>
          <w:color w:val="auto"/>
        </w:rPr>
        <w:t xml:space="preserve"> </w:t>
      </w:r>
      <w:r>
        <w:rPr>
          <w:rFonts w:ascii="Arial" w:cs="Arial" w:eastAsia="Arial" w:hAnsi="Arial"/>
          <w:sz w:val="18"/>
          <w:szCs w:val="18"/>
          <w:i w:val="1"/>
          <w:iCs w:val="1"/>
          <w:color w:val="auto"/>
        </w:rPr>
        <w:t>Athira Pharma, Inc., et al.</w:t>
      </w:r>
      <w:r>
        <w:rPr>
          <w:rFonts w:ascii="Arial" w:cs="Arial" w:eastAsia="Arial" w:hAnsi="Arial"/>
          <w:sz w:val="18"/>
          <w:szCs w:val="18"/>
          <w:color w:val="auto"/>
        </w:rPr>
        <w:t>, No. 2:21-cv-00861. Plaintiffs Wang and Gao assert claims under Sections 10(b) and 20(a)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of 1934 and SEC Rule 10b-5, alleging that the defendants made materially false and misleading statements and omitted material adverse facts regarding the Company’s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25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the Company, Dr. Kawas, the Company’s Chief Financial Officer, certain members of the Company’s board of directors at the time of the Company’s IPO, as well as the IPO underwriters, captioned </w:t>
      </w:r>
      <w:r>
        <w:rPr>
          <w:rFonts w:ascii="Arial" w:cs="Arial" w:eastAsia="Arial" w:hAnsi="Arial"/>
          <w:sz w:val="18"/>
          <w:szCs w:val="18"/>
          <w:i w:val="1"/>
          <w:iCs w:val="1"/>
          <w:color w:val="auto"/>
        </w:rPr>
        <w:t>Jawandha v. Athira Pharma,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No. 2:21-cv-00862. The</w:t>
      </w:r>
      <w:r>
        <w:rPr>
          <w:rFonts w:ascii="Arial" w:cs="Arial" w:eastAsia="Arial" w:hAnsi="Arial"/>
          <w:sz w:val="18"/>
          <w:szCs w:val="18"/>
          <w:i w:val="1"/>
          <w:iCs w:val="1"/>
          <w:color w:val="auto"/>
        </w:rPr>
        <w:t xml:space="preserve"> Jawandha </w:t>
      </w:r>
      <w:r>
        <w:rPr>
          <w:rFonts w:ascii="Arial" w:cs="Arial" w:eastAsia="Arial" w:hAnsi="Arial"/>
          <w:sz w:val="18"/>
          <w:szCs w:val="18"/>
          <w:color w:val="auto"/>
        </w:rPr>
        <w:t>complaint asserts violations of Sections 11 and 15 of the Securities Act of 1933, alleging that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plaintiff seeks unspecified compensatory damages, and reasonable costs and expenses, including attorneys’ fees.</w:t>
      </w:r>
    </w:p>
    <w:p>
      <w:pPr>
        <w:spacing w:after="0" w:line="278"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Also on June 25, 2021, plaintiffs Timothy Slyne and Tai Slyne filed a putative securities class action lawsuit in the U.S. District Court for the Western District of Washington against the Company, Dr. Kawas,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both"/>
        <w:spacing w:after="0" w:line="244" w:lineRule="auto"/>
        <w:rPr>
          <w:sz w:val="20"/>
          <w:szCs w:val="20"/>
          <w:color w:val="auto"/>
        </w:rPr>
      </w:pPr>
      <w:r>
        <w:rPr>
          <w:rFonts w:ascii="Arial" w:cs="Arial" w:eastAsia="Arial" w:hAnsi="Arial"/>
          <w:sz w:val="18"/>
          <w:szCs w:val="18"/>
          <w:color w:val="auto"/>
        </w:rPr>
        <w:t xml:space="preserve">the Company’s Chief Financial Officer, and the same members of the Company’s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of 1933, alleging that purported issues with Dr. Kawas’s doctoral research at WSU should have been disclosed in the Company’s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 xml:space="preserve">On August 9, 2021, the district judge presiding over </w:t>
      </w:r>
      <w:r>
        <w:rPr>
          <w:rFonts w:ascii="Arial" w:cs="Arial" w:eastAsia="Arial" w:hAnsi="Arial"/>
          <w:sz w:val="18"/>
          <w:szCs w:val="18"/>
          <w:i w:val="1"/>
          <w:iCs w:val="1"/>
          <w:color w:val="auto"/>
        </w:rPr>
        <w:t>Wang v. Athira Pharma, Inc., et al.</w:t>
      </w:r>
      <w:r>
        <w:rPr>
          <w:rFonts w:ascii="Arial" w:cs="Arial" w:eastAsia="Arial" w:hAnsi="Arial"/>
          <w:sz w:val="18"/>
          <w:szCs w:val="18"/>
          <w:color w:val="auto"/>
        </w:rPr>
        <w:t>, No. 2:21-cv-00861, issued an order consolidating the three cases under that case number. On October 5, 2021, the district court issued an order appointing lead plaintiffs and approved their selection of lead and liaison counsel.</w:t>
      </w:r>
    </w:p>
    <w:p>
      <w:pPr>
        <w:spacing w:after="0" w:line="20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Securities Exchange Act of 1934 and SEC Rule 10b-5 and Sections 11, 12, and 15 of the Securities Act of 1933. The consolidated amended complaint is brought against the Company, Dr. Kawas, the Company’s chief financial officer, certain members of our board of directors at the time of our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equitable and injunctive relief, and reasonable costs and expenses, including attorneys’ fees, on behalf of themselves and the purported class. On March 8, 2022, the defendants filed a motion to dismiss lead plaintiffs’ consolidated amended complaint for failure to state a claim under the federal securities laws.</w:t>
      </w:r>
    </w:p>
    <w:p>
      <w:pPr>
        <w:spacing w:after="0" w:line="29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cannot predict the outcome of these suits, and failure by the Company to obtain a favorable resolution of these suits could have a material adverse effect on its business, results of operations and financial condition. The Company’s chances of success on the merits are still uncertain and any possible loss or range of loss cannot be reasonably estimated and as such the Company has not recorded a liability as of December 31, 2021.</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December 31, 2021, the Company was not party to any finance leases.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8" w:right="339" w:bottom="1440" w:gutter="0" w:footer="0" w:header="0"/>
        </w:sectPr>
      </w:pPr>
    </w:p>
    <w:bookmarkStart w:id="152" w:name="page153"/>
    <w:bookmarkEnd w:id="152"/>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Total undiscounted lease payments</w:t>
            </w:r>
          </w:p>
        </w:tc>
        <w:tc>
          <w:tcPr>
            <w:tcW w:w="2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2,748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1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Present value adjustment for minimum lease</w:t>
            </w:r>
          </w:p>
        </w:tc>
        <w:tc>
          <w:tcPr>
            <w:tcW w:w="22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(548 )</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commitments</w:t>
            </w:r>
          </w:p>
        </w:tc>
        <w:tc>
          <w:tcPr>
            <w:tcW w:w="220" w:type="dxa"/>
            <w:vAlign w:val="bottom"/>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Tenant improvement allowance receivable</w:t>
            </w:r>
          </w:p>
        </w:tc>
        <w:tc>
          <w:tcPr>
            <w:tcW w:w="22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Net lease liability</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-664845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000" w:type="dxa"/>
            <w:vAlign w:val="bottom"/>
          </w:tcPr>
          <w:p>
            <w:pPr>
              <w:spacing w:after="0"/>
              <w:rPr>
                <w:sz w:val="16"/>
                <w:szCs w:val="16"/>
                <w:color w:val="auto"/>
              </w:rPr>
            </w:pPr>
          </w:p>
        </w:tc>
        <w:tc>
          <w:tcPr>
            <w:tcW w:w="15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r>
      <w:tr>
        <w:trPr>
          <w:trHeight w:val="196"/>
        </w:trPr>
        <w:tc>
          <w:tcPr>
            <w:tcW w:w="6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1520" w:type="dxa"/>
            <w:vAlign w:val="bottom"/>
            <w:shd w:val="clear" w:color="auto" w:fill="CFF0FC"/>
          </w:tcPr>
          <w:p>
            <w:pPr>
              <w:ind w:left="1260"/>
              <w:spacing w:after="0" w:line="196" w:lineRule="exact"/>
              <w:rPr>
                <w:sz w:val="20"/>
                <w:szCs w:val="20"/>
                <w:color w:val="auto"/>
              </w:rPr>
            </w:pPr>
            <w:r>
              <w:rPr>
                <w:rFonts w:ascii="Arial" w:cs="Arial" w:eastAsia="Arial" w:hAnsi="Arial"/>
                <w:sz w:val="18"/>
                <w:szCs w:val="18"/>
                <w:color w:val="auto"/>
                <w:w w:val="95"/>
              </w:rPr>
              <w:t>5.9</w:t>
            </w:r>
          </w:p>
        </w:tc>
        <w:tc>
          <w:tcPr>
            <w:tcW w:w="340" w:type="dxa"/>
            <w:vAlign w:val="bottom"/>
            <w:shd w:val="clear" w:color="auto" w:fill="CFF0FC"/>
          </w:tcPr>
          <w:p>
            <w:pPr>
              <w:spacing w:after="0"/>
              <w:rPr>
                <w:sz w:val="17"/>
                <w:szCs w:val="17"/>
                <w:color w:val="auto"/>
              </w:rPr>
            </w:pPr>
          </w:p>
        </w:tc>
      </w:tr>
      <w:tr>
        <w:trPr>
          <w:trHeight w:val="239"/>
        </w:trPr>
        <w:tc>
          <w:tcPr>
            <w:tcW w:w="60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60" w:type="dxa"/>
            <w:vAlign w:val="bottom"/>
            <w:gridSpan w:val="2"/>
          </w:tcPr>
          <w:p>
            <w:pPr>
              <w:ind w:left="1260"/>
              <w:spacing w:after="0"/>
              <w:rPr>
                <w:sz w:val="20"/>
                <w:szCs w:val="20"/>
                <w:color w:val="auto"/>
              </w:rPr>
            </w:pPr>
            <w:r>
              <w:rPr>
                <w:rFonts w:ascii="Arial" w:cs="Arial" w:eastAsia="Arial" w:hAnsi="Arial"/>
                <w:sz w:val="18"/>
                <w:szCs w:val="18"/>
                <w:color w:val="auto"/>
              </w:rPr>
              <w:t>8.1 %</w:t>
            </w:r>
          </w:p>
        </w:tc>
      </w:tr>
    </w:tbl>
    <w:p>
      <w:pPr>
        <w:spacing w:after="0" w:line="21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Operating lease expense was $323,000 for the year ended December 31, 2021. Separately, variable lease expense was $108,000 for operating leases during the year ended December 31,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540" w:type="dxa"/>
            <w:vAlign w:val="bottom"/>
            <w:tcBorders>
              <w:bottom w:val="single" w:sz="8" w:color="auto"/>
            </w:tcBorders>
            <w:gridSpan w:val="3"/>
          </w:tcPr>
          <w:p>
            <w:pPr>
              <w:ind w:left="14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7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Shares issuable upon the exercise of outstanding</w:t>
            </w:r>
          </w:p>
        </w:tc>
        <w:tc>
          <w:tcPr>
            <w:tcW w:w="1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common stock options and the vesting of</w:t>
            </w:r>
          </w:p>
        </w:tc>
        <w:tc>
          <w:tcPr>
            <w:tcW w:w="1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outstanding common restricted stock</w:t>
            </w: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2,632,396</w:t>
            </w: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1,974,870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units granted</w:t>
            </w:r>
          </w:p>
        </w:tc>
        <w:tc>
          <w:tcPr>
            <w:tcW w:w="17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line="162" w:lineRule="exact"/>
              <w:rPr>
                <w:sz w:val="20"/>
                <w:szCs w:val="20"/>
                <w:color w:val="auto"/>
              </w:rPr>
            </w:pPr>
            <w:r>
              <w:rPr>
                <w:rFonts w:ascii="Arial" w:cs="Arial" w:eastAsia="Arial" w:hAnsi="Arial"/>
                <w:sz w:val="18"/>
                <w:szCs w:val="18"/>
                <w:color w:val="auto"/>
              </w:rPr>
              <w:t>Shares available for future grant under the 2020</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4,442,315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3,742,235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Equity Incentive Plan</w:t>
            </w:r>
          </w:p>
        </w:tc>
        <w:tc>
          <w:tcPr>
            <w:tcW w:w="1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Shares available for future grant under the</w:t>
            </w: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621,211</w:t>
            </w: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323,000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Employee Stock Purchase Plan</w:t>
            </w:r>
          </w:p>
        </w:tc>
        <w:tc>
          <w:tcPr>
            <w:tcW w:w="17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260"/>
              <w:spacing w:after="0" w:line="196" w:lineRule="exact"/>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7,695,922</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6,040,105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-159385</wp:posOffset>
            </wp:positionV>
            <wp:extent cx="514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 equal to the least of (a) 3,230,000 shares, (b) 5% of the number of shares of common stock issued and outstanding on the immediately preceding December 31, or (c) an amount determined by the Company’s board of directors.</w:t>
      </w:r>
    </w:p>
    <w:p>
      <w:pPr>
        <w:spacing w:after="0" w:line="24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2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Effective January 1, 2021, the Company’s 2020 Plan and ESPP reserves increased by 1,624,259 shares and 324,851 shares, respectively.</w:t>
      </w:r>
    </w:p>
    <w:p>
      <w:pPr>
        <w:spacing w:after="0" w:line="1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Effective January 1, 2022, the Company’s 2020 Plan and ESPP reserves increased by 1,868,953 shares and 373,790 shares,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75"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820" w:type="dxa"/>
            <w:vAlign w:val="bottom"/>
            <w:tcBorders>
              <w:top w:val="single" w:sz="8" w:color="auto"/>
            </w:tcBorders>
            <w:shd w:val="clear" w:color="auto" w:fill="CFF0FC"/>
          </w:tcPr>
          <w:p>
            <w:pPr>
              <w:jc w:val="right"/>
              <w:ind w:right="61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1,368</w:t>
            </w:r>
          </w:p>
        </w:tc>
        <w:tc>
          <w:tcPr>
            <w:tcW w:w="2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3,255</w:t>
            </w: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w:t>
            </w:r>
          </w:p>
        </w:tc>
        <w:tc>
          <w:tcPr>
            <w:tcW w:w="80" w:type="dxa"/>
            <w:vAlign w:val="bottom"/>
          </w:tcPr>
          <w:p>
            <w:pPr>
              <w:spacing w:after="0"/>
              <w:rPr>
                <w:sz w:val="17"/>
                <w:szCs w:val="17"/>
                <w:color w:val="auto"/>
              </w:rPr>
            </w:pPr>
          </w:p>
        </w:tc>
      </w:tr>
      <w:tr>
        <w:trPr>
          <w:trHeight w:val="236"/>
        </w:trPr>
        <w:tc>
          <w:tcPr>
            <w:tcW w:w="512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 stock-based compensation expense</w:t>
            </w:r>
          </w:p>
        </w:tc>
        <w:tc>
          <w:tcPr>
            <w:tcW w:w="820" w:type="dxa"/>
            <w:vAlign w:val="bottom"/>
            <w:tcBorders>
              <w:bottom w:val="single" w:sz="8" w:color="auto"/>
            </w:tcBorders>
            <w:shd w:val="clear" w:color="auto" w:fill="CFF0FC"/>
          </w:tcPr>
          <w:p>
            <w:pPr>
              <w:jc w:val="right"/>
              <w:ind w:right="61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4,623</w:t>
            </w:r>
          </w:p>
        </w:tc>
        <w:tc>
          <w:tcPr>
            <w:tcW w:w="2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51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46" w:lineRule="exact"/>
        <w:rPr>
          <w:sz w:val="20"/>
          <w:szCs w:val="20"/>
          <w:color w:val="auto"/>
        </w:rPr>
      </w:pPr>
    </w:p>
    <w:p>
      <w:pPr>
        <w:jc w:val="both"/>
        <w:ind w:left="1020" w:hanging="503"/>
        <w:spacing w:after="0" w:line="246" w:lineRule="auto"/>
        <w:tabs>
          <w:tab w:leader="none" w:pos="10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the closing of the Company’s initial public offering, the grant date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underlying stock options has historically been determined by the Company’s board of directors. Because previously there was no public market for the Company’s common stock, the board of directors exercised reasonable judgment and considered a number of objective and subjective factors to determine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jc w:val="both"/>
        <w:ind w:left="1020"/>
        <w:spacing w:after="0"/>
        <w:rPr>
          <w:sz w:val="20"/>
          <w:szCs w:val="20"/>
          <w:color w:val="auto"/>
        </w:rPr>
      </w:pPr>
      <w:r>
        <w:rPr>
          <w:rFonts w:ascii="Arial" w:cs="Arial" w:eastAsia="Arial" w:hAnsi="Arial"/>
          <w:sz w:val="18"/>
          <w:szCs w:val="18"/>
          <w:color w:val="auto"/>
        </w:rPr>
        <w:t>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 For valuations of grants made after the closing of the Company’s initial public offering, the fair value of each share of common stock is based on the closing price of the Company’s common stock on the date of grant, or other relevant determination date, as reported on The Nasdaq Global Select Market.</w:t>
      </w:r>
    </w:p>
    <w:p>
      <w:pPr>
        <w:spacing w:after="0" w:line="72" w:lineRule="exact"/>
        <w:rPr>
          <w:sz w:val="20"/>
          <w:szCs w:val="20"/>
          <w:color w:val="auto"/>
        </w:rPr>
      </w:pPr>
    </w:p>
    <w:p>
      <w:pPr>
        <w:ind w:left="1020" w:hanging="503"/>
        <w:spacing w:after="0" w:line="270" w:lineRule="auto"/>
        <w:tabs>
          <w:tab w:leader="none" w:pos="10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126" w:lineRule="exact"/>
        <w:rPr>
          <w:sz w:val="20"/>
          <w:szCs w:val="20"/>
          <w:color w:val="auto"/>
        </w:rPr>
      </w:pPr>
    </w:p>
    <w:p>
      <w:pPr>
        <w:jc w:val="both"/>
        <w:ind w:right="20" w:firstLine="509"/>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00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486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0.99</w:t>
            </w:r>
          </w:p>
        </w:tc>
        <w:tc>
          <w:tcPr>
            <w:tcW w:w="44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0.49</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90.91 %</w:t>
            </w:r>
          </w:p>
        </w:tc>
        <w:tc>
          <w:tcPr>
            <w:tcW w:w="1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87.41 %</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6.10</w:t>
            </w: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w:t>
            </w:r>
          </w:p>
        </w:tc>
        <w:tc>
          <w:tcPr>
            <w:tcW w:w="320" w:type="dxa"/>
            <w:vAlign w:val="bottom"/>
            <w:shd w:val="clear" w:color="auto" w:fill="CFF0FC"/>
          </w:tcPr>
          <w:p>
            <w:pPr>
              <w:spacing w:after="0"/>
              <w:rPr>
                <w:sz w:val="17"/>
                <w:szCs w:val="17"/>
                <w:color w:val="auto"/>
              </w:rPr>
            </w:pPr>
          </w:p>
        </w:tc>
      </w:t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grant date fair value of restricted stock units is based upon the fair market value of the Company’s common stock based on its closing price as reported on the date of grant on the Nasdaq Global Select Market.</w:t>
      </w:r>
    </w:p>
    <w:p>
      <w:pPr>
        <w:spacing w:after="0" w:line="20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weighted-average grant-date fair value of options granted during the years ended December 31, 2021 and 2020 were $14.4 million and $4.2 million respectively. The weighted-average grant-date fair value of restricted stock units granted during the year ended December 31, 2021 was $5.7 million. No restricted stock units were granted during the year ended December 31, 2020.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5" w:name="page156"/>
    <w:bookmarkEnd w:id="155"/>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shares available for grant under the 2020 Plan during the year ended December 31, 2021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center"/>
              <w:ind w:left="244"/>
              <w:spacing w:after="0" w:line="149" w:lineRule="exact"/>
              <w:rPr>
                <w:sz w:val="20"/>
                <w:szCs w:val="20"/>
                <w:color w:val="auto"/>
              </w:rPr>
            </w:pPr>
            <w:r>
              <w:rPr>
                <w:rFonts w:ascii="Arial" w:cs="Arial" w:eastAsia="Arial" w:hAnsi="Arial"/>
                <w:sz w:val="14"/>
                <w:szCs w:val="14"/>
                <w:b w:val="1"/>
                <w:bCs w:val="1"/>
                <w:color w:val="auto"/>
              </w:rPr>
              <w:t>Available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left="284"/>
              <w:spacing w:after="0"/>
              <w:rPr>
                <w:sz w:val="20"/>
                <w:szCs w:val="20"/>
                <w:color w:val="auto"/>
              </w:rPr>
            </w:pPr>
            <w:r>
              <w:rPr>
                <w:rFonts w:ascii="Arial" w:cs="Arial" w:eastAsia="Arial" w:hAnsi="Arial"/>
                <w:sz w:val="14"/>
                <w:szCs w:val="14"/>
                <w:b w:val="1"/>
                <w:bCs w:val="1"/>
                <w:color w:val="auto"/>
              </w:rPr>
              <w:t>for Grant</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940" w:type="dxa"/>
            <w:vAlign w:val="bottom"/>
            <w:gridSpan w:val="4"/>
            <w:shd w:val="clear" w:color="auto" w:fill="CFF0FC"/>
          </w:tcPr>
          <w:p>
            <w:pPr>
              <w:spacing w:after="0" w:line="196" w:lineRule="exact"/>
              <w:rPr>
                <w:sz w:val="20"/>
                <w:szCs w:val="20"/>
                <w:color w:val="auto"/>
              </w:rPr>
            </w:pPr>
            <w:r>
              <w:rPr>
                <w:rFonts w:ascii="Arial" w:cs="Arial" w:eastAsia="Arial" w:hAnsi="Arial"/>
                <w:sz w:val="18"/>
                <w:szCs w:val="18"/>
                <w:color w:val="auto"/>
              </w:rPr>
              <w:t>Shares available for grant at December 31, 2020</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3,742,235</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40" w:type="dxa"/>
            <w:vAlign w:val="bottom"/>
            <w:gridSpan w:val="4"/>
          </w:tcPr>
          <w:p>
            <w:pPr>
              <w:spacing w:after="0" w:line="202" w:lineRule="exact"/>
              <w:rPr>
                <w:sz w:val="20"/>
                <w:szCs w:val="20"/>
                <w:color w:val="auto"/>
              </w:rPr>
            </w:pPr>
            <w:r>
              <w:rPr>
                <w:rFonts w:ascii="Arial" w:cs="Arial" w:eastAsia="Arial" w:hAnsi="Arial"/>
                <w:sz w:val="18"/>
                <w:szCs w:val="18"/>
                <w:color w:val="auto"/>
              </w:rPr>
              <w:t>2020 Plan reserve increase on January 1, 2021</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1,624,259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5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Options and restricted stock units granted</w:t>
            </w: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500" w:type="dxa"/>
            <w:vAlign w:val="bottom"/>
            <w:gridSpan w:val="6"/>
            <w:shd w:val="clear" w:color="auto" w:fill="CFF0FC"/>
          </w:tcPr>
          <w:p>
            <w:pPr>
              <w:jc w:val="right"/>
              <w:spacing w:after="0" w:line="202" w:lineRule="exact"/>
              <w:rPr>
                <w:sz w:val="20"/>
                <w:szCs w:val="20"/>
                <w:color w:val="auto"/>
              </w:rPr>
            </w:pPr>
            <w:r>
              <w:rPr>
                <w:rFonts w:ascii="Arial" w:cs="Arial" w:eastAsia="Arial" w:hAnsi="Arial"/>
                <w:sz w:val="18"/>
                <w:szCs w:val="18"/>
                <w:color w:val="auto"/>
              </w:rPr>
              <w:t>(1,392,928 )</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540" w:type="dxa"/>
            <w:vAlign w:val="bottom"/>
            <w:gridSpan w:val="2"/>
          </w:tcPr>
          <w:p>
            <w:pPr>
              <w:spacing w:after="0" w:line="162" w:lineRule="exact"/>
              <w:rPr>
                <w:sz w:val="20"/>
                <w:szCs w:val="20"/>
                <w:color w:val="auto"/>
              </w:rPr>
            </w:pPr>
            <w:r>
              <w:rPr>
                <w:rFonts w:ascii="Arial" w:cs="Arial" w:eastAsia="Arial" w:hAnsi="Arial"/>
                <w:sz w:val="18"/>
                <w:szCs w:val="18"/>
                <w:color w:val="auto"/>
              </w:rPr>
              <w:t>Options and restricted stock units forfeited,</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5"/>
            <w:vMerge w:val="restart"/>
          </w:tcPr>
          <w:p>
            <w:pPr>
              <w:jc w:val="right"/>
              <w:spacing w:after="0"/>
              <w:rPr>
                <w:sz w:val="20"/>
                <w:szCs w:val="20"/>
                <w:color w:val="auto"/>
              </w:rPr>
            </w:pPr>
            <w:r>
              <w:rPr>
                <w:rFonts w:ascii="Arial" w:cs="Arial" w:eastAsia="Arial" w:hAnsi="Arial"/>
                <w:sz w:val="18"/>
                <w:szCs w:val="18"/>
                <w:color w:val="auto"/>
              </w:rPr>
              <w:t>468,749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5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cancelled, or expired</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940" w:type="dxa"/>
            <w:vAlign w:val="bottom"/>
            <w:tcBorders>
              <w:bottom w:val="single" w:sz="8" w:color="CFF0FC"/>
            </w:tcBorders>
            <w:gridSpan w:val="4"/>
            <w:shd w:val="clear" w:color="auto" w:fill="CFF0FC"/>
          </w:tcPr>
          <w:p>
            <w:pPr>
              <w:spacing w:after="0" w:line="196" w:lineRule="exact"/>
              <w:rPr>
                <w:sz w:val="20"/>
                <w:szCs w:val="20"/>
                <w:color w:val="auto"/>
              </w:rPr>
            </w:pPr>
            <w:r>
              <w:rPr>
                <w:rFonts w:ascii="Arial" w:cs="Arial" w:eastAsia="Arial" w:hAnsi="Arial"/>
                <w:sz w:val="18"/>
                <w:szCs w:val="18"/>
                <w:color w:val="auto"/>
              </w:rPr>
              <w:t>Shares available for grant at December 31, 2021</w:t>
            </w:r>
          </w:p>
        </w:tc>
        <w:tc>
          <w:tcPr>
            <w:tcW w:w="10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4,442,315</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7620" w:type="dxa"/>
            <w:vAlign w:val="bottom"/>
            <w:gridSpan w:val="7"/>
          </w:tcPr>
          <w:p>
            <w:pPr>
              <w:ind w:left="520"/>
              <w:spacing w:after="0"/>
              <w:rPr>
                <w:sz w:val="20"/>
                <w:szCs w:val="20"/>
                <w:color w:val="auto"/>
              </w:rPr>
            </w:pPr>
            <w:r>
              <w:rPr>
                <w:rFonts w:ascii="Arial" w:cs="Arial" w:eastAsia="Arial" w:hAnsi="Arial"/>
                <w:sz w:val="18"/>
                <w:szCs w:val="18"/>
                <w:color w:val="auto"/>
              </w:rPr>
              <w:t>A summary of option activity for the year ended December 31, 2021 was as follows:</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24"/>
                <w:szCs w:val="24"/>
                <w:color w:val="auto"/>
              </w:rPr>
            </w:pPr>
          </w:p>
        </w:tc>
        <w:tc>
          <w:tcPr>
            <w:tcW w:w="1140" w:type="dxa"/>
            <w:vAlign w:val="bottom"/>
            <w:gridSpan w:val="2"/>
            <w:vMerge w:val="restart"/>
          </w:tcPr>
          <w:p>
            <w:pPr>
              <w:jc w:val="center"/>
              <w:ind w:right="308"/>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400"/>
              <w:spacing w:after="0" w:line="149"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380"/>
              <w:spacing w:after="0" w:line="149" w:lineRule="exact"/>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Contractual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080" w:type="dxa"/>
            <w:vAlign w:val="bottom"/>
          </w:tcPr>
          <w:p>
            <w:pPr>
              <w:jc w:val="center"/>
              <w:ind w:left="380"/>
              <w:spacing w:after="0" w:line="149" w:lineRule="exact"/>
              <w:rPr>
                <w:sz w:val="20"/>
                <w:szCs w:val="20"/>
                <w:color w:val="auto"/>
              </w:rPr>
            </w:pPr>
            <w:r>
              <w:rPr>
                <w:rFonts w:ascii="Arial" w:cs="Arial" w:eastAsia="Arial" w:hAnsi="Arial"/>
                <w:sz w:val="14"/>
                <w:szCs w:val="14"/>
                <w:b w:val="1"/>
                <w:bCs w:val="1"/>
                <w:color w:val="auto"/>
              </w:rPr>
              <w:t>price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Term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(in years)</w:t>
            </w:r>
          </w:p>
        </w:tc>
        <w:tc>
          <w:tcPr>
            <w:tcW w:w="380" w:type="dxa"/>
            <w:vAlign w:val="bottom"/>
          </w:tcPr>
          <w:p>
            <w:pPr>
              <w:spacing w:after="0"/>
              <w:rPr>
                <w:sz w:val="16"/>
                <w:szCs w:val="16"/>
                <w:color w:val="auto"/>
              </w:rPr>
            </w:pPr>
          </w:p>
        </w:tc>
        <w:tc>
          <w:tcPr>
            <w:tcW w:w="11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4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1,974,870</w:t>
            </w:r>
          </w:p>
        </w:tc>
        <w:tc>
          <w:tcPr>
            <w:tcW w:w="28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88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9.31</w:t>
            </w:r>
          </w:p>
        </w:tc>
        <w:tc>
          <w:tcPr>
            <w:tcW w:w="280" w:type="dxa"/>
            <w:vAlign w:val="bottom"/>
            <w:shd w:val="clear" w:color="auto" w:fill="CFF0FC"/>
          </w:tcPr>
          <w:p>
            <w:pPr>
              <w:spacing w:after="0"/>
              <w:rPr>
                <w:sz w:val="17"/>
                <w:szCs w:val="17"/>
                <w:color w:val="auto"/>
              </w:rPr>
            </w:pPr>
          </w:p>
        </w:tc>
        <w:tc>
          <w:tcPr>
            <w:tcW w:w="15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7.98</w:t>
            </w:r>
          </w:p>
        </w:tc>
        <w:tc>
          <w:tcPr>
            <w:tcW w:w="2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49,275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1,024,776</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18.83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(263,501 )</w:t>
            </w: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Forfeited/expired</w:t>
            </w: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(465,249 )</w:t>
            </w:r>
          </w:p>
        </w:tc>
        <w:tc>
          <w:tcPr>
            <w:tcW w:w="10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3"/>
              </w:rPr>
              <w:t>18.02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December 31, 2021</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2,270,896</w:t>
            </w:r>
          </w:p>
        </w:tc>
        <w:tc>
          <w:tcPr>
            <w:tcW w:w="2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ind w:right="88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12.76</w:t>
            </w:r>
          </w:p>
        </w:tc>
        <w:tc>
          <w:tcPr>
            <w:tcW w:w="1780" w:type="dxa"/>
            <w:vAlign w:val="bottom"/>
            <w:tcBorders>
              <w:bottom w:val="single" w:sz="8" w:color="CFF0FC"/>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7.22</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8,306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Expected to vest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1,457,586</w:t>
            </w:r>
          </w:p>
        </w:tc>
        <w:tc>
          <w:tcPr>
            <w:tcW w:w="280" w:type="dxa"/>
            <w:vAlign w:val="bottom"/>
          </w:tcPr>
          <w:p>
            <w:pPr>
              <w:spacing w:after="0"/>
              <w:rPr>
                <w:sz w:val="15"/>
                <w:szCs w:val="15"/>
                <w:color w:val="auto"/>
              </w:rPr>
            </w:pPr>
          </w:p>
        </w:tc>
        <w:tc>
          <w:tcPr>
            <w:tcW w:w="1080" w:type="dxa"/>
            <w:vAlign w:val="bottom"/>
          </w:tcPr>
          <w:p>
            <w:pPr>
              <w:jc w:val="right"/>
              <w:ind w:right="88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w w:val="93"/>
              </w:rPr>
              <w:t>16.08</w:t>
            </w:r>
          </w:p>
        </w:tc>
        <w:tc>
          <w:tcPr>
            <w:tcW w:w="17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8.98</w:t>
            </w:r>
          </w:p>
        </w:tc>
        <w:tc>
          <w:tcPr>
            <w:tcW w:w="240" w:type="dxa"/>
            <w:vAlign w:val="bottom"/>
          </w:tcPr>
          <w:p>
            <w:pPr>
              <w:spacing w:after="0"/>
              <w:rPr>
                <w:sz w:val="15"/>
                <w:szCs w:val="15"/>
                <w:color w:val="auto"/>
              </w:rPr>
            </w:pPr>
          </w:p>
        </w:tc>
        <w:tc>
          <w:tcPr>
            <w:tcW w:w="38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Options exercisable</w:t>
            </w:r>
          </w:p>
        </w:tc>
        <w:tc>
          <w:tcPr>
            <w:tcW w:w="4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813,310</w:t>
            </w: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ind w:right="88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6.80</w:t>
            </w:r>
          </w:p>
        </w:tc>
        <w:tc>
          <w:tcPr>
            <w:tcW w:w="1780" w:type="dxa"/>
            <w:vAlign w:val="bottom"/>
            <w:tcBorders>
              <w:bottom w:val="single" w:sz="8" w:color="CFF0FC"/>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4.05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6,380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-2014220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-1997075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-334010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-316865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total fair value of options granted that vested during the years ended December 31, 2021 and 2020 was $1.4 million and $271,000, respectively.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December 31, 2021. The aggregate intrinsic value of options exercised was $3.1 million and $18.0 million during the year ended December 31, 2021 and 2020, respectively, determined as of the date of option exercise. As of December 31, 2021, there was $10.2 million of total unrecognized compensation cost related to non-vested stock options. The Company expects to recognize this cost over a remaining weighted-average period of 1.52 years. The Company utilizes newly issued shares to satisfy option exercises.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options outstanding and exercisable consisted of the following at December 31,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Employees and Directors</w:t>
            </w:r>
          </w:p>
        </w:tc>
        <w:tc>
          <w:tcPr>
            <w:tcW w:w="2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917"/>
              <w:spacing w:after="0"/>
              <w:rPr>
                <w:sz w:val="20"/>
                <w:szCs w:val="20"/>
                <w:color w:val="auto"/>
              </w:rPr>
            </w:pPr>
            <w:r>
              <w:rPr>
                <w:rFonts w:ascii="Arial" w:cs="Arial" w:eastAsia="Arial" w:hAnsi="Arial"/>
                <w:sz w:val="14"/>
                <w:szCs w:val="14"/>
                <w:b w:val="1"/>
                <w:bCs w:val="1"/>
                <w:color w:val="auto"/>
              </w:rPr>
              <w:t>Non-employees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3"/>
        </w:trPr>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7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Shares</w:t>
            </w:r>
          </w:p>
        </w:tc>
        <w:tc>
          <w:tcPr>
            <w:tcW w:w="146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460" w:type="dxa"/>
            <w:vAlign w:val="bottom"/>
          </w:tcPr>
          <w:p>
            <w:pPr>
              <w:jc w:val="right"/>
              <w:ind w:right="419"/>
              <w:spacing w:after="0" w:line="133"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1420" w:type="dxa"/>
            <w:vAlign w:val="bottom"/>
          </w:tcPr>
          <w:p>
            <w:pPr>
              <w:jc w:val="right"/>
              <w:ind w:right="377"/>
              <w:spacing w:after="0" w:line="133"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8"/>
        </w:trPr>
        <w:tc>
          <w:tcPr>
            <w:tcW w:w="580" w:type="dxa"/>
            <w:vAlign w:val="bottom"/>
          </w:tcPr>
          <w:p>
            <w:pPr>
              <w:spacing w:after="0"/>
              <w:rPr>
                <w:sz w:val="15"/>
                <w:szCs w:val="15"/>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460" w:type="dxa"/>
            <w:vAlign w:val="bottom"/>
          </w:tcPr>
          <w:p>
            <w:pPr>
              <w:jc w:val="right"/>
              <w:ind w:right="255"/>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5"/>
                <w:szCs w:val="15"/>
                <w:color w:val="auto"/>
              </w:rPr>
            </w:pPr>
          </w:p>
        </w:tc>
        <w:tc>
          <w:tcPr>
            <w:tcW w:w="1460" w:type="dxa"/>
            <w:vAlign w:val="bottom"/>
          </w:tcPr>
          <w:p>
            <w:pPr>
              <w:jc w:val="right"/>
              <w:ind w:right="219"/>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420" w:type="dxa"/>
            <w:vAlign w:val="bottom"/>
          </w:tcPr>
          <w:p>
            <w:pPr>
              <w:jc w:val="right"/>
              <w:ind w:right="237"/>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120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0.16 to 1.00</w:t>
            </w:r>
          </w:p>
        </w:tc>
        <w:tc>
          <w:tcPr>
            <w:tcW w:w="238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209,780</w:t>
            </w:r>
          </w:p>
        </w:tc>
        <w:tc>
          <w:tcPr>
            <w:tcW w:w="2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209,780</w:t>
            </w:r>
          </w:p>
        </w:tc>
        <w:tc>
          <w:tcPr>
            <w:tcW w:w="20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1.04 to 1.49</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364,524</w:t>
            </w:r>
          </w:p>
        </w:tc>
        <w:tc>
          <w:tcPr>
            <w:tcW w:w="2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222,659</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113,642</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93,150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5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17.00 to 19.94</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989,576</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210,071</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195,453</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60,684</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20.55 to 29.41</w:t>
            </w: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397,921</w:t>
            </w:r>
          </w:p>
        </w:tc>
        <w:tc>
          <w:tcPr>
            <w:tcW w:w="24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16,966</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580" w:type="dxa"/>
            <w:vAlign w:val="bottom"/>
            <w:tcBorders>
              <w:bottom w:val="single" w:sz="8" w:color="CFF0FC"/>
            </w:tcBorders>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1,961,801</w:t>
            </w:r>
          </w:p>
        </w:tc>
        <w:tc>
          <w:tcPr>
            <w:tcW w:w="24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659,476</w:t>
            </w:r>
          </w:p>
        </w:tc>
        <w:tc>
          <w:tcPr>
            <w:tcW w:w="2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309,095</w:t>
            </w:r>
          </w:p>
        </w:tc>
        <w:tc>
          <w:tcPr>
            <w:tcW w:w="2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153,834</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19"/>
        </w:trPr>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4"/>
        </w:trPr>
        <w:tc>
          <w:tcPr>
            <w:tcW w:w="5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-496570</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-479425</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51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-479425</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-496570</wp:posOffset>
            </wp:positionV>
            <wp:extent cx="431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-479425</wp:posOffset>
            </wp:positionV>
            <wp:extent cx="431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-496570</wp:posOffset>
            </wp:positionV>
            <wp:extent cx="431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-479425</wp:posOffset>
            </wp:positionV>
            <wp:extent cx="431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56" w:name="page157"/>
    <w:bookmarkEnd w:id="156"/>
    <w:p>
      <w:pPr>
        <w:ind w:left="520"/>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non-vested shares for no consideration. There were 4,204 shares subject to repurchase as of December 31, 2020, all of which were related to non-employee RSAs.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RSA activity for the year ended December 31, 2021 was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7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2"/>
                <w:szCs w:val="12"/>
                <w:color w:val="auto"/>
              </w:rPr>
            </w:pPr>
          </w:p>
        </w:tc>
        <w:tc>
          <w:tcPr>
            <w:tcW w:w="12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Equivalent</w:t>
            </w:r>
          </w:p>
        </w:tc>
        <w:tc>
          <w:tcPr>
            <w:tcW w:w="240" w:type="dxa"/>
            <w:vAlign w:val="bottom"/>
          </w:tcPr>
          <w:p>
            <w:pPr>
              <w:spacing w:after="0"/>
              <w:rPr>
                <w:sz w:val="16"/>
                <w:szCs w:val="16"/>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at December 31, 2020</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4,204</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(4,204 )</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Non-vested at December 31, 2021</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-159385</wp:posOffset>
            </wp:positionV>
            <wp:extent cx="8572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Restricted Stock Unit Activity</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212121"/>
        </w:rPr>
        <w:t>During the year ended December 31, 2021, the Company issued restricted stock unit (“RSU”) awards to an advisor and employees under the 2020 Plan.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A summary of RSU activity for the year ended December 31, 2021 is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2"/>
                <w:szCs w:val="12"/>
                <w:color w:val="auto"/>
              </w:rPr>
            </w:pPr>
          </w:p>
        </w:tc>
        <w:tc>
          <w:tcPr>
            <w:tcW w:w="12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Equivalent</w:t>
            </w: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at December 31, 2020</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368,152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Cancelled</w:t>
            </w:r>
          </w:p>
        </w:tc>
        <w:tc>
          <w:tcPr>
            <w:tcW w:w="16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(3,500 )</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(3,152 )</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Non-vested at December, 2021</w:t>
            </w: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361,500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121"/>
        </w:rPr>
        <w:t>In November 2021, the Company granted RSUs equivalent to 365,000 shares of the Company’s common stock to employees under the 2020 Plan with a grant date fair value of $5.6 million. The RSUs will vest upon achievement of certain clinical development milestones, subject to continued service to the Company during the vesting period.</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As of December 31, 2021, unrecognized stock-based compensation expense related to non-vested restricted stock units was $4.8 million, which is expected to be recognized over a remaining weighted-average period of 1.33 years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Employee Stock Purchase Plan</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212121"/>
        </w:rPr>
        <w:t>In August 2020, the Company’s board of directors adopted the 2020 Employee Stock Purchase Plan (“ESPP”) which became effective in September 2020. Under the ESPP, eligible employees can authorize payroll deductions for amounts up to the lesser of 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common shares at a price per share that is 85% of the lesser of the fair market value of the shares at (i) the first day of the offering period or (ii) the end of each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7" w:name="page158"/>
    <w:bookmarkEnd w:id="157"/>
    <w:p>
      <w:pPr>
        <w:jc w:val="both"/>
        <w:spacing w:after="0" w:line="239" w:lineRule="auto"/>
        <w:rPr>
          <w:sz w:val="20"/>
          <w:szCs w:val="20"/>
          <w:color w:val="auto"/>
        </w:rPr>
      </w:pPr>
      <w:r>
        <w:rPr>
          <w:rFonts w:ascii="Arial" w:cs="Arial" w:eastAsia="Arial" w:hAnsi="Arial"/>
          <w:sz w:val="18"/>
          <w:szCs w:val="18"/>
          <w:color w:val="212121"/>
        </w:rPr>
        <w:t>purchase period within the offering period. A maximum of 5,000 shares of common stock may be purchased by each participant at the purchase date during the offering period. The fair value of the ESPP options granted is determined using the Black-Scholes model and is amortized on a straight-line basis. The number of shares reserved for the ESPP automatically increases each year, beginning on January 1, 2021 by the lesser of (i) 646,000 shares of common stock, (ii) 1% of the outstanding shares of common stock on the last day of the immediately preceding fiscal year, or (iii) such number of shares determined by the board no later than the last day of the immediately preceding fiscal year. As of December 31, 2021, 621,211 shares of common stock were reserved for future grants under the ESPP. On January 1, 2022, an additional 373,790 shares of common stock became available for future grants under the ESPP. Stock-based compensation expense recognized during the years ended December 31, 2021 and 2020 associated with the ESPP was $164,000 and $46,000, respectively.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 ended December 31, 2021, the Company issued 26,640 shares of common stock to service providers under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13. Income Taxes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did not record a provision (benefit) for income taxes for the years ended December 31, 2021 and 2020. Net loss is attributable to the following tax jurisdictions (in thousands):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47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(54,963</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(19,969</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ind w:left="3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(54,853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(19,955</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6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State Taxes</w:t>
            </w: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420" w:type="dxa"/>
            <w:vAlign w:val="bottom"/>
          </w:tcPr>
          <w:p>
            <w:pPr>
              <w:spacing w:after="0"/>
              <w:rPr>
                <w:sz w:val="17"/>
                <w:szCs w:val="17"/>
                <w:color w:val="auto"/>
              </w:rPr>
            </w:pPr>
          </w:p>
        </w:tc>
        <w:tc>
          <w:tcPr>
            <w:tcW w:w="142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Non-deductible expenses and others</w:t>
            </w:r>
          </w:p>
        </w:tc>
        <w:tc>
          <w:tcPr>
            <w:tcW w:w="2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32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640" w:type="dxa"/>
            <w:vAlign w:val="bottom"/>
          </w:tcPr>
          <w:p>
            <w:pPr>
              <w:spacing w:after="0" w:line="162" w:lineRule="exact"/>
              <w:rPr>
                <w:sz w:val="20"/>
                <w:szCs w:val="20"/>
                <w:color w:val="auto"/>
              </w:rPr>
            </w:pPr>
            <w:r>
              <w:rPr>
                <w:rFonts w:ascii="Arial" w:cs="Arial" w:eastAsia="Arial" w:hAnsi="Arial"/>
                <w:sz w:val="18"/>
                <w:szCs w:val="18"/>
                <w:color w:val="auto"/>
              </w:rPr>
              <w:t>Non-deductible expense related to the</w:t>
            </w:r>
          </w:p>
        </w:tc>
        <w:tc>
          <w:tcPr>
            <w:tcW w:w="1260" w:type="dxa"/>
            <w:vAlign w:val="bottom"/>
          </w:tcPr>
          <w:p>
            <w:pPr>
              <w:spacing w:after="0"/>
              <w:rPr>
                <w:sz w:val="14"/>
                <w:szCs w:val="14"/>
                <w:color w:val="auto"/>
              </w:rPr>
            </w:pPr>
          </w:p>
        </w:tc>
        <w:tc>
          <w:tcPr>
            <w:tcW w:w="154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(1.0 )</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convertible notes and derivative liability</w:t>
            </w:r>
          </w:p>
        </w:tc>
        <w:tc>
          <w:tcPr>
            <w:tcW w:w="12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64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Non-deductible expense related to the grant</w:t>
            </w:r>
          </w:p>
        </w:tc>
        <w:tc>
          <w:tcPr>
            <w:tcW w:w="1260" w:type="dxa"/>
            <w:vAlign w:val="bottom"/>
            <w:shd w:val="clear" w:color="auto" w:fill="CFF0FC"/>
          </w:tcPr>
          <w:p>
            <w:pPr>
              <w:spacing w:after="0"/>
              <w:rPr>
                <w:sz w:val="14"/>
                <w:szCs w:val="14"/>
                <w:color w:val="auto"/>
              </w:rPr>
            </w:pPr>
          </w:p>
        </w:tc>
        <w:tc>
          <w:tcPr>
            <w:tcW w:w="1540" w:type="dxa"/>
            <w:vAlign w:val="bottom"/>
            <w:gridSpan w:val="2"/>
            <w:vMerge w:val="restart"/>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(0.1 )</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liability</w:t>
            </w:r>
          </w:p>
        </w:tc>
        <w:tc>
          <w:tcPr>
            <w:tcW w:w="1260" w:type="dxa"/>
            <w:vAlign w:val="bottom"/>
            <w:shd w:val="clear" w:color="auto" w:fill="CFF0FC"/>
          </w:tcPr>
          <w:p>
            <w:pPr>
              <w:spacing w:after="0"/>
              <w:rPr>
                <w:sz w:val="18"/>
                <w:szCs w:val="18"/>
                <w:color w:val="auto"/>
              </w:rPr>
            </w:pPr>
          </w:p>
        </w:tc>
        <w:tc>
          <w:tcPr>
            <w:tcW w:w="1540" w:type="dxa"/>
            <w:vAlign w:val="bottom"/>
            <w:gridSpan w:val="2"/>
            <w:vMerge w:val="continue"/>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2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4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2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(24.6 )</w:t>
            </w: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(21.6 )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640" w:type="dxa"/>
            <w:vAlign w:val="bottom"/>
          </w:tcPr>
          <w:p>
            <w:pPr>
              <w:spacing w:after="0" w:line="196" w:lineRule="exact"/>
              <w:rPr>
                <w:sz w:val="20"/>
                <w:szCs w:val="20"/>
                <w:color w:val="auto"/>
              </w:rPr>
            </w:pPr>
            <w:r>
              <w:rPr>
                <w:rFonts w:ascii="Arial" w:cs="Arial" w:eastAsia="Arial" w:hAnsi="Arial"/>
                <w:sz w:val="18"/>
                <w:szCs w:val="18"/>
                <w:color w:val="auto"/>
              </w:rPr>
              <w:t>Effective income tax rate</w:t>
            </w:r>
          </w:p>
        </w:tc>
        <w:tc>
          <w:tcPr>
            <w:tcW w:w="1260" w:type="dxa"/>
            <w:vAlign w:val="bottom"/>
          </w:tcPr>
          <w:p>
            <w:pPr>
              <w:spacing w:after="0"/>
              <w:rPr>
                <w:sz w:val="17"/>
                <w:szCs w:val="17"/>
                <w:color w:val="auto"/>
              </w:rPr>
            </w:pPr>
          </w:p>
        </w:tc>
        <w:tc>
          <w:tcPr>
            <w:tcW w:w="15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vMerge w:val="restart"/>
          </w:tcPr>
          <w:p>
            <w:pPr>
              <w:jc w:val="right"/>
              <w:ind w:right="730"/>
              <w:spacing w:after="0"/>
              <w:rPr>
                <w:sz w:val="20"/>
                <w:szCs w:val="20"/>
                <w:color w:val="auto"/>
              </w:rPr>
            </w:pPr>
            <w:r>
              <w:rPr>
                <w:rFonts w:ascii="Arial" w:cs="Arial" w:eastAsia="Arial" w:hAnsi="Arial"/>
                <w:sz w:val="18"/>
                <w:szCs w:val="18"/>
                <w:color w:val="auto"/>
              </w:rPr>
              <w:t>156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70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-630555</wp:posOffset>
            </wp:positionV>
            <wp:extent cx="19685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-630555</wp:posOffset>
            </wp:positionV>
            <wp:extent cx="19685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ind w:left="5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The components of the Company’s deferred tax assets and liabilities were as follows (in thousands):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60"/>
              <w:spacing w:after="0" w:line="202" w:lineRule="exact"/>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19,543</w:t>
            </w:r>
          </w:p>
        </w:tc>
        <w:tc>
          <w:tcPr>
            <w:tcW w:w="20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8,090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rPr>
              <w:t>Research and development tax credit</w:t>
            </w: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carryforwards</w:t>
            </w: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60"/>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60"/>
              <w:spacing w:after="0" w:line="202" w:lineRule="exact"/>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224</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520"/>
              <w:spacing w:after="0" w:line="196" w:lineRule="exact"/>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23,555</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Right of use asset</w:t>
            </w:r>
          </w:p>
        </w:tc>
        <w:tc>
          <w:tcPr>
            <w:tcW w:w="320" w:type="dxa"/>
            <w:vAlign w:val="bottom"/>
          </w:tcPr>
          <w:p>
            <w:pPr>
              <w:spacing w:after="0"/>
              <w:rPr>
                <w:sz w:val="17"/>
                <w:szCs w:val="17"/>
                <w:color w:val="auto"/>
              </w:rPr>
            </w:pPr>
          </w:p>
        </w:tc>
        <w:tc>
          <w:tcPr>
            <w:tcW w:w="12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(324 )</w:t>
            </w: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Prepaid expenses and other</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(664 )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(489 )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Pr>
          <w:p>
            <w:pPr>
              <w:ind w:left="520"/>
              <w:spacing w:after="0" w:line="196" w:lineRule="exact"/>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17"/>
                <w:szCs w:val="17"/>
                <w:color w:val="auto"/>
              </w:rPr>
            </w:pPr>
          </w:p>
        </w:tc>
        <w:tc>
          <w:tcPr>
            <w:tcW w:w="12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(988 )</w:t>
            </w:r>
          </w:p>
        </w:tc>
        <w:tc>
          <w:tcPr>
            <w:tcW w:w="30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(686 )</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Less valuation allowance</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(22,567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(9,098</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4920" w:type="dxa"/>
            <w:vAlign w:val="bottom"/>
          </w:tcPr>
          <w:p>
            <w:pPr>
              <w:ind w:left="520"/>
              <w:spacing w:after="0" w:line="196" w:lineRule="exact"/>
              <w:rPr>
                <w:sz w:val="20"/>
                <w:szCs w:val="20"/>
                <w:color w:val="auto"/>
              </w:rPr>
            </w:pPr>
            <w:r>
              <w:rPr>
                <w:rFonts w:ascii="Arial" w:cs="Arial" w:eastAsia="Arial" w:hAnsi="Arial"/>
                <w:sz w:val="18"/>
                <w:szCs w:val="18"/>
                <w:color w:val="auto"/>
              </w:rPr>
              <w:t>Net deferred tax assets</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-965200</wp:posOffset>
            </wp:positionV>
            <wp:extent cx="7683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-965200</wp:posOffset>
            </wp:positionV>
            <wp:extent cx="6858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-433705</wp:posOffset>
            </wp:positionV>
            <wp:extent cx="7683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-433705</wp:posOffset>
            </wp:positionV>
            <wp:extent cx="6858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-159385</wp:posOffset>
            </wp:positionV>
            <wp:extent cx="7683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2021, the Company has recorded a full valuation allowance on its net deferred tax assets as the Company has concluded that it is not more likely than not that such losses or credits will be utilized. The valuation allowance increased by $13.5 million and $4.3 million during 2021 and 2020, respectively.</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121"/>
        </w:rPr>
        <w:t>At December 31, 2021, the Company has federal net operating loss and tax credit carryforwards of $9.5 million and $2.9 million, respectively, which expire over a period of 10 to 16 years. Net operating loss carryforwards of $80.7 million were generated after 2017, and therefore do not expire.</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121"/>
        </w:rPr>
        <w:t>Uncertain Tax Positions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A reconciliation of the beginning and ending amount of unrecognized tax benefits for uncertain tax positions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13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w:t>
            </w:r>
          </w:p>
        </w:tc>
        <w:tc>
          <w:tcPr>
            <w:tcW w:w="20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720" w:type="dxa"/>
            <w:vAlign w:val="bottom"/>
          </w:tcPr>
          <w:p>
            <w:pPr>
              <w:spacing w:after="0" w:line="162" w:lineRule="exact"/>
              <w:rPr>
                <w:sz w:val="20"/>
                <w:szCs w:val="20"/>
                <w:color w:val="auto"/>
              </w:rPr>
            </w:pPr>
            <w:r>
              <w:rPr>
                <w:rFonts w:ascii="Arial" w:cs="Arial" w:eastAsia="Arial" w:hAnsi="Arial"/>
                <w:sz w:val="18"/>
                <w:szCs w:val="18"/>
                <w:color w:val="auto"/>
              </w:rPr>
              <w:t>Additions for tax positions taken in the current</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720" w:type="dxa"/>
            <w:vAlign w:val="bottom"/>
          </w:tcPr>
          <w:p>
            <w:pPr>
              <w:ind w:left="160"/>
              <w:spacing w:after="0" w:line="202" w:lineRule="exact"/>
              <w:rPr>
                <w:sz w:val="20"/>
                <w:szCs w:val="20"/>
                <w:color w:val="auto"/>
              </w:rPr>
            </w:pPr>
            <w:r>
              <w:rPr>
                <w:rFonts w:ascii="Arial" w:cs="Arial" w:eastAsia="Arial" w:hAnsi="Arial"/>
                <w:sz w:val="18"/>
                <w:szCs w:val="18"/>
                <w:color w:val="auto"/>
              </w:rPr>
              <w:t>year</w:t>
            </w:r>
          </w:p>
        </w:tc>
        <w:tc>
          <w:tcPr>
            <w:tcW w:w="13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 balance</w:t>
            </w:r>
          </w:p>
        </w:tc>
        <w:tc>
          <w:tcPr>
            <w:tcW w:w="13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59"/>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722</w:t>
            </w:r>
          </w:p>
        </w:tc>
        <w:tc>
          <w:tcPr>
            <w:tcW w:w="2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9"/>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60" w:type="dxa"/>
            <w:vAlign w:val="bottom"/>
          </w:tcPr>
          <w:p>
            <w:pPr>
              <w:jc w:val="right"/>
              <w:ind w:right="910"/>
              <w:spacing w:after="0"/>
              <w:rPr>
                <w:sz w:val="20"/>
                <w:szCs w:val="20"/>
                <w:color w:val="auto"/>
              </w:rPr>
            </w:pPr>
            <w:r>
              <w:rPr>
                <w:rFonts w:ascii="Arial" w:cs="Arial" w:eastAsia="Arial" w:hAnsi="Arial"/>
                <w:sz w:val="18"/>
                <w:szCs w:val="18"/>
                <w:color w:val="auto"/>
              </w:rPr>
              <w:t>157</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70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-496570</wp:posOffset>
            </wp:positionV>
            <wp:extent cx="596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-479425</wp:posOffset>
            </wp:positionV>
            <wp:extent cx="596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-496570</wp:posOffset>
            </wp:positionV>
            <wp:extent cx="514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-479425</wp:posOffset>
            </wp:positionV>
            <wp:extent cx="514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59" w:name="page160"/>
    <w:bookmarkEnd w:id="159"/>
    <w:p>
      <w:pPr>
        <w:jc w:val="both"/>
        <w:ind w:firstLine="509"/>
        <w:spacing w:after="0" w:line="244" w:lineRule="auto"/>
        <w:rPr>
          <w:sz w:val="20"/>
          <w:szCs w:val="20"/>
          <w:color w:val="auto"/>
        </w:rPr>
      </w:pPr>
      <w:r>
        <w:rPr>
          <w:rFonts w:ascii="Arial" w:cs="Arial" w:eastAsia="Arial" w:hAnsi="Arial"/>
          <w:sz w:val="18"/>
          <w:szCs w:val="18"/>
          <w:color w:val="212121"/>
        </w:rPr>
        <w:t>If the unrecognized tax benefits for uncertain tax positions as of December 31, 2021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2021, there were no material interest and penalties on uncertain tax benefits. The Company does not anticipate any significant changes to its unrecognized tax benefits in the next 12 months.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14. Employee Benefit Plans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121"/>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2021 or 2020.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15. Net Loss Per Share Attributable to Common Stockholders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74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198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RSAs</w:t>
            </w:r>
          </w:p>
        </w:tc>
        <w:tc>
          <w:tcPr>
            <w:tcW w:w="1340" w:type="dxa"/>
            <w:vAlign w:val="bottom"/>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4,204</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Non-vested RSUs</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361,500</w:t>
            </w:r>
          </w:p>
        </w:tc>
        <w:tc>
          <w:tcPr>
            <w:tcW w:w="26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 options to purchase common stock</w:t>
            </w:r>
          </w:p>
        </w:tc>
        <w:tc>
          <w:tcPr>
            <w:tcW w:w="3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2,270,896</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1,974,870</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1,277</w:t>
            </w:r>
          </w:p>
        </w:tc>
        <w:tc>
          <w:tcPr>
            <w:tcW w:w="1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3,995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820" w:type="dxa"/>
            <w:vAlign w:val="bottom"/>
            <w:tcBorders>
              <w:bottom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Total</w:t>
            </w:r>
          </w:p>
        </w:tc>
        <w:tc>
          <w:tcPr>
            <w:tcW w:w="134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2,633,673</w:t>
            </w:r>
          </w:p>
        </w:tc>
        <w:tc>
          <w:tcPr>
            <w:tcW w:w="26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1,983,069</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9"/>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158</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-505460</wp:posOffset>
            </wp:positionV>
            <wp:extent cx="60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-487680</wp:posOffset>
            </wp:positionV>
            <wp:extent cx="60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-487680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212121"/>
        </w:rPr>
        <w:t>16. Immaterial Error Correction (Unaudited)</w:t>
      </w:r>
    </w:p>
    <w:p>
      <w:pPr>
        <w:spacing w:after="0" w:line="104"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connection with the preparation of the consolidated statements of operations and comprehensive loss for the year ended December 31, 2021, the Company identified immaterial errors in the calculation of the weighted-average number of common shares outstanding, basic and diluted, for certain of its year-to-date periods presented in its interim financial statements, resulting in an understatement in the weighted average common shares outstanding and an overstatement in the net loss per share, basic and diluted. This error was revised as shown in the table below. The error did not impact the weighted average common shares outstanding, basic and diluted, for any three-month period and had no impact on net loss, comprehensive loss, total assets, or stockholders' equity. The impact of the error was as follows:</w:t>
      </w:r>
    </w:p>
    <w:p>
      <w:pPr>
        <w:spacing w:after="0" w:line="175"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Six Months Ended June 30, 2021</w:t>
      </w:r>
    </w:p>
    <w:p>
      <w:pPr>
        <w:spacing w:after="0" w:line="2"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As Adjusted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Weighted average shares outstanding,</w:t>
            </w:r>
          </w:p>
        </w:tc>
        <w:tc>
          <w:tcPr>
            <w:tcW w:w="320" w:type="dxa"/>
            <w:vAlign w:val="bottom"/>
            <w:tcBorders>
              <w:top w:val="single" w:sz="8" w:color="auto"/>
            </w:tcBorders>
            <w:shd w:val="clear" w:color="auto" w:fill="CFF0FC"/>
          </w:tcPr>
          <w:p>
            <w:pPr>
              <w:spacing w:after="0"/>
              <w:rPr>
                <w:sz w:val="13"/>
                <w:szCs w:val="13"/>
                <w:color w:val="auto"/>
              </w:rPr>
            </w:pPr>
          </w:p>
        </w:tc>
        <w:tc>
          <w:tcPr>
            <w:tcW w:w="1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33,813,104</w:t>
            </w:r>
          </w:p>
        </w:tc>
        <w:tc>
          <w:tcPr>
            <w:tcW w:w="2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2,685,900</w:t>
            </w:r>
          </w:p>
        </w:tc>
        <w:tc>
          <w:tcPr>
            <w:tcW w:w="20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36,499,004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FF0FC"/>
          </w:tcPr>
          <w:p>
            <w:pPr>
              <w:spacing w:after="0"/>
              <w:rPr>
                <w:sz w:val="18"/>
                <w:szCs w:val="18"/>
                <w:color w:val="auto"/>
              </w:rPr>
            </w:pPr>
          </w:p>
        </w:tc>
        <w:tc>
          <w:tcPr>
            <w:tcW w:w="16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60" w:type="dxa"/>
            <w:vAlign w:val="bottom"/>
          </w:tcPr>
          <w:p>
            <w:pPr>
              <w:ind w:left="20"/>
              <w:spacing w:after="0" w:line="162" w:lineRule="exact"/>
              <w:rPr>
                <w:sz w:val="20"/>
                <w:szCs w:val="20"/>
                <w:color w:val="auto"/>
              </w:rPr>
            </w:pPr>
            <w:r>
              <w:rPr>
                <w:rFonts w:ascii="Arial" w:cs="Arial" w:eastAsia="Arial" w:hAnsi="Arial"/>
                <w:sz w:val="18"/>
                <w:szCs w:val="18"/>
                <w:color w:val="auto"/>
              </w:rPr>
              <w:t>Net loss per share, basic</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(0.68 )</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(0.63 )</w:t>
            </w:r>
          </w:p>
        </w:tc>
        <w:tc>
          <w:tcPr>
            <w:tcW w:w="0" w:type="dxa"/>
            <w:vAlign w:val="bottom"/>
          </w:tcPr>
          <w:p>
            <w:pPr>
              <w:spacing w:after="0"/>
              <w:rPr>
                <w:sz w:val="1"/>
                <w:szCs w:val="1"/>
                <w:color w:val="auto"/>
              </w:rPr>
            </w:pPr>
          </w:p>
        </w:tc>
      </w:tr>
      <w:tr>
        <w:trPr>
          <w:trHeight w:val="239"/>
        </w:trPr>
        <w:tc>
          <w:tcPr>
            <w:tcW w:w="49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320" w:type="dxa"/>
            <w:vAlign w:val="bottom"/>
            <w:vMerge w:val="continue"/>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Nine Months Ended September 30, 2021</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(unaudited)</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Pr>
          <w:p>
            <w:pPr>
              <w:spacing w:after="0"/>
              <w:rPr>
                <w:sz w:val="14"/>
                <w:szCs w:val="14"/>
                <w:color w:val="auto"/>
              </w:rPr>
            </w:pPr>
          </w:p>
        </w:tc>
        <w:tc>
          <w:tcPr>
            <w:tcW w:w="1540" w:type="dxa"/>
            <w:vAlign w:val="bottom"/>
          </w:tcPr>
          <w:p>
            <w:pPr>
              <w:jc w:val="right"/>
              <w:ind w:right="458"/>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right"/>
              <w:ind w:right="476"/>
              <w:spacing w:after="0"/>
              <w:rPr>
                <w:sz w:val="20"/>
                <w:szCs w:val="20"/>
                <w:color w:val="auto"/>
              </w:rPr>
            </w:pPr>
            <w:r>
              <w:rPr>
                <w:rFonts w:ascii="Arial" w:cs="Arial" w:eastAsia="Arial" w:hAnsi="Arial"/>
                <w:sz w:val="14"/>
                <w:szCs w:val="14"/>
                <w:b w:val="1"/>
                <w:bCs w:val="1"/>
                <w:color w:val="auto"/>
              </w:rPr>
              <w:t>As Adjusted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Weighted average shares outstanding,</w:t>
            </w:r>
          </w:p>
        </w:tc>
        <w:tc>
          <w:tcPr>
            <w:tcW w:w="320" w:type="dxa"/>
            <w:vAlign w:val="bottom"/>
            <w:tcBorders>
              <w:top w:val="single" w:sz="8" w:color="auto"/>
            </w:tcBorders>
            <w:shd w:val="clear" w:color="auto" w:fill="CFF0FC"/>
          </w:tcPr>
          <w:p>
            <w:pPr>
              <w:spacing w:after="0"/>
              <w:rPr>
                <w:sz w:val="13"/>
                <w:szCs w:val="13"/>
                <w:color w:val="auto"/>
              </w:rPr>
            </w:pPr>
          </w:p>
        </w:tc>
        <w:tc>
          <w:tcPr>
            <w:tcW w:w="1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34,315,047</w:t>
            </w:r>
          </w:p>
        </w:tc>
        <w:tc>
          <w:tcPr>
            <w:tcW w:w="2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2,458,053</w:t>
            </w:r>
          </w:p>
        </w:tc>
        <w:tc>
          <w:tcPr>
            <w:tcW w:w="20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36,773,100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FF0FC"/>
          </w:tcPr>
          <w:p>
            <w:pPr>
              <w:spacing w:after="0"/>
              <w:rPr>
                <w:sz w:val="18"/>
                <w:szCs w:val="18"/>
                <w:color w:val="auto"/>
              </w:rPr>
            </w:pPr>
          </w:p>
        </w:tc>
        <w:tc>
          <w:tcPr>
            <w:tcW w:w="16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60" w:type="dxa"/>
            <w:vAlign w:val="bottom"/>
          </w:tcPr>
          <w:p>
            <w:pPr>
              <w:ind w:left="20"/>
              <w:spacing w:after="0" w:line="162" w:lineRule="exact"/>
              <w:rPr>
                <w:sz w:val="20"/>
                <w:szCs w:val="20"/>
                <w:color w:val="auto"/>
              </w:rPr>
            </w:pPr>
            <w:r>
              <w:rPr>
                <w:rFonts w:ascii="Arial" w:cs="Arial" w:eastAsia="Arial" w:hAnsi="Arial"/>
                <w:sz w:val="18"/>
                <w:szCs w:val="18"/>
                <w:color w:val="auto"/>
              </w:rPr>
              <w:t>Net loss per share, basic</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(1.12 )</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9"/>
        </w:trPr>
        <w:tc>
          <w:tcPr>
            <w:tcW w:w="496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320" w:type="dxa"/>
            <w:vAlign w:val="bottom"/>
            <w:vMerge w:val="continue"/>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disclosure controls and procedures are designed to ensure that information we are required to disclose in reports that we file or submit under the Securities Exchange Act of 1934, as amended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2021 based on the criteria established in Internal Control - Integrated Framework (2013) issued by the Committee of Sponsoring Organizations of the Treadway Commission. As a result of that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assessment, our management has concluded that our internal control over financial reporting was effective as of December 31, 2021.</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2" w:name="page163"/>
    <w:bookmarkEnd w:id="162"/>
    <w:p>
      <w:pPr>
        <w:ind w:left="526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information required by this Item 10 of Form 10-K will be included in our definitive proxy statement to be filed with the SEC within 120 days after the end of the fiscal year ended December 31, 2021 in connection with the solicitation of proxies for our 2022 Annual Meeting of Stockholders (“2022 Proxy Statement”) and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11 of Form 10-K will be included in our 2022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information required by this Item 12 of Form 10-K, including with respect to our equity compensation plans, will be included in our 2022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13 of Form 10-K will be included in our 2022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14 of Form 10-K will be included in our 2022 Proxy Statement and is incorporated herein by reference.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Index to Financial Statements in Part II, Item 8 of this Annual Report on Form 10-K.</w:t>
      </w:r>
    </w:p>
    <w:p>
      <w:pPr>
        <w:spacing w:after="0" w:line="104" w:lineRule="exact"/>
        <w:rPr>
          <w:sz w:val="20"/>
          <w:szCs w:val="20"/>
          <w:color w:val="auto"/>
        </w:rPr>
      </w:pPr>
    </w:p>
    <w:p>
      <w:pPr>
        <w:ind w:left="1540" w:hanging="514"/>
        <w:spacing w:after="0"/>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4" w:lineRule="exact"/>
        <w:rPr>
          <w:sz w:val="20"/>
          <w:szCs w:val="20"/>
          <w:color w:val="auto"/>
        </w:rPr>
      </w:pPr>
    </w:p>
    <w:p>
      <w:pPr>
        <w:jc w:val="both"/>
        <w:ind w:left="1000" w:firstLine="509"/>
        <w:spacing w:after="0" w:line="253" w:lineRule="auto"/>
        <w:rPr>
          <w:sz w:val="20"/>
          <w:szCs w:val="20"/>
          <w:color w:val="auto"/>
        </w:rPr>
      </w:pPr>
      <w:r>
        <w:rPr>
          <w:rFonts w:ascii="Arial" w:cs="Arial" w:eastAsia="Arial" w:hAnsi="Arial"/>
          <w:sz w:val="18"/>
          <w:szCs w:val="18"/>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61" w:lineRule="exact"/>
        <w:rPr>
          <w:sz w:val="20"/>
          <w:szCs w:val="20"/>
          <w:color w:val="auto"/>
        </w:rPr>
      </w:pPr>
    </w:p>
    <w:p>
      <w:pPr>
        <w:ind w:left="1540" w:hanging="514"/>
        <w:spacing w:after="0"/>
        <w:tabs>
          <w:tab w:leader="none" w:pos="1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1000" w:firstLine="509"/>
        <w:spacing w:after="0" w:line="271" w:lineRule="auto"/>
        <w:rPr>
          <w:sz w:val="20"/>
          <w:szCs w:val="20"/>
          <w:color w:val="auto"/>
        </w:rPr>
      </w:pPr>
      <w:r>
        <w:rPr>
          <w:rFonts w:ascii="Arial" w:cs="Arial" w:eastAsia="Arial" w:hAnsi="Arial"/>
          <w:sz w:val="18"/>
          <w:szCs w:val="18"/>
          <w:color w:val="auto"/>
        </w:rPr>
        <w:t>The exhibits listed in the following Index to Exhibits are filed, furnished or incorporated by reference as part of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36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12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3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53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jc w:val="right"/>
              <w:ind w:right="670"/>
              <w:spacing w:after="0"/>
              <w:rPr>
                <w:sz w:val="20"/>
                <w:szCs w:val="20"/>
                <w:color w:val="auto"/>
              </w:rPr>
            </w:pPr>
            <w:r>
              <w:rPr>
                <w:rFonts w:ascii="Arial" w:cs="Arial" w:eastAsia="Arial" w:hAnsi="Arial"/>
                <w:sz w:val="18"/>
                <w:szCs w:val="18"/>
                <w:color w:val="auto"/>
              </w:rPr>
              <w:t>3.1</w:t>
            </w:r>
          </w:p>
        </w:tc>
        <w:tc>
          <w:tcPr>
            <w:tcW w:w="5360" w:type="dxa"/>
            <w:vAlign w:val="bottom"/>
            <w:gridSpan w:val="15"/>
          </w:tcPr>
          <w:p>
            <w:pPr>
              <w:spacing w:after="0"/>
              <w:rPr>
                <w:rFonts w:ascii="Arial" w:cs="Arial" w:eastAsia="Arial" w:hAnsi="Arial"/>
                <w:sz w:val="18"/>
                <w:szCs w:val="18"/>
                <w:color w:val="0000FF"/>
              </w:rPr>
            </w:pPr>
            <w:hyperlink r:id="rId424">
              <w:r>
                <w:rPr>
                  <w:rFonts w:ascii="Arial" w:cs="Arial" w:eastAsia="Arial" w:hAnsi="Arial"/>
                  <w:sz w:val="18"/>
                  <w:szCs w:val="18"/>
                  <w:color w:val="0000FF"/>
                </w:rPr>
                <w:t>Amended and Restated Certificate of Incorporation of the</w:t>
              </w:r>
            </w:hyperlink>
          </w:p>
        </w:tc>
      </w:tr>
      <w:tr>
        <w:trPr>
          <w:trHeight w:val="156"/>
        </w:trPr>
        <w:tc>
          <w:tcPr>
            <w:tcW w:w="1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FF"/>
                <w:w w:val="96"/>
              </w:rPr>
            </w:pPr>
            <w:hyperlink r:id="rId424">
              <w:r>
                <w:rPr>
                  <w:rFonts w:ascii="Arial" w:cs="Arial" w:eastAsia="Arial" w:hAnsi="Arial"/>
                  <w:sz w:val="18"/>
                  <w:szCs w:val="18"/>
                  <w:color w:val="0000FF"/>
                  <w:w w:val="96"/>
                </w:rPr>
                <w:t>Company</w:t>
              </w:r>
            </w:hyperlink>
          </w:p>
        </w:tc>
        <w:tc>
          <w:tcPr>
            <w:tcW w:w="3820" w:type="dxa"/>
            <w:vAlign w:val="bottom"/>
            <w:tcBorders>
              <w:top w:val="single" w:sz="8" w:color="0000EE"/>
            </w:tcBorders>
            <w:gridSpan w:val="7"/>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120" w:type="dxa"/>
            <w:vAlign w:val="bottom"/>
          </w:tcPr>
          <w:p>
            <w:pPr>
              <w:jc w:val="right"/>
              <w:ind w:right="670"/>
              <w:spacing w:after="0"/>
              <w:rPr>
                <w:sz w:val="20"/>
                <w:szCs w:val="20"/>
                <w:color w:val="auto"/>
              </w:rPr>
            </w:pPr>
            <w:r>
              <w:rPr>
                <w:rFonts w:ascii="Arial" w:cs="Arial" w:eastAsia="Arial" w:hAnsi="Arial"/>
                <w:sz w:val="18"/>
                <w:szCs w:val="18"/>
                <w:color w:val="auto"/>
              </w:rPr>
              <w:t>3.2</w:t>
            </w:r>
          </w:p>
        </w:tc>
        <w:tc>
          <w:tcPr>
            <w:tcW w:w="3840" w:type="dxa"/>
            <w:vAlign w:val="bottom"/>
            <w:tcBorders>
              <w:bottom w:val="single" w:sz="8" w:color="0000EE"/>
            </w:tcBorders>
            <w:gridSpan w:val="9"/>
          </w:tcPr>
          <w:p>
            <w:pPr>
              <w:spacing w:after="0"/>
              <w:rPr>
                <w:rFonts w:ascii="Arial" w:cs="Arial" w:eastAsia="Arial" w:hAnsi="Arial"/>
                <w:sz w:val="18"/>
                <w:szCs w:val="18"/>
                <w:color w:val="0000FF"/>
                <w:w w:val="99"/>
              </w:rPr>
            </w:pPr>
            <w:hyperlink r:id="rId425">
              <w:r>
                <w:rPr>
                  <w:rFonts w:ascii="Arial" w:cs="Arial" w:eastAsia="Arial" w:hAnsi="Arial"/>
                  <w:sz w:val="18"/>
                  <w:szCs w:val="18"/>
                  <w:color w:val="0000FF"/>
                  <w:w w:val="99"/>
                </w:rPr>
                <w:t>Amended and Restated Bylaws of the Company</w:t>
              </w:r>
            </w:hyperlink>
          </w:p>
        </w:tc>
        <w:tc>
          <w:tcPr>
            <w:tcW w:w="1520" w:type="dxa"/>
            <w:vAlign w:val="bottom"/>
            <w:gridSpan w:val="6"/>
          </w:tcPr>
          <w:p>
            <w:pPr>
              <w:spacing w:after="0"/>
              <w:rPr>
                <w:sz w:val="24"/>
                <w:szCs w:val="24"/>
                <w:color w:val="auto"/>
              </w:rPr>
            </w:pPr>
          </w:p>
        </w:tc>
      </w:tr>
      <w:tr>
        <w:trPr>
          <w:trHeight w:val="291"/>
        </w:trPr>
        <w:tc>
          <w:tcPr>
            <w:tcW w:w="1120" w:type="dxa"/>
            <w:vAlign w:val="bottom"/>
          </w:tcPr>
          <w:p>
            <w:pPr>
              <w:jc w:val="right"/>
              <w:ind w:right="670"/>
              <w:spacing w:after="0"/>
              <w:rPr>
                <w:sz w:val="20"/>
                <w:szCs w:val="20"/>
                <w:color w:val="auto"/>
              </w:rPr>
            </w:pPr>
            <w:r>
              <w:rPr>
                <w:rFonts w:ascii="Arial" w:cs="Arial" w:eastAsia="Arial" w:hAnsi="Arial"/>
                <w:sz w:val="18"/>
                <w:szCs w:val="18"/>
                <w:color w:val="auto"/>
              </w:rPr>
              <w:t>4.1</w:t>
            </w:r>
          </w:p>
        </w:tc>
        <w:tc>
          <w:tcPr>
            <w:tcW w:w="4320" w:type="dxa"/>
            <w:vAlign w:val="bottom"/>
            <w:tcBorders>
              <w:bottom w:val="single" w:sz="8" w:color="0000EE"/>
            </w:tcBorders>
            <w:gridSpan w:val="10"/>
          </w:tcPr>
          <w:p>
            <w:pPr>
              <w:spacing w:after="0"/>
              <w:rPr>
                <w:rFonts w:ascii="Arial" w:cs="Arial" w:eastAsia="Arial" w:hAnsi="Arial"/>
                <w:sz w:val="18"/>
                <w:szCs w:val="18"/>
                <w:color w:val="0000FF"/>
                <w:w w:val="99"/>
              </w:rPr>
            </w:pPr>
            <w:hyperlink r:id="rId426">
              <w:r>
                <w:rPr>
                  <w:rFonts w:ascii="Arial" w:cs="Arial" w:eastAsia="Arial" w:hAnsi="Arial"/>
                  <w:sz w:val="18"/>
                  <w:szCs w:val="18"/>
                  <w:color w:val="0000FF"/>
                  <w:w w:val="99"/>
                </w:rPr>
                <w:t>Specimen Common Stock Certificate of the Registrant</w:t>
              </w:r>
            </w:hyperlink>
          </w:p>
        </w:tc>
        <w:tc>
          <w:tcPr>
            <w:tcW w:w="1040" w:type="dxa"/>
            <w:vAlign w:val="bottom"/>
            <w:gridSpan w:val="5"/>
          </w:tcPr>
          <w:p>
            <w:pPr>
              <w:spacing w:after="0"/>
              <w:rPr>
                <w:sz w:val="24"/>
                <w:szCs w:val="24"/>
                <w:color w:val="auto"/>
              </w:rPr>
            </w:pPr>
          </w:p>
        </w:tc>
      </w:tr>
      <w:tr>
        <w:trPr>
          <w:trHeight w:val="290"/>
        </w:trPr>
        <w:tc>
          <w:tcPr>
            <w:tcW w:w="1120" w:type="dxa"/>
            <w:vAlign w:val="bottom"/>
          </w:tcPr>
          <w:p>
            <w:pPr>
              <w:jc w:val="right"/>
              <w:ind w:right="670"/>
              <w:spacing w:after="0"/>
              <w:rPr>
                <w:sz w:val="20"/>
                <w:szCs w:val="20"/>
                <w:color w:val="auto"/>
              </w:rPr>
            </w:pPr>
            <w:r>
              <w:rPr>
                <w:rFonts w:ascii="Arial" w:cs="Arial" w:eastAsia="Arial" w:hAnsi="Arial"/>
                <w:sz w:val="18"/>
                <w:szCs w:val="18"/>
                <w:color w:val="auto"/>
              </w:rPr>
              <w:t>4.2</w:t>
            </w:r>
          </w:p>
        </w:tc>
        <w:tc>
          <w:tcPr>
            <w:tcW w:w="5360" w:type="dxa"/>
            <w:vAlign w:val="bottom"/>
            <w:gridSpan w:val="15"/>
          </w:tcPr>
          <w:p>
            <w:pPr>
              <w:spacing w:after="0"/>
              <w:rPr>
                <w:rFonts w:ascii="Arial" w:cs="Arial" w:eastAsia="Arial" w:hAnsi="Arial"/>
                <w:sz w:val="18"/>
                <w:szCs w:val="18"/>
                <w:color w:val="0000FF"/>
              </w:rPr>
            </w:pPr>
            <w:hyperlink r:id="rId427">
              <w:r>
                <w:rPr>
                  <w:rFonts w:ascii="Arial" w:cs="Arial" w:eastAsia="Arial" w:hAnsi="Arial"/>
                  <w:sz w:val="18"/>
                  <w:szCs w:val="18"/>
                  <w:color w:val="0000FF"/>
                </w:rPr>
                <w:t>Investors’ Rights Agreement, dated May 29, 2020, as amended, by</w:t>
              </w:r>
            </w:hyperlink>
          </w:p>
        </w:tc>
      </w:tr>
      <w:tr>
        <w:trPr>
          <w:trHeight w:val="156"/>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0000FF"/>
                <w:w w:val="99"/>
              </w:rPr>
            </w:pPr>
            <w:hyperlink r:id="rId427">
              <w:r>
                <w:rPr>
                  <w:rFonts w:ascii="Arial" w:cs="Arial" w:eastAsia="Arial" w:hAnsi="Arial"/>
                  <w:sz w:val="18"/>
                  <w:szCs w:val="18"/>
                  <w:color w:val="0000FF"/>
                  <w:w w:val="99"/>
                </w:rPr>
                <w:t>and among the Registrant and the Investors and Key Holders party</w:t>
              </w:r>
            </w:hyperlink>
          </w:p>
        </w:tc>
      </w:tr>
      <w:tr>
        <w:trPr>
          <w:trHeight w:val="156"/>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gridSpan w:val="14"/>
          </w:tcPr>
          <w:p>
            <w:pPr>
              <w:spacing w:after="0" w:line="156" w:lineRule="exact"/>
              <w:rPr>
                <w:rFonts w:ascii="Arial" w:cs="Arial" w:eastAsia="Arial" w:hAnsi="Arial"/>
                <w:sz w:val="18"/>
                <w:szCs w:val="18"/>
                <w:color w:val="0000FF"/>
              </w:rPr>
            </w:pPr>
            <w:hyperlink r:id="rId427">
              <w:r>
                <w:rPr>
                  <w:rFonts w:ascii="Arial" w:cs="Arial" w:eastAsia="Arial" w:hAnsi="Arial"/>
                  <w:sz w:val="18"/>
                  <w:szCs w:val="18"/>
                  <w:color w:val="0000FF"/>
                </w:rPr>
                <w:t>thereto</w:t>
              </w:r>
            </w:hyperlink>
          </w:p>
        </w:tc>
      </w:tr>
      <w:tr>
        <w:trPr>
          <w:trHeight w:val="20"/>
        </w:trPr>
        <w:tc>
          <w:tcPr>
            <w:tcW w:w="1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20" w:type="dxa"/>
            <w:vAlign w:val="bottom"/>
          </w:tcPr>
          <w:p>
            <w:pPr>
              <w:jc w:val="right"/>
              <w:ind w:right="670"/>
              <w:spacing w:after="0"/>
              <w:rPr>
                <w:sz w:val="20"/>
                <w:szCs w:val="20"/>
                <w:color w:val="auto"/>
              </w:rPr>
            </w:pPr>
            <w:r>
              <w:rPr>
                <w:rFonts w:ascii="Arial" w:cs="Arial" w:eastAsia="Arial" w:hAnsi="Arial"/>
                <w:sz w:val="18"/>
                <w:szCs w:val="18"/>
                <w:color w:val="auto"/>
              </w:rPr>
              <w:t>4.3</w:t>
            </w:r>
          </w:p>
        </w:tc>
        <w:tc>
          <w:tcPr>
            <w:tcW w:w="2220" w:type="dxa"/>
            <w:vAlign w:val="bottom"/>
            <w:tcBorders>
              <w:bottom w:val="single" w:sz="8" w:color="0000EE"/>
            </w:tcBorders>
            <w:gridSpan w:val="7"/>
          </w:tcPr>
          <w:p>
            <w:pPr>
              <w:spacing w:after="0"/>
              <w:rPr>
                <w:rFonts w:ascii="Arial" w:cs="Arial" w:eastAsia="Arial" w:hAnsi="Arial"/>
                <w:sz w:val="18"/>
                <w:szCs w:val="18"/>
                <w:color w:val="0000FF"/>
                <w:w w:val="99"/>
              </w:rPr>
            </w:pPr>
            <w:hyperlink r:id="rId428">
              <w:r>
                <w:rPr>
                  <w:rFonts w:ascii="Arial" w:cs="Arial" w:eastAsia="Arial" w:hAnsi="Arial"/>
                  <w:sz w:val="18"/>
                  <w:szCs w:val="18"/>
                  <w:color w:val="0000FF"/>
                  <w:w w:val="99"/>
                </w:rPr>
                <w:t>Description of Capital Stock</w:t>
              </w:r>
            </w:hyperlink>
          </w:p>
        </w:tc>
        <w:tc>
          <w:tcPr>
            <w:tcW w:w="3140" w:type="dxa"/>
            <w:vAlign w:val="bottom"/>
            <w:gridSpan w:val="8"/>
          </w:tcPr>
          <w:p>
            <w:pPr>
              <w:spacing w:after="0"/>
              <w:rPr>
                <w:sz w:val="24"/>
                <w:szCs w:val="24"/>
                <w:color w:val="auto"/>
              </w:rPr>
            </w:pPr>
          </w:p>
        </w:tc>
      </w:tr>
      <w:tr>
        <w:trPr>
          <w:trHeight w:val="290"/>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10.1**</w:t>
            </w:r>
          </w:p>
        </w:tc>
        <w:tc>
          <w:tcPr>
            <w:tcW w:w="5260" w:type="dxa"/>
            <w:vAlign w:val="bottom"/>
            <w:tcBorders>
              <w:bottom w:val="single" w:sz="8" w:color="0000EE"/>
            </w:tcBorders>
            <w:gridSpan w:val="13"/>
          </w:tcPr>
          <w:p>
            <w:pPr>
              <w:spacing w:after="0"/>
              <w:rPr>
                <w:rFonts w:ascii="Arial" w:cs="Arial" w:eastAsia="Arial" w:hAnsi="Arial"/>
                <w:sz w:val="18"/>
                <w:szCs w:val="18"/>
                <w:color w:val="0000FF"/>
                <w:w w:val="99"/>
              </w:rPr>
            </w:pPr>
            <w:hyperlink r:id="rId429">
              <w:r>
                <w:rPr>
                  <w:rFonts w:ascii="Arial" w:cs="Arial" w:eastAsia="Arial" w:hAnsi="Arial"/>
                  <w:sz w:val="18"/>
                  <w:szCs w:val="18"/>
                  <w:color w:val="0000FF"/>
                  <w:w w:val="99"/>
                </w:rPr>
                <w:t>Form of Director and Executive Officer Indemnification Agreement</w:t>
              </w:r>
            </w:hyperlink>
          </w:p>
        </w:tc>
        <w:tc>
          <w:tcPr>
            <w:tcW w:w="100" w:type="dxa"/>
            <w:vAlign w:val="bottom"/>
            <w:gridSpan w:val="2"/>
          </w:tcPr>
          <w:p>
            <w:pPr>
              <w:spacing w:after="0"/>
              <w:rPr>
                <w:sz w:val="24"/>
                <w:szCs w:val="24"/>
                <w:color w:val="auto"/>
              </w:rPr>
            </w:pPr>
          </w:p>
        </w:tc>
      </w:tr>
      <w:tr>
        <w:trPr>
          <w:trHeight w:val="290"/>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10.2**</w:t>
            </w:r>
          </w:p>
        </w:tc>
        <w:tc>
          <w:tcPr>
            <w:tcW w:w="5360" w:type="dxa"/>
            <w:vAlign w:val="bottom"/>
            <w:gridSpan w:val="15"/>
          </w:tcPr>
          <w:p>
            <w:pPr>
              <w:spacing w:after="0"/>
              <w:rPr>
                <w:rFonts w:ascii="Arial" w:cs="Arial" w:eastAsia="Arial" w:hAnsi="Arial"/>
                <w:sz w:val="18"/>
                <w:szCs w:val="18"/>
                <w:color w:val="0000FF"/>
              </w:rPr>
            </w:pPr>
            <w:hyperlink r:id="rId430">
              <w:r>
                <w:rPr>
                  <w:rFonts w:ascii="Arial" w:cs="Arial" w:eastAsia="Arial" w:hAnsi="Arial"/>
                  <w:sz w:val="18"/>
                  <w:szCs w:val="18"/>
                  <w:color w:val="0000FF"/>
                </w:rPr>
                <w:t>2014 Equity Incentive Plan, as amended</w:t>
              </w:r>
            </w:hyperlink>
          </w:p>
        </w:tc>
      </w:tr>
      <w:tr>
        <w:trPr>
          <w:trHeight w:val="291"/>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10.3**</w:t>
            </w:r>
          </w:p>
        </w:tc>
        <w:tc>
          <w:tcPr>
            <w:tcW w:w="2140" w:type="dxa"/>
            <w:vAlign w:val="bottom"/>
            <w:tcBorders>
              <w:top w:val="single" w:sz="8" w:color="0000EE"/>
              <w:bottom w:val="single" w:sz="8" w:color="0000EE"/>
            </w:tcBorders>
            <w:gridSpan w:val="6"/>
          </w:tcPr>
          <w:p>
            <w:pPr>
              <w:spacing w:after="0"/>
              <w:rPr>
                <w:rFonts w:ascii="Arial" w:cs="Arial" w:eastAsia="Arial" w:hAnsi="Arial"/>
                <w:sz w:val="18"/>
                <w:szCs w:val="18"/>
                <w:color w:val="0000FF"/>
                <w:w w:val="99"/>
              </w:rPr>
            </w:pPr>
            <w:hyperlink r:id="rId431">
              <w:r>
                <w:rPr>
                  <w:rFonts w:ascii="Arial" w:cs="Arial" w:eastAsia="Arial" w:hAnsi="Arial"/>
                  <w:sz w:val="18"/>
                  <w:szCs w:val="18"/>
                  <w:color w:val="0000FF"/>
                  <w:w w:val="99"/>
                </w:rPr>
                <w:t>2020 Equity Incentive Plan</w:t>
              </w:r>
            </w:hyperlink>
          </w:p>
        </w:tc>
        <w:tc>
          <w:tcPr>
            <w:tcW w:w="1080" w:type="dxa"/>
            <w:vAlign w:val="bottom"/>
            <w:tcBorders>
              <w:top w:val="single" w:sz="8" w:color="0000EE"/>
            </w:tcBorders>
            <w:gridSpan w:val="2"/>
          </w:tcPr>
          <w:p>
            <w:pPr>
              <w:spacing w:after="0"/>
              <w:rPr>
                <w:sz w:val="24"/>
                <w:szCs w:val="24"/>
                <w:color w:val="auto"/>
              </w:rPr>
            </w:pPr>
          </w:p>
        </w:tc>
        <w:tc>
          <w:tcPr>
            <w:tcW w:w="2140" w:type="dxa"/>
            <w:vAlign w:val="bottom"/>
            <w:gridSpan w:val="7"/>
          </w:tcPr>
          <w:p>
            <w:pPr>
              <w:spacing w:after="0"/>
              <w:rPr>
                <w:sz w:val="24"/>
                <w:szCs w:val="24"/>
                <w:color w:val="auto"/>
              </w:rPr>
            </w:pPr>
          </w:p>
        </w:tc>
      </w:tr>
      <w:tr>
        <w:trPr>
          <w:trHeight w:val="290"/>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10.4**</w:t>
            </w:r>
          </w:p>
        </w:tc>
        <w:tc>
          <w:tcPr>
            <w:tcW w:w="5360" w:type="dxa"/>
            <w:vAlign w:val="bottom"/>
            <w:gridSpan w:val="15"/>
          </w:tcPr>
          <w:p>
            <w:pPr>
              <w:spacing w:after="0"/>
              <w:rPr>
                <w:rFonts w:ascii="Arial" w:cs="Arial" w:eastAsia="Arial" w:hAnsi="Arial"/>
                <w:sz w:val="18"/>
                <w:szCs w:val="18"/>
                <w:color w:val="0000FF"/>
              </w:rPr>
            </w:pPr>
            <w:hyperlink r:id="rId432">
              <w:r>
                <w:rPr>
                  <w:rFonts w:ascii="Arial" w:cs="Arial" w:eastAsia="Arial" w:hAnsi="Arial"/>
                  <w:sz w:val="18"/>
                  <w:szCs w:val="18"/>
                  <w:color w:val="0000FF"/>
                </w:rPr>
                <w:t>Form of Stock Option Agreement under the 2020 Equity Incentive</w:t>
              </w:r>
            </w:hyperlink>
          </w:p>
        </w:tc>
      </w:tr>
      <w:tr>
        <w:trPr>
          <w:trHeight w:val="155"/>
        </w:trPr>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EE"/>
            </w:tcBorders>
            <w:gridSpan w:val="12"/>
          </w:tcPr>
          <w:p>
            <w:pPr>
              <w:spacing w:after="0" w:line="156" w:lineRule="exact"/>
              <w:rPr>
                <w:rFonts w:ascii="Arial" w:cs="Arial" w:eastAsia="Arial" w:hAnsi="Arial"/>
                <w:sz w:val="18"/>
                <w:szCs w:val="18"/>
                <w:color w:val="0000FF"/>
              </w:rPr>
            </w:pPr>
            <w:hyperlink r:id="rId432">
              <w:r>
                <w:rPr>
                  <w:rFonts w:ascii="Arial" w:cs="Arial" w:eastAsia="Arial" w:hAnsi="Arial"/>
                  <w:sz w:val="18"/>
                  <w:szCs w:val="18"/>
                  <w:color w:val="0000FF"/>
                </w:rPr>
                <w:t>Plan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10.5**</w:t>
            </w:r>
          </w:p>
        </w:tc>
        <w:tc>
          <w:tcPr>
            <w:tcW w:w="5360" w:type="dxa"/>
            <w:vAlign w:val="bottom"/>
            <w:gridSpan w:val="15"/>
          </w:tcPr>
          <w:p>
            <w:pPr>
              <w:spacing w:after="0"/>
              <w:rPr>
                <w:rFonts w:ascii="Arial" w:cs="Arial" w:eastAsia="Arial" w:hAnsi="Arial"/>
                <w:sz w:val="18"/>
                <w:szCs w:val="18"/>
                <w:color w:val="0000FF"/>
              </w:rPr>
            </w:pPr>
            <w:hyperlink r:id="rId433">
              <w:r>
                <w:rPr>
                  <w:rFonts w:ascii="Arial" w:cs="Arial" w:eastAsia="Arial" w:hAnsi="Arial"/>
                  <w:sz w:val="18"/>
                  <w:szCs w:val="18"/>
                  <w:color w:val="0000FF"/>
                </w:rPr>
                <w:t>Form of Restricted Stock Award Agreement under the 2020 Equity</w:t>
              </w:r>
            </w:hyperlink>
          </w:p>
        </w:tc>
      </w:tr>
      <w:tr>
        <w:trPr>
          <w:trHeight w:val="155"/>
        </w:trPr>
        <w:tc>
          <w:tcPr>
            <w:tcW w:w="1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12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FF"/>
                <w:w w:val="97"/>
              </w:rPr>
            </w:pPr>
            <w:hyperlink r:id="rId433">
              <w:r>
                <w:rPr>
                  <w:rFonts w:ascii="Arial" w:cs="Arial" w:eastAsia="Arial" w:hAnsi="Arial"/>
                  <w:sz w:val="18"/>
                  <w:szCs w:val="18"/>
                  <w:color w:val="0000FF"/>
                  <w:w w:val="97"/>
                </w:rPr>
                <w:t>Incentive Plan</w:t>
              </w:r>
            </w:hyperlink>
          </w:p>
        </w:tc>
        <w:tc>
          <w:tcPr>
            <w:tcW w:w="4200" w:type="dxa"/>
            <w:vAlign w:val="bottom"/>
            <w:tcBorders>
              <w:top w:val="single" w:sz="8" w:color="0000EE"/>
            </w:tcBorders>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120" w:type="dxa"/>
            <w:vAlign w:val="bottom"/>
          </w:tcPr>
          <w:p>
            <w:pPr>
              <w:jc w:val="right"/>
              <w:ind w:right="530"/>
              <w:spacing w:after="0"/>
              <w:rPr>
                <w:sz w:val="20"/>
                <w:szCs w:val="20"/>
                <w:color w:val="auto"/>
              </w:rPr>
            </w:pPr>
            <w:r>
              <w:rPr>
                <w:rFonts w:ascii="Arial" w:cs="Arial" w:eastAsia="Arial" w:hAnsi="Arial"/>
                <w:sz w:val="18"/>
                <w:szCs w:val="18"/>
                <w:color w:val="auto"/>
                <w:w w:val="97"/>
              </w:rPr>
              <w:t>10.6**</w:t>
            </w:r>
          </w:p>
        </w:tc>
        <w:tc>
          <w:tcPr>
            <w:tcW w:w="4980" w:type="dxa"/>
            <w:vAlign w:val="bottom"/>
            <w:tcBorders>
              <w:bottom w:val="single" w:sz="8" w:color="0000EE"/>
            </w:tcBorders>
            <w:gridSpan w:val="12"/>
          </w:tcPr>
          <w:p>
            <w:pPr>
              <w:spacing w:after="0"/>
              <w:rPr>
                <w:rFonts w:ascii="Arial" w:cs="Arial" w:eastAsia="Arial" w:hAnsi="Arial"/>
                <w:sz w:val="18"/>
                <w:szCs w:val="18"/>
                <w:color w:val="0000FF"/>
                <w:w w:val="99"/>
              </w:rPr>
            </w:pPr>
            <w:hyperlink r:id="rId434">
              <w:r>
                <w:rPr>
                  <w:rFonts w:ascii="Arial" w:cs="Arial" w:eastAsia="Arial" w:hAnsi="Arial"/>
                  <w:sz w:val="18"/>
                  <w:szCs w:val="18"/>
                  <w:color w:val="0000FF"/>
                  <w:w w:val="99"/>
                </w:rPr>
                <w:t>Form of RSU Agreement under the 2020 Equity Incentive Plan</w:t>
              </w:r>
            </w:hyperlink>
          </w:p>
        </w:tc>
        <w:tc>
          <w:tcPr>
            <w:tcW w:w="380" w:type="dxa"/>
            <w:vAlign w:val="bottom"/>
            <w:gridSpan w:val="3"/>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40" w:type="dxa"/>
            <w:vAlign w:val="bottom"/>
          </w:tcPr>
          <w:p>
            <w:pPr>
              <w:jc w:val="center"/>
              <w:spacing w:after="0"/>
              <w:rPr>
                <w:sz w:val="20"/>
                <w:szCs w:val="20"/>
                <w:color w:val="auto"/>
              </w:rPr>
            </w:pPr>
            <w:r>
              <w:rPr>
                <w:rFonts w:ascii="Arial" w:cs="Arial" w:eastAsia="Arial" w:hAnsi="Arial"/>
                <w:sz w:val="18"/>
                <w:szCs w:val="18"/>
                <w:color w:val="auto"/>
              </w:rPr>
              <w:t>3.1</w:t>
            </w:r>
          </w:p>
        </w:tc>
        <w:tc>
          <w:tcPr>
            <w:tcW w:w="1740" w:type="dxa"/>
            <w:vAlign w:val="bottom"/>
          </w:tcPr>
          <w:p>
            <w:pPr>
              <w:jc w:val="center"/>
              <w:ind w:left="30"/>
              <w:spacing w:after="0"/>
              <w:rPr>
                <w:sz w:val="20"/>
                <w:szCs w:val="20"/>
                <w:color w:val="auto"/>
              </w:rPr>
            </w:pPr>
            <w:r>
              <w:rPr>
                <w:rFonts w:ascii="Arial" w:cs="Arial" w:eastAsia="Arial" w:hAnsi="Arial"/>
                <w:sz w:val="18"/>
                <w:szCs w:val="18"/>
                <w:color w:val="auto"/>
                <w:w w:val="99"/>
              </w:rPr>
              <w:t>November 12, 2020</w:t>
            </w:r>
          </w:p>
        </w:tc>
      </w:tr>
      <w:tr>
        <w:trPr>
          <w:trHeight w:val="48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40" w:type="dxa"/>
            <w:vAlign w:val="bottom"/>
          </w:tcPr>
          <w:p>
            <w:pPr>
              <w:jc w:val="center"/>
              <w:spacing w:after="0"/>
              <w:rPr>
                <w:sz w:val="20"/>
                <w:szCs w:val="20"/>
                <w:color w:val="auto"/>
              </w:rPr>
            </w:pPr>
            <w:r>
              <w:rPr>
                <w:rFonts w:ascii="Arial" w:cs="Arial" w:eastAsia="Arial" w:hAnsi="Arial"/>
                <w:sz w:val="18"/>
                <w:szCs w:val="18"/>
                <w:color w:val="auto"/>
              </w:rPr>
              <w:t>3.2</w:t>
            </w:r>
          </w:p>
        </w:tc>
        <w:tc>
          <w:tcPr>
            <w:tcW w:w="1740" w:type="dxa"/>
            <w:vAlign w:val="bottom"/>
          </w:tcPr>
          <w:p>
            <w:pPr>
              <w:jc w:val="center"/>
              <w:ind w:left="30"/>
              <w:spacing w:after="0"/>
              <w:rPr>
                <w:sz w:val="20"/>
                <w:szCs w:val="20"/>
                <w:color w:val="auto"/>
              </w:rPr>
            </w:pPr>
            <w:r>
              <w:rPr>
                <w:rFonts w:ascii="Arial" w:cs="Arial" w:eastAsia="Arial" w:hAnsi="Arial"/>
                <w:sz w:val="18"/>
                <w:szCs w:val="18"/>
                <w:color w:val="auto"/>
                <w:w w:val="99"/>
              </w:rPr>
              <w:t>November 12, 2020</w:t>
            </w:r>
          </w:p>
        </w:tc>
      </w:tr>
      <w:tr>
        <w:trPr>
          <w:trHeight w:val="310"/>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rPr>
              <w:t>4.1</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rPr>
              <w:t>September 14, 2020</w:t>
            </w:r>
          </w:p>
        </w:tc>
      </w:tr>
      <w:tr>
        <w:trPr>
          <w:trHeight w:val="311"/>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rPr>
              <w:t>4.2</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r>
        <w:trPr>
          <w:trHeight w:val="661"/>
        </w:trPr>
        <w:tc>
          <w:tcPr>
            <w:tcW w:w="68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40" w:type="dxa"/>
            <w:vAlign w:val="bottom"/>
          </w:tcPr>
          <w:p>
            <w:pPr>
              <w:jc w:val="center"/>
              <w:spacing w:after="0"/>
              <w:rPr>
                <w:sz w:val="20"/>
                <w:szCs w:val="20"/>
                <w:color w:val="auto"/>
              </w:rPr>
            </w:pPr>
            <w:r>
              <w:rPr>
                <w:rFonts w:ascii="Arial" w:cs="Arial" w:eastAsia="Arial" w:hAnsi="Arial"/>
                <w:sz w:val="18"/>
                <w:szCs w:val="18"/>
                <w:color w:val="auto"/>
              </w:rPr>
              <w:t>4.3</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March 25, 2021</w:t>
            </w:r>
          </w:p>
        </w:tc>
      </w:tr>
      <w:tr>
        <w:trPr>
          <w:trHeight w:val="311"/>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rPr>
              <w:t>August 26, 2020</w:t>
            </w:r>
          </w:p>
        </w:tc>
      </w:tr>
      <w:tr>
        <w:trPr>
          <w:trHeight w:val="310"/>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r>
        <w:trPr>
          <w:trHeight w:val="310"/>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r>
        <w:trPr>
          <w:trHeight w:val="310"/>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740" w:type="dxa"/>
            <w:vAlign w:val="bottom"/>
          </w:tcPr>
          <w:p>
            <w:pPr>
              <w:jc w:val="center"/>
              <w:ind w:left="10"/>
              <w:spacing w:after="0"/>
              <w:rPr>
                <w:sz w:val="20"/>
                <w:szCs w:val="20"/>
                <w:color w:val="auto"/>
              </w:rPr>
            </w:pPr>
            <w:r>
              <w:rPr>
                <w:rFonts w:ascii="Arial" w:cs="Arial" w:eastAsia="Arial" w:hAnsi="Arial"/>
                <w:sz w:val="18"/>
                <w:szCs w:val="18"/>
                <w:color w:val="auto"/>
                <w:w w:val="99"/>
              </w:rPr>
              <w:t>September 9, 2020</w:t>
            </w:r>
          </w:p>
        </w:tc>
      </w:tr>
    </w:tbl>
    <w:p>
      <w:pPr>
        <w:spacing w:after="0" w:line="200" w:lineRule="exact"/>
        <w:rPr>
          <w:sz w:val="20"/>
          <w:szCs w:val="20"/>
          <w:color w:val="auto"/>
        </w:rPr>
      </w:pPr>
    </w:p>
    <w:p>
      <w:pPr>
        <w:sectPr>
          <w:pgSz w:w="11900" w:h="16838" w:orient="portrait"/>
          <w:cols w:equalWidth="0" w:num="2">
            <w:col w:w="6520" w:space="280"/>
            <w:col w:w="4440"/>
          </w:cols>
          <w:pgMar w:left="320" w:top="122" w:right="339" w:bottom="1440" w:gutter="0" w:footer="0" w:header="0"/>
          <w:type w:val="continuous"/>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40"/>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5340" w:type="dxa"/>
            <w:vAlign w:val="bottom"/>
            <w:gridSpan w:val="29"/>
          </w:tcPr>
          <w:p>
            <w:pPr>
              <w:spacing w:after="0"/>
              <w:rPr>
                <w:rFonts w:ascii="Arial" w:cs="Arial" w:eastAsia="Arial" w:hAnsi="Arial"/>
                <w:sz w:val="18"/>
                <w:szCs w:val="18"/>
                <w:color w:val="0000FF"/>
              </w:rPr>
            </w:pPr>
            <w:hyperlink r:id="rId436">
              <w:r>
                <w:rPr>
                  <w:rFonts w:ascii="Arial" w:cs="Arial" w:eastAsia="Arial" w:hAnsi="Arial"/>
                  <w:sz w:val="18"/>
                  <w:szCs w:val="18"/>
                  <w:color w:val="0000FF"/>
                </w:rPr>
                <w:t>Amended and Restated Standard Exclusive Licensing Agreement</w:t>
              </w:r>
            </w:hyperlink>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EE"/>
              <w:bottom w:val="single" w:sz="8" w:color="0000EE"/>
            </w:tcBorders>
            <w:gridSpan w:val="26"/>
          </w:tcPr>
          <w:p>
            <w:pPr>
              <w:spacing w:after="0" w:line="156" w:lineRule="exact"/>
              <w:rPr>
                <w:rFonts w:ascii="Arial" w:cs="Arial" w:eastAsia="Arial" w:hAnsi="Arial"/>
                <w:sz w:val="18"/>
                <w:szCs w:val="18"/>
                <w:color w:val="0000FF"/>
                <w:w w:val="98"/>
              </w:rPr>
            </w:pPr>
            <w:hyperlink r:id="rId436">
              <w:r>
                <w:rPr>
                  <w:rFonts w:ascii="Arial" w:cs="Arial" w:eastAsia="Arial" w:hAnsi="Arial"/>
                  <w:sz w:val="18"/>
                  <w:szCs w:val="18"/>
                  <w:color w:val="0000FF"/>
                  <w:w w:val="98"/>
                </w:rPr>
                <w:t>with Sublicensing Terms, dated October 28, 2015, by and between</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gridSpan w:val="28"/>
          </w:tcPr>
          <w:p>
            <w:pPr>
              <w:spacing w:after="0" w:line="156" w:lineRule="exact"/>
              <w:rPr>
                <w:rFonts w:ascii="Arial" w:cs="Arial" w:eastAsia="Arial" w:hAnsi="Arial"/>
                <w:sz w:val="18"/>
                <w:szCs w:val="18"/>
                <w:color w:val="0000FF"/>
              </w:rPr>
            </w:pPr>
            <w:hyperlink r:id="rId436">
              <w:r>
                <w:rPr>
                  <w:rFonts w:ascii="Arial" w:cs="Arial" w:eastAsia="Arial" w:hAnsi="Arial"/>
                  <w:sz w:val="18"/>
                  <w:szCs w:val="18"/>
                  <w:color w:val="0000FF"/>
                </w:rPr>
                <w:t>the Registrant and Washington State University, and amendments</w:t>
              </w:r>
            </w:hyperlink>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EE"/>
            </w:tcBorders>
            <w:gridSpan w:val="27"/>
          </w:tcPr>
          <w:p>
            <w:pPr>
              <w:spacing w:after="0" w:line="156" w:lineRule="exact"/>
              <w:rPr>
                <w:rFonts w:ascii="Arial" w:cs="Arial" w:eastAsia="Arial" w:hAnsi="Arial"/>
                <w:sz w:val="18"/>
                <w:szCs w:val="18"/>
                <w:color w:val="0000FF"/>
              </w:rPr>
            </w:pPr>
            <w:hyperlink r:id="rId436">
              <w:r>
                <w:rPr>
                  <w:rFonts w:ascii="Arial" w:cs="Arial" w:eastAsia="Arial" w:hAnsi="Arial"/>
                  <w:sz w:val="18"/>
                  <w:szCs w:val="18"/>
                  <w:color w:val="0000FF"/>
                </w:rPr>
                <w:t>thereto</w:t>
              </w:r>
            </w:hyperlink>
          </w:p>
        </w:tc>
        <w:tc>
          <w:tcPr>
            <w:tcW w:w="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5340" w:type="dxa"/>
            <w:vAlign w:val="bottom"/>
            <w:gridSpan w:val="29"/>
          </w:tcPr>
          <w:p>
            <w:pPr>
              <w:spacing w:after="0"/>
              <w:rPr>
                <w:rFonts w:ascii="Arial" w:cs="Arial" w:eastAsia="Arial" w:hAnsi="Arial"/>
                <w:sz w:val="18"/>
                <w:szCs w:val="18"/>
                <w:color w:val="0000FF"/>
              </w:rPr>
            </w:pPr>
            <w:hyperlink r:id="rId437">
              <w:r>
                <w:rPr>
                  <w:rFonts w:ascii="Arial" w:cs="Arial" w:eastAsia="Arial" w:hAnsi="Arial"/>
                  <w:sz w:val="18"/>
                  <w:szCs w:val="18"/>
                  <w:color w:val="0000FF"/>
                </w:rPr>
                <w:t>2020 Employee Stock Purchase Plan and Form of Subscription</w:t>
              </w:r>
            </w:hyperlink>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EE"/>
            </w:tcBorders>
            <w:gridSpan w:val="25"/>
          </w:tcPr>
          <w:p>
            <w:pPr>
              <w:spacing w:after="0" w:line="156" w:lineRule="exact"/>
              <w:rPr>
                <w:rFonts w:ascii="Arial" w:cs="Arial" w:eastAsia="Arial" w:hAnsi="Arial"/>
                <w:sz w:val="18"/>
                <w:szCs w:val="18"/>
                <w:color w:val="0000FF"/>
              </w:rPr>
            </w:pPr>
            <w:hyperlink r:id="rId437">
              <w:r>
                <w:rPr>
                  <w:rFonts w:ascii="Arial" w:cs="Arial" w:eastAsia="Arial" w:hAnsi="Arial"/>
                  <w:sz w:val="18"/>
                  <w:szCs w:val="18"/>
                  <w:color w:val="0000FF"/>
                </w:rPr>
                <w:t>Agreement Thereunder</w:t>
              </w:r>
            </w:hyperlink>
          </w:p>
        </w:tc>
        <w:tc>
          <w:tcPr>
            <w:tcW w:w="260" w:type="dxa"/>
            <w:vAlign w:val="bottom"/>
            <w:gridSpan w:val="3"/>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5340" w:type="dxa"/>
            <w:vAlign w:val="bottom"/>
            <w:gridSpan w:val="29"/>
          </w:tcPr>
          <w:p>
            <w:pPr>
              <w:spacing w:after="0"/>
              <w:rPr>
                <w:rFonts w:ascii="Arial" w:cs="Arial" w:eastAsia="Arial" w:hAnsi="Arial"/>
                <w:sz w:val="18"/>
                <w:szCs w:val="18"/>
                <w:color w:val="0000FF"/>
              </w:rPr>
            </w:pPr>
            <w:hyperlink r:id="rId438">
              <w:r>
                <w:rPr>
                  <w:rFonts w:ascii="Arial" w:cs="Arial" w:eastAsia="Arial" w:hAnsi="Arial"/>
                  <w:sz w:val="18"/>
                  <w:szCs w:val="18"/>
                  <w:color w:val="0000FF"/>
                </w:rPr>
                <w:t>Lease agreement, dated July 20, 2020, by and between the</w:t>
              </w:r>
            </w:hyperlink>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EE"/>
            </w:tcBorders>
            <w:gridSpan w:val="22"/>
          </w:tcPr>
          <w:p>
            <w:pPr>
              <w:spacing w:after="0" w:line="156" w:lineRule="exact"/>
              <w:rPr>
                <w:rFonts w:ascii="Arial" w:cs="Arial" w:eastAsia="Arial" w:hAnsi="Arial"/>
                <w:sz w:val="18"/>
                <w:szCs w:val="18"/>
                <w:color w:val="0000FF"/>
              </w:rPr>
            </w:pPr>
            <w:hyperlink r:id="rId438">
              <w:r>
                <w:rPr>
                  <w:rFonts w:ascii="Arial" w:cs="Arial" w:eastAsia="Arial" w:hAnsi="Arial"/>
                  <w:sz w:val="18"/>
                  <w:szCs w:val="18"/>
                  <w:color w:val="0000FF"/>
                </w:rPr>
                <w:t>Registrant and North Creek Parkway Center Investors, LP</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4"/>
          </w:tcPr>
          <w:p>
            <w:pPr>
              <w:spacing w:after="0"/>
              <w:rPr>
                <w:sz w:val="13"/>
                <w:szCs w:val="13"/>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4620" w:type="dxa"/>
            <w:vAlign w:val="bottom"/>
            <w:tcBorders>
              <w:top w:val="single" w:sz="8" w:color="0000EE"/>
            </w:tcBorders>
            <w:gridSpan w:val="18"/>
          </w:tcPr>
          <w:p>
            <w:pPr>
              <w:spacing w:after="0"/>
              <w:rPr>
                <w:rFonts w:ascii="Arial" w:cs="Arial" w:eastAsia="Arial" w:hAnsi="Arial"/>
                <w:sz w:val="18"/>
                <w:szCs w:val="18"/>
                <w:color w:val="0000FF"/>
              </w:rPr>
            </w:pPr>
            <w:hyperlink r:id="rId439">
              <w:r>
                <w:rPr>
                  <w:rFonts w:ascii="Arial" w:cs="Arial" w:eastAsia="Arial" w:hAnsi="Arial"/>
                  <w:sz w:val="18"/>
                  <w:szCs w:val="18"/>
                  <w:color w:val="0000FF"/>
                </w:rPr>
                <w:t>Outside Director Compensation Policy, as amended</w:t>
              </w:r>
            </w:hyperlink>
          </w:p>
        </w:tc>
        <w:tc>
          <w:tcPr>
            <w:tcW w:w="720" w:type="dxa"/>
            <w:vAlign w:val="bottom"/>
            <w:gridSpan w:val="11"/>
          </w:tcPr>
          <w:p>
            <w:pPr>
              <w:spacing w:after="0"/>
              <w:rPr>
                <w:sz w:val="24"/>
                <w:szCs w:val="24"/>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3180" w:type="dxa"/>
            <w:vAlign w:val="bottom"/>
            <w:tcBorders>
              <w:top w:val="single" w:sz="8" w:color="0000EE"/>
              <w:bottom w:val="single" w:sz="8" w:color="0000EE"/>
            </w:tcBorders>
            <w:gridSpan w:val="16"/>
          </w:tcPr>
          <w:p>
            <w:pPr>
              <w:spacing w:after="0"/>
              <w:rPr>
                <w:rFonts w:ascii="Arial" w:cs="Arial" w:eastAsia="Arial" w:hAnsi="Arial"/>
                <w:sz w:val="18"/>
                <w:szCs w:val="18"/>
                <w:color w:val="0000FF"/>
                <w:w w:val="99"/>
              </w:rPr>
            </w:pPr>
            <w:hyperlink r:id="rId440">
              <w:r>
                <w:rPr>
                  <w:rFonts w:ascii="Arial" w:cs="Arial" w:eastAsia="Arial" w:hAnsi="Arial"/>
                  <w:sz w:val="18"/>
                  <w:szCs w:val="18"/>
                  <w:color w:val="0000FF"/>
                  <w:w w:val="99"/>
                </w:rPr>
                <w:t>Executive Incentive Compensation Plan</w:t>
              </w:r>
            </w:hyperlink>
          </w:p>
        </w:tc>
        <w:tc>
          <w:tcPr>
            <w:tcW w:w="940" w:type="dxa"/>
            <w:vAlign w:val="bottom"/>
            <w:tcBorders>
              <w:top w:val="single" w:sz="8" w:color="0000EE"/>
            </w:tcBorders>
          </w:tcPr>
          <w:p>
            <w:pPr>
              <w:spacing w:after="0"/>
              <w:rPr>
                <w:sz w:val="24"/>
                <w:szCs w:val="24"/>
                <w:color w:val="auto"/>
              </w:rPr>
            </w:pPr>
          </w:p>
        </w:tc>
        <w:tc>
          <w:tcPr>
            <w:tcW w:w="1220" w:type="dxa"/>
            <w:vAlign w:val="bottom"/>
            <w:gridSpan w:val="12"/>
          </w:tcPr>
          <w:p>
            <w:pPr>
              <w:spacing w:after="0"/>
              <w:rPr>
                <w:sz w:val="24"/>
                <w:szCs w:val="24"/>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5340" w:type="dxa"/>
            <w:vAlign w:val="bottom"/>
            <w:gridSpan w:val="29"/>
          </w:tcPr>
          <w:p>
            <w:pPr>
              <w:spacing w:after="0"/>
              <w:rPr>
                <w:rFonts w:ascii="Arial" w:cs="Arial" w:eastAsia="Arial" w:hAnsi="Arial"/>
                <w:sz w:val="18"/>
                <w:szCs w:val="18"/>
                <w:color w:val="0000FF"/>
              </w:rPr>
            </w:pPr>
            <w:hyperlink r:id="rId441">
              <w:r>
                <w:rPr>
                  <w:rFonts w:ascii="Arial" w:cs="Arial" w:eastAsia="Arial" w:hAnsi="Arial"/>
                  <w:sz w:val="18"/>
                  <w:szCs w:val="18"/>
                  <w:color w:val="0000FF"/>
                </w:rPr>
                <w:t>Confirmatory Employment Letter between the Registrant and Leen</w:t>
              </w:r>
            </w:hyperlink>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08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FF"/>
                <w:w w:val="97"/>
              </w:rPr>
            </w:pPr>
            <w:hyperlink r:id="rId441">
              <w:r>
                <w:rPr>
                  <w:rFonts w:ascii="Arial" w:cs="Arial" w:eastAsia="Arial" w:hAnsi="Arial"/>
                  <w:sz w:val="18"/>
                  <w:szCs w:val="18"/>
                  <w:color w:val="0000FF"/>
                  <w:w w:val="97"/>
                </w:rPr>
                <w:t>Kawas, Ph.D.</w:t>
              </w:r>
            </w:hyperlink>
          </w:p>
        </w:tc>
        <w:tc>
          <w:tcPr>
            <w:tcW w:w="4240" w:type="dxa"/>
            <w:vAlign w:val="bottom"/>
            <w:tcBorders>
              <w:top w:val="single" w:sz="8" w:color="0000EE"/>
            </w:tcBorders>
            <w:gridSpan w:val="23"/>
          </w:tcPr>
          <w:p>
            <w:pPr>
              <w:spacing w:after="0"/>
              <w:rPr>
                <w:sz w:val="13"/>
                <w:szCs w:val="13"/>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5340" w:type="dxa"/>
            <w:vAlign w:val="bottom"/>
            <w:gridSpan w:val="29"/>
          </w:tcPr>
          <w:p>
            <w:pPr>
              <w:spacing w:after="0"/>
              <w:rPr>
                <w:rFonts w:ascii="Arial" w:cs="Arial" w:eastAsia="Arial" w:hAnsi="Arial"/>
                <w:sz w:val="18"/>
                <w:szCs w:val="18"/>
                <w:color w:val="0000FF"/>
              </w:rPr>
            </w:pPr>
            <w:hyperlink r:id="rId442">
              <w:r>
                <w:rPr>
                  <w:rFonts w:ascii="Arial" w:cs="Arial" w:eastAsia="Arial" w:hAnsi="Arial"/>
                  <w:sz w:val="18"/>
                  <w:szCs w:val="18"/>
                  <w:color w:val="0000FF"/>
                </w:rPr>
                <w:t>Confirmatory Employment Letter between the Registrant and Mark</w:t>
              </w:r>
            </w:hyperlink>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8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FF"/>
                <w:w w:val="96"/>
              </w:rPr>
            </w:pPr>
            <w:hyperlink r:id="rId442">
              <w:r>
                <w:rPr>
                  <w:rFonts w:ascii="Arial" w:cs="Arial" w:eastAsia="Arial" w:hAnsi="Arial"/>
                  <w:sz w:val="18"/>
                  <w:szCs w:val="18"/>
                  <w:color w:val="0000FF"/>
                  <w:w w:val="96"/>
                </w:rPr>
                <w:t>Litton, Ph.D.</w:t>
              </w:r>
            </w:hyperlink>
          </w:p>
        </w:tc>
        <w:tc>
          <w:tcPr>
            <w:tcW w:w="4340" w:type="dxa"/>
            <w:vAlign w:val="bottom"/>
            <w:tcBorders>
              <w:top w:val="single" w:sz="8" w:color="0000EE"/>
            </w:tcBorders>
            <w:gridSpan w:val="24"/>
          </w:tcPr>
          <w:p>
            <w:pPr>
              <w:spacing w:after="0"/>
              <w:rPr>
                <w:sz w:val="13"/>
                <w:szCs w:val="13"/>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10.14**</w:t>
            </w:r>
          </w:p>
        </w:tc>
        <w:tc>
          <w:tcPr>
            <w:tcW w:w="5340" w:type="dxa"/>
            <w:vAlign w:val="bottom"/>
            <w:gridSpan w:val="29"/>
          </w:tcPr>
          <w:p>
            <w:pPr>
              <w:spacing w:after="0"/>
              <w:rPr>
                <w:rFonts w:ascii="Arial" w:cs="Arial" w:eastAsia="Arial" w:hAnsi="Arial"/>
                <w:sz w:val="18"/>
                <w:szCs w:val="18"/>
                <w:color w:val="0000FF"/>
              </w:rPr>
            </w:pPr>
            <w:hyperlink r:id="rId443">
              <w:r>
                <w:rPr>
                  <w:rFonts w:ascii="Arial" w:cs="Arial" w:eastAsia="Arial" w:hAnsi="Arial"/>
                  <w:sz w:val="18"/>
                  <w:szCs w:val="18"/>
                  <w:color w:val="0000FF"/>
                </w:rPr>
                <w:t>Confirmatory Employment Letter between the Registrant and</w:t>
              </w:r>
            </w:hyperlink>
          </w:p>
        </w:tc>
      </w:tr>
      <w:tr>
        <w:trPr>
          <w:trHeight w:val="156"/>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62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FF"/>
                <w:w w:val="98"/>
              </w:rPr>
            </w:pPr>
            <w:hyperlink r:id="rId443">
              <w:r>
                <w:rPr>
                  <w:rFonts w:ascii="Arial" w:cs="Arial" w:eastAsia="Arial" w:hAnsi="Arial"/>
                  <w:sz w:val="18"/>
                  <w:szCs w:val="18"/>
                  <w:color w:val="0000FF"/>
                  <w:w w:val="98"/>
                </w:rPr>
                <w:t>Kevin Church, Ph.D.</w:t>
              </w:r>
            </w:hyperlink>
          </w:p>
        </w:tc>
        <w:tc>
          <w:tcPr>
            <w:tcW w:w="3260" w:type="dxa"/>
            <w:vAlign w:val="bottom"/>
            <w:tcBorders>
              <w:top w:val="single" w:sz="8" w:color="0000EE"/>
            </w:tcBorders>
            <w:gridSpan w:val="16"/>
          </w:tcPr>
          <w:p>
            <w:pPr>
              <w:spacing w:after="0"/>
              <w:rPr>
                <w:sz w:val="13"/>
                <w:szCs w:val="13"/>
                <w:color w:val="auto"/>
              </w:rPr>
            </w:pPr>
          </w:p>
        </w:tc>
        <w:tc>
          <w:tcPr>
            <w:tcW w:w="440" w:type="dxa"/>
            <w:vAlign w:val="bottom"/>
            <w:gridSpan w:val="4"/>
          </w:tcPr>
          <w:p>
            <w:pPr>
              <w:spacing w:after="0"/>
              <w:rPr>
                <w:sz w:val="13"/>
                <w:szCs w:val="13"/>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10.15**</w:t>
            </w:r>
          </w:p>
        </w:tc>
        <w:tc>
          <w:tcPr>
            <w:tcW w:w="5340" w:type="dxa"/>
            <w:vAlign w:val="bottom"/>
            <w:gridSpan w:val="29"/>
          </w:tcPr>
          <w:p>
            <w:pPr>
              <w:spacing w:after="0"/>
              <w:rPr>
                <w:rFonts w:ascii="Arial" w:cs="Arial" w:eastAsia="Arial" w:hAnsi="Arial"/>
                <w:sz w:val="18"/>
                <w:szCs w:val="18"/>
                <w:color w:val="0000FF"/>
              </w:rPr>
            </w:pPr>
            <w:hyperlink r:id="rId444">
              <w:r>
                <w:rPr>
                  <w:rFonts w:ascii="Arial" w:cs="Arial" w:eastAsia="Arial" w:hAnsi="Arial"/>
                  <w:sz w:val="18"/>
                  <w:szCs w:val="18"/>
                  <w:color w:val="0000FF"/>
                </w:rPr>
                <w:t>Confirmatory Employment Letter between the Registrant and</w:t>
              </w:r>
            </w:hyperlink>
          </w:p>
        </w:tc>
      </w:tr>
      <w:tr>
        <w:trPr>
          <w:trHeight w:val="156"/>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24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FF"/>
                <w:w w:val="97"/>
              </w:rPr>
            </w:pPr>
            <w:hyperlink r:id="rId444">
              <w:r>
                <w:rPr>
                  <w:rFonts w:ascii="Arial" w:cs="Arial" w:eastAsia="Arial" w:hAnsi="Arial"/>
                  <w:sz w:val="18"/>
                  <w:szCs w:val="18"/>
                  <w:color w:val="0000FF"/>
                  <w:w w:val="97"/>
                </w:rPr>
                <w:t>Glenna Mileson</w:t>
              </w:r>
            </w:hyperlink>
          </w:p>
        </w:tc>
        <w:tc>
          <w:tcPr>
            <w:tcW w:w="3640" w:type="dxa"/>
            <w:vAlign w:val="bottom"/>
            <w:tcBorders>
              <w:top w:val="single" w:sz="8" w:color="0000EE"/>
            </w:tcBorders>
            <w:gridSpan w:val="17"/>
          </w:tcPr>
          <w:p>
            <w:pPr>
              <w:spacing w:after="0"/>
              <w:rPr>
                <w:sz w:val="13"/>
                <w:szCs w:val="13"/>
                <w:color w:val="auto"/>
              </w:rPr>
            </w:pPr>
          </w:p>
        </w:tc>
        <w:tc>
          <w:tcPr>
            <w:tcW w:w="440" w:type="dxa"/>
            <w:vAlign w:val="bottom"/>
            <w:gridSpan w:val="4"/>
          </w:tcPr>
          <w:p>
            <w:pPr>
              <w:spacing w:after="0"/>
              <w:rPr>
                <w:sz w:val="13"/>
                <w:szCs w:val="13"/>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8"/>
                <w:szCs w:val="18"/>
                <w:color w:val="auto"/>
              </w:rPr>
              <w:t>10.16**</w:t>
            </w:r>
          </w:p>
        </w:tc>
        <w:tc>
          <w:tcPr>
            <w:tcW w:w="5340" w:type="dxa"/>
            <w:vAlign w:val="bottom"/>
            <w:gridSpan w:val="29"/>
          </w:tcPr>
          <w:p>
            <w:pPr>
              <w:spacing w:after="0"/>
              <w:rPr>
                <w:rFonts w:ascii="Arial" w:cs="Arial" w:eastAsia="Arial" w:hAnsi="Arial"/>
                <w:sz w:val="18"/>
                <w:szCs w:val="18"/>
                <w:color w:val="0000FF"/>
              </w:rPr>
            </w:pPr>
            <w:hyperlink r:id="rId445">
              <w:r>
                <w:rPr>
                  <w:rFonts w:ascii="Arial" w:cs="Arial" w:eastAsia="Arial" w:hAnsi="Arial"/>
                  <w:sz w:val="18"/>
                  <w:szCs w:val="18"/>
                  <w:color w:val="0000FF"/>
                </w:rPr>
                <w:t>Change in Control and Severance Agreement between the</w:t>
              </w:r>
            </w:hyperlink>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EE"/>
            </w:tcBorders>
            <w:gridSpan w:val="20"/>
          </w:tcPr>
          <w:p>
            <w:pPr>
              <w:spacing w:after="0" w:line="156" w:lineRule="exact"/>
              <w:rPr>
                <w:rFonts w:ascii="Arial" w:cs="Arial" w:eastAsia="Arial" w:hAnsi="Arial"/>
                <w:sz w:val="18"/>
                <w:szCs w:val="18"/>
                <w:color w:val="0000FF"/>
              </w:rPr>
            </w:pPr>
            <w:hyperlink r:id="rId445">
              <w:r>
                <w:rPr>
                  <w:rFonts w:ascii="Arial" w:cs="Arial" w:eastAsia="Arial" w:hAnsi="Arial"/>
                  <w:sz w:val="18"/>
                  <w:szCs w:val="18"/>
                  <w:color w:val="0000FF"/>
                </w:rPr>
                <w:t>Registrant and Leen Kawas, Ph.D.</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60" w:type="dxa"/>
            <w:vAlign w:val="bottom"/>
            <w:gridSpan w:val="5"/>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10.17**</w:t>
            </w:r>
          </w:p>
        </w:tc>
        <w:tc>
          <w:tcPr>
            <w:tcW w:w="5340" w:type="dxa"/>
            <w:vAlign w:val="bottom"/>
            <w:gridSpan w:val="29"/>
          </w:tcPr>
          <w:p>
            <w:pPr>
              <w:spacing w:after="0"/>
              <w:rPr>
                <w:rFonts w:ascii="Arial" w:cs="Arial" w:eastAsia="Arial" w:hAnsi="Arial"/>
                <w:sz w:val="18"/>
                <w:szCs w:val="18"/>
                <w:color w:val="0000FF"/>
              </w:rPr>
            </w:pPr>
            <w:hyperlink r:id="rId446">
              <w:r>
                <w:rPr>
                  <w:rFonts w:ascii="Arial" w:cs="Arial" w:eastAsia="Arial" w:hAnsi="Arial"/>
                  <w:sz w:val="18"/>
                  <w:szCs w:val="18"/>
                  <w:color w:val="0000FF"/>
                </w:rPr>
                <w:t>Amended and Restated Change in Control and Severance</w:t>
              </w:r>
            </w:hyperlink>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EE"/>
            </w:tcBorders>
            <w:gridSpan w:val="18"/>
          </w:tcPr>
          <w:p>
            <w:pPr>
              <w:spacing w:after="0" w:line="156" w:lineRule="exact"/>
              <w:rPr>
                <w:rFonts w:ascii="Arial" w:cs="Arial" w:eastAsia="Arial" w:hAnsi="Arial"/>
                <w:sz w:val="18"/>
                <w:szCs w:val="18"/>
                <w:color w:val="0000FF"/>
              </w:rPr>
            </w:pPr>
            <w:hyperlink r:id="rId446">
              <w:r>
                <w:rPr>
                  <w:rFonts w:ascii="Arial" w:cs="Arial" w:eastAsia="Arial" w:hAnsi="Arial"/>
                  <w:sz w:val="18"/>
                  <w:szCs w:val="18"/>
                  <w:color w:val="0000FF"/>
                </w:rPr>
                <w:t>Agreement between the Registrant and Mark Litton, Ph.D.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60" w:type="dxa"/>
            <w:vAlign w:val="bottom"/>
            <w:gridSpan w:val="5"/>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10.18**</w:t>
            </w:r>
          </w:p>
        </w:tc>
        <w:tc>
          <w:tcPr>
            <w:tcW w:w="5340" w:type="dxa"/>
            <w:vAlign w:val="bottom"/>
            <w:gridSpan w:val="29"/>
          </w:tcPr>
          <w:p>
            <w:pPr>
              <w:spacing w:after="0"/>
              <w:rPr>
                <w:rFonts w:ascii="Arial" w:cs="Arial" w:eastAsia="Arial" w:hAnsi="Arial"/>
                <w:sz w:val="18"/>
                <w:szCs w:val="18"/>
                <w:color w:val="0000FF"/>
              </w:rPr>
            </w:pPr>
            <w:hyperlink r:id="rId447">
              <w:r>
                <w:rPr>
                  <w:rFonts w:ascii="Arial" w:cs="Arial" w:eastAsia="Arial" w:hAnsi="Arial"/>
                  <w:sz w:val="18"/>
                  <w:szCs w:val="18"/>
                  <w:color w:val="0000FF"/>
                </w:rPr>
                <w:t>Change in Control and Severance Agreement between the</w:t>
              </w:r>
            </w:hyperlink>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46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FF"/>
                <w:w w:val="98"/>
              </w:rPr>
            </w:pPr>
            <w:hyperlink r:id="rId447">
              <w:r>
                <w:rPr>
                  <w:rFonts w:ascii="Arial" w:cs="Arial" w:eastAsia="Arial" w:hAnsi="Arial"/>
                  <w:sz w:val="18"/>
                  <w:szCs w:val="18"/>
                  <w:color w:val="0000FF"/>
                  <w:w w:val="98"/>
                </w:rPr>
                <w:t>Registrant and Glenna Mileson</w:t>
              </w:r>
            </w:hyperlink>
          </w:p>
        </w:tc>
        <w:tc>
          <w:tcPr>
            <w:tcW w:w="226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60" w:type="dxa"/>
            <w:vAlign w:val="bottom"/>
            <w:gridSpan w:val="5"/>
          </w:tcPr>
          <w:p>
            <w:pPr>
              <w:spacing w:after="0"/>
              <w:rPr>
                <w:sz w:val="13"/>
                <w:szCs w:val="13"/>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10.19**</w:t>
            </w:r>
          </w:p>
        </w:tc>
        <w:tc>
          <w:tcPr>
            <w:tcW w:w="5340" w:type="dxa"/>
            <w:vAlign w:val="bottom"/>
            <w:gridSpan w:val="29"/>
          </w:tcPr>
          <w:p>
            <w:pPr>
              <w:spacing w:after="0"/>
              <w:rPr>
                <w:rFonts w:ascii="Arial" w:cs="Arial" w:eastAsia="Arial" w:hAnsi="Arial"/>
                <w:sz w:val="18"/>
                <w:szCs w:val="18"/>
                <w:color w:val="0000FF"/>
              </w:rPr>
            </w:pPr>
            <w:hyperlink r:id="rId448">
              <w:r>
                <w:rPr>
                  <w:rFonts w:ascii="Arial" w:cs="Arial" w:eastAsia="Arial" w:hAnsi="Arial"/>
                  <w:sz w:val="18"/>
                  <w:szCs w:val="18"/>
                  <w:color w:val="0000FF"/>
                </w:rPr>
                <w:t>Employment Offer Letter between the Registrant and Hans</w:t>
              </w:r>
            </w:hyperlink>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22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FF"/>
                <w:w w:val="97"/>
              </w:rPr>
            </w:pPr>
            <w:hyperlink r:id="rId448">
              <w:r>
                <w:rPr>
                  <w:rFonts w:ascii="Arial" w:cs="Arial" w:eastAsia="Arial" w:hAnsi="Arial"/>
                  <w:sz w:val="18"/>
                  <w:szCs w:val="18"/>
                  <w:color w:val="0000FF"/>
                  <w:w w:val="97"/>
                </w:rPr>
                <w:t>Moebius, Ph.D.</w:t>
              </w:r>
            </w:hyperlink>
          </w:p>
        </w:tc>
        <w:tc>
          <w:tcPr>
            <w:tcW w:w="3520" w:type="dxa"/>
            <w:vAlign w:val="bottom"/>
            <w:tcBorders>
              <w:top w:val="single" w:sz="8" w:color="0000EE"/>
            </w:tcBorders>
            <w:gridSpan w:val="15"/>
          </w:tcPr>
          <w:p>
            <w:pPr>
              <w:spacing w:after="0"/>
              <w:rPr>
                <w:sz w:val="13"/>
                <w:szCs w:val="13"/>
                <w:color w:val="auto"/>
              </w:rPr>
            </w:pPr>
          </w:p>
        </w:tc>
        <w:tc>
          <w:tcPr>
            <w:tcW w:w="120" w:type="dxa"/>
            <w:vAlign w:val="bottom"/>
            <w:gridSpan w:val="2"/>
          </w:tcPr>
          <w:p>
            <w:pPr>
              <w:spacing w:after="0"/>
              <w:rPr>
                <w:sz w:val="13"/>
                <w:szCs w:val="13"/>
                <w:color w:val="auto"/>
              </w:rPr>
            </w:pPr>
          </w:p>
        </w:tc>
        <w:tc>
          <w:tcPr>
            <w:tcW w:w="460" w:type="dxa"/>
            <w:vAlign w:val="bottom"/>
            <w:gridSpan w:val="5"/>
          </w:tcPr>
          <w:p>
            <w:pPr>
              <w:spacing w:after="0"/>
              <w:rPr>
                <w:sz w:val="13"/>
                <w:szCs w:val="13"/>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10.20**</w:t>
            </w:r>
          </w:p>
        </w:tc>
        <w:tc>
          <w:tcPr>
            <w:tcW w:w="5340" w:type="dxa"/>
            <w:vAlign w:val="bottom"/>
            <w:gridSpan w:val="29"/>
          </w:tcPr>
          <w:p>
            <w:pPr>
              <w:spacing w:after="0"/>
              <w:rPr>
                <w:rFonts w:ascii="Arial" w:cs="Arial" w:eastAsia="Arial" w:hAnsi="Arial"/>
                <w:sz w:val="18"/>
                <w:szCs w:val="18"/>
                <w:color w:val="0000FF"/>
              </w:rPr>
            </w:pPr>
            <w:hyperlink r:id="rId449">
              <w:r>
                <w:rPr>
                  <w:rFonts w:ascii="Arial" w:cs="Arial" w:eastAsia="Arial" w:hAnsi="Arial"/>
                  <w:sz w:val="18"/>
                  <w:szCs w:val="18"/>
                  <w:color w:val="0000FF"/>
                </w:rPr>
                <w:t>Change in Control and Severance Agreement between the</w:t>
              </w:r>
            </w:hyperlink>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EE"/>
            </w:tcBorders>
            <w:gridSpan w:val="20"/>
          </w:tcPr>
          <w:p>
            <w:pPr>
              <w:spacing w:after="0" w:line="156" w:lineRule="exact"/>
              <w:rPr>
                <w:rFonts w:ascii="Arial" w:cs="Arial" w:eastAsia="Arial" w:hAnsi="Arial"/>
                <w:sz w:val="18"/>
                <w:szCs w:val="18"/>
                <w:color w:val="0000FF"/>
              </w:rPr>
            </w:pPr>
            <w:hyperlink r:id="rId449">
              <w:r>
                <w:rPr>
                  <w:rFonts w:ascii="Arial" w:cs="Arial" w:eastAsia="Arial" w:hAnsi="Arial"/>
                  <w:sz w:val="18"/>
                  <w:szCs w:val="18"/>
                  <w:color w:val="0000FF"/>
                </w:rPr>
                <w:t>Registrant and Hans Moebius, Ph.D.</w:t>
              </w:r>
            </w:hyperlink>
          </w:p>
        </w:tc>
        <w:tc>
          <w:tcPr>
            <w:tcW w:w="140" w:type="dxa"/>
            <w:vAlign w:val="bottom"/>
            <w:gridSpan w:val="3"/>
          </w:tcPr>
          <w:p>
            <w:pPr>
              <w:spacing w:after="0"/>
              <w:rPr>
                <w:sz w:val="13"/>
                <w:szCs w:val="13"/>
                <w:color w:val="auto"/>
              </w:rPr>
            </w:pPr>
          </w:p>
        </w:tc>
        <w:tc>
          <w:tcPr>
            <w:tcW w:w="460" w:type="dxa"/>
            <w:vAlign w:val="bottom"/>
            <w:gridSpan w:val="5"/>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8"/>
                <w:szCs w:val="18"/>
                <w:color w:val="auto"/>
              </w:rPr>
              <w:t>10.21**</w:t>
            </w:r>
          </w:p>
        </w:tc>
        <w:tc>
          <w:tcPr>
            <w:tcW w:w="5340" w:type="dxa"/>
            <w:vAlign w:val="bottom"/>
            <w:gridSpan w:val="29"/>
          </w:tcPr>
          <w:p>
            <w:pPr>
              <w:spacing w:after="0"/>
              <w:rPr>
                <w:rFonts w:ascii="Arial" w:cs="Arial" w:eastAsia="Arial" w:hAnsi="Arial"/>
                <w:sz w:val="18"/>
                <w:szCs w:val="18"/>
                <w:color w:val="0000FF"/>
              </w:rPr>
            </w:pPr>
            <w:hyperlink r:id="rId450">
              <w:r>
                <w:rPr>
                  <w:rFonts w:ascii="Arial" w:cs="Arial" w:eastAsia="Arial" w:hAnsi="Arial"/>
                  <w:sz w:val="18"/>
                  <w:szCs w:val="18"/>
                  <w:color w:val="0000FF"/>
                </w:rPr>
                <w:t>Employment Offer Letter between the Registrant and Rachel</w:t>
              </w:r>
            </w:hyperlink>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FF"/>
                <w:w w:val="96"/>
              </w:rPr>
            </w:pPr>
            <w:hyperlink r:id="rId450">
              <w:r>
                <w:rPr>
                  <w:rFonts w:ascii="Arial" w:cs="Arial" w:eastAsia="Arial" w:hAnsi="Arial"/>
                  <w:sz w:val="18"/>
                  <w:szCs w:val="18"/>
                  <w:color w:val="0000FF"/>
                  <w:w w:val="96"/>
                </w:rPr>
                <w:t>Lenington</w:t>
              </w:r>
            </w:hyperlink>
          </w:p>
        </w:tc>
        <w:tc>
          <w:tcPr>
            <w:tcW w:w="4080" w:type="dxa"/>
            <w:vAlign w:val="bottom"/>
            <w:tcBorders>
              <w:top w:val="single" w:sz="8" w:color="0000EE"/>
            </w:tcBorders>
            <w:gridSpan w:val="21"/>
          </w:tcPr>
          <w:p>
            <w:pPr>
              <w:spacing w:after="0"/>
              <w:rPr>
                <w:sz w:val="13"/>
                <w:szCs w:val="13"/>
                <w:color w:val="auto"/>
              </w:rPr>
            </w:pPr>
          </w:p>
        </w:tc>
        <w:tc>
          <w:tcPr>
            <w:tcW w:w="460" w:type="dxa"/>
            <w:vAlign w:val="bottom"/>
            <w:gridSpan w:val="5"/>
          </w:tcPr>
          <w:p>
            <w:pPr>
              <w:spacing w:after="0"/>
              <w:rPr>
                <w:sz w:val="13"/>
                <w:szCs w:val="13"/>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rPr>
              <w:t>10.22**</w:t>
            </w:r>
          </w:p>
        </w:tc>
        <w:tc>
          <w:tcPr>
            <w:tcW w:w="5340" w:type="dxa"/>
            <w:vAlign w:val="bottom"/>
            <w:gridSpan w:val="29"/>
          </w:tcPr>
          <w:p>
            <w:pPr>
              <w:spacing w:after="0"/>
              <w:rPr>
                <w:rFonts w:ascii="Arial" w:cs="Arial" w:eastAsia="Arial" w:hAnsi="Arial"/>
                <w:sz w:val="18"/>
                <w:szCs w:val="18"/>
                <w:color w:val="0000FF"/>
              </w:rPr>
            </w:pPr>
            <w:hyperlink r:id="rId451">
              <w:r>
                <w:rPr>
                  <w:rFonts w:ascii="Arial" w:cs="Arial" w:eastAsia="Arial" w:hAnsi="Arial"/>
                  <w:sz w:val="18"/>
                  <w:szCs w:val="18"/>
                  <w:color w:val="0000FF"/>
                </w:rPr>
                <w:t>Change in Control and Severance Agreement between the</w:t>
              </w:r>
            </w:hyperlink>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EE"/>
            </w:tcBorders>
            <w:gridSpan w:val="20"/>
          </w:tcPr>
          <w:p>
            <w:pPr>
              <w:spacing w:after="0" w:line="156" w:lineRule="exact"/>
              <w:rPr>
                <w:rFonts w:ascii="Arial" w:cs="Arial" w:eastAsia="Arial" w:hAnsi="Arial"/>
                <w:sz w:val="18"/>
                <w:szCs w:val="18"/>
                <w:color w:val="0000FF"/>
              </w:rPr>
            </w:pPr>
            <w:hyperlink r:id="rId451">
              <w:r>
                <w:rPr>
                  <w:rFonts w:ascii="Arial" w:cs="Arial" w:eastAsia="Arial" w:hAnsi="Arial"/>
                  <w:sz w:val="18"/>
                  <w:szCs w:val="18"/>
                  <w:color w:val="0000FF"/>
                </w:rPr>
                <w:t>Registrant and Rachel Lenington</w:t>
              </w:r>
            </w:hyperlink>
          </w:p>
        </w:tc>
        <w:tc>
          <w:tcPr>
            <w:tcW w:w="600" w:type="dxa"/>
            <w:vAlign w:val="bottom"/>
            <w:gridSpan w:val="8"/>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8"/>
                <w:szCs w:val="18"/>
                <w:color w:val="auto"/>
              </w:rPr>
              <w:t>10.23**</w:t>
            </w:r>
          </w:p>
        </w:tc>
        <w:tc>
          <w:tcPr>
            <w:tcW w:w="5340" w:type="dxa"/>
            <w:vAlign w:val="bottom"/>
            <w:gridSpan w:val="29"/>
          </w:tcPr>
          <w:p>
            <w:pPr>
              <w:spacing w:after="0"/>
              <w:rPr>
                <w:rFonts w:ascii="Arial" w:cs="Arial" w:eastAsia="Arial" w:hAnsi="Arial"/>
                <w:sz w:val="18"/>
                <w:szCs w:val="18"/>
                <w:color w:val="0000FF"/>
              </w:rPr>
            </w:pPr>
            <w:hyperlink r:id="rId452">
              <w:r>
                <w:rPr>
                  <w:rFonts w:ascii="Arial" w:cs="Arial" w:eastAsia="Arial" w:hAnsi="Arial"/>
                  <w:sz w:val="18"/>
                  <w:szCs w:val="18"/>
                  <w:color w:val="0000FF"/>
                </w:rPr>
                <w:t>Employment Offer Letter between the Registrant and Mark</w:t>
              </w:r>
            </w:hyperlink>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FF"/>
                <w:w w:val="96"/>
              </w:rPr>
            </w:pPr>
            <w:hyperlink r:id="rId452">
              <w:r>
                <w:rPr>
                  <w:rFonts w:ascii="Arial" w:cs="Arial" w:eastAsia="Arial" w:hAnsi="Arial"/>
                  <w:sz w:val="18"/>
                  <w:szCs w:val="18"/>
                  <w:color w:val="0000FF"/>
                  <w:w w:val="96"/>
                </w:rPr>
                <w:t>Worthington</w:t>
              </w:r>
            </w:hyperlink>
          </w:p>
        </w:tc>
        <w:tc>
          <w:tcPr>
            <w:tcW w:w="3740" w:type="dxa"/>
            <w:vAlign w:val="bottom"/>
            <w:tcBorders>
              <w:top w:val="single" w:sz="8" w:color="0000EE"/>
            </w:tcBorders>
            <w:gridSpan w:val="16"/>
          </w:tcPr>
          <w:p>
            <w:pPr>
              <w:spacing w:after="0"/>
              <w:rPr>
                <w:sz w:val="13"/>
                <w:szCs w:val="13"/>
                <w:color w:val="auto"/>
              </w:rPr>
            </w:pPr>
          </w:p>
        </w:tc>
        <w:tc>
          <w:tcPr>
            <w:tcW w:w="620" w:type="dxa"/>
            <w:vAlign w:val="bottom"/>
            <w:gridSpan w:val="9"/>
          </w:tcPr>
          <w:p>
            <w:pPr>
              <w:spacing w:after="0"/>
              <w:rPr>
                <w:sz w:val="13"/>
                <w:szCs w:val="13"/>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8"/>
                <w:szCs w:val="18"/>
                <w:color w:val="auto"/>
              </w:rPr>
              <w:t>10.24**</w:t>
            </w:r>
          </w:p>
        </w:tc>
        <w:tc>
          <w:tcPr>
            <w:tcW w:w="5340" w:type="dxa"/>
            <w:vAlign w:val="bottom"/>
            <w:gridSpan w:val="29"/>
          </w:tcPr>
          <w:p>
            <w:pPr>
              <w:spacing w:after="0"/>
              <w:rPr>
                <w:rFonts w:ascii="Arial" w:cs="Arial" w:eastAsia="Arial" w:hAnsi="Arial"/>
                <w:sz w:val="18"/>
                <w:szCs w:val="18"/>
                <w:color w:val="0000FF"/>
              </w:rPr>
            </w:pPr>
            <w:hyperlink r:id="rId453">
              <w:r>
                <w:rPr>
                  <w:rFonts w:ascii="Arial" w:cs="Arial" w:eastAsia="Arial" w:hAnsi="Arial"/>
                  <w:sz w:val="18"/>
                  <w:szCs w:val="18"/>
                  <w:color w:val="0000FF"/>
                </w:rPr>
                <w:t>Change in Control and Severance Agreement between the</w:t>
              </w:r>
            </w:hyperlink>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EE"/>
            </w:tcBorders>
            <w:gridSpan w:val="20"/>
          </w:tcPr>
          <w:p>
            <w:pPr>
              <w:spacing w:after="0" w:line="156" w:lineRule="exact"/>
              <w:rPr>
                <w:rFonts w:ascii="Arial" w:cs="Arial" w:eastAsia="Arial" w:hAnsi="Arial"/>
                <w:sz w:val="18"/>
                <w:szCs w:val="18"/>
                <w:color w:val="0000FF"/>
              </w:rPr>
            </w:pPr>
            <w:hyperlink r:id="rId453">
              <w:r>
                <w:rPr>
                  <w:rFonts w:ascii="Arial" w:cs="Arial" w:eastAsia="Arial" w:hAnsi="Arial"/>
                  <w:sz w:val="18"/>
                  <w:szCs w:val="18"/>
                  <w:color w:val="0000FF"/>
                </w:rPr>
                <w:t>Registrant and Mark Worthington</w:t>
              </w:r>
            </w:hyperlink>
          </w:p>
        </w:tc>
        <w:tc>
          <w:tcPr>
            <w:tcW w:w="600" w:type="dxa"/>
            <w:vAlign w:val="bottom"/>
            <w:gridSpan w:val="8"/>
          </w:tcPr>
          <w:p>
            <w:pPr>
              <w:spacing w:after="0"/>
              <w:rPr>
                <w:sz w:val="13"/>
                <w:szCs w:val="13"/>
                <w:color w:val="auto"/>
              </w:rPr>
            </w:pPr>
          </w:p>
        </w:tc>
      </w:tr>
      <w:tr>
        <w:trPr>
          <w:trHeight w:val="753"/>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Borders>
              <w:top w:val="single" w:sz="8" w:color="0000EE"/>
            </w:tcBorders>
            <w:gridSpan w:val="12"/>
          </w:tcPr>
          <w:p>
            <w:pPr>
              <w:spacing w:after="0"/>
              <w:rPr>
                <w:sz w:val="24"/>
                <w:szCs w:val="24"/>
                <w:color w:val="auto"/>
              </w:rPr>
            </w:pPr>
          </w:p>
        </w:tc>
        <w:tc>
          <w:tcPr>
            <w:tcW w:w="1980" w:type="dxa"/>
            <w:vAlign w:val="bottom"/>
            <w:gridSpan w:val="5"/>
          </w:tcPr>
          <w:p>
            <w:pPr>
              <w:jc w:val="right"/>
              <w:ind w:right="2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45085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26, 2020</w:t>
            </w:r>
          </w:p>
        </w:tc>
      </w:tr>
      <w:tr>
        <w:trPr>
          <w:trHeight w:val="837"/>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10.10</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rPr>
              <w:t>January 31, 2022</w:t>
            </w:r>
          </w:p>
        </w:tc>
      </w:tr>
      <w:tr>
        <w:trPr>
          <w:trHeight w:val="311"/>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10.13</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310"/>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10.14</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10.15</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10.16</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10.17</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10.18</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rPr>
              <w:t>January 31, 2022</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10.20</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10.21</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14, 2020</w:t>
            </w:r>
          </w:p>
        </w:tc>
      </w:tr>
      <w:tr>
        <w:trPr>
          <w:trHeight w:val="486"/>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10.22</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14, 2020</w:t>
            </w:r>
          </w:p>
        </w:tc>
      </w:tr>
      <w:tr>
        <w:trPr>
          <w:trHeight w:val="48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48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48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48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bl>
    <w:p>
      <w:pPr>
        <w:sectPr>
          <w:pgSz w:w="11900" w:h="16838" w:orient="portrait"/>
          <w:cols w:equalWidth="0" w:num="2">
            <w:col w:w="6500" w:space="280"/>
            <w:col w:w="4400"/>
          </w:cols>
          <w:pgMar w:left="340" w:top="108" w:right="37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10.25</w:t>
            </w:r>
          </w:p>
        </w:tc>
        <w:tc>
          <w:tcPr>
            <w:tcW w:w="5340" w:type="dxa"/>
            <w:vAlign w:val="bottom"/>
            <w:gridSpan w:val="23"/>
          </w:tcPr>
          <w:p>
            <w:pPr>
              <w:spacing w:after="0"/>
              <w:rPr>
                <w:rFonts w:ascii="Arial" w:cs="Arial" w:eastAsia="Arial" w:hAnsi="Arial"/>
                <w:sz w:val="18"/>
                <w:szCs w:val="18"/>
                <w:color w:val="0000FF"/>
              </w:rPr>
            </w:pPr>
            <w:hyperlink r:id="rId455">
              <w:r>
                <w:rPr>
                  <w:rFonts w:ascii="Arial" w:cs="Arial" w:eastAsia="Arial" w:hAnsi="Arial"/>
                  <w:sz w:val="18"/>
                  <w:szCs w:val="18"/>
                  <w:color w:val="0000FF"/>
                </w:rPr>
                <w:t>First Amendment to Lease by and between the Registrant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EE"/>
            </w:tcBorders>
            <w:gridSpan w:val="14"/>
          </w:tcPr>
          <w:p>
            <w:pPr>
              <w:spacing w:after="0" w:line="156" w:lineRule="exact"/>
              <w:rPr>
                <w:rFonts w:ascii="Arial" w:cs="Arial" w:eastAsia="Arial" w:hAnsi="Arial"/>
                <w:sz w:val="18"/>
                <w:szCs w:val="18"/>
                <w:color w:val="0000FF"/>
              </w:rPr>
            </w:pPr>
            <w:hyperlink r:id="rId455">
              <w:r>
                <w:rPr>
                  <w:rFonts w:ascii="Arial" w:cs="Arial" w:eastAsia="Arial" w:hAnsi="Arial"/>
                  <w:sz w:val="18"/>
                  <w:szCs w:val="18"/>
                  <w:color w:val="0000FF"/>
                </w:rPr>
                <w:t>Nitrogen Propco 2020, L.P., as successor-in-interest to North</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72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FF"/>
                <w:w w:val="98"/>
              </w:rPr>
            </w:pPr>
            <w:hyperlink r:id="rId455">
              <w:r>
                <w:rPr>
                  <w:rFonts w:ascii="Arial" w:cs="Arial" w:eastAsia="Arial" w:hAnsi="Arial"/>
                  <w:sz w:val="18"/>
                  <w:szCs w:val="18"/>
                  <w:color w:val="0000FF"/>
                  <w:w w:val="98"/>
                </w:rPr>
                <w:t>Creek Parkway Center Investors, L.P., dated June 28, 2021</w:t>
              </w:r>
            </w:hyperlink>
          </w:p>
        </w:tc>
        <w:tc>
          <w:tcPr>
            <w:tcW w:w="160" w:type="dxa"/>
            <w:vAlign w:val="bottom"/>
            <w:tcBorders>
              <w:top w:val="single" w:sz="8" w:color="0000EE"/>
            </w:tcBorders>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rPr>
              <w:t>10.26**</w:t>
            </w:r>
          </w:p>
        </w:tc>
        <w:tc>
          <w:tcPr>
            <w:tcW w:w="5340" w:type="dxa"/>
            <w:vAlign w:val="bottom"/>
            <w:gridSpan w:val="23"/>
          </w:tcPr>
          <w:p>
            <w:pPr>
              <w:spacing w:after="0"/>
              <w:rPr>
                <w:rFonts w:ascii="Arial" w:cs="Arial" w:eastAsia="Arial" w:hAnsi="Arial"/>
                <w:sz w:val="18"/>
                <w:szCs w:val="18"/>
                <w:color w:val="0000FF"/>
              </w:rPr>
            </w:pPr>
            <w:hyperlink r:id="rId456">
              <w:r>
                <w:rPr>
                  <w:rFonts w:ascii="Arial" w:cs="Arial" w:eastAsia="Arial" w:hAnsi="Arial"/>
                  <w:sz w:val="18"/>
                  <w:szCs w:val="18"/>
                  <w:color w:val="0000FF"/>
                </w:rPr>
                <w:t>Separation Agreement dated October 18, 2021 between the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2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FF"/>
                <w:w w:val="98"/>
              </w:rPr>
            </w:pPr>
            <w:hyperlink r:id="rId456">
              <w:r>
                <w:rPr>
                  <w:rFonts w:ascii="Arial" w:cs="Arial" w:eastAsia="Arial" w:hAnsi="Arial"/>
                  <w:sz w:val="18"/>
                  <w:szCs w:val="18"/>
                  <w:color w:val="0000FF"/>
                  <w:w w:val="98"/>
                </w:rPr>
                <w:t>Registrant and Leen Kawas</w:t>
              </w:r>
            </w:hyperlink>
          </w:p>
        </w:tc>
        <w:tc>
          <w:tcPr>
            <w:tcW w:w="2600" w:type="dxa"/>
            <w:vAlign w:val="bottom"/>
            <w:tcBorders>
              <w:top w:val="single" w:sz="8" w:color="0000EE"/>
            </w:tcBorders>
            <w:gridSpan w:val="8"/>
          </w:tcPr>
          <w:p>
            <w:pPr>
              <w:spacing w:after="0"/>
              <w:rPr>
                <w:sz w:val="13"/>
                <w:szCs w:val="13"/>
                <w:color w:val="auto"/>
              </w:rPr>
            </w:pPr>
          </w:p>
        </w:tc>
        <w:tc>
          <w:tcPr>
            <w:tcW w:w="2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rPr>
              <w:t>10.27**</w:t>
            </w:r>
          </w:p>
        </w:tc>
        <w:tc>
          <w:tcPr>
            <w:tcW w:w="5340" w:type="dxa"/>
            <w:vAlign w:val="bottom"/>
            <w:gridSpan w:val="23"/>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Amendment to Employment Agreement between the Registrant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FF"/>
                <w:w w:val="98"/>
              </w:rPr>
            </w:pPr>
            <w:hyperlink w:anchor="page169">
              <w:r>
                <w:rPr>
                  <w:rFonts w:ascii="Arial" w:cs="Arial" w:eastAsia="Arial" w:hAnsi="Arial"/>
                  <w:sz w:val="18"/>
                  <w:szCs w:val="18"/>
                  <w:color w:val="0000FF"/>
                  <w:w w:val="98"/>
                </w:rPr>
                <w:t>and Hans Moebius, Ph.D.</w:t>
              </w:r>
            </w:hyperlink>
          </w:p>
        </w:tc>
        <w:tc>
          <w:tcPr>
            <w:tcW w:w="3040" w:type="dxa"/>
            <w:vAlign w:val="bottom"/>
            <w:tcBorders>
              <w:top w:val="single" w:sz="8" w:color="0000EE"/>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rPr>
              <w:t>10.28**</w:t>
            </w:r>
          </w:p>
        </w:tc>
        <w:tc>
          <w:tcPr>
            <w:tcW w:w="5340" w:type="dxa"/>
            <w:vAlign w:val="bottom"/>
            <w:gridSpan w:val="23"/>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Change in Control and Severance Agreement between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EE"/>
            </w:tcBorders>
            <w:gridSpan w:val="10"/>
          </w:tcPr>
          <w:p>
            <w:pPr>
              <w:spacing w:after="0" w:line="156" w:lineRule="exact"/>
              <w:rPr>
                <w:rFonts w:ascii="Arial" w:cs="Arial" w:eastAsia="Arial" w:hAnsi="Arial"/>
                <w:sz w:val="18"/>
                <w:szCs w:val="18"/>
                <w:color w:val="0000FF"/>
              </w:rPr>
            </w:pPr>
            <w:hyperlink w:anchor="page171">
              <w:r>
                <w:rPr>
                  <w:rFonts w:ascii="Arial" w:cs="Arial" w:eastAsia="Arial" w:hAnsi="Arial"/>
                  <w:sz w:val="18"/>
                  <w:szCs w:val="18"/>
                  <w:color w:val="0000FF"/>
                </w:rPr>
                <w:t>Registrant and Kevin Church</w:t>
              </w:r>
            </w:hyperlink>
          </w:p>
        </w:tc>
        <w:tc>
          <w:tcPr>
            <w:tcW w:w="20" w:type="dxa"/>
            <w:vAlign w:val="bottom"/>
          </w:tcPr>
          <w:p>
            <w:pPr>
              <w:spacing w:after="0"/>
              <w:rPr>
                <w:sz w:val="13"/>
                <w:szCs w:val="13"/>
                <w:color w:val="auto"/>
              </w:rPr>
            </w:pPr>
          </w:p>
        </w:tc>
        <w:tc>
          <w:tcPr>
            <w:tcW w:w="4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21.1</w:t>
            </w:r>
          </w:p>
        </w:tc>
        <w:tc>
          <w:tcPr>
            <w:tcW w:w="2860" w:type="dxa"/>
            <w:vAlign w:val="bottom"/>
            <w:tcBorders>
              <w:bottom w:val="single" w:sz="8" w:color="0000EE"/>
            </w:tcBorders>
            <w:gridSpan w:val="8"/>
          </w:tcPr>
          <w:p>
            <w:pPr>
              <w:spacing w:after="0"/>
              <w:rPr>
                <w:rFonts w:ascii="Arial" w:cs="Arial" w:eastAsia="Arial" w:hAnsi="Arial"/>
                <w:sz w:val="18"/>
                <w:szCs w:val="18"/>
                <w:color w:val="0000FF"/>
                <w:w w:val="99"/>
              </w:rPr>
            </w:pPr>
            <w:hyperlink r:id="rId457">
              <w:r>
                <w:rPr>
                  <w:rFonts w:ascii="Arial" w:cs="Arial" w:eastAsia="Arial" w:hAnsi="Arial"/>
                  <w:sz w:val="18"/>
                  <w:szCs w:val="18"/>
                  <w:color w:val="0000FF"/>
                  <w:w w:val="99"/>
                </w:rPr>
                <w:t>List of subsidiaries of the Registrant</w:t>
              </w:r>
            </w:hyperlink>
          </w:p>
        </w:tc>
        <w:tc>
          <w:tcPr>
            <w:tcW w:w="24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23.1</w:t>
            </w:r>
          </w:p>
        </w:tc>
        <w:tc>
          <w:tcPr>
            <w:tcW w:w="4740" w:type="dxa"/>
            <w:vAlign w:val="bottom"/>
            <w:tcBorders>
              <w:bottom w:val="single" w:sz="8" w:color="0000EE"/>
            </w:tcBorders>
            <w:gridSpan w:val="12"/>
          </w:tcPr>
          <w:p>
            <w:pPr>
              <w:spacing w:after="0"/>
              <w:rPr>
                <w:rFonts w:ascii="Arial" w:cs="Arial" w:eastAsia="Arial" w:hAnsi="Arial"/>
                <w:sz w:val="18"/>
                <w:szCs w:val="18"/>
                <w:color w:val="0000FF"/>
                <w:w w:val="99"/>
              </w:rPr>
            </w:pPr>
            <w:hyperlink w:anchor="page183">
              <w:r>
                <w:rPr>
                  <w:rFonts w:ascii="Arial" w:cs="Arial" w:eastAsia="Arial" w:hAnsi="Arial"/>
                  <w:sz w:val="18"/>
                  <w:szCs w:val="18"/>
                  <w:color w:val="0000FF"/>
                  <w:w w:val="99"/>
                </w:rPr>
                <w:t>Consent of Independent Registered Public Accounting Firm</w:t>
              </w:r>
            </w:hyperlink>
          </w:p>
        </w:tc>
        <w:tc>
          <w:tcPr>
            <w:tcW w:w="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24.1</w:t>
            </w:r>
          </w:p>
        </w:tc>
        <w:tc>
          <w:tcPr>
            <w:tcW w:w="4360" w:type="dxa"/>
            <w:vAlign w:val="bottom"/>
            <w:tcBorders>
              <w:bottom w:val="single" w:sz="8" w:color="0000EE"/>
            </w:tcBorders>
            <w:gridSpan w:val="9"/>
          </w:tcPr>
          <w:p>
            <w:pPr>
              <w:spacing w:after="0"/>
              <w:rPr>
                <w:rFonts w:ascii="Arial" w:cs="Arial" w:eastAsia="Arial" w:hAnsi="Arial"/>
                <w:sz w:val="18"/>
                <w:szCs w:val="18"/>
                <w:color w:val="0000FF"/>
                <w:w w:val="99"/>
              </w:rPr>
            </w:pPr>
            <w:hyperlink w:anchor="page168">
              <w:r>
                <w:rPr>
                  <w:rFonts w:ascii="Arial" w:cs="Arial" w:eastAsia="Arial" w:hAnsi="Arial"/>
                  <w:sz w:val="18"/>
                  <w:szCs w:val="18"/>
                  <w:color w:val="0000FF"/>
                  <w:w w:val="99"/>
                </w:rPr>
                <w:t>Power of Attorney (included in signature pages hereto)</w:t>
              </w:r>
            </w:hyperlink>
          </w:p>
        </w:tc>
        <w:tc>
          <w:tcPr>
            <w:tcW w:w="9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5340" w:type="dxa"/>
            <w:vAlign w:val="bottom"/>
            <w:gridSpan w:val="23"/>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Certification of Principal Executive Officer Pursuant to Rules 13a-</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5200" w:type="dxa"/>
            <w:vAlign w:val="bottom"/>
            <w:tcBorders>
              <w:top w:val="single" w:sz="8" w:color="0000EE"/>
            </w:tcBorders>
            <w:gridSpan w:val="18"/>
          </w:tcPr>
          <w:p>
            <w:pPr>
              <w:spacing w:after="0" w:line="156" w:lineRule="exact"/>
              <w:rPr>
                <w:rFonts w:ascii="Arial" w:cs="Arial" w:eastAsia="Arial" w:hAnsi="Arial"/>
                <w:sz w:val="18"/>
                <w:szCs w:val="18"/>
                <w:color w:val="0000FF"/>
              </w:rPr>
            </w:pPr>
            <w:hyperlink w:anchor="page184">
              <w:r>
                <w:rPr>
                  <w:rFonts w:ascii="Arial" w:cs="Arial" w:eastAsia="Arial" w:hAnsi="Arial"/>
                  <w:sz w:val="18"/>
                  <w:szCs w:val="18"/>
                  <w:color w:val="0000FF"/>
                </w:rPr>
                <w:t>14(a) and 15d-14(a) under the Securities Exchange Act of 1934,</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gridSpan w:val="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320" w:type="dxa"/>
            <w:vAlign w:val="bottom"/>
            <w:gridSpan w:val="22"/>
          </w:tcPr>
          <w:p>
            <w:pPr>
              <w:spacing w:after="0" w:line="156" w:lineRule="exact"/>
              <w:rPr>
                <w:rFonts w:ascii="Arial" w:cs="Arial" w:eastAsia="Arial" w:hAnsi="Arial"/>
                <w:sz w:val="18"/>
                <w:szCs w:val="18"/>
                <w:color w:val="0000FF"/>
              </w:rPr>
            </w:pPr>
            <w:hyperlink w:anchor="page184">
              <w:r>
                <w:rPr>
                  <w:rFonts w:ascii="Arial" w:cs="Arial" w:eastAsia="Arial" w:hAnsi="Arial"/>
                  <w:sz w:val="18"/>
                  <w:szCs w:val="18"/>
                  <w:color w:val="0000FF"/>
                </w:rPr>
                <w:t>as Adopted Pursuant to Section 302 of the Sarbanes-Oxley Act of</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40" w:type="dxa"/>
            <w:vAlign w:val="bottom"/>
            <w:tcBorders>
              <w:top w:val="single" w:sz="8" w:color="0000EE"/>
              <w:bottom w:val="single" w:sz="8" w:color="0000EE"/>
            </w:tcBorders>
          </w:tcPr>
          <w:p>
            <w:pPr>
              <w:spacing w:after="0" w:line="156" w:lineRule="exact"/>
              <w:rPr>
                <w:rFonts w:ascii="Arial" w:cs="Arial" w:eastAsia="Arial" w:hAnsi="Arial"/>
                <w:sz w:val="18"/>
                <w:szCs w:val="18"/>
                <w:color w:val="0000FF"/>
                <w:w w:val="93"/>
              </w:rPr>
            </w:pPr>
            <w:hyperlink w:anchor="page184">
              <w:r>
                <w:rPr>
                  <w:rFonts w:ascii="Arial" w:cs="Arial" w:eastAsia="Arial" w:hAnsi="Arial"/>
                  <w:sz w:val="18"/>
                  <w:szCs w:val="18"/>
                  <w:color w:val="0000FF"/>
                  <w:w w:val="93"/>
                </w:rPr>
                <w:t>2002.</w:t>
              </w:r>
            </w:hyperlink>
          </w:p>
        </w:tc>
        <w:tc>
          <w:tcPr>
            <w:tcW w:w="102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50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5340" w:type="dxa"/>
            <w:vAlign w:val="bottom"/>
            <w:gridSpan w:val="23"/>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Certification of Principal Accounting and Financial Officer Pursuant</w:t>
              </w:r>
            </w:hyperlink>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20" w:type="dxa"/>
            <w:vAlign w:val="bottom"/>
            <w:tcBorders>
              <w:top w:val="single" w:sz="8" w:color="0000EE"/>
            </w:tcBorders>
            <w:gridSpan w:val="22"/>
          </w:tcPr>
          <w:p>
            <w:pPr>
              <w:spacing w:after="0" w:line="142" w:lineRule="exact"/>
              <w:rPr>
                <w:rFonts w:ascii="Arial" w:cs="Arial" w:eastAsia="Arial" w:hAnsi="Arial"/>
                <w:sz w:val="16"/>
                <w:szCs w:val="16"/>
                <w:color w:val="0000FF"/>
              </w:rPr>
            </w:pPr>
            <w:hyperlink w:anchor="page186">
              <w:r>
                <w:rPr>
                  <w:rFonts w:ascii="Arial" w:cs="Arial" w:eastAsia="Arial" w:hAnsi="Arial"/>
                  <w:sz w:val="16"/>
                  <w:szCs w:val="16"/>
                  <w:color w:val="0000FF"/>
                </w:rPr>
                <w:t>to Rules 13a-14(a) and 15d-14(a) under the Securities Exchange</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EE"/>
            </w:tcBorders>
            <w:gridSpan w:val="18"/>
          </w:tcPr>
          <w:p>
            <w:pPr>
              <w:spacing w:after="0" w:line="162" w:lineRule="exact"/>
              <w:rPr>
                <w:rFonts w:ascii="Arial" w:cs="Arial" w:eastAsia="Arial" w:hAnsi="Arial"/>
                <w:sz w:val="18"/>
                <w:szCs w:val="18"/>
                <w:color w:val="0000FF"/>
                <w:w w:val="99"/>
              </w:rPr>
            </w:pPr>
            <w:hyperlink w:anchor="page186">
              <w:r>
                <w:rPr>
                  <w:rFonts w:ascii="Arial" w:cs="Arial" w:eastAsia="Arial" w:hAnsi="Arial"/>
                  <w:sz w:val="18"/>
                  <w:szCs w:val="18"/>
                  <w:color w:val="0000FF"/>
                  <w:w w:val="99"/>
                </w:rPr>
                <w:t>Act of 1934, as Adopted Pursuant to Section 302 of the Sarbanes</w:t>
              </w:r>
            </w:hyperlink>
          </w:p>
        </w:tc>
        <w:tc>
          <w:tcPr>
            <w:tcW w:w="100" w:type="dxa"/>
            <w:vAlign w:val="bottom"/>
            <w:gridSpan w:val="3"/>
          </w:tcPr>
          <w:p>
            <w:pPr>
              <w:jc w:val="right"/>
              <w:ind w:right="40"/>
              <w:spacing w:after="0" w:line="162" w:lineRule="exact"/>
              <w:rPr>
                <w:rFonts w:ascii="Arial" w:cs="Arial" w:eastAsia="Arial" w:hAnsi="Arial"/>
                <w:sz w:val="16"/>
                <w:szCs w:val="16"/>
                <w:color w:val="0000FF"/>
                <w:w w:val="74"/>
              </w:rPr>
            </w:pPr>
            <w:hyperlink w:anchor="page186">
              <w:r>
                <w:rPr>
                  <w:rFonts w:ascii="Arial" w:cs="Arial" w:eastAsia="Arial" w:hAnsi="Arial"/>
                  <w:sz w:val="16"/>
                  <w:szCs w:val="16"/>
                  <w:color w:val="0000FF"/>
                  <w:w w:val="74"/>
                </w:rPr>
                <w: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4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FF"/>
                <w:w w:val="99"/>
              </w:rPr>
            </w:pPr>
            <w:hyperlink w:anchor="page186">
              <w:r>
                <w:rPr>
                  <w:rFonts w:ascii="Arial" w:cs="Arial" w:eastAsia="Arial" w:hAnsi="Arial"/>
                  <w:sz w:val="18"/>
                  <w:szCs w:val="18"/>
                  <w:color w:val="0000FF"/>
                  <w:w w:val="99"/>
                </w:rPr>
                <w:t>Oxley Act of 2002.</w:t>
              </w:r>
            </w:hyperlink>
          </w:p>
        </w:tc>
        <w:tc>
          <w:tcPr>
            <w:tcW w:w="3800" w:type="dxa"/>
            <w:vAlign w:val="bottom"/>
            <w:tcBorders>
              <w:top w:val="single" w:sz="8" w:color="0000EE"/>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5340" w:type="dxa"/>
            <w:vAlign w:val="bottom"/>
            <w:gridSpan w:val="23"/>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Certification of Principal Executive Officer Pursuant to 18 U.S.C.</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EE"/>
            </w:tcBorders>
            <w:gridSpan w:val="16"/>
          </w:tcPr>
          <w:p>
            <w:pPr>
              <w:spacing w:after="0" w:line="156" w:lineRule="exact"/>
              <w:rPr>
                <w:rFonts w:ascii="Arial" w:cs="Arial" w:eastAsia="Arial" w:hAnsi="Arial"/>
                <w:sz w:val="18"/>
                <w:szCs w:val="18"/>
                <w:color w:val="0000FF"/>
              </w:rPr>
            </w:pPr>
            <w:hyperlink w:anchor="page188">
              <w:r>
                <w:rPr>
                  <w:rFonts w:ascii="Arial" w:cs="Arial" w:eastAsia="Arial" w:hAnsi="Arial"/>
                  <w:sz w:val="18"/>
                  <w:szCs w:val="18"/>
                  <w:color w:val="0000FF"/>
                </w:rPr>
                <w:t>Section 1350, as Adopted Pursuant to Section 906 of the</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EE"/>
            </w:tcBorders>
            <w:gridSpan w:val="9"/>
          </w:tcPr>
          <w:p>
            <w:pPr>
              <w:spacing w:after="0" w:line="156" w:lineRule="exact"/>
              <w:rPr>
                <w:rFonts w:ascii="Arial" w:cs="Arial" w:eastAsia="Arial" w:hAnsi="Arial"/>
                <w:sz w:val="18"/>
                <w:szCs w:val="18"/>
                <w:color w:val="0000FF"/>
              </w:rPr>
            </w:pPr>
            <w:hyperlink w:anchor="page188">
              <w:r>
                <w:rPr>
                  <w:rFonts w:ascii="Arial" w:cs="Arial" w:eastAsia="Arial" w:hAnsi="Arial"/>
                  <w:sz w:val="18"/>
                  <w:szCs w:val="18"/>
                  <w:color w:val="0000FF"/>
                </w:rPr>
                <w:t>Sarbanes-Oxley Act of 2002.</w:t>
              </w:r>
            </w:hyperlink>
          </w:p>
        </w:tc>
        <w:tc>
          <w:tcPr>
            <w:tcW w:w="7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5340" w:type="dxa"/>
            <w:vAlign w:val="bottom"/>
            <w:gridSpan w:val="23"/>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Certification of Principal Accounting and Financial Officer Pursuant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EE"/>
            </w:tcBorders>
            <w:gridSpan w:val="22"/>
          </w:tcPr>
          <w:p>
            <w:pPr>
              <w:spacing w:after="0" w:line="156" w:lineRule="exact"/>
              <w:rPr>
                <w:rFonts w:ascii="Arial" w:cs="Arial" w:eastAsia="Arial" w:hAnsi="Arial"/>
                <w:sz w:val="18"/>
                <w:szCs w:val="18"/>
                <w:color w:val="0000FF"/>
              </w:rPr>
            </w:pPr>
            <w:hyperlink w:anchor="page189">
              <w:r>
                <w:rPr>
                  <w:rFonts w:ascii="Arial" w:cs="Arial" w:eastAsia="Arial" w:hAnsi="Arial"/>
                  <w:sz w:val="18"/>
                  <w:szCs w:val="18"/>
                  <w:color w:val="0000FF"/>
                </w:rPr>
                <w:t>to 18 U.S.C. Section 1350, as Adopted Pursuant to Section 906 of</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EE"/>
            </w:tcBorders>
            <w:gridSpan w:val="21"/>
          </w:tcPr>
          <w:p>
            <w:pPr>
              <w:spacing w:after="0" w:line="156" w:lineRule="exact"/>
              <w:rPr>
                <w:rFonts w:ascii="Arial" w:cs="Arial" w:eastAsia="Arial" w:hAnsi="Arial"/>
                <w:sz w:val="18"/>
                <w:szCs w:val="18"/>
                <w:color w:val="0000FF"/>
              </w:rPr>
            </w:pPr>
            <w:hyperlink w:anchor="page189">
              <w:r>
                <w:rPr>
                  <w:rFonts w:ascii="Arial" w:cs="Arial" w:eastAsia="Arial" w:hAnsi="Arial"/>
                  <w:sz w:val="18"/>
                  <w:szCs w:val="18"/>
                  <w:color w:val="0000FF"/>
                </w:rPr>
                <w:t>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26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Inline XBRL Instance Document</w:t>
            </w:r>
          </w:p>
        </w:tc>
        <w:tc>
          <w:tcPr>
            <w:tcW w:w="27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534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534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534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534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729"/>
        </w:trPr>
        <w:tc>
          <w:tcPr>
            <w:tcW w:w="1160" w:type="dxa"/>
            <w:vAlign w:val="bottom"/>
          </w:tcPr>
          <w:p>
            <w:pPr>
              <w:spacing w:after="0"/>
              <w:rPr>
                <w:sz w:val="24"/>
                <w:szCs w:val="24"/>
                <w:color w:val="auto"/>
              </w:rPr>
            </w:pPr>
          </w:p>
        </w:tc>
        <w:tc>
          <w:tcPr>
            <w:tcW w:w="4720" w:type="dxa"/>
            <w:vAlign w:val="bottom"/>
            <w:gridSpan w:val="11"/>
          </w:tcPr>
          <w:p>
            <w:pPr>
              <w:ind w:left="430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3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001-39503</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rPr>
              <w:t>August 16, 2021</w:t>
            </w:r>
          </w:p>
        </w:tc>
      </w:tr>
      <w:tr>
        <w:trPr>
          <w:trHeight w:val="661"/>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001-39503</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rPr>
              <w:t>October 21,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920" w:val="left"/>
          <w:tab w:leader="none" w:pos="2180" w:val="left"/>
          <w:tab w:leader="none" w:pos="280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333-24828</w:t>
      </w:r>
      <w:r>
        <w:rPr>
          <w:sz w:val="20"/>
          <w:szCs w:val="20"/>
          <w:color w:val="auto"/>
        </w:rPr>
        <w:tab/>
      </w: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September 9, 2020</w:t>
      </w:r>
    </w:p>
    <w:p>
      <w:pPr>
        <w:sectPr>
          <w:pgSz w:w="11900" w:h="16838" w:orient="portrait"/>
          <w:cols w:equalWidth="0" w:num="2">
            <w:col w:w="6500" w:space="280"/>
            <w:col w:w="4340"/>
          </w:cols>
          <w:pgMar w:left="340" w:top="108" w:right="439" w:bottom="1440" w:gutter="0" w:footer="0" w:header="0"/>
        </w:sectPr>
      </w:pPr>
    </w:p>
    <w:bookmarkStart w:id="166" w:name="page167"/>
    <w:bookmarkEnd w:id="166"/>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20"/>
              <w:spacing w:after="0"/>
              <w:rPr>
                <w:sz w:val="20"/>
                <w:szCs w:val="20"/>
                <w:color w:val="auto"/>
              </w:rPr>
            </w:pPr>
            <w:r>
              <w:rPr>
                <w:rFonts w:ascii="Arial" w:cs="Arial" w:eastAsia="Arial" w:hAnsi="Arial"/>
                <w:sz w:val="18"/>
                <w:szCs w:val="18"/>
                <w:color w:val="auto"/>
                <w:w w:val="99"/>
              </w:rPr>
              <w:t>Inline XBRL Taxonomy Extension Presentation Linkbase</w:t>
            </w:r>
          </w:p>
        </w:tc>
      </w:tr>
      <w:tr>
        <w:trPr>
          <w:trHeight w:val="239"/>
        </w:trPr>
        <w:tc>
          <w:tcPr>
            <w:tcW w:w="940" w:type="dxa"/>
            <w:vAlign w:val="bottom"/>
          </w:tcPr>
          <w:p>
            <w:pPr>
              <w:spacing w:after="0"/>
              <w:rPr>
                <w:sz w:val="20"/>
                <w:szCs w:val="20"/>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Document</w:t>
            </w:r>
          </w:p>
        </w:tc>
      </w:tr>
    </w:tbl>
    <w:p>
      <w:pPr>
        <w:spacing w:after="0" w:line="66" w:lineRule="exact"/>
        <w:rPr>
          <w:sz w:val="20"/>
          <w:szCs w:val="20"/>
          <w:color w:val="auto"/>
        </w:rPr>
      </w:pPr>
    </w:p>
    <w:p>
      <w:pPr>
        <w:ind w:left="1180" w:right="5040" w:hanging="1168"/>
        <w:spacing w:after="0"/>
        <w:tabs>
          <w:tab w:leader="none" w:pos="11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144" w:lineRule="exact"/>
        <w:rPr>
          <w:rFonts w:ascii="Arial" w:cs="Arial" w:eastAsia="Arial" w:hAnsi="Arial"/>
          <w:sz w:val="18"/>
          <w:szCs w:val="18"/>
          <w:color w:val="auto"/>
        </w:rPr>
      </w:pPr>
    </w:p>
    <w:p>
      <w:pPr>
        <w:ind w:left="320" w:hanging="509"/>
        <w:spacing w:after="0" w:line="250" w:lineRule="auto"/>
        <w:rPr>
          <w:rFonts w:ascii="Arial" w:cs="Arial" w:eastAsia="Arial" w:hAnsi="Arial"/>
          <w:sz w:val="18"/>
          <w:szCs w:val="18"/>
          <w:color w:val="auto"/>
        </w:rPr>
      </w:pPr>
      <w:r>
        <w:rPr>
          <w:rFonts w:ascii="Arial" w:cs="Arial" w:eastAsia="Arial" w:hAnsi="Arial"/>
          <w:sz w:val="19"/>
          <w:szCs w:val="19"/>
          <w:color w:val="auto"/>
          <w:vertAlign w:val="superscript"/>
        </w:rPr>
        <w:t>*</w:t>
      </w:r>
      <w:r>
        <w:rPr>
          <w:rFonts w:ascii="Arial" w:cs="Arial" w:eastAsia="Arial" w:hAnsi="Arial"/>
          <w:sz w:val="14"/>
          <w:szCs w:val="14"/>
          <w:color w:val="auto"/>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63" w:lineRule="exact"/>
        <w:rPr>
          <w:rFonts w:ascii="Arial" w:cs="Arial" w:eastAsia="Arial" w:hAnsi="Arial"/>
          <w:sz w:val="18"/>
          <w:szCs w:val="18"/>
          <w:color w:val="auto"/>
        </w:rPr>
      </w:pPr>
    </w:p>
    <w:p>
      <w:pPr>
        <w:ind w:left="320" w:hanging="312"/>
        <w:spacing w:after="0" w:line="185" w:lineRule="auto"/>
        <w:tabs>
          <w:tab w:leader="none" w:pos="320" w:val="left"/>
        </w:tabs>
        <w:numPr>
          <w:ilvl w:val="0"/>
          <w:numId w:val="78"/>
        </w:numPr>
        <w:rPr>
          <w:rFonts w:ascii="Arial" w:cs="Arial" w:eastAsia="Arial" w:hAnsi="Arial"/>
          <w:sz w:val="17"/>
          <w:szCs w:val="17"/>
          <w:color w:val="auto"/>
          <w:vertAlign w:val="superscript"/>
        </w:rPr>
      </w:pPr>
      <w:r>
        <w:rPr>
          <w:rFonts w:ascii="Arial" w:cs="Arial" w:eastAsia="Arial" w:hAnsi="Arial"/>
          <w:sz w:val="13"/>
          <w:szCs w:val="13"/>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15855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left="520" w:right="20" w:hanging="512"/>
        <w:spacing w:after="0" w:line="220" w:lineRule="auto"/>
        <w:tabs>
          <w:tab w:leader="none" w:pos="331"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Athira Pharma, Inc.</w:t>
      </w:r>
    </w:p>
    <w:p>
      <w:pPr>
        <w:spacing w:after="0" w:line="171" w:lineRule="exact"/>
        <w:rPr>
          <w:sz w:val="20"/>
          <w:szCs w:val="20"/>
          <w:color w:val="auto"/>
        </w:rPr>
      </w:pPr>
    </w:p>
    <w:p>
      <w:pPr>
        <w:ind w:left="5580" w:right="2020" w:hanging="6047"/>
        <w:spacing w:after="0"/>
        <w:tabs>
          <w:tab w:leader="none" w:pos="556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8"/>
          <w:szCs w:val="18"/>
          <w:color w:val="auto"/>
        </w:rPr>
        <w:t>By: /s/ Mark Litton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-19050</wp:posOffset>
            </wp:positionV>
            <wp:extent cx="32918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0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ind w:left="606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2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Litton and Glenna Mileson,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16"/>
                <w:szCs w:val="16"/>
                <w:color w:val="auto"/>
              </w:rPr>
            </w:pPr>
          </w:p>
        </w:tc>
        <w:tc>
          <w:tcPr>
            <w:tcW w:w="47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6"/>
                <w:szCs w:val="16"/>
                <w:color w:val="auto"/>
              </w:rPr>
            </w:pPr>
          </w:p>
        </w:tc>
        <w:tc>
          <w:tcPr>
            <w:tcW w:w="23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r>
      <w:tr>
        <w:trPr>
          <w:trHeight w:val="28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Litton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9"/>
        </w:trPr>
        <w:tc>
          <w:tcPr>
            <w:tcW w:w="3620" w:type="dxa"/>
            <w:vAlign w:val="bottom"/>
          </w:tcPr>
          <w:p>
            <w:pPr>
              <w:jc w:val="center"/>
              <w:spacing w:after="0"/>
              <w:rPr>
                <w:sz w:val="20"/>
                <w:szCs w:val="20"/>
                <w:color w:val="auto"/>
              </w:rPr>
            </w:pPr>
            <w:r>
              <w:rPr>
                <w:rFonts w:ascii="Arial" w:cs="Arial" w:eastAsia="Arial" w:hAnsi="Arial"/>
                <w:sz w:val="18"/>
                <w:szCs w:val="18"/>
                <w:color w:val="auto"/>
                <w:w w:val="98"/>
              </w:rPr>
              <w:t>Mark Litton</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Glenna Mileson</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9"/>
        </w:trPr>
        <w:tc>
          <w:tcPr>
            <w:tcW w:w="3620" w:type="dxa"/>
            <w:vAlign w:val="bottom"/>
          </w:tcPr>
          <w:p>
            <w:pPr>
              <w:jc w:val="center"/>
              <w:spacing w:after="0"/>
              <w:rPr>
                <w:sz w:val="20"/>
                <w:szCs w:val="20"/>
                <w:color w:val="auto"/>
              </w:rPr>
            </w:pPr>
            <w:r>
              <w:rPr>
                <w:rFonts w:ascii="Arial" w:cs="Arial" w:eastAsia="Arial" w:hAnsi="Arial"/>
                <w:sz w:val="18"/>
                <w:szCs w:val="18"/>
                <w:color w:val="auto"/>
                <w:w w:val="99"/>
              </w:rPr>
              <w:t>Glenna Mileson</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47"/>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Kelly A. Romano</w:t>
            </w:r>
          </w:p>
        </w:tc>
        <w:tc>
          <w:tcPr>
            <w:tcW w:w="28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Chairwoman of the Board of Directors</w:t>
            </w:r>
          </w:p>
        </w:tc>
        <w:tc>
          <w:tcPr>
            <w:tcW w:w="26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2"/>
        </w:trPr>
        <w:tc>
          <w:tcPr>
            <w:tcW w:w="3620" w:type="dxa"/>
            <w:vAlign w:val="bottom"/>
          </w:tcPr>
          <w:p>
            <w:pPr>
              <w:jc w:val="center"/>
              <w:spacing w:after="0"/>
              <w:rPr>
                <w:sz w:val="20"/>
                <w:szCs w:val="20"/>
                <w:color w:val="auto"/>
              </w:rPr>
            </w:pPr>
            <w:r>
              <w:rPr>
                <w:rFonts w:ascii="Arial" w:cs="Arial" w:eastAsia="Arial" w:hAnsi="Arial"/>
                <w:sz w:val="18"/>
                <w:szCs w:val="18"/>
                <w:color w:val="auto"/>
                <w:w w:val="99"/>
              </w:rPr>
              <w:t>Kelly A. Romano</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47"/>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Joseph Edelman</w:t>
            </w:r>
          </w:p>
        </w:tc>
        <w:tc>
          <w:tcPr>
            <w:tcW w:w="28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2"/>
        </w:trPr>
        <w:tc>
          <w:tcPr>
            <w:tcW w:w="3620" w:type="dxa"/>
            <w:vAlign w:val="bottom"/>
          </w:tcPr>
          <w:p>
            <w:pPr>
              <w:jc w:val="center"/>
              <w:spacing w:after="0"/>
              <w:rPr>
                <w:sz w:val="20"/>
                <w:szCs w:val="20"/>
                <w:color w:val="auto"/>
              </w:rPr>
            </w:pPr>
            <w:r>
              <w:rPr>
                <w:rFonts w:ascii="Arial" w:cs="Arial" w:eastAsia="Arial" w:hAnsi="Arial"/>
                <w:sz w:val="18"/>
                <w:szCs w:val="18"/>
                <w:color w:val="auto"/>
                <w:w w:val="99"/>
              </w:rPr>
              <w:t>Joseph Edelman</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47"/>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M. Fluke, Jr.</w:t>
            </w:r>
          </w:p>
        </w:tc>
        <w:tc>
          <w:tcPr>
            <w:tcW w:w="28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1"/>
                <w:szCs w:val="21"/>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2"/>
        </w:trPr>
        <w:tc>
          <w:tcPr>
            <w:tcW w:w="3620" w:type="dxa"/>
            <w:vAlign w:val="bottom"/>
          </w:tcPr>
          <w:p>
            <w:pPr>
              <w:jc w:val="center"/>
              <w:spacing w:after="0"/>
              <w:rPr>
                <w:sz w:val="20"/>
                <w:szCs w:val="20"/>
                <w:color w:val="auto"/>
              </w:rPr>
            </w:pPr>
            <w:r>
              <w:rPr>
                <w:rFonts w:ascii="Arial" w:cs="Arial" w:eastAsia="Arial" w:hAnsi="Arial"/>
                <w:sz w:val="18"/>
                <w:szCs w:val="18"/>
                <w:color w:val="auto"/>
                <w:w w:val="99"/>
              </w:rPr>
              <w:t>John M. Fluke, Jr.</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6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A. Johnson</w:t>
            </w:r>
          </w:p>
        </w:tc>
        <w:tc>
          <w:tcPr>
            <w:tcW w:w="28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2"/>
        </w:trPr>
        <w:tc>
          <w:tcPr>
            <w:tcW w:w="3620" w:type="dxa"/>
            <w:vAlign w:val="bottom"/>
          </w:tcPr>
          <w:p>
            <w:pPr>
              <w:jc w:val="center"/>
              <w:spacing w:after="0"/>
              <w:rPr>
                <w:sz w:val="20"/>
                <w:szCs w:val="20"/>
                <w:color w:val="auto"/>
              </w:rPr>
            </w:pPr>
            <w:r>
              <w:rPr>
                <w:rFonts w:ascii="Arial" w:cs="Arial" w:eastAsia="Arial" w:hAnsi="Arial"/>
                <w:sz w:val="18"/>
                <w:szCs w:val="18"/>
                <w:color w:val="auto"/>
                <w:w w:val="99"/>
              </w:rPr>
              <w:t>James A. Johnson</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6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Barbara Kosacz</w:t>
            </w:r>
          </w:p>
        </w:tc>
        <w:tc>
          <w:tcPr>
            <w:tcW w:w="28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2"/>
        </w:trPr>
        <w:tc>
          <w:tcPr>
            <w:tcW w:w="3620" w:type="dxa"/>
            <w:vAlign w:val="bottom"/>
          </w:tcPr>
          <w:p>
            <w:pPr>
              <w:jc w:val="center"/>
              <w:spacing w:after="0"/>
              <w:rPr>
                <w:sz w:val="20"/>
                <w:szCs w:val="20"/>
                <w:color w:val="auto"/>
              </w:rPr>
            </w:pPr>
            <w:r>
              <w:rPr>
                <w:rFonts w:ascii="Arial" w:cs="Arial" w:eastAsia="Arial" w:hAnsi="Arial"/>
                <w:sz w:val="18"/>
                <w:szCs w:val="18"/>
                <w:color w:val="auto"/>
                <w:w w:val="99"/>
              </w:rPr>
              <w:t>Barbara Kosacz</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6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Panzara</w:t>
            </w:r>
          </w:p>
        </w:tc>
        <w:tc>
          <w:tcPr>
            <w:tcW w:w="28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2"/>
        </w:trPr>
        <w:tc>
          <w:tcPr>
            <w:tcW w:w="3620" w:type="dxa"/>
            <w:vAlign w:val="bottom"/>
          </w:tcPr>
          <w:p>
            <w:pPr>
              <w:jc w:val="center"/>
              <w:spacing w:after="0"/>
              <w:rPr>
                <w:sz w:val="20"/>
                <w:szCs w:val="20"/>
                <w:color w:val="auto"/>
              </w:rPr>
            </w:pPr>
            <w:r>
              <w:rPr>
                <w:rFonts w:ascii="Arial" w:cs="Arial" w:eastAsia="Arial" w:hAnsi="Arial"/>
                <w:sz w:val="18"/>
                <w:szCs w:val="18"/>
                <w:color w:val="auto"/>
                <w:w w:val="99"/>
              </w:rPr>
              <w:t>Michael Panzara</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6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Grant Pickering</w:t>
            </w:r>
          </w:p>
        </w:tc>
        <w:tc>
          <w:tcPr>
            <w:tcW w:w="28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28, 2022</w:t>
            </w:r>
          </w:p>
        </w:tc>
      </w:tr>
      <w:tr>
        <w:trPr>
          <w:trHeight w:val="232"/>
        </w:trPr>
        <w:tc>
          <w:tcPr>
            <w:tcW w:w="3620" w:type="dxa"/>
            <w:vAlign w:val="bottom"/>
          </w:tcPr>
          <w:p>
            <w:pPr>
              <w:jc w:val="center"/>
              <w:spacing w:after="0"/>
              <w:rPr>
                <w:sz w:val="20"/>
                <w:szCs w:val="20"/>
                <w:color w:val="auto"/>
              </w:rPr>
            </w:pPr>
            <w:r>
              <w:rPr>
                <w:rFonts w:ascii="Arial" w:cs="Arial" w:eastAsia="Arial" w:hAnsi="Arial"/>
                <w:sz w:val="18"/>
                <w:szCs w:val="18"/>
                <w:color w:val="auto"/>
                <w:w w:val="99"/>
              </w:rPr>
              <w:t>Grant Pickering</w:t>
            </w:r>
          </w:p>
        </w:tc>
        <w:tc>
          <w:tcPr>
            <w:tcW w:w="2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710"/>
        </w:trPr>
        <w:tc>
          <w:tcPr>
            <w:tcW w:w="3620" w:type="dxa"/>
            <w:vAlign w:val="bottom"/>
          </w:tcPr>
          <w:p>
            <w:pPr>
              <w:spacing w:after="0"/>
              <w:rPr>
                <w:sz w:val="24"/>
                <w:szCs w:val="24"/>
                <w:color w:val="auto"/>
              </w:rPr>
            </w:pPr>
          </w:p>
        </w:tc>
        <w:tc>
          <w:tcPr>
            <w:tcW w:w="5040" w:type="dxa"/>
            <w:vAlign w:val="bottom"/>
            <w:gridSpan w:val="2"/>
          </w:tcPr>
          <w:p>
            <w:pPr>
              <w:jc w:val="right"/>
              <w:ind w:right="2792"/>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98"/>
        </w:trPr>
        <w:tc>
          <w:tcPr>
            <w:tcW w:w="3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268730" cy="6343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4">
                      <a:extLst>
                        <a:ext uri="{28A0092B-C50C-407E-A947-70E740481C1C}"/>
                      </a:extLst>
                    </a:blip>
                    <a:srcRect/>
                    <a:stretch>
                      <a:fillRect/>
                    </a:stretch>
                  </pic:blipFill>
                  <pic:spPr bwMode="auto">
                    <a:xfrm>
                      <a:off x="0" y="0"/>
                      <a:ext cx="12687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18706 NORTH CREEK PARKWAY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 98011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17, 2021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Hans Moebius, M.D., Ph. 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Via Email</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Amendment to Employment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Hans: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Reference is made to that certain employment offer letter dated September 13, 2020 (the “</w:t>
      </w:r>
      <w:r>
        <w:rPr>
          <w:rFonts w:ascii="Times New Roman" w:cs="Times New Roman" w:eastAsia="Times New Roman" w:hAnsi="Times New Roman"/>
          <w:sz w:val="20"/>
          <w:szCs w:val="20"/>
          <w:u w:val="single" w:color="auto"/>
          <w:color w:val="auto"/>
        </w:rPr>
        <w:t>Offer Letter</w:t>
      </w:r>
      <w:r>
        <w:rPr>
          <w:rFonts w:ascii="Times New Roman" w:cs="Times New Roman" w:eastAsia="Times New Roman" w:hAnsi="Times New Roman"/>
          <w:sz w:val="20"/>
          <w:szCs w:val="20"/>
          <w:color w:val="auto"/>
        </w:rPr>
        <w:t>”) between you and Athira Pharma,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As discussed, the Compensation Committee of the Board of Directors of the Company has approved amendments to the terms of your employment as set forth below. Except as otherwise amended hereby, the terms of the Offer Letter remain in full force and effect. Capitalized terms in this letter have the same definitions as the Offer Letter. The amendments are effective retroactive to October 1, 2021.</w:t>
      </w:r>
    </w:p>
    <w:p>
      <w:pPr>
        <w:spacing w:after="0" w:line="1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Section 3 of the Offer Letter entitled “Base Salary” is amended to increase the stated annual base salary to US$430,000 from US$339,500.</w:t>
      </w:r>
    </w:p>
    <w:p>
      <w:pPr>
        <w:spacing w:after="0" w:line="5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Section 4 of the Offer Letter entitled “Annual Bonus” is amended to change the reference in the first sentence from the Company’s 2020 fiscal year to “each Company fiscal year”, and to add the following at the end of the existing paragraph: “In addition, you will be entitled to receive an additional stipend equal to 8.465% of each cash bonus amounts earned, whether pursuant to the prior portions of this paragraph or otherwise, which stipend shall be payable, less any applicable withholdings, at the same time as the related bonus is paid, subject to your continued employment through and until the date of the applicable stipend payment. This stipend is intended to help defray the costs of your benefit contributions, but may be used by you for any purpose.”</w:t>
      </w:r>
    </w:p>
    <w:p>
      <w:pPr>
        <w:spacing w:after="0" w:line="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Section 6 of the Offer Letter entitled “Employee Benefits” is amended to increase the stated monthly mandatory and elective benefit-related stipend to US$5,200 from US$4,625. For the avoidance of doubt, this monthly stipend will be paid to you, less applicable withholding, and may be used by you for any purpose. In addition the fourth sentence in such Section 6 is amended in its entirety to read as follows: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provided, however, that upon the lifting of any applicable travel bans related to COVID-19 as well as a determination in the Company’s reasonable discretion that it is safe to travel in light of the COVID-19 pandemic, you will be required to travel to the location of the Company’s headquarters (currently Seattle, Washington) once per calendar quarter at the Company’s expense for a length of stay to be mutually agreed between you and the Company’s Chief Executive Officer; and provided further that in the event you are unable to travel to the Company’s headquarters in a given quarter,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34440" cy="6172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t>18706 NORTH CREEK PARKWAY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SUITE 104</w:t>
      </w:r>
    </w:p>
    <w:p>
      <w:pPr>
        <w:jc w:val="right"/>
        <w:spacing w:after="0" w:line="230" w:lineRule="auto"/>
        <w:rPr>
          <w:sz w:val="20"/>
          <w:szCs w:val="20"/>
          <w:color w:val="auto"/>
        </w:rPr>
      </w:pPr>
      <w:r>
        <w:rPr>
          <w:rFonts w:ascii="Arial" w:cs="Arial" w:eastAsia="Arial" w:hAnsi="Arial"/>
          <w:sz w:val="14"/>
          <w:szCs w:val="14"/>
          <w:color w:val="auto"/>
        </w:rPr>
        <w:t>BOTHELL, WA 98011</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shall seek authorization to waive the requirement for such calendar quarter from the Company’s Chief Executive Officer (which authorization shall not be unreasonably withheld).”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acknowledge, by signing below, that you have accepted this amendment.</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Litton</w:t>
      </w:r>
      <w:r>
        <w:rPr>
          <w:rFonts w:ascii="Times New Roman" w:cs="Times New Roman" w:eastAsia="Times New Roman" w:hAnsi="Times New Roman"/>
          <w:sz w:val="20"/>
          <w:szCs w:val="20"/>
          <w:color w:val="auto"/>
        </w:rPr>
        <w:t>_____________________________</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Mark Litton, Ph.D.</w:t>
      </w:r>
    </w:p>
    <w:p>
      <w:pPr>
        <w:spacing w:after="0" w:line="14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accepted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Hans Moebius</w:t>
      </w:r>
      <w:r>
        <w:rPr>
          <w:rFonts w:ascii="Times New Roman" w:cs="Times New Roman" w:eastAsia="Times New Roman" w:hAnsi="Times New Roman"/>
          <w:sz w:val="20"/>
          <w:szCs w:val="20"/>
          <w:color w:val="auto"/>
        </w:rPr>
        <w:t>__________________________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Hans Moebius, M.D., Ph.D.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u w:val="single" w:color="auto"/>
          <w:color w:val="auto"/>
        </w:rPr>
        <w:t>November 18, 2021</w:t>
      </w:r>
      <w:r>
        <w:rPr>
          <w:rFonts w:ascii="Times New Roman" w:cs="Times New Roman" w:eastAsia="Times New Roman" w:hAnsi="Times New Roman"/>
          <w:sz w:val="20"/>
          <w:szCs w:val="20"/>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1261745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Athira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Kevin Church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effective as of January 31, 2022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6" w:lineRule="exact"/>
        <w:rPr>
          <w:sz w:val="20"/>
          <w:szCs w:val="20"/>
          <w:color w:val="auto"/>
        </w:rPr>
      </w:pPr>
    </w:p>
    <w:p>
      <w:pPr>
        <w:jc w:val="both"/>
        <w:ind w:firstLine="757"/>
        <w:spacing w:after="0" w:line="244" w:lineRule="auto"/>
        <w:tabs>
          <w:tab w:leader="none" w:pos="149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49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Qualifying Termination Outside of the Change in Control Period</w:t>
      </w:r>
      <w:r>
        <w:rPr>
          <w:rFonts w:ascii="Times New Roman" w:cs="Times New Roman" w:eastAsia="Times New Roman" w:hAnsi="Times New Roman"/>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0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(a)</w:t>
            </w:r>
          </w:p>
        </w:tc>
        <w:tc>
          <w:tcPr>
            <w:tcW w:w="6740" w:type="dxa"/>
            <w:vAlign w:val="bottom"/>
            <w:gridSpan w:val="3"/>
          </w:tcPr>
          <w:p>
            <w:pPr>
              <w:spacing w:after="0" w:line="253" w:lineRule="exact"/>
              <w:rPr>
                <w:sz w:val="20"/>
                <w:szCs w:val="20"/>
                <w:color w:val="auto"/>
              </w:rPr>
            </w:pPr>
            <w:r>
              <w:rPr>
                <w:rFonts w:ascii="Times New Roman" w:cs="Times New Roman" w:eastAsia="Times New Roman" w:hAnsi="Times New Roman"/>
                <w:sz w:val="22"/>
                <w:szCs w:val="22"/>
                <w:color w:val="auto"/>
              </w:rPr>
              <w:t>Salary Severance.  A single, lump sum, cash payment equal to seventy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w:t>
            </w:r>
          </w:p>
        </w:tc>
      </w:tr>
      <w:tr>
        <w:trPr>
          <w:trHeight w:val="275"/>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percent (75%) of Executive’s Salary.</w:t>
            </w:r>
          </w:p>
        </w:tc>
        <w:tc>
          <w:tcPr>
            <w:tcW w:w="150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407"/>
        </w:trPr>
        <w:tc>
          <w:tcPr>
            <w:tcW w:w="450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(b)</w:t>
            </w:r>
          </w:p>
        </w:tc>
        <w:tc>
          <w:tcPr>
            <w:tcW w:w="6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COBRA Severance.   Subject to Executive timely electing continuation</w:t>
            </w:r>
          </w:p>
        </w:tc>
      </w:tr>
      <w:tr>
        <w:trPr>
          <w:trHeight w:val="20"/>
        </w:trPr>
        <w:tc>
          <w:tcPr>
            <w:tcW w:w="45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21"/>
          <w:szCs w:val="21"/>
          <w:color w:val="auto"/>
        </w:rPr>
        <w:t>coverage under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and further subject to Section 5.3, Executive will receive Company-paid group health, dental and vision coverage for Executive and any of Executive’s eligible dependents, as applicable (the “</w:t>
      </w:r>
      <w:r>
        <w:rPr>
          <w:rFonts w:ascii="Times New Roman" w:cs="Times New Roman" w:eastAsia="Times New Roman" w:hAnsi="Times New Roman"/>
          <w:sz w:val="21"/>
          <w:szCs w:val="21"/>
          <w:u w:val="single" w:color="auto"/>
          <w:color w:val="auto"/>
        </w:rPr>
        <w:t>COBRA Severance</w:t>
      </w:r>
      <w:r>
        <w:rPr>
          <w:rFonts w:ascii="Times New Roman" w:cs="Times New Roman" w:eastAsia="Times New Roman" w:hAnsi="Times New Roman"/>
          <w:sz w:val="21"/>
          <w:szCs w:val="21"/>
          <w:color w:val="auto"/>
        </w:rPr>
        <w:t>”), following the Qualifying Termination until the earliest of: (i) nine</w:t>
      </w:r>
    </w:p>
    <w:p>
      <w:pPr>
        <w:spacing w:after="0" w:line="1" w:lineRule="exact"/>
        <w:rPr>
          <w:sz w:val="20"/>
          <w:szCs w:val="20"/>
          <w:color w:val="auto"/>
        </w:rPr>
      </w:pPr>
    </w:p>
    <w:p>
      <w:pPr>
        <w:jc w:val="both"/>
        <w:ind w:firstLine="8"/>
        <w:spacing w:after="0" w:line="235" w:lineRule="auto"/>
        <w:tabs>
          <w:tab w:leader="none" w:pos="36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1" w:name="page172"/>
    <w:bookmarkEnd w:id="171"/>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Qualifying Termination During the Change in Control Period</w:t>
      </w:r>
      <w:r>
        <w:rPr>
          <w:rFonts w:ascii="Times New Roman" w:cs="Times New Roman" w:eastAsia="Times New Roman" w:hAnsi="Times New Roman"/>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(a)</w:t>
            </w:r>
          </w:p>
        </w:tc>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Salary Severance.</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A single, lump sum, cash payment equal to one hundred</w:t>
            </w:r>
          </w:p>
        </w:tc>
      </w:tr>
      <w:tr>
        <w:trPr>
          <w:trHeight w:val="275"/>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percent (100%) of Executive’s Salary.</w:t>
            </w:r>
          </w:p>
        </w:tc>
        <w:tc>
          <w:tcPr>
            <w:tcW w:w="15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407"/>
        </w:trPr>
        <w:tc>
          <w:tcPr>
            <w:tcW w:w="450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(b)</w:t>
            </w:r>
          </w:p>
        </w:tc>
        <w:tc>
          <w:tcPr>
            <w:tcW w:w="1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Bonus Severance.</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A single, lump sum, cash payment equal to one hundred</w:t>
            </w:r>
          </w:p>
        </w:tc>
      </w:tr>
      <w:tr>
        <w:trPr>
          <w:trHeight w:val="275"/>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percent (100%) of Executive’s Target Bonus.</w:t>
            </w:r>
          </w:p>
        </w:tc>
        <w:tc>
          <w:tcPr>
            <w:tcW w:w="15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407"/>
        </w:trPr>
        <w:tc>
          <w:tcPr>
            <w:tcW w:w="450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(c)</w:t>
            </w:r>
          </w:p>
        </w:tc>
        <w:tc>
          <w:tcPr>
            <w:tcW w:w="67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COBRA Severance.   Subject to Executive timely electing continuation</w:t>
            </w:r>
          </w:p>
        </w:tc>
      </w:tr>
      <w:tr>
        <w:trPr>
          <w:trHeight w:val="20"/>
        </w:trPr>
        <w:tc>
          <w:tcPr>
            <w:tcW w:w="45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jc w:val="both"/>
        <w:spacing w:after="0" w:line="239" w:lineRule="auto"/>
        <w:rPr>
          <w:sz w:val="20"/>
          <w:szCs w:val="20"/>
          <w:color w:val="auto"/>
        </w:rPr>
      </w:pPr>
      <w:r>
        <w:rPr>
          <w:rFonts w:ascii="Times New Roman" w:cs="Times New Roman" w:eastAsia="Times New Roman" w:hAnsi="Times New Roman"/>
          <w:sz w:val="22"/>
          <w:szCs w:val="22"/>
          <w:color w:val="auto"/>
        </w:rPr>
        <w:t>coverage under COBRA and further subject to Section 5.3, Executive will receive COBRA Severance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0"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u w:val="single" w:color="auto"/>
          <w:color w:val="auto"/>
        </w:rPr>
        <w:t>Vesting Acceleration of Service-based Awards</w:t>
      </w:r>
      <w:r>
        <w:rPr>
          <w:rFonts w:ascii="Times New Roman" w:cs="Times New Roman" w:eastAsia="Times New Roman" w:hAnsi="Times New Roman"/>
          <w:sz w:val="22"/>
          <w:szCs w:val="22"/>
          <w:color w:val="auto"/>
        </w:rPr>
        <w:t>.  Vesting acceleration of one</w:t>
      </w:r>
    </w:p>
    <w:p>
      <w:pPr>
        <w:spacing w:after="0" w:line="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hundred percent (100%) of any Service-based Awards that are outstanding and unvested as of the date of the Qualifying Termination.</w:t>
      </w:r>
    </w:p>
    <w:p>
      <w:pPr>
        <w:spacing w:after="0" w:line="178"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1"/>
          <w:szCs w:val="21"/>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Non-duplication of Payment or Benefits</w:t>
      </w:r>
      <w:r>
        <w:rPr>
          <w:rFonts w:ascii="Times New Roman" w:cs="Times New Roman" w:eastAsia="Times New Roman" w:hAnsi="Times New Roman"/>
          <w:sz w:val="22"/>
          <w:szCs w:val="22"/>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2" w:name="page173"/>
    <w:bookmarkEnd w:id="172"/>
    <w:p>
      <w:pPr>
        <w:jc w:val="both"/>
        <w:spacing w:after="0" w:line="244" w:lineRule="auto"/>
        <w:rPr>
          <w:sz w:val="20"/>
          <w:szCs w:val="20"/>
          <w:color w:val="auto"/>
        </w:rPr>
      </w:pPr>
      <w:r>
        <w:rPr>
          <w:rFonts w:ascii="Times New Roman" w:cs="Times New Roman" w:eastAsia="Times New Roman" w:hAnsi="Times New Roman"/>
          <w:sz w:val="22"/>
          <w:szCs w:val="22"/>
          <w:color w:val="auto"/>
        </w:rPr>
        <w:t>applicable law or under a plan, policy, contract, or arrangement sponsored by or to which the Company is a party other than this Agreement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then the corresponding severance payments and benefits under this Agreement will be reduced by the amount of Other Benefits paid or provided to Executive.</w:t>
      </w:r>
    </w:p>
    <w:p>
      <w:pPr>
        <w:spacing w:after="0" w:line="173"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200" w:lineRule="exact"/>
        <w:rPr>
          <w:sz w:val="20"/>
          <w:szCs w:val="20"/>
          <w:color w:val="auto"/>
        </w:rPr>
      </w:pPr>
    </w:p>
    <w:p>
      <w:pPr>
        <w:spacing w:after="0" w:line="229" w:lineRule="exact"/>
        <w:rPr>
          <w:sz w:val="20"/>
          <w:szCs w:val="20"/>
          <w:color w:val="auto"/>
        </w:rPr>
      </w:pPr>
    </w:p>
    <w:p>
      <w:pPr>
        <w:jc w:val="both"/>
        <w:ind w:firstLine="757"/>
        <w:spacing w:after="0" w:line="244" w:lineRule="auto"/>
        <w:tabs>
          <w:tab w:leader="none" w:pos="149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and irrevocable no later than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the date of the Qualifying Termination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severance payments or benefits under Section 3.</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that accelerate vesting under Section 3.2(d)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82"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COBRA Severance Limitations</w:t>
      </w:r>
      <w:r>
        <w:rPr>
          <w:rFonts w:ascii="Times New Roman" w:cs="Times New Roman" w:eastAsia="Times New Roman" w:hAnsi="Times New Roman"/>
          <w:sz w:val="22"/>
          <w:szCs w:val="22"/>
          <w:color w:val="auto"/>
        </w:rPr>
        <w:t>. If the Company determines in its sole discretion that it cannot provide the COBRA Severance without potentially violating, or being subject to an excise tax under, applicable law (including, without limitation, Section 2716 of the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3" w:name="page174"/>
    <w:bookmarkEnd w:id="173"/>
    <w:p>
      <w:pPr>
        <w:jc w:val="both"/>
        <w:spacing w:after="0" w:line="232" w:lineRule="auto"/>
        <w:rPr>
          <w:sz w:val="20"/>
          <w:szCs w:val="20"/>
          <w:color w:val="auto"/>
        </w:rPr>
      </w:pPr>
      <w:r>
        <w:rPr>
          <w:rFonts w:ascii="Times New Roman" w:cs="Times New Roman" w:eastAsia="Times New Roman" w:hAnsi="Times New Roman"/>
          <w:sz w:val="22"/>
          <w:szCs w:val="22"/>
          <w:color w:val="auto"/>
        </w:rPr>
        <w:t>Public Health Service Act), then in lieu of such COBRA Severance, subject to any delay required 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Times New Roman" w:cs="Times New Roman" w:eastAsia="Times New Roman" w:hAnsi="Times New Roman"/>
          <w:sz w:val="22"/>
          <w:szCs w:val="22"/>
          <w:u w:val="single" w:color="auto"/>
          <w:color w:val="auto"/>
        </w:rPr>
        <w:t>COBRA Replacement Payment</w:t>
      </w:r>
      <w:r>
        <w:rPr>
          <w:rFonts w:ascii="Times New Roman" w:cs="Times New Roman" w:eastAsia="Times New Roman" w:hAnsi="Times New Roman"/>
          <w:sz w:val="22"/>
          <w:szCs w:val="22"/>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8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3"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(a)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80"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(b) Notwithstanding any provisions to the contrary in this Agreement, if Executive is a “specified employee” within the meaning of Section 409A at the time of Executive’s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4" w:name="page175"/>
    <w:bookmarkEnd w:id="174"/>
    <w:p>
      <w:pPr>
        <w:spacing w:after="0" w:line="253" w:lineRule="auto"/>
        <w:rPr>
          <w:sz w:val="20"/>
          <w:szCs w:val="20"/>
          <w:color w:val="auto"/>
        </w:rPr>
      </w:pPr>
      <w:r>
        <w:rPr>
          <w:rFonts w:ascii="Times New Roman" w:cs="Times New Roman" w:eastAsia="Times New Roman" w:hAnsi="Times New Roman"/>
          <w:sz w:val="21"/>
          <w:szCs w:val="21"/>
          <w:color w:val="auto"/>
        </w:rPr>
        <w:t>separation from service (other than due to death), then any payments or benefits under this Agreement that constitute Deferred Payments payable within the first six (6) months after Executive’s separation from service instead will be payable on the date six</w:t>
      </w:r>
    </w:p>
    <w:p>
      <w:pPr>
        <w:spacing w:after="0" w:line="1" w:lineRule="exact"/>
        <w:rPr>
          <w:sz w:val="20"/>
          <w:szCs w:val="20"/>
          <w:color w:val="auto"/>
        </w:rPr>
      </w:pPr>
    </w:p>
    <w:p>
      <w:pPr>
        <w:jc w:val="both"/>
        <w:ind w:firstLine="8"/>
        <w:spacing w:after="0" w:line="232" w:lineRule="auto"/>
        <w:tabs>
          <w:tab w:leader="none" w:pos="31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1"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(c)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83" w:lineRule="exact"/>
        <w:rPr>
          <w:sz w:val="20"/>
          <w:szCs w:val="20"/>
          <w:color w:val="auto"/>
        </w:rPr>
      </w:pPr>
    </w:p>
    <w:p>
      <w:pPr>
        <w:ind w:left="1500" w:hanging="743"/>
        <w:spacing w:after="0"/>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5" w:name="page176"/>
    <w:bookmarkEnd w:id="175"/>
    <w:p>
      <w:pPr>
        <w:jc w:val="both"/>
        <w:spacing w:after="0" w:line="235" w:lineRule="auto"/>
        <w:rPr>
          <w:sz w:val="20"/>
          <w:szCs w:val="20"/>
          <w:color w:val="auto"/>
        </w:rPr>
      </w:pPr>
      <w:r>
        <w:rPr>
          <w:rFonts w:ascii="Times New Roman" w:cs="Times New Roman" w:eastAsia="Times New Roman" w:hAnsi="Times New Roman"/>
          <w:sz w:val="22"/>
          <w:szCs w:val="22"/>
          <w:color w:val="auto"/>
        </w:rPr>
        <w:t>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8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Determination of Excise Tax Liability</w:t>
      </w:r>
      <w:r>
        <w:rPr>
          <w:rFonts w:ascii="Times New Roman" w:cs="Times New Roman" w:eastAsia="Times New Roman" w:hAnsi="Times New Roman"/>
          <w:sz w:val="21"/>
          <w:szCs w:val="21"/>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1"/>
          <w:szCs w:val="21"/>
          <w:u w:val="single" w:color="auto"/>
          <w:color w:val="auto"/>
        </w:rPr>
        <w:t>Firm</w:t>
      </w:r>
      <w:r>
        <w:rPr>
          <w:rFonts w:ascii="Times New Roman" w:cs="Times New Roman" w:eastAsia="Times New Roman" w:hAnsi="Times New Roman"/>
          <w:sz w:val="21"/>
          <w:szCs w:val="21"/>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75" w:lineRule="exact"/>
        <w:rPr>
          <w:sz w:val="20"/>
          <w:szCs w:val="20"/>
          <w:color w:val="auto"/>
        </w:rPr>
      </w:pPr>
    </w:p>
    <w:p>
      <w:pPr>
        <w:ind w:left="1500" w:hanging="743"/>
        <w:spacing w:after="0"/>
        <w:tabs>
          <w:tab w:leader="none" w:pos="15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7.1.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stock options and other equity awards covering shares of Company common stock granted to Executive.</w:t>
      </w:r>
    </w:p>
    <w:p>
      <w:pPr>
        <w:spacing w:after="0" w:line="15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Company’s Board of Directors.</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7.3.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Executive’s: (a) indictment or conviction of any felony or any 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7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first occurrence of any of the following events on or after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6" w:name="page177"/>
    <w:bookmarkEnd w:id="176"/>
    <w:p>
      <w:pPr>
        <w:jc w:val="both"/>
        <w:ind w:firstLine="2246"/>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 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319"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w: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w:t>
      </w:r>
    </w:p>
    <w:p>
      <w:pPr>
        <w:spacing w:after="0" w:line="3" w:lineRule="exact"/>
        <w:rPr>
          <w:sz w:val="20"/>
          <w:szCs w:val="20"/>
          <w:color w:val="auto"/>
        </w:rPr>
      </w:pPr>
    </w:p>
    <w:p>
      <w:pPr>
        <w:jc w:val="both"/>
        <w:ind w:firstLine="8"/>
        <w:spacing w:after="0" w:line="232" w:lineRule="auto"/>
        <w:tabs>
          <w:tab w:leader="none" w:pos="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7" w:name="page178"/>
    <w:bookmarkEnd w:id="177"/>
    <w:p>
      <w:pPr>
        <w:jc w:val="both"/>
        <w:spacing w:after="0" w:line="258" w:lineRule="auto"/>
        <w:rPr>
          <w:sz w:val="20"/>
          <w:szCs w:val="20"/>
          <w:color w:val="auto"/>
        </w:rPr>
      </w:pPr>
      <w:r>
        <w:rPr>
          <w:rFonts w:ascii="Times New Roman" w:cs="Times New Roman" w:eastAsia="Times New Roman" w:hAnsi="Times New Roman"/>
          <w:sz w:val="22"/>
          <w:szCs w:val="22"/>
          <w:color w:val="auto"/>
        </w:rPr>
        <w:t>value means the value of the assets of the Company, or the value of the assets being disposed of, determined without regard to any liabilities associated with such assets.</w:t>
      </w:r>
    </w:p>
    <w:p>
      <w:pPr>
        <w:spacing w:after="0" w:line="158"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7.5.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beginning on the date one (1) month prior to a Change in Control and ending on (and inclusive of) the date that is the one (1) year anniversary of a Change in Control.</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7.6.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7.7.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Executive’s At-will Employment, Confidential Information, Invention Assignment, and Arbitration Agreement entered into with the Company dated September 8, 2020.</w:t>
      </w:r>
    </w:p>
    <w:p>
      <w:pPr>
        <w:spacing w:after="0" w:line="15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06"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total and permanent disability as defined in Code Section 22(e)(3).</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7.10.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w:t>
      </w:r>
    </w:p>
    <w:p>
      <w:pPr>
        <w:spacing w:after="0" w:line="1" w:lineRule="exact"/>
        <w:rPr>
          <w:sz w:val="20"/>
          <w:szCs w:val="20"/>
          <w:color w:val="auto"/>
        </w:rPr>
      </w:pPr>
    </w:p>
    <w:p>
      <w:pPr>
        <w:jc w:val="both"/>
        <w:ind w:firstLine="8"/>
        <w:spacing w:after="0" w:line="232" w:lineRule="auto"/>
        <w:tabs>
          <w:tab w:leader="none" w:pos="31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to which Executive is entitled immediately prior to such reduction (other than (x) in connection with a general decrease in the annual base salary or Employee Benefits of all similarly situated employees, and (y) following the Change in Control, to the extent necessary to make Executive’s annual base salary or Employee Benefits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8" w:name="page179"/>
    <w:bookmarkEnd w:id="178"/>
    <w:p>
      <w:pPr>
        <w:jc w:val="both"/>
        <w:spacing w:after="0" w:line="247" w:lineRule="exact"/>
        <w:rPr>
          <w:sz w:val="20"/>
          <w:szCs w:val="20"/>
          <w:color w:val="auto"/>
        </w:rPr>
      </w:pPr>
      <w:r>
        <w:rPr>
          <w:rFonts w:ascii="Times New Roman" w:cs="Times New Roman" w:eastAsia="Times New Roman" w:hAnsi="Times New Roman"/>
          <w:sz w:val="22"/>
          <w:szCs w:val="22"/>
          <w:color w:val="auto"/>
        </w:rPr>
        <w:t>commensurate with those of other employees of the Company or its successor entity or parent entity who are similarly situated with Executive following such Change in Control); provided, however, that Executive must provide written notice to the Board of the condition that could constitute a “Good Reason” event within ninety (90) days following the initial existence of such condition and such condition must not have been remedied by the Company within thirty (30) days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of such written notice. To the extent Executive’s primary work location is not the Company’s corporate offices due to a shelter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place order, quarantine order, or similar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from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8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7.11.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w:t>
      </w:r>
    </w:p>
    <w:p>
      <w:pPr>
        <w:spacing w:after="0" w:line="200" w:lineRule="exact"/>
        <w:rPr>
          <w:sz w:val="20"/>
          <w:szCs w:val="20"/>
          <w:color w:val="auto"/>
        </w:rPr>
      </w:pPr>
    </w:p>
    <w:p>
      <w:pPr>
        <w:spacing w:after="0" w:line="22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7.12.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7.13.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7.14. “</w:t>
      </w:r>
      <w:r>
        <w:rPr>
          <w:rFonts w:ascii="Times New Roman" w:cs="Times New Roman" w:eastAsia="Times New Roman" w:hAnsi="Times New Roman"/>
          <w:sz w:val="22"/>
          <w:szCs w:val="22"/>
          <w:u w:val="single" w:color="auto"/>
          <w:color w:val="auto"/>
        </w:rPr>
        <w:t>Service-based Awards</w:t>
      </w:r>
      <w:r>
        <w:rPr>
          <w:rFonts w:ascii="Times New Roman" w:cs="Times New Roman" w:eastAsia="Times New Roman" w:hAnsi="Times New Roman"/>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7.15.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757"/>
        <w:spacing w:after="0" w:line="236" w:lineRule="auto"/>
        <w:tabs>
          <w:tab w:leader="none" w:pos="14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9" w:name="page180"/>
    <w:bookmarkEnd w:id="179"/>
    <w:p>
      <w:pPr>
        <w:jc w:val="both"/>
        <w:spacing w:after="0" w:line="244" w:lineRule="auto"/>
        <w:rPr>
          <w:sz w:val="20"/>
          <w:szCs w:val="20"/>
          <w:color w:val="auto"/>
        </w:rPr>
      </w:pPr>
      <w:r>
        <w:rPr>
          <w:rFonts w:ascii="Times New Roman" w:cs="Times New Roman" w:eastAsia="Times New Roman" w:hAnsi="Times New Roman"/>
          <w:sz w:val="22"/>
          <w:szCs w:val="22"/>
          <w:color w:val="auto"/>
        </w:rPr>
        <w:t>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3" w:lineRule="exact"/>
        <w:rPr>
          <w:sz w:val="20"/>
          <w:szCs w:val="20"/>
          <w:color w:val="auto"/>
        </w:rPr>
      </w:pPr>
    </w:p>
    <w:p>
      <w:pPr>
        <w:ind w:left="1500" w:hanging="743"/>
        <w:spacing w:after="0"/>
        <w:tabs>
          <w:tab w:leader="none" w:pos="15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w:t>
      </w:r>
    </w:p>
    <w:p>
      <w:pPr>
        <w:spacing w:after="0" w:line="2" w:lineRule="exact"/>
        <w:rPr>
          <w:sz w:val="20"/>
          <w:szCs w:val="20"/>
          <w:color w:val="auto"/>
        </w:rPr>
      </w:pPr>
    </w:p>
    <w:p>
      <w:pPr>
        <w:jc w:val="both"/>
        <w:ind w:firstLine="8"/>
        <w:spacing w:after="0" w:line="234" w:lineRule="auto"/>
        <w:tabs>
          <w:tab w:leader="none" w:pos="33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7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18706 North Creek Parkway, Suite 104</w:t>
      </w:r>
    </w:p>
    <w:p>
      <w:pPr>
        <w:ind w:left="2260"/>
        <w:spacing w:after="0" w:line="230" w:lineRule="auto"/>
        <w:rPr>
          <w:sz w:val="20"/>
          <w:szCs w:val="20"/>
          <w:color w:val="auto"/>
        </w:rPr>
      </w:pPr>
      <w:r>
        <w:rPr>
          <w:rFonts w:ascii="Times New Roman" w:cs="Times New Roman" w:eastAsia="Times New Roman" w:hAnsi="Times New Roman"/>
          <w:sz w:val="22"/>
          <w:szCs w:val="22"/>
          <w:color w:val="auto"/>
        </w:rPr>
        <w:t>Bothell, Washington 98011</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83" w:lineRule="exact"/>
        <w:rPr>
          <w:sz w:val="20"/>
          <w:szCs w:val="20"/>
          <w:color w:val="auto"/>
        </w:rPr>
      </w:pPr>
    </w:p>
    <w:p>
      <w:pPr>
        <w:jc w:val="both"/>
        <w:ind w:firstLine="757"/>
        <w:spacing w:after="0" w:line="239" w:lineRule="auto"/>
        <w:tabs>
          <w:tab w:leader="none" w:pos="149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0"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0" w:name="page181"/>
    <w:bookmarkEnd w:id="180"/>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are provided herein for convenience only, and will not serve as a basis for interpretation or construction of this Agreement.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Confidentiality Agreement and Executive’s confirmatory employment letter agreement with the Company dated September 9, 2020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80"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1" w:name="page182"/>
    <w:bookmarkEnd w:id="181"/>
    <w:p>
      <w:pPr>
        <w:ind w:firstLine="749"/>
        <w:spacing w:after="0" w:line="258" w:lineRule="auto"/>
        <w:rPr>
          <w:sz w:val="20"/>
          <w:szCs w:val="20"/>
          <w:color w:val="auto"/>
        </w:rPr>
      </w:pPr>
      <w:r>
        <w:rPr>
          <w:rFonts w:ascii="Times New Roman" w:cs="Times New Roman" w:eastAsia="Times New Roman" w:hAnsi="Times New Roman"/>
          <w:sz w:val="22"/>
          <w:szCs w:val="22"/>
          <w:color w:val="auto"/>
        </w:rPr>
        <w:t>By her, his, or its signature below, each of the parties signifies its acceptance of the terms of this Agreement, in the case of the Company by its duly authorized officer.</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5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3860" w:type="dxa"/>
            <w:vAlign w:val="bottom"/>
          </w:tcPr>
          <w:p>
            <w:pPr>
              <w:jc w:val="right"/>
              <w:ind w:right="75"/>
              <w:spacing w:after="0"/>
              <w:rPr>
                <w:sz w:val="20"/>
                <w:szCs w:val="20"/>
                <w:color w:val="auto"/>
              </w:rPr>
            </w:pPr>
            <w:r>
              <w:rPr>
                <w:rFonts w:ascii="Times New Roman" w:cs="Times New Roman" w:eastAsia="Times New Roman" w:hAnsi="Times New Roman"/>
                <w:sz w:val="22"/>
                <w:szCs w:val="22"/>
                <w:b w:val="1"/>
                <w:bCs w:val="1"/>
                <w:color w:val="auto"/>
              </w:rPr>
              <w:t>ATHIRA PHARMA, INC.</w:t>
            </w:r>
          </w:p>
        </w:tc>
        <w:tc>
          <w:tcPr>
            <w:tcW w:w="3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47"/>
        </w:trPr>
        <w:tc>
          <w:tcPr>
            <w:tcW w:w="2560" w:type="dxa"/>
            <w:vAlign w:val="bottom"/>
          </w:tcPr>
          <w:p>
            <w:pPr>
              <w:spacing w:after="0"/>
              <w:rPr>
                <w:sz w:val="24"/>
                <w:szCs w:val="24"/>
                <w:color w:val="auto"/>
              </w:rPr>
            </w:pPr>
          </w:p>
        </w:tc>
        <w:tc>
          <w:tcPr>
            <w:tcW w:w="3860" w:type="dxa"/>
            <w:vAlign w:val="bottom"/>
          </w:tcPr>
          <w:p>
            <w:pPr>
              <w:jc w:val="right"/>
              <w:ind w:right="135"/>
              <w:spacing w:after="0"/>
              <w:rPr>
                <w:sz w:val="20"/>
                <w:szCs w:val="20"/>
                <w:color w:val="auto"/>
              </w:rPr>
            </w:pPr>
            <w:r>
              <w:rPr>
                <w:rFonts w:ascii="Times New Roman" w:cs="Times New Roman" w:eastAsia="Times New Roman" w:hAnsi="Times New Roman"/>
                <w:sz w:val="22"/>
                <w:szCs w:val="22"/>
                <w:color w:val="auto"/>
              </w:rPr>
              <w:t>By:</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Mark Litton</w:t>
            </w:r>
          </w:p>
        </w:tc>
        <w:tc>
          <w:tcPr>
            <w:tcW w:w="1620" w:type="dxa"/>
            <w:vAlign w:val="bottom"/>
          </w:tcPr>
          <w:p>
            <w:pPr>
              <w:spacing w:after="0"/>
              <w:rPr>
                <w:sz w:val="24"/>
                <w:szCs w:val="24"/>
                <w:color w:val="auto"/>
              </w:rPr>
            </w:pPr>
          </w:p>
        </w:tc>
      </w:tr>
      <w:tr>
        <w:trPr>
          <w:trHeight w:val="276"/>
        </w:trPr>
        <w:tc>
          <w:tcPr>
            <w:tcW w:w="256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Mark Litton</w:t>
            </w:r>
          </w:p>
        </w:tc>
        <w:tc>
          <w:tcPr>
            <w:tcW w:w="1620" w:type="dxa"/>
            <w:vAlign w:val="bottom"/>
          </w:tcPr>
          <w:p>
            <w:pPr>
              <w:spacing w:after="0"/>
              <w:rPr>
                <w:sz w:val="23"/>
                <w:szCs w:val="23"/>
                <w:color w:val="auto"/>
              </w:rPr>
            </w:pPr>
          </w:p>
        </w:tc>
      </w:tr>
      <w:tr>
        <w:trPr>
          <w:trHeight w:val="298"/>
        </w:trPr>
        <w:tc>
          <w:tcPr>
            <w:tcW w:w="2560" w:type="dxa"/>
            <w:vAlign w:val="bottom"/>
          </w:tcPr>
          <w:p>
            <w:pPr>
              <w:spacing w:after="0"/>
              <w:rPr>
                <w:sz w:val="24"/>
                <w:szCs w:val="24"/>
                <w:color w:val="auto"/>
              </w:rPr>
            </w:pPr>
          </w:p>
        </w:tc>
        <w:tc>
          <w:tcPr>
            <w:tcW w:w="3860" w:type="dxa"/>
            <w:vAlign w:val="bottom"/>
          </w:tcPr>
          <w:p>
            <w:pPr>
              <w:jc w:val="right"/>
              <w:ind w:right="135"/>
              <w:spacing w:after="0"/>
              <w:rPr>
                <w:sz w:val="20"/>
                <w:szCs w:val="20"/>
                <w:color w:val="auto"/>
              </w:rPr>
            </w:pPr>
            <w:r>
              <w:rPr>
                <w:rFonts w:ascii="Times New Roman" w:cs="Times New Roman" w:eastAsia="Times New Roman" w:hAnsi="Times New Roman"/>
                <w:sz w:val="22"/>
                <w:szCs w:val="22"/>
                <w:color w:val="auto"/>
              </w:rPr>
              <w:t>Title:</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1620" w:type="dxa"/>
            <w:vAlign w:val="bottom"/>
          </w:tcPr>
          <w:p>
            <w:pPr>
              <w:spacing w:after="0"/>
              <w:rPr>
                <w:sz w:val="24"/>
                <w:szCs w:val="24"/>
                <w:color w:val="auto"/>
              </w:rPr>
            </w:pPr>
          </w:p>
        </w:tc>
      </w:tr>
      <w:tr>
        <w:trPr>
          <w:trHeight w:val="344"/>
        </w:trPr>
        <w:tc>
          <w:tcPr>
            <w:tcW w:w="2560" w:type="dxa"/>
            <w:vAlign w:val="bottom"/>
          </w:tcPr>
          <w:p>
            <w:pPr>
              <w:spacing w:after="0"/>
              <w:rPr>
                <w:sz w:val="24"/>
                <w:szCs w:val="24"/>
                <w:color w:val="auto"/>
              </w:rPr>
            </w:pPr>
          </w:p>
        </w:tc>
        <w:tc>
          <w:tcPr>
            <w:tcW w:w="3860" w:type="dxa"/>
            <w:vAlign w:val="bottom"/>
          </w:tcPr>
          <w:p>
            <w:pPr>
              <w:jc w:val="right"/>
              <w:ind w:right="135"/>
              <w:spacing w:after="0"/>
              <w:rPr>
                <w:sz w:val="20"/>
                <w:szCs w:val="20"/>
                <w:color w:val="auto"/>
              </w:rPr>
            </w:pPr>
            <w:r>
              <w:rPr>
                <w:rFonts w:ascii="Times New Roman" w:cs="Times New Roman" w:eastAsia="Times New Roman" w:hAnsi="Times New Roman"/>
                <w:sz w:val="22"/>
                <w:szCs w:val="22"/>
                <w:color w:val="auto"/>
              </w:rPr>
              <w:t>Date:</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January 31, 2022</w:t>
            </w:r>
          </w:p>
        </w:tc>
        <w:tc>
          <w:tcPr>
            <w:tcW w:w="1620" w:type="dxa"/>
            <w:vAlign w:val="bottom"/>
          </w:tcPr>
          <w:p>
            <w:pPr>
              <w:spacing w:after="0"/>
              <w:rPr>
                <w:sz w:val="24"/>
                <w:szCs w:val="24"/>
                <w:color w:val="auto"/>
              </w:rPr>
            </w:pPr>
          </w:p>
        </w:tc>
      </w:tr>
      <w:tr>
        <w:trPr>
          <w:trHeight w:val="682"/>
        </w:trPr>
        <w:tc>
          <w:tcPr>
            <w:tcW w:w="25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3860" w:type="dxa"/>
            <w:vAlign w:val="bottom"/>
          </w:tcPr>
          <w:p>
            <w:pPr>
              <w:jc w:val="right"/>
              <w:ind w:right="135"/>
              <w:spacing w:after="0"/>
              <w:rPr>
                <w:sz w:val="20"/>
                <w:szCs w:val="20"/>
                <w:color w:val="auto"/>
              </w:rPr>
            </w:pPr>
            <w:r>
              <w:rPr>
                <w:rFonts w:ascii="Times New Roman" w:cs="Times New Roman" w:eastAsia="Times New Roman" w:hAnsi="Times New Roman"/>
                <w:sz w:val="22"/>
                <w:szCs w:val="22"/>
                <w:color w:val="auto"/>
              </w:rPr>
              <w:t>By:</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Kevin Church</w:t>
            </w:r>
          </w:p>
        </w:tc>
        <w:tc>
          <w:tcPr>
            <w:tcW w:w="1620" w:type="dxa"/>
            <w:vAlign w:val="bottom"/>
          </w:tcPr>
          <w:p>
            <w:pPr>
              <w:spacing w:after="0"/>
              <w:rPr>
                <w:sz w:val="24"/>
                <w:szCs w:val="24"/>
                <w:color w:val="auto"/>
              </w:rPr>
            </w:pPr>
          </w:p>
        </w:tc>
      </w:tr>
      <w:tr>
        <w:trPr>
          <w:trHeight w:val="276"/>
        </w:trPr>
        <w:tc>
          <w:tcPr>
            <w:tcW w:w="256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Kevin Church</w:t>
            </w:r>
          </w:p>
        </w:tc>
        <w:tc>
          <w:tcPr>
            <w:tcW w:w="1620" w:type="dxa"/>
            <w:vAlign w:val="bottom"/>
          </w:tcPr>
          <w:p>
            <w:pPr>
              <w:spacing w:after="0"/>
              <w:rPr>
                <w:sz w:val="23"/>
                <w:szCs w:val="23"/>
                <w:color w:val="auto"/>
              </w:rPr>
            </w:pPr>
          </w:p>
        </w:tc>
      </w:tr>
      <w:tr>
        <w:trPr>
          <w:trHeight w:val="528"/>
        </w:trPr>
        <w:tc>
          <w:tcPr>
            <w:tcW w:w="2560" w:type="dxa"/>
            <w:vAlign w:val="bottom"/>
          </w:tcPr>
          <w:p>
            <w:pPr>
              <w:spacing w:after="0"/>
              <w:rPr>
                <w:sz w:val="24"/>
                <w:szCs w:val="24"/>
                <w:color w:val="auto"/>
              </w:rPr>
            </w:pPr>
          </w:p>
        </w:tc>
        <w:tc>
          <w:tcPr>
            <w:tcW w:w="3860" w:type="dxa"/>
            <w:vAlign w:val="bottom"/>
          </w:tcPr>
          <w:p>
            <w:pPr>
              <w:jc w:val="right"/>
              <w:ind w:right="135"/>
              <w:spacing w:after="0"/>
              <w:rPr>
                <w:sz w:val="20"/>
                <w:szCs w:val="20"/>
                <w:color w:val="auto"/>
              </w:rPr>
            </w:pPr>
            <w:r>
              <w:rPr>
                <w:rFonts w:ascii="Times New Roman" w:cs="Times New Roman" w:eastAsia="Times New Roman" w:hAnsi="Times New Roman"/>
                <w:sz w:val="22"/>
                <w:szCs w:val="22"/>
                <w:color w:val="auto"/>
              </w:rPr>
              <w:t>Date:</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January 31, 2022</w:t>
            </w:r>
          </w:p>
        </w:tc>
        <w:tc>
          <w:tcPr>
            <w:tcW w:w="1620" w:type="dxa"/>
            <w:vAlign w:val="bottom"/>
          </w:tcPr>
          <w:p>
            <w:pPr>
              <w:spacing w:after="0"/>
              <w:rPr>
                <w:sz w:val="24"/>
                <w:szCs w:val="24"/>
                <w:color w:val="auto"/>
              </w:rPr>
            </w:pPr>
          </w:p>
        </w:tc>
      </w:tr>
      <w:tr>
        <w:trPr>
          <w:trHeight w:val="844"/>
        </w:trPr>
        <w:tc>
          <w:tcPr>
            <w:tcW w:w="2560" w:type="dxa"/>
            <w:vAlign w:val="bottom"/>
          </w:tcPr>
          <w:p>
            <w:pPr>
              <w:spacing w:after="0"/>
              <w:rPr>
                <w:sz w:val="24"/>
                <w:szCs w:val="24"/>
                <w:color w:val="auto"/>
              </w:rPr>
            </w:pPr>
          </w:p>
        </w:tc>
        <w:tc>
          <w:tcPr>
            <w:tcW w:w="386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12</w:t>
            </w:r>
          </w:p>
        </w:tc>
        <w:tc>
          <w:tcPr>
            <w:tcW w:w="3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256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5" w:lineRule="exact"/>
        <w:rPr>
          <w:sz w:val="20"/>
          <w:szCs w:val="20"/>
          <w:color w:val="auto"/>
        </w:rPr>
      </w:pPr>
    </w:p>
    <w:p>
      <w:pPr>
        <w:ind w:right="3080" w:firstLine="3090"/>
        <w:spacing w:after="0" w:line="343"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We consent to the incorporation by reference in the following Registration Statements:</w:t>
      </w:r>
    </w:p>
    <w:p>
      <w:pPr>
        <w:spacing w:after="0" w:line="76"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S-3 No. 333-261073 of Athira Pharma, Inc.; and</w:t>
      </w:r>
    </w:p>
    <w:p>
      <w:pPr>
        <w:spacing w:after="0" w:line="202" w:lineRule="exact"/>
        <w:rPr>
          <w:rFonts w:ascii="Times New Roman" w:cs="Times New Roman" w:eastAsia="Times New Roman" w:hAnsi="Times New Roman"/>
          <w:sz w:val="20"/>
          <w:szCs w:val="20"/>
          <w:color w:val="auto"/>
        </w:rPr>
      </w:pPr>
    </w:p>
    <w:p>
      <w:pPr>
        <w:ind w:left="1020" w:hanging="503"/>
        <w:spacing w:after="0" w:line="255" w:lineRule="auto"/>
        <w:tabs>
          <w:tab w:leader="none" w:pos="10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Nos. 333-254735 and 333-248910, pertaining to the 2020 Equity Incentive Plan, the 2020 Employee Stock Purchase Plan, and the 2014 Equity Incentive Plan, as amended, of Athira Pharma, Inc.</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of our report dated March 28, 2022, with respect to the consolidated financial statements of Athira Pharma, Inc., included in this Annual Report (Form 10-K) of Athira Pharma, Inc. for the year ended December 31,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Seattle, Washington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3" w:name="page184"/>
    <w:bookmarkEnd w:id="18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CERTIFICATION OF THE PRINCIPAL EXECUTIVE OFFICER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Litton, certify that:</w:t>
      </w:r>
    </w:p>
    <w:p>
      <w:pPr>
        <w:spacing w:after="0" w:line="212"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Athira Pharma, Inc.;</w:t>
      </w:r>
    </w:p>
    <w:p>
      <w:pPr>
        <w:spacing w:after="0" w:line="211"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60" w:right="240" w:hanging="752"/>
        <w:spacing w:after="0" w:line="266"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0" w:hanging="752"/>
        <w:spacing w:after="0" w:line="260" w:lineRule="auto"/>
        <w:tabs>
          <w:tab w:leader="none" w:pos="7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91" w:lineRule="exact"/>
        <w:rPr>
          <w:rFonts w:ascii="Times New Roman" w:cs="Times New Roman" w:eastAsia="Times New Roman" w:hAnsi="Times New Roman"/>
          <w:sz w:val="17"/>
          <w:szCs w:val="17"/>
          <w:color w:val="auto"/>
        </w:rPr>
      </w:pPr>
    </w:p>
    <w:p>
      <w:pPr>
        <w:ind w:left="1500" w:right="140" w:hanging="743"/>
        <w:spacing w:after="0" w:line="250" w:lineRule="auto"/>
        <w:tabs>
          <w:tab w:leader="none" w:pos="1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500" w:right="200" w:hanging="743"/>
        <w:spacing w:after="0" w:line="250" w:lineRule="auto"/>
        <w:tabs>
          <w:tab w:leader="none" w:pos="1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hanging="743"/>
        <w:spacing w:after="0" w:line="250" w:lineRule="auto"/>
        <w:tabs>
          <w:tab w:leader="none" w:pos="1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60" w:right="160" w:hanging="752"/>
        <w:spacing w:after="0" w:line="266"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260" w:hanging="743"/>
        <w:spacing w:after="0" w:line="266" w:lineRule="auto"/>
        <w:tabs>
          <w:tab w:leader="none" w:pos="1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right="540" w:hanging="743"/>
        <w:spacing w:after="0" w:line="266" w:lineRule="auto"/>
        <w:tabs>
          <w:tab w:leader="none" w:pos="1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Date: March 28, 2022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Litton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85" w:name="page186"/>
    <w:bookmarkEnd w:id="18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CERTIFICATION OF THE PRINCIPAL FINANCIAL OFFICER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Glenna Mileson, certify that:</w:t>
      </w:r>
    </w:p>
    <w:p>
      <w:pPr>
        <w:spacing w:after="0" w:line="212"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Athira Pharma, Inc.;</w:t>
      </w:r>
    </w:p>
    <w:p>
      <w:pPr>
        <w:spacing w:after="0" w:line="211"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60" w:right="240" w:hanging="752"/>
        <w:spacing w:after="0" w:line="266"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200" w:hanging="752"/>
        <w:spacing w:after="0" w:line="260" w:lineRule="auto"/>
        <w:tabs>
          <w:tab w:leader="none" w:pos="7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91" w:lineRule="exact"/>
        <w:rPr>
          <w:rFonts w:ascii="Times New Roman" w:cs="Times New Roman" w:eastAsia="Times New Roman" w:hAnsi="Times New Roman"/>
          <w:sz w:val="17"/>
          <w:szCs w:val="17"/>
          <w:color w:val="auto"/>
        </w:rPr>
      </w:pPr>
    </w:p>
    <w:p>
      <w:pPr>
        <w:ind w:left="1500" w:right="140" w:hanging="743"/>
        <w:spacing w:after="0" w:line="250"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500" w:right="200" w:hanging="743"/>
        <w:spacing w:after="0" w:line="250"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hanging="743"/>
        <w:spacing w:after="0" w:line="250"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60" w:right="160" w:hanging="752"/>
        <w:spacing w:after="0" w:line="266"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260" w:hanging="743"/>
        <w:spacing w:after="0" w:line="266"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right="540" w:hanging="743"/>
        <w:spacing w:after="0" w:line="266" w:lineRule="auto"/>
        <w:tabs>
          <w:tab w:leader="none" w:pos="15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Date: March 28, 2022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Glenna Mileson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00" w:lineRule="exact"/>
        <w:rPr>
          <w:sz w:val="20"/>
          <w:szCs w:val="20"/>
          <w:color w:val="auto"/>
        </w:rPr>
      </w:pPr>
    </w:p>
    <w:p>
      <w:pPr>
        <w:ind w:right="26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on Form 10-K of Athira Pharma, Inc. (the “Company”) for the fiscal year ended December 31, 2021, as filed with the Securities and Exchange Commission on the date hereof (the “Report”), I, Mark Litton, President and Chief Executive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1140" w:hanging="758"/>
        <w:spacing w:after="0"/>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left="1140" w:right="440" w:hanging="758"/>
        <w:spacing w:after="0" w:line="266" w:lineRule="auto"/>
        <w:tabs>
          <w:tab w:leader="none" w:pos="11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Litton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114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11" w:lineRule="exact"/>
        <w:rPr>
          <w:sz w:val="20"/>
          <w:szCs w:val="20"/>
          <w:color w:val="auto"/>
        </w:rPr>
      </w:pPr>
    </w:p>
    <w:p>
      <w:pPr>
        <w:jc w:val="both"/>
        <w:ind w:right="140" w:firstLine="749"/>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00"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on Form 10-K of Athira Pharma, Inc. (the “Company”) for the fiscal year ended December 31, 2021, as filed with the Securities and Exchange Commission on the date hereof (the “Report”), I, Glenna Mileson, Chief Financial Officer of the Company, certify, pursuant to 18 U.S.C. Section 1350, as adopted pursuant to Section 906 of the Sarbanes-Oxley Act of 2002, that to my knowledge:</w:t>
      </w:r>
    </w:p>
    <w:p>
      <w:pPr>
        <w:spacing w:after="0" w:line="177" w:lineRule="exact"/>
        <w:rPr>
          <w:sz w:val="20"/>
          <w:szCs w:val="20"/>
          <w:color w:val="auto"/>
        </w:rPr>
      </w:pPr>
    </w:p>
    <w:p>
      <w:pPr>
        <w:ind w:left="1140" w:hanging="758"/>
        <w:spacing w:after="0"/>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11" w:lineRule="exact"/>
        <w:rPr>
          <w:rFonts w:ascii="Times New Roman" w:cs="Times New Roman" w:eastAsia="Times New Roman" w:hAnsi="Times New Roman"/>
          <w:sz w:val="18"/>
          <w:szCs w:val="18"/>
          <w:color w:val="auto"/>
        </w:rPr>
      </w:pPr>
    </w:p>
    <w:p>
      <w:pPr>
        <w:ind w:left="1140" w:right="440" w:hanging="758"/>
        <w:spacing w:after="0" w:line="266" w:lineRule="auto"/>
        <w:tabs>
          <w:tab w:leader="none" w:pos="11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2022</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Glenna Mileson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114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11" w:lineRule="exact"/>
        <w:rPr>
          <w:sz w:val="20"/>
          <w:szCs w:val="20"/>
          <w:color w:val="auto"/>
        </w:rPr>
      </w:pPr>
    </w:p>
    <w:p>
      <w:pPr>
        <w:jc w:val="both"/>
        <w:ind w:right="140" w:firstLine="749"/>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89" w:name="page190"/>
    <w:bookmarkEnd w:id="1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1."/>
      <w:numFmt w:val="decimal"/>
      <w:start w:val="9"/>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1)"/>
      <w:numFmt w:val="lowerLetter"/>
      <w:start w:val="1"/>
    </w:lvl>
    <w:lvl w:ilvl="1">
      <w:lvlJc w:val="left"/>
      <w:lvlText w:val="(%2)"/>
      <w:numFmt w:val="decimal"/>
      <w:start w:val="1"/>
    </w:lvl>
  </w:abstractNum>
  <w:abstractNum w:abstractNumId="74">
    <w:nsid w:val="6F6DD9AC"/>
    <w:multiLevelType w:val="hybridMultilevel"/>
    <w:lvl w:ilvl="0">
      <w:lvlJc w:val="left"/>
      <w:lvlText w:val="(%1)"/>
      <w:numFmt w:val="decimal"/>
      <w:start w:val="2"/>
    </w:lvl>
  </w:abstractNum>
  <w:abstractNum w:abstractNumId="75">
    <w:nsid w:val="94211F2"/>
    <w:multiLevelType w:val="hybridMultilevel"/>
    <w:lvl w:ilvl="0">
      <w:lvlJc w:val="left"/>
      <w:lvlText w:val="(%1)"/>
      <w:numFmt w:val="decimal"/>
      <w:start w:val="3"/>
    </w:lvl>
  </w:abstractNum>
  <w:abstractNum w:abstractNumId="76">
    <w:nsid w:val="885E1B"/>
    <w:multiLevelType w:val="hybridMultilevel"/>
    <w:lvl w:ilvl="0">
      <w:lvlJc w:val="left"/>
      <w:lvlText w:val="*"/>
      <w:numFmt w:val="bullet"/>
      <w:start w:val="1"/>
    </w:lvl>
    <w:lvl w:ilvl="1">
      <w:lvlJc w:val="left"/>
      <w:lvlText w:val="%2"/>
      <w:numFmt w:val="decimal"/>
      <w:start w:val="104"/>
    </w:lvl>
  </w:abstractNum>
  <w:abstractNum w:abstractNumId="77">
    <w:nsid w:val="76272110"/>
    <w:multiLevelType w:val="hybridMultilevel"/>
    <w:lvl w:ilvl="0">
      <w:lvlJc w:val="left"/>
      <w:lvlText w:val="**"/>
      <w:numFmt w:val="bullet"/>
      <w:start w:val="1"/>
    </w:lvl>
    <w:lvl w:ilvl="1">
      <w:lvlJc w:val="left"/>
      <w:lvlText w:val="%2"/>
      <w:numFmt w:val="decimal"/>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9"/>
    </w:lvl>
  </w:abstractNum>
  <w:abstractNum w:abstractNumId="81">
    <w:nsid w:val="3222E7CD"/>
    <w:multiLevelType w:val="hybridMultilevel"/>
    <w:lvl w:ilvl="0">
      <w:lvlJc w:val="left"/>
      <w:lvlText w:val="%1."/>
      <w:numFmt w:val="decimal"/>
      <w:start w:val="4"/>
    </w:lvl>
  </w:abstractNum>
  <w:abstractNum w:abstractNumId="82">
    <w:nsid w:val="74DE0EE3"/>
    <w:multiLevelType w:val="hybridMultilevel"/>
    <w:lvl w:ilvl="0">
      <w:lvlJc w:val="left"/>
      <w:lvlText w:val="(%1)"/>
      <w:numFmt w:val="decimal"/>
      <w:start w:val="6"/>
    </w:lvl>
  </w:abstractNum>
  <w:abstractNum w:abstractNumId="83">
    <w:nsid w:val="68EBC550"/>
    <w:multiLevelType w:val="hybridMultilevel"/>
    <w:lvl w:ilvl="0">
      <w:lvlJc w:val="left"/>
      <w:lvlText w:val="%1."/>
      <w:numFmt w:val="decimal"/>
      <w:start w:val="6"/>
    </w:lvl>
  </w:abstractNum>
  <w:abstractNum w:abstractNumId="84">
    <w:nsid w:val="2DF6D648"/>
    <w:multiLevelType w:val="hybridMultilevel"/>
    <w:lvl w:ilvl="0">
      <w:lvlJc w:val="left"/>
      <w:lvlText w:val="%1."/>
      <w:numFmt w:val="decimal"/>
      <w:start w:val="7"/>
    </w:lvl>
  </w:abstractNum>
  <w:abstractNum w:abstractNumId="85">
    <w:nsid w:val="46B7D447"/>
    <w:multiLevelType w:val="hybridMultilevel"/>
    <w:lvl w:ilvl="0">
      <w:lvlJc w:val="left"/>
      <w:lvlText w:val="(%1)"/>
      <w:numFmt w:val="lowerRoman"/>
      <w:start w:val="2"/>
    </w:lvl>
  </w:abstractNum>
  <w:abstractNum w:abstractNumId="86">
    <w:nsid w:val="4A2AC315"/>
    <w:multiLevelType w:val="hybridMultilevel"/>
    <w:lvl w:ilvl="0">
      <w:lvlJc w:val="left"/>
      <w:lvlText w:val="(%1)"/>
      <w:numFmt w:val="lowerLetter"/>
      <w:start w:val="2"/>
    </w:lvl>
  </w:abstractNum>
  <w:abstractNum w:abstractNumId="87">
    <w:nsid w:val="39EE015C"/>
    <w:multiLevelType w:val="hybridMultilevel"/>
    <w:lvl w:ilvl="0">
      <w:lvlJc w:val="left"/>
      <w:lvlText w:val="%1."/>
      <w:numFmt w:val="decimal"/>
      <w:start w:val="8"/>
    </w:lvl>
  </w:abstractNum>
  <w:abstractNum w:abstractNumId="88">
    <w:nsid w:val="57FC4FBB"/>
    <w:multiLevelType w:val="hybridMultilevel"/>
    <w:lvl w:ilvl="0">
      <w:lvlJc w:val="left"/>
      <w:lvlText w:val="%1."/>
      <w:numFmt w:val="decimal"/>
      <w:start w:val="9"/>
    </w:lvl>
  </w:abstractNum>
  <w:abstractNum w:abstractNumId="89">
    <w:nsid w:val="CC1016F"/>
    <w:multiLevelType w:val="hybridMultilevel"/>
    <w:lvl w:ilvl="0">
      <w:lvlJc w:val="left"/>
      <w:lvlText w:val="(%1)"/>
      <w:numFmt w:val="lowerLetter"/>
      <w:start w:val="3"/>
    </w:lvl>
  </w:abstractNum>
  <w:abstractNum w:abstractNumId="90">
    <w:nsid w:val="43F18422"/>
    <w:multiLevelType w:val="hybridMultilevel"/>
    <w:lvl w:ilvl="0">
      <w:lvlJc w:val="left"/>
      <w:lvlText w:val="%1."/>
      <w:numFmt w:val="decimal"/>
      <w:start w:val="10"/>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35" Type="http://schemas.openxmlformats.org/officeDocument/2006/relationships/image" Target="media/image417.png"/><Relationship Id="rId454" Type="http://schemas.openxmlformats.org/officeDocument/2006/relationships/image" Target="media/image418.png"/><Relationship Id="rId458" Type="http://schemas.openxmlformats.org/officeDocument/2006/relationships/image" Target="media/image419.png"/><Relationship Id="rId459" Type="http://schemas.openxmlformats.org/officeDocument/2006/relationships/image" Target="media/image420.png"/><Relationship Id="rId460" Type="http://schemas.openxmlformats.org/officeDocument/2006/relationships/image" Target="media/image421.png"/><Relationship Id="rId461" Type="http://schemas.openxmlformats.org/officeDocument/2006/relationships/image" Target="media/image422.png"/><Relationship Id="rId462" Type="http://schemas.openxmlformats.org/officeDocument/2006/relationships/image" Target="media/image423.png"/><Relationship Id="rId463" Type="http://schemas.openxmlformats.org/officeDocument/2006/relationships/image" Target="media/image424.png"/><Relationship Id="rId464" Type="http://schemas.openxmlformats.org/officeDocument/2006/relationships/image" Target="media/image425.jpeg"/><Relationship Id="rId465" Type="http://schemas.openxmlformats.org/officeDocument/2006/relationships/image" Target="media/image426.png"/><Relationship Id="rId466" Type="http://schemas.openxmlformats.org/officeDocument/2006/relationships/image" Target="media/image427.jpeg"/><Relationship Id="rId467" Type="http://schemas.openxmlformats.org/officeDocument/2006/relationships/image" Target="media/image428.png"/><Relationship Id="rId468" Type="http://schemas.openxmlformats.org/officeDocument/2006/relationships/image" Target="media/image429.png"/><Relationship Id="rId469" Type="http://schemas.openxmlformats.org/officeDocument/2006/relationships/image" Target="media/image430.png"/><Relationship Id="rId470" Type="http://schemas.openxmlformats.org/officeDocument/2006/relationships/image" Target="media/image431.png"/><Relationship Id="rId471" Type="http://schemas.openxmlformats.org/officeDocument/2006/relationships/image" Target="media/image432.png"/><Relationship Id="rId472" Type="http://schemas.openxmlformats.org/officeDocument/2006/relationships/image" Target="media/image433.png"/><Relationship Id="rId473" Type="http://schemas.openxmlformats.org/officeDocument/2006/relationships/image" Target="media/image434.png"/><Relationship Id="rId474" Type="http://schemas.openxmlformats.org/officeDocument/2006/relationships/image" Target="media/image435.png"/><Relationship Id="rId475" Type="http://schemas.openxmlformats.org/officeDocument/2006/relationships/image" Target="media/image436.png"/><Relationship Id="rId476" Type="http://schemas.openxmlformats.org/officeDocument/2006/relationships/image" Target="media/image437.png"/><Relationship Id="rId477" Type="http://schemas.openxmlformats.org/officeDocument/2006/relationships/image" Target="media/image438.png"/><Relationship Id="rId478" Type="http://schemas.openxmlformats.org/officeDocument/2006/relationships/image" Target="media/image439.png"/><Relationship Id="rId479" Type="http://schemas.openxmlformats.org/officeDocument/2006/relationships/image" Target="media/image440.png"/><Relationship Id="rId480" Type="http://schemas.openxmlformats.org/officeDocument/2006/relationships/image" Target="media/image441.png"/><Relationship Id="rId481" Type="http://schemas.openxmlformats.org/officeDocument/2006/relationships/image" Target="media/image442.png"/><Relationship Id="rId482" Type="http://schemas.openxmlformats.org/officeDocument/2006/relationships/image" Target="media/image443.png"/><Relationship Id="rId483" Type="http://schemas.openxmlformats.org/officeDocument/2006/relationships/image" Target="media/image444.png"/><Relationship Id="rId484" Type="http://schemas.openxmlformats.org/officeDocument/2006/relationships/image" Target="media/image445.png"/><Relationship Id="rId485" Type="http://schemas.openxmlformats.org/officeDocument/2006/relationships/image" Target="media/image446.png"/><Relationship Id="rId486" Type="http://schemas.openxmlformats.org/officeDocument/2006/relationships/image" Target="media/image447.png"/><Relationship Id="rId487"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0" Type="http://schemas.openxmlformats.org/officeDocument/2006/relationships/image" Target="media/image451.png"/><Relationship Id="rId491" Type="http://schemas.openxmlformats.org/officeDocument/2006/relationships/image" Target="media/image452.png"/><Relationship Id="rId424" Type="http://schemas.openxmlformats.org/officeDocument/2006/relationships/hyperlink" Target="https://www.sec.gov/Archives/edgar/data/1620463/000156459020053574/atha-ex31_153.htm" TargetMode="External"/><Relationship Id="rId425" Type="http://schemas.openxmlformats.org/officeDocument/2006/relationships/hyperlink" Target="https://www.sec.gov/Archives/edgar/data/1620463/000156459020053574/atha-ex32_154.htm" TargetMode="External"/><Relationship Id="rId426" Type="http://schemas.openxmlformats.org/officeDocument/2006/relationships/hyperlink" Target="https://www.sec.gov/Archives/edgar/data/1620463/000156459020043324/atha-ex41_478.htm" TargetMode="External"/><Relationship Id="rId427" Type="http://schemas.openxmlformats.org/officeDocument/2006/relationships/hyperlink" Target="https://www.sec.gov/Archives/edgar/data/1620463/000156459020042848/atha-ex42_7.htm" TargetMode="External"/><Relationship Id="rId428" Type="http://schemas.openxmlformats.org/officeDocument/2006/relationships/hyperlink" Target="https://www.sec.gov/Archives/edgar/data/1620463/000156459021015495/atha-ex43_578.htm" TargetMode="External"/><Relationship Id="rId429" Type="http://schemas.openxmlformats.org/officeDocument/2006/relationships/hyperlink" Target="https://www.sec.gov/Archives/edgar/data/1620463/000156459020041369/atha-ex101_530.htm" TargetMode="External"/><Relationship Id="rId430" Type="http://schemas.openxmlformats.org/officeDocument/2006/relationships/hyperlink" Target="https://www.sec.gov/Archives/edgar/data/1620463/000156459020042848/atha-ex102_90.htm" TargetMode="External"/><Relationship Id="rId431" Type="http://schemas.openxmlformats.org/officeDocument/2006/relationships/hyperlink" Target="https://www.sec.gov/Archives/edgar/data/1620463/000156459020042848/atha-ex105_89.htm" TargetMode="External"/><Relationship Id="rId432" Type="http://schemas.openxmlformats.org/officeDocument/2006/relationships/hyperlink" Target="https://www.sec.gov/Archives/edgar/data/1620463/000156459020042848/atha-ex106_88.htm" TargetMode="External"/><Relationship Id="rId433" Type="http://schemas.openxmlformats.org/officeDocument/2006/relationships/hyperlink" Target="https://www.sec.gov/Archives/edgar/data/1620463/000156459020042848/atha-ex107_87.htm" TargetMode="External"/><Relationship Id="rId434" Type="http://schemas.openxmlformats.org/officeDocument/2006/relationships/hyperlink" Target="https://www.sec.gov/Archives/edgar/data/1620463/000156459020042848/atha-ex108_86.htm" TargetMode="External"/><Relationship Id="rId436" Type="http://schemas.openxmlformats.org/officeDocument/2006/relationships/hyperlink" Target="https://www.sec.gov/Archives/edgar/data/1620463/000156459020041369/atha-ex109_529.htm" TargetMode="External"/><Relationship Id="rId437" Type="http://schemas.openxmlformats.org/officeDocument/2006/relationships/hyperlink" Target="https://www.sec.gov/Archives/edgar/data/1620463/000156459020042848/atha-ex1010_85.htm" TargetMode="External"/><Relationship Id="rId438" Type="http://schemas.openxmlformats.org/officeDocument/2006/relationships/hyperlink" Target="https://www.sec.gov/Archives/edgar/data/1620463/000156459020042848/atha-ex1011_9.htm" TargetMode="External"/><Relationship Id="rId439" Type="http://schemas.openxmlformats.org/officeDocument/2006/relationships/hyperlink" Target="https://www.sec.gov/Archives/edgar/data/1620463/000119312522023358/d290928dex102.htm" TargetMode="External"/><Relationship Id="rId440" Type="http://schemas.openxmlformats.org/officeDocument/2006/relationships/hyperlink" Target="https://www.sec.gov/Archives/edgar/data/1620463/000156459020042848/atha-ex1013_83.htm" TargetMode="External"/><Relationship Id="rId441" Type="http://schemas.openxmlformats.org/officeDocument/2006/relationships/hyperlink" Target="https://www.sec.gov/Archives/edgar/data/1620463/000156459020042848/atha-ex1014_535.htm" TargetMode="External"/><Relationship Id="rId442" Type="http://schemas.openxmlformats.org/officeDocument/2006/relationships/hyperlink" Target="https://www.sec.gov/Archives/edgar/data/1620463/000156459020042848/atha-ex1015_534.htm" TargetMode="External"/><Relationship Id="rId443" Type="http://schemas.openxmlformats.org/officeDocument/2006/relationships/hyperlink" Target="https://www.sec.gov/Archives/edgar/data/1620463/000156459020042848/atha-ex1016_533.htm" TargetMode="External"/><Relationship Id="rId444" Type="http://schemas.openxmlformats.org/officeDocument/2006/relationships/hyperlink" Target="https://www.sec.gov/Archives/edgar/data/1620463/000156459020042848/atha-ex1017_532.htm" TargetMode="External"/><Relationship Id="rId445" Type="http://schemas.openxmlformats.org/officeDocument/2006/relationships/hyperlink" Target="https://www.sec.gov/Archives/edgar/data/1620463/000156459020042848/atha-ex1018_531.htm" TargetMode="External"/><Relationship Id="rId446" Type="http://schemas.openxmlformats.org/officeDocument/2006/relationships/hyperlink" Target="https://www.sec.gov/Archives/edgar/data/1620463/000119312522023358/d290928dex101.htm" TargetMode="External"/><Relationship Id="rId447" Type="http://schemas.openxmlformats.org/officeDocument/2006/relationships/hyperlink" Target="https://www.sec.gov/Archives/edgar/data/1620463/000156459020042848/atha-ex1020_529.htm" TargetMode="External"/><Relationship Id="rId448" Type="http://schemas.openxmlformats.org/officeDocument/2006/relationships/hyperlink" Target="https://www.sec.gov/Archives/edgar/data/1620463/000156459020043324/atha-ex1021_821.htm" TargetMode="External"/><Relationship Id="rId449" Type="http://schemas.openxmlformats.org/officeDocument/2006/relationships/hyperlink" Target="https://www.sec.gov/Archives/edgar/data/1620463/000156459020043324/atha-ex1022_820.htm" TargetMode="External"/><Relationship Id="rId450" Type="http://schemas.openxmlformats.org/officeDocument/2006/relationships/hyperlink" Target="https://www.sec.gov/Archives/edgar/data/1620463/000156459021044641/atha-ex101_72.htm" TargetMode="External"/><Relationship Id="rId451" Type="http://schemas.openxmlformats.org/officeDocument/2006/relationships/hyperlink" Target="https://www.sec.gov/Archives/edgar/data/1620463/000156459021044641/atha-ex102_71.htm" TargetMode="External"/><Relationship Id="rId452" Type="http://schemas.openxmlformats.org/officeDocument/2006/relationships/hyperlink" Target="https://www.sec.gov/Archives/edgar/data/1620463/000156459021044641/atha-ex103_70.htm" TargetMode="External"/><Relationship Id="rId453" Type="http://schemas.openxmlformats.org/officeDocument/2006/relationships/hyperlink" Target="https://www.sec.gov/Archives/edgar/data/1620463/000156459021044641/atha-ex104_69.htm" TargetMode="External"/><Relationship Id="rId455" Type="http://schemas.openxmlformats.org/officeDocument/2006/relationships/hyperlink" Target="https://www.sec.gov/Archives/edgar/data/1620463/000156459021044641/atha-ex105_68.htm" TargetMode="External"/><Relationship Id="rId456" Type="http://schemas.openxmlformats.org/officeDocument/2006/relationships/hyperlink" Target="https://www.sec.gov/Archives/edgar/data/1620463/000119312521304002/d179221dex101.htm" TargetMode="External"/><Relationship Id="rId457" Type="http://schemas.openxmlformats.org/officeDocument/2006/relationships/hyperlink" Target="https://www.sec.gov/Archives/edgar/data/000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2022-03-28T15:28:39Z</dcterms:created>
  <dcterms:modified xsi:type="dcterms:W3CDTF">2022-03-28T15:28:39Z</dcterms:modified>
</cp:coreProperties>
</file>