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69" w:lineRule="exact"/>
        <w:rPr>
          <w:sz w:val="24"/>
          <w:szCs w:val="24"/>
          <w:color w:val="auto"/>
        </w:rPr>
      </w:pPr>
    </w:p>
    <w:p>
      <w:pPr>
        <w:ind w:left="860" w:hanging="852"/>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64" w:lineRule="exact"/>
        <w:rPr>
          <w:rFonts w:ascii="MS PGothic" w:cs="MS PGothic" w:eastAsia="MS PGothic" w:hAnsi="MS PGothic"/>
          <w:sz w:val="14"/>
          <w:szCs w:val="14"/>
          <w:color w:val="auto"/>
        </w:rPr>
      </w:pPr>
    </w:p>
    <w:p>
      <w:pPr>
        <w:ind w:left="860" w:hanging="852"/>
        <w:spacing w:after="0" w:line="161" w:lineRule="exact"/>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6(e)(2))</w:t>
      </w:r>
    </w:p>
    <w:p>
      <w:pPr>
        <w:spacing w:after="0" w:line="100" w:lineRule="exact"/>
        <w:rPr>
          <w:sz w:val="24"/>
          <w:szCs w:val="24"/>
          <w:color w:val="auto"/>
        </w:rPr>
      </w:pPr>
    </w:p>
    <w:p>
      <w:pPr>
        <w:ind w:left="860" w:hanging="852"/>
        <w:spacing w:after="0"/>
        <w:tabs>
          <w:tab w:leader="none" w:pos="8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82" w:lineRule="exact"/>
        <w:rPr>
          <w:sz w:val="24"/>
          <w:szCs w:val="24"/>
          <w:color w:val="auto"/>
        </w:rPr>
      </w:pPr>
    </w:p>
    <w:p>
      <w:pPr>
        <w:ind w:left="860" w:hanging="852"/>
        <w:spacing w:after="0"/>
        <w:tabs>
          <w:tab w:leader="none" w:pos="8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82" w:lineRule="exact"/>
        <w:rPr>
          <w:rFonts w:ascii="MS PGothic" w:cs="MS PGothic" w:eastAsia="MS PGothic" w:hAnsi="MS PGothic"/>
          <w:sz w:val="14"/>
          <w:szCs w:val="14"/>
          <w:color w:val="auto"/>
        </w:rPr>
      </w:pPr>
    </w:p>
    <w:p>
      <w:pPr>
        <w:ind w:left="860" w:hanging="852"/>
        <w:spacing w:after="0"/>
        <w:tabs>
          <w:tab w:leader="none" w:pos="8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72390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69215</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57"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0"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the appropriate box):</w:t>
      </w:r>
    </w:p>
    <w:p>
      <w:pPr>
        <w:spacing w:after="0" w:line="69" w:lineRule="exact"/>
        <w:rPr>
          <w:sz w:val="24"/>
          <w:szCs w:val="24"/>
          <w:color w:val="auto"/>
        </w:rPr>
      </w:pPr>
    </w:p>
    <w:p>
      <w:pPr>
        <w:ind w:left="860" w:hanging="852"/>
        <w:spacing w:after="0"/>
        <w:tabs>
          <w:tab w:leader="none" w:pos="86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82" w:lineRule="exact"/>
        <w:rPr>
          <w:sz w:val="24"/>
          <w:szCs w:val="24"/>
          <w:color w:val="auto"/>
        </w:rPr>
      </w:pPr>
    </w:p>
    <w:p>
      <w:pPr>
        <w:ind w:left="860" w:hanging="852"/>
        <w:spacing w:after="0" w:line="161" w:lineRule="exact"/>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w:t>
      </w:r>
      <w:r>
        <w:rPr>
          <w:rFonts w:ascii="MS PGothic" w:cs="MS PGothic" w:eastAsia="MS PGothic" w:hAnsi="MS PGothic"/>
          <w:sz w:val="14"/>
          <w:szCs w:val="14"/>
          <w:color w:val="auto"/>
        </w:rPr>
        <w:t>‑</w:t>
      </w:r>
      <w:r>
        <w:rPr>
          <w:rFonts w:ascii="Arial" w:cs="Arial" w:eastAsia="Arial" w:hAnsi="Arial"/>
          <w:sz w:val="14"/>
          <w:szCs w:val="14"/>
          <w:color w:val="auto"/>
        </w:rPr>
        <w:t>6(i)(1) and 0</w:t>
      </w:r>
      <w:r>
        <w:rPr>
          <w:rFonts w:ascii="MS PGothic" w:cs="MS PGothic" w:eastAsia="MS PGothic" w:hAnsi="MS PGothic"/>
          <w:sz w:val="14"/>
          <w:szCs w:val="14"/>
          <w:color w:val="auto"/>
        </w:rPr>
        <w:t>‑</w:t>
      </w:r>
      <w:r>
        <w:rPr>
          <w:rFonts w:ascii="Arial" w:cs="Arial" w:eastAsia="Arial" w:hAnsi="Arial"/>
          <w:sz w:val="14"/>
          <w:szCs w:val="14"/>
          <w:color w:val="auto"/>
        </w:rPr>
        <w:t>11.</w:t>
      </w:r>
    </w:p>
    <w:p>
      <w:pPr>
        <w:spacing w:after="0" w:line="122" w:lineRule="exact"/>
        <w:rPr>
          <w:rFonts w:ascii="MS PGothic" w:cs="MS PGothic" w:eastAsia="MS PGothic" w:hAnsi="MS PGothic"/>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8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57" w:lineRule="exact"/>
        <w:rPr>
          <w:rFonts w:ascii="Arial" w:cs="Arial" w:eastAsia="Arial" w:hAnsi="Arial"/>
          <w:sz w:val="14"/>
          <w:szCs w:val="14"/>
          <w:color w:val="auto"/>
        </w:rPr>
      </w:pPr>
    </w:p>
    <w:p>
      <w:pPr>
        <w:ind w:left="1700" w:hanging="842"/>
        <w:spacing w:after="0" w:line="258" w:lineRule="auto"/>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61"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4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76" w:lineRule="exact"/>
        <w:rPr>
          <w:rFonts w:ascii="Arial" w:cs="Arial" w:eastAsia="Arial" w:hAnsi="Arial"/>
          <w:sz w:val="14"/>
          <w:szCs w:val="14"/>
          <w:color w:val="auto"/>
        </w:rPr>
      </w:pPr>
    </w:p>
    <w:p>
      <w:pPr>
        <w:ind w:left="860" w:hanging="852"/>
        <w:spacing w:after="0"/>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95" w:lineRule="exact"/>
        <w:rPr>
          <w:rFonts w:ascii="MS PGothic" w:cs="MS PGothic" w:eastAsia="MS PGothic" w:hAnsi="MS PGothic"/>
          <w:sz w:val="14"/>
          <w:szCs w:val="14"/>
          <w:color w:val="auto"/>
        </w:rPr>
      </w:pPr>
    </w:p>
    <w:p>
      <w:pPr>
        <w:ind w:left="860" w:hanging="852"/>
        <w:spacing w:after="0" w:line="258" w:lineRule="auto"/>
        <w:tabs>
          <w:tab w:leader="none" w:pos="8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5" w:lineRule="exact"/>
        <w:rPr>
          <w:rFonts w:ascii="MS PGothic" w:cs="MS PGothic" w:eastAsia="MS PGothic" w:hAnsi="MS PGothic"/>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4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84"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57" w:lineRule="exact"/>
        <w:rPr>
          <w:rFonts w:ascii="Arial" w:cs="Arial" w:eastAsia="Arial" w:hAnsi="Arial"/>
          <w:sz w:val="14"/>
          <w:szCs w:val="14"/>
          <w:color w:val="auto"/>
        </w:rPr>
      </w:pPr>
    </w:p>
    <w:p>
      <w:pPr>
        <w:ind w:left="1700" w:hanging="842"/>
        <w:spacing w:after="0"/>
        <w:tabs>
          <w:tab w:leader="none" w:pos="170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-2522220</wp:posOffset>
            </wp:positionV>
            <wp:extent cx="6583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-2239010</wp:posOffset>
            </wp:positionV>
            <wp:extent cx="6583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-1870710</wp:posOffset>
            </wp:positionV>
            <wp:extent cx="6583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-1587500</wp:posOffset>
            </wp:positionV>
            <wp:extent cx="6583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-1330325</wp:posOffset>
            </wp:positionV>
            <wp:extent cx="6583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-704850</wp:posOffset>
            </wp:positionV>
            <wp:extent cx="6583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-447675</wp:posOffset>
            </wp:positionV>
            <wp:extent cx="6583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-164465</wp:posOffset>
            </wp:positionV>
            <wp:extent cx="6583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83185</wp:posOffset>
            </wp:positionV>
            <wp:extent cx="65836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533400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93"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2822575</wp:posOffset>
            </wp:positionH>
            <wp:positionV relativeFrom="page">
              <wp:posOffset>226060</wp:posOffset>
            </wp:positionV>
            <wp:extent cx="1903095" cy="951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95123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18706 North Creek Parkway, Suite 104</w:t>
      </w:r>
    </w:p>
    <w:p>
      <w:pPr>
        <w:jc w:val="center"/>
        <w:spacing w:after="0" w:line="234" w:lineRule="auto"/>
        <w:rPr>
          <w:sz w:val="20"/>
          <w:szCs w:val="20"/>
          <w:color w:val="auto"/>
        </w:rPr>
      </w:pPr>
      <w:r>
        <w:rPr>
          <w:rFonts w:ascii="Arial" w:cs="Arial" w:eastAsia="Arial" w:hAnsi="Arial"/>
          <w:sz w:val="18"/>
          <w:szCs w:val="18"/>
          <w:color w:val="auto"/>
        </w:rPr>
        <w:t>Bothell, Washington 98011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(425) 620-8501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10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are pleased to invite you to attend the annual meeting of stockholders of Athira Pharma, Inc., to be held on Thursday, May 27, 2021 at 10:00 a.m., Pacific Time. The annual meeting will be conducted virtually via live audio webcast. You will be able to attend the annual meeting virtually by visiting www.virtualshareholdermeeting.com/ATHA2021, where you will be able to listen to the meeting live, submit questions and vote online.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attached formal meeting notice and proxy statement contain details of the business to be conducted at the annual meeting.</w:t>
      </w:r>
    </w:p>
    <w:p>
      <w:pPr>
        <w:spacing w:after="0" w:line="21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Your vote is important. Whether or not you attend the annual meeting, it is important that your shares be represented and voted at the annual meeting. Therefore, we urge you to vote and submit your proxy promptly via the Internet, telephone or mail.</w:t>
      </w:r>
    </w:p>
    <w:p>
      <w:pPr>
        <w:spacing w:after="0" w:line="197"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On behalf of our Board of Directors, we would like to express our appreciation for your continued support of and interest in Athira Pharma,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Leen Kawas</w:t>
      </w:r>
    </w:p>
    <w:p>
      <w:pPr>
        <w:spacing w:after="0"/>
        <w:rPr>
          <w:sz w:val="20"/>
          <w:szCs w:val="20"/>
          <w:color w:val="auto"/>
        </w:rPr>
      </w:pPr>
      <w:r>
        <w:rPr>
          <w:rFonts w:ascii="Arial" w:cs="Arial" w:eastAsia="Arial" w:hAnsi="Arial"/>
          <w:sz w:val="18"/>
          <w:szCs w:val="18"/>
          <w:color w:val="auto"/>
        </w:rPr>
        <w:t>President and Chief Executive Officer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i</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20" w:type="dxa"/>
            <w:vAlign w:val="bottom"/>
          </w:tcPr>
          <w:p>
            <w:pPr>
              <w:jc w:val="center"/>
              <w:ind w:right="3770"/>
              <w:spacing w:after="0"/>
              <w:rPr>
                <w:sz w:val="20"/>
                <w:szCs w:val="20"/>
                <w:color w:val="auto"/>
              </w:rPr>
            </w:pPr>
            <w:r>
              <w:rPr>
                <w:rFonts w:ascii="Arial" w:cs="Arial" w:eastAsia="Arial" w:hAnsi="Arial"/>
                <w:sz w:val="18"/>
                <w:szCs w:val="18"/>
                <w:b w:val="1"/>
                <w:bCs w:val="1"/>
                <w:color w:val="auto"/>
                <w:w w:val="98"/>
              </w:rPr>
              <w:t>ATHIRA PHARMA, INC.</w:t>
            </w:r>
          </w:p>
        </w:tc>
      </w:tr>
      <w:tr>
        <w:trPr>
          <w:trHeight w:val="203"/>
        </w:trPr>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20" w:type="dxa"/>
            <w:vAlign w:val="bottom"/>
          </w:tcPr>
          <w:p>
            <w:pPr>
              <w:jc w:val="center"/>
              <w:ind w:right="3770"/>
              <w:spacing w:after="0" w:line="202" w:lineRule="exact"/>
              <w:rPr>
                <w:sz w:val="20"/>
                <w:szCs w:val="20"/>
                <w:color w:val="auto"/>
              </w:rPr>
            </w:pPr>
            <w:r>
              <w:rPr>
                <w:rFonts w:ascii="Arial" w:cs="Arial" w:eastAsia="Arial" w:hAnsi="Arial"/>
                <w:sz w:val="18"/>
                <w:szCs w:val="18"/>
                <w:b w:val="1"/>
                <w:bCs w:val="1"/>
                <w:color w:val="auto"/>
                <w:w w:val="99"/>
              </w:rPr>
              <w:t>18706 North Creek Parkway, Suite 104</w:t>
            </w:r>
          </w:p>
        </w:tc>
      </w:tr>
      <w:tr>
        <w:trPr>
          <w:trHeight w:val="239"/>
        </w:trPr>
        <w:tc>
          <w:tcPr>
            <w:tcW w:w="2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20" w:type="dxa"/>
            <w:vAlign w:val="bottom"/>
          </w:tcPr>
          <w:p>
            <w:pPr>
              <w:jc w:val="center"/>
              <w:ind w:right="3770"/>
              <w:spacing w:after="0"/>
              <w:rPr>
                <w:sz w:val="20"/>
                <w:szCs w:val="20"/>
                <w:color w:val="auto"/>
              </w:rPr>
            </w:pPr>
            <w:r>
              <w:rPr>
                <w:rFonts w:ascii="Arial" w:cs="Arial" w:eastAsia="Arial" w:hAnsi="Arial"/>
                <w:sz w:val="18"/>
                <w:szCs w:val="18"/>
                <w:b w:val="1"/>
                <w:bCs w:val="1"/>
                <w:color w:val="auto"/>
                <w:w w:val="99"/>
              </w:rPr>
              <w:t>Bothell, Washington 98011</w:t>
            </w:r>
          </w:p>
        </w:tc>
      </w:tr>
      <w:tr>
        <w:trPr>
          <w:trHeight w:val="418"/>
        </w:trPr>
        <w:tc>
          <w:tcPr>
            <w:tcW w:w="2960" w:type="dxa"/>
            <w:vAlign w:val="bottom"/>
          </w:tcPr>
          <w:p>
            <w:pPr>
              <w:spacing w:after="0"/>
              <w:rPr>
                <w:sz w:val="24"/>
                <w:szCs w:val="24"/>
                <w:color w:val="auto"/>
              </w:rPr>
            </w:pPr>
          </w:p>
        </w:tc>
        <w:tc>
          <w:tcPr>
            <w:tcW w:w="8300" w:type="dxa"/>
            <w:vAlign w:val="bottom"/>
            <w:gridSpan w:val="2"/>
          </w:tcPr>
          <w:p>
            <w:pPr>
              <w:jc w:val="center"/>
              <w:ind w:right="2890"/>
              <w:spacing w:after="0"/>
              <w:rPr>
                <w:sz w:val="20"/>
                <w:szCs w:val="20"/>
                <w:color w:val="auto"/>
              </w:rPr>
            </w:pPr>
            <w:r>
              <w:rPr>
                <w:rFonts w:ascii="Arial" w:cs="Arial" w:eastAsia="Arial" w:hAnsi="Arial"/>
                <w:sz w:val="18"/>
                <w:szCs w:val="18"/>
                <w:b w:val="1"/>
                <w:bCs w:val="1"/>
                <w:color w:val="auto"/>
                <w:w w:val="99"/>
              </w:rPr>
              <w:t>NOTICE OF ANNUAL MEETING OF STOCKHOLDERS</w:t>
            </w:r>
          </w:p>
        </w:tc>
      </w:tr>
      <w:tr>
        <w:trPr>
          <w:trHeight w:val="445"/>
        </w:trPr>
        <w:tc>
          <w:tcPr>
            <w:tcW w:w="296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10:00 a.m., Pacific Time, on Thursday May 27, 2021.</w:t>
            </w:r>
          </w:p>
        </w:tc>
      </w:tr>
      <w:tr>
        <w:trPr>
          <w:trHeight w:val="472"/>
        </w:trPr>
        <w:tc>
          <w:tcPr>
            <w:tcW w:w="296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The annual meeting will be conducted virtually via live audio webcast. You will be able to attend</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the annual meeting virtually by visiting www.virtualshareholdermeeting.com/ATHA2021, where</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you will be able to listen to the meeting live, submit questions and vote online during the</w:t>
            </w:r>
          </w:p>
        </w:tc>
      </w:tr>
      <w:tr>
        <w:trPr>
          <w:trHeight w:val="217"/>
        </w:trPr>
        <w:tc>
          <w:tcPr>
            <w:tcW w:w="2960" w:type="dxa"/>
            <w:vAlign w:val="bottom"/>
          </w:tcPr>
          <w:p>
            <w:pPr>
              <w:spacing w:after="0"/>
              <w:rPr>
                <w:sz w:val="18"/>
                <w:szCs w:val="18"/>
                <w:color w:val="auto"/>
              </w:rPr>
            </w:pP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meeting.</w:t>
            </w:r>
          </w:p>
        </w:tc>
      </w:tr>
      <w:tr>
        <w:trPr>
          <w:trHeight w:val="445"/>
        </w:trPr>
        <w:tc>
          <w:tcPr>
            <w:tcW w:w="296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420" w:type="dxa"/>
            <w:vAlign w:val="bottom"/>
          </w:tcPr>
          <w:p>
            <w:pPr>
              <w:jc w:val="right"/>
              <w:spacing w:after="0"/>
              <w:rPr>
                <w:sz w:val="20"/>
                <w:szCs w:val="20"/>
                <w:color w:val="auto"/>
              </w:rPr>
            </w:pPr>
            <w:r>
              <w:rPr>
                <w:rFonts w:ascii="Arial" w:cs="Arial" w:eastAsia="Arial" w:hAnsi="Arial"/>
                <w:sz w:val="18"/>
                <w:szCs w:val="18"/>
                <w:color w:val="auto"/>
              </w:rPr>
              <w:t>To elect the three nominees named in this proxy statement as Class I directors to hold</w:t>
            </w:r>
          </w:p>
        </w:tc>
      </w:tr>
      <w:tr>
        <w:trPr>
          <w:trHeight w:val="203"/>
        </w:trPr>
        <w:tc>
          <w:tcPr>
            <w:tcW w:w="2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420" w:type="dxa"/>
            <w:vAlign w:val="bottom"/>
          </w:tcPr>
          <w:p>
            <w:pPr>
              <w:jc w:val="right"/>
              <w:spacing w:after="0" w:line="202" w:lineRule="exact"/>
              <w:rPr>
                <w:sz w:val="20"/>
                <w:szCs w:val="20"/>
                <w:color w:val="auto"/>
              </w:rPr>
            </w:pPr>
            <w:r>
              <w:rPr>
                <w:rFonts w:ascii="Arial" w:cs="Arial" w:eastAsia="Arial" w:hAnsi="Arial"/>
                <w:sz w:val="18"/>
                <w:szCs w:val="18"/>
                <w:color w:val="auto"/>
              </w:rPr>
              <w:t>office until our 2024 annual meeting of stockholders and until their respective successors</w:t>
            </w:r>
          </w:p>
        </w:tc>
      </w:tr>
      <w:tr>
        <w:trPr>
          <w:trHeight w:val="217"/>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are elected and qualified.</w:t>
            </w:r>
          </w:p>
        </w:tc>
      </w:tr>
      <w:tr>
        <w:trPr>
          <w:trHeight w:val="310"/>
        </w:trPr>
        <w:tc>
          <w:tcPr>
            <w:tcW w:w="296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420" w:type="dxa"/>
            <w:vAlign w:val="bottom"/>
          </w:tcPr>
          <w:p>
            <w:pPr>
              <w:jc w:val="right"/>
              <w:spacing w:after="0"/>
              <w:rPr>
                <w:sz w:val="20"/>
                <w:szCs w:val="20"/>
                <w:color w:val="auto"/>
              </w:rPr>
            </w:pPr>
            <w:r>
              <w:rPr>
                <w:rFonts w:ascii="Arial" w:cs="Arial" w:eastAsia="Arial" w:hAnsi="Arial"/>
                <w:sz w:val="18"/>
                <w:szCs w:val="18"/>
                <w:color w:val="auto"/>
              </w:rPr>
              <w:t>To ratify the appointment of Ernst &amp; Young LLP as our independent registered public</w:t>
            </w:r>
          </w:p>
        </w:tc>
      </w:tr>
      <w:tr>
        <w:trPr>
          <w:trHeight w:val="217"/>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accounting firm for our fiscal year ending December 31, 2021.</w:t>
            </w:r>
          </w:p>
        </w:tc>
      </w:tr>
      <w:tr>
        <w:trPr>
          <w:trHeight w:val="310"/>
        </w:trPr>
        <w:tc>
          <w:tcPr>
            <w:tcW w:w="2960" w:type="dxa"/>
            <w:vAlign w:val="bottom"/>
          </w:tcPr>
          <w:p>
            <w:pPr>
              <w:spacing w:after="0"/>
              <w:rPr>
                <w:sz w:val="24"/>
                <w:szCs w:val="24"/>
                <w:color w:val="auto"/>
              </w:rPr>
            </w:pPr>
          </w:p>
        </w:tc>
        <w:tc>
          <w:tcPr>
            <w:tcW w:w="880" w:type="dxa"/>
            <w:vAlign w:val="bottom"/>
          </w:tcPr>
          <w:p>
            <w:pPr>
              <w:ind w:left="660"/>
              <w:spacing w:after="0"/>
              <w:rPr>
                <w:sz w:val="20"/>
                <w:szCs w:val="20"/>
                <w:color w:val="auto"/>
              </w:rPr>
            </w:pPr>
            <w:r>
              <w:rPr>
                <w:rFonts w:ascii="Arial" w:cs="Arial" w:eastAsia="Arial" w:hAnsi="Arial"/>
                <w:sz w:val="18"/>
                <w:szCs w:val="18"/>
                <w:color w:val="auto"/>
              </w:rPr>
              <w:t>•</w:t>
            </w:r>
          </w:p>
        </w:tc>
        <w:tc>
          <w:tcPr>
            <w:tcW w:w="7420" w:type="dxa"/>
            <w:vAlign w:val="bottom"/>
          </w:tcPr>
          <w:p>
            <w:pPr>
              <w:jc w:val="right"/>
              <w:spacing w:after="0"/>
              <w:rPr>
                <w:sz w:val="20"/>
                <w:szCs w:val="20"/>
                <w:color w:val="auto"/>
              </w:rPr>
            </w:pPr>
            <w:r>
              <w:rPr>
                <w:rFonts w:ascii="Arial" w:cs="Arial" w:eastAsia="Arial" w:hAnsi="Arial"/>
                <w:sz w:val="18"/>
                <w:szCs w:val="18"/>
                <w:color w:val="auto"/>
              </w:rPr>
              <w:t>To transact other business that may properly come before the annual meeting or any</w:t>
            </w:r>
          </w:p>
        </w:tc>
      </w:tr>
      <w:tr>
        <w:trPr>
          <w:trHeight w:val="217"/>
        </w:trPr>
        <w:tc>
          <w:tcPr>
            <w:tcW w:w="2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20" w:type="dxa"/>
            <w:vAlign w:val="bottom"/>
          </w:tcPr>
          <w:p>
            <w:pPr>
              <w:ind w:left="220"/>
              <w:spacing w:after="0"/>
              <w:rPr>
                <w:sz w:val="20"/>
                <w:szCs w:val="20"/>
                <w:color w:val="auto"/>
              </w:rPr>
            </w:pPr>
            <w:r>
              <w:rPr>
                <w:rFonts w:ascii="Arial" w:cs="Arial" w:eastAsia="Arial" w:hAnsi="Arial"/>
                <w:sz w:val="18"/>
                <w:szCs w:val="18"/>
                <w:color w:val="auto"/>
              </w:rPr>
              <w:t>adjournments or postponements thereof.</w:t>
            </w:r>
          </w:p>
        </w:tc>
      </w:tr>
      <w:tr>
        <w:trPr>
          <w:trHeight w:val="445"/>
        </w:trPr>
        <w:tc>
          <w:tcPr>
            <w:tcW w:w="296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March 29, 2021.</w:t>
            </w:r>
          </w:p>
        </w:tc>
      </w:tr>
      <w:tr>
        <w:trPr>
          <w:trHeight w:val="431"/>
        </w:trPr>
        <w:tc>
          <w:tcPr>
            <w:tcW w:w="2960" w:type="dxa"/>
            <w:vAlign w:val="bottom"/>
          </w:tcPr>
          <w:p>
            <w:pPr>
              <w:spacing w:after="0"/>
              <w:rPr>
                <w:sz w:val="24"/>
                <w:szCs w:val="24"/>
                <w:color w:val="auto"/>
              </w:rPr>
            </w:pP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Only stockholders of record as of March 29, 2021 are entitled to notice of and to vote at the</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annual meeting. For ten days prior to the annual meeting, a complete list of stockholders of</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record entitled to vote at the annual meeting will be available for examination by any</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stockholder for any purpose relevant to the annual meeting. If you would like to view the list,</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w w:val="99"/>
              </w:rPr>
              <w:t>please contact our corporate secretary to schedule an appointment by calling (425) 620-8501 or</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writing to her at Athira Pharma, Inc., 18706 North Creek Parkway, Suite 104, Bothell,</w:t>
            </w:r>
          </w:p>
        </w:tc>
      </w:tr>
      <w:tr>
        <w:trPr>
          <w:trHeight w:val="202"/>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Washington 98011, Attention: Corporate Secretary. The stockholder list will also be available</w:t>
            </w:r>
          </w:p>
        </w:tc>
      </w:tr>
      <w:tr>
        <w:trPr>
          <w:trHeight w:val="217"/>
        </w:trPr>
        <w:tc>
          <w:tcPr>
            <w:tcW w:w="2960" w:type="dxa"/>
            <w:vAlign w:val="bottom"/>
          </w:tcPr>
          <w:p>
            <w:pPr>
              <w:spacing w:after="0"/>
              <w:rPr>
                <w:sz w:val="18"/>
                <w:szCs w:val="18"/>
                <w:color w:val="auto"/>
              </w:rPr>
            </w:pP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online during the annual meeting at www.virtualshareholdermeeting.com/ATHA2021.</w:t>
            </w:r>
          </w:p>
        </w:tc>
      </w:tr>
      <w:tr>
        <w:trPr>
          <w:trHeight w:val="431"/>
        </w:trPr>
        <w:tc>
          <w:tcPr>
            <w:tcW w:w="2960" w:type="dxa"/>
            <w:vAlign w:val="bottom"/>
          </w:tcPr>
          <w:p>
            <w:pPr>
              <w:spacing w:after="0"/>
              <w:rPr>
                <w:sz w:val="20"/>
                <w:szCs w:val="20"/>
                <w:color w:val="auto"/>
              </w:rPr>
            </w:pPr>
            <w:r>
              <w:rPr>
                <w:rFonts w:ascii="Arial" w:cs="Arial" w:eastAsia="Arial" w:hAnsi="Arial"/>
                <w:sz w:val="18"/>
                <w:szCs w:val="18"/>
                <w:b w:val="1"/>
                <w:bCs w:val="1"/>
                <w:color w:val="auto"/>
              </w:rPr>
              <w:t>Availability of Proxy Materials</w:t>
            </w: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The Notice of Internet Availability of Proxy Materials containing instructions on how to access</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our proxy statement, notice of annual meeting, form of proxy and our annual report, is first</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being sent or given on or about April 16, 2021 to all stockholders entitled to vote at the annual</w:t>
            </w:r>
          </w:p>
        </w:tc>
      </w:tr>
      <w:tr>
        <w:trPr>
          <w:trHeight w:val="203"/>
        </w:trPr>
        <w:tc>
          <w:tcPr>
            <w:tcW w:w="2960" w:type="dxa"/>
            <w:vAlign w:val="bottom"/>
          </w:tcPr>
          <w:p>
            <w:pPr>
              <w:spacing w:after="0"/>
              <w:rPr>
                <w:sz w:val="17"/>
                <w:szCs w:val="17"/>
                <w:color w:val="auto"/>
              </w:rPr>
            </w:pPr>
          </w:p>
        </w:tc>
        <w:tc>
          <w:tcPr>
            <w:tcW w:w="830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meeting. The proxy materials and our annual report can be accessed as of April 16, 2021 by</w:t>
            </w:r>
          </w:p>
        </w:tc>
      </w:tr>
      <w:tr>
        <w:trPr>
          <w:trHeight w:val="217"/>
        </w:trPr>
        <w:tc>
          <w:tcPr>
            <w:tcW w:w="2960" w:type="dxa"/>
            <w:vAlign w:val="bottom"/>
          </w:tcPr>
          <w:p>
            <w:pPr>
              <w:spacing w:after="0"/>
              <w:rPr>
                <w:sz w:val="18"/>
                <w:szCs w:val="18"/>
                <w:color w:val="auto"/>
              </w:rPr>
            </w:pPr>
          </w:p>
        </w:tc>
        <w:tc>
          <w:tcPr>
            <w:tcW w:w="8300" w:type="dxa"/>
            <w:vAlign w:val="bottom"/>
            <w:gridSpan w:val="2"/>
          </w:tcPr>
          <w:p>
            <w:pPr>
              <w:ind w:left="660"/>
              <w:spacing w:after="0"/>
              <w:rPr>
                <w:sz w:val="20"/>
                <w:szCs w:val="20"/>
                <w:color w:val="auto"/>
              </w:rPr>
            </w:pPr>
            <w:r>
              <w:rPr>
                <w:rFonts w:ascii="Arial" w:cs="Arial" w:eastAsia="Arial" w:hAnsi="Arial"/>
                <w:sz w:val="18"/>
                <w:szCs w:val="18"/>
                <w:color w:val="auto"/>
              </w:rPr>
              <w:t>visiting www.proxyvote.com.</w:t>
            </w:r>
          </w:p>
        </w:tc>
      </w:tr>
      <w:tr>
        <w:trPr>
          <w:trHeight w:val="344"/>
        </w:trPr>
        <w:tc>
          <w:tcPr>
            <w:tcW w:w="2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b w:val="1"/>
          <w:bCs w:val="1"/>
          <w:color w:val="auto"/>
        </w:rPr>
        <w:t>Your vote is important</w:t>
      </w:r>
      <w:r>
        <w:rPr>
          <w:rFonts w:ascii="Arial" w:cs="Arial" w:eastAsia="Arial" w:hAnsi="Arial"/>
          <w:sz w:val="18"/>
          <w:szCs w:val="18"/>
          <w:color w:val="auto"/>
        </w:rPr>
        <w:t>. Whether or not you plan to attend the annual meeting, we urge you to</w:t>
      </w:r>
      <w:r>
        <w:rPr>
          <w:rFonts w:ascii="Arial" w:cs="Arial" w:eastAsia="Arial" w:hAnsi="Arial"/>
          <w:sz w:val="18"/>
          <w:szCs w:val="18"/>
          <w:b w:val="1"/>
          <w:bCs w:val="1"/>
          <w:color w:val="auto"/>
        </w:rPr>
        <w:t xml:space="preserve"> </w:t>
      </w:r>
      <w:r>
        <w:rPr>
          <w:rFonts w:ascii="Arial" w:cs="Arial" w:eastAsia="Arial" w:hAnsi="Arial"/>
          <w:sz w:val="18"/>
          <w:szCs w:val="18"/>
          <w:color w:val="auto"/>
        </w:rPr>
        <w:t>submit your proxy or voting instructions via the Internet, telephone or mail as soon as possible.</w:t>
      </w:r>
    </w:p>
    <w:p>
      <w:pPr>
        <w:spacing w:after="0" w:line="200" w:lineRule="exact"/>
        <w:rPr>
          <w:sz w:val="20"/>
          <w:szCs w:val="20"/>
          <w:color w:val="auto"/>
        </w:rPr>
      </w:pPr>
    </w:p>
    <w:p>
      <w:pPr>
        <w:sectPr>
          <w:pgSz w:w="11900" w:h="16838" w:orient="portrait"/>
          <w:cols w:equalWidth="0" w:num="2">
            <w:col w:w="2900" w:space="720"/>
            <w:col w:w="7620"/>
          </w:cols>
          <w:pgMar w:left="320" w:top="576" w:right="339" w:bottom="1440" w:gutter="0" w:footer="0" w:header="0"/>
        </w:sectPr>
      </w:pP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240"/>
          </w:cols>
          <w:pgMar w:left="320" w:top="57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Leen Kawas</w:t>
      </w:r>
    </w:p>
    <w:p>
      <w:pPr>
        <w:ind w:left="5620"/>
        <w:spacing w:after="0" w:line="234" w:lineRule="auto"/>
        <w:rPr>
          <w:sz w:val="20"/>
          <w:szCs w:val="20"/>
          <w:color w:val="auto"/>
        </w:rPr>
      </w:pPr>
      <w:r>
        <w:rPr>
          <w:rFonts w:ascii="Arial" w:cs="Arial" w:eastAsia="Arial" w:hAnsi="Arial"/>
          <w:sz w:val="18"/>
          <w:szCs w:val="18"/>
          <w:color w:val="auto"/>
        </w:rPr>
        <w:t>President and Chief Executive Officer</w:t>
      </w:r>
    </w:p>
    <w:p>
      <w:pPr>
        <w:ind w:left="5620"/>
        <w:spacing w:after="0" w:line="235" w:lineRule="auto"/>
        <w:rPr>
          <w:sz w:val="20"/>
          <w:szCs w:val="20"/>
          <w:color w:val="auto"/>
        </w:rPr>
      </w:pPr>
      <w:r>
        <w:rPr>
          <w:rFonts w:ascii="Arial" w:cs="Arial" w:eastAsia="Arial" w:hAnsi="Arial"/>
          <w:sz w:val="18"/>
          <w:szCs w:val="18"/>
          <w:color w:val="auto"/>
        </w:rPr>
        <w:t>Bothell, Washington</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April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182245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c>
          <w:tcPr>
            <w:tcW w:w="20" w:type="dxa"/>
            <w:vAlign w:val="bottom"/>
          </w:tcPr>
          <w:p>
            <w:pPr>
              <w:spacing w:after="0"/>
              <w:rPr>
                <w:sz w:val="20"/>
                <w:szCs w:val="20"/>
                <w:color w:val="auto"/>
              </w:rPr>
            </w:pPr>
          </w:p>
        </w:tc>
      </w:tr>
      <w:tr>
        <w:trPr>
          <w:trHeight w:val="385"/>
        </w:trPr>
        <w:tc>
          <w:tcPr>
            <w:tcW w:w="10460" w:type="dxa"/>
            <w:vAlign w:val="bottom"/>
            <w:gridSpan w:val="4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QUESTIONS AND ANSWERS ABOUT THE PROXY MATERIALS AND OUR ANNUAL MEETING</w:t>
              </w:r>
            </w:hyperlink>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196"/>
        </w:trPr>
        <w:tc>
          <w:tcPr>
            <w:tcW w:w="7800" w:type="dxa"/>
            <w:vAlign w:val="bottom"/>
            <w:tcBorders>
              <w:top w:val="single" w:sz="8" w:color="0000EE"/>
            </w:tcBorders>
            <w:gridSpan w:val="45"/>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BOARD OF DIRECTORS AND CORPORATE GOVERNANCE</w:t>
              </w:r>
            </w:hyperlink>
          </w:p>
        </w:tc>
        <w:tc>
          <w:tcPr>
            <w:tcW w:w="2660" w:type="dxa"/>
            <w:vAlign w:val="bottom"/>
            <w:gridSpan w:val="3"/>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Borders>
              <w:top w:val="single" w:sz="8" w:color="0000EE"/>
            </w:tcBorders>
          </w:tcPr>
          <w:p>
            <w:pPr>
              <w:spacing w:after="0"/>
              <w:rPr>
                <w:sz w:val="17"/>
                <w:szCs w:val="17"/>
                <w:color w:val="auto"/>
              </w:rPr>
            </w:pPr>
          </w:p>
        </w:tc>
        <w:tc>
          <w:tcPr>
            <w:tcW w:w="204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Composition of the Board</w:t>
              </w:r>
            </w:hyperlink>
          </w:p>
        </w:tc>
        <w:tc>
          <w:tcPr>
            <w:tcW w:w="2760" w:type="dxa"/>
            <w:vAlign w:val="bottom"/>
            <w:tcBorders>
              <w:top w:val="single" w:sz="8" w:color="0000EE"/>
            </w:tcBorders>
            <w:gridSpan w:val="21"/>
          </w:tcPr>
          <w:p>
            <w:pPr>
              <w:spacing w:after="0"/>
              <w:rPr>
                <w:sz w:val="17"/>
                <w:szCs w:val="17"/>
                <w:color w:val="auto"/>
              </w:rPr>
            </w:pPr>
          </w:p>
        </w:tc>
        <w:tc>
          <w:tcPr>
            <w:tcW w:w="5480" w:type="dxa"/>
            <w:vAlign w:val="bottom"/>
            <w:gridSpan w:val="9"/>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7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Nominees for Director</w:t>
              </w:r>
            </w:hyperlink>
          </w:p>
        </w:tc>
        <w:tc>
          <w:tcPr>
            <w:tcW w:w="8520" w:type="dxa"/>
            <w:vAlign w:val="bottom"/>
            <w:gridSpan w:val="34"/>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r>
      <w:tr>
        <w:trPr>
          <w:trHeight w:val="196"/>
        </w:trPr>
        <w:tc>
          <w:tcPr>
            <w:tcW w:w="180" w:type="dxa"/>
            <w:vAlign w:val="bottom"/>
          </w:tcPr>
          <w:p>
            <w:pPr>
              <w:spacing w:after="0"/>
              <w:rPr>
                <w:sz w:val="17"/>
                <w:szCs w:val="17"/>
                <w:color w:val="auto"/>
              </w:rPr>
            </w:pPr>
          </w:p>
        </w:tc>
        <w:tc>
          <w:tcPr>
            <w:tcW w:w="16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Continuing Directors</w:t>
              </w:r>
            </w:hyperlink>
          </w:p>
        </w:tc>
        <w:tc>
          <w:tcPr>
            <w:tcW w:w="8640" w:type="dxa"/>
            <w:vAlign w:val="bottom"/>
            <w:gridSpan w:val="36"/>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2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Role of Board in Risk Oversight Process</w:t>
              </w:r>
            </w:hyperlink>
          </w:p>
        </w:tc>
        <w:tc>
          <w:tcPr>
            <w:tcW w:w="7060" w:type="dxa"/>
            <w:vAlign w:val="bottom"/>
            <w:gridSpan w:val="19"/>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3800" w:type="dxa"/>
            <w:vAlign w:val="bottom"/>
            <w:tcBorders>
              <w:bottom w:val="single" w:sz="8" w:color="0000EE"/>
            </w:tcBorders>
            <w:gridSpan w:val="3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Attendance at Board and Stockholder Meetings</w:t>
              </w:r>
            </w:hyperlink>
          </w:p>
        </w:tc>
        <w:tc>
          <w:tcPr>
            <w:tcW w:w="6480" w:type="dxa"/>
            <w:vAlign w:val="bottom"/>
            <w:gridSpan w:val="14"/>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378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Executive Sessions of Non-Employee Directors</w:t>
              </w:r>
            </w:hyperlink>
          </w:p>
        </w:tc>
        <w:tc>
          <w:tcPr>
            <w:tcW w:w="6500" w:type="dxa"/>
            <w:vAlign w:val="bottom"/>
            <w:gridSpan w:val="15"/>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5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Board Committees</w:t>
              </w:r>
            </w:hyperlink>
          </w:p>
        </w:tc>
        <w:tc>
          <w:tcPr>
            <w:tcW w:w="8780" w:type="dxa"/>
            <w:vAlign w:val="bottom"/>
            <w:gridSpan w:val="39"/>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Considerations in Evaluating Director Nominees</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920" w:type="dxa"/>
            <w:vAlign w:val="bottom"/>
            <w:tcBorders>
              <w:bottom w:val="single" w:sz="8" w:color="0000EE"/>
            </w:tcBorders>
            <w:gridSpan w:val="41"/>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Stockholder Recommendations and Nominations to our Board of Directors</w:t>
              </w:r>
            </w:hyperlink>
          </w:p>
        </w:tc>
        <w:tc>
          <w:tcPr>
            <w:tcW w:w="4360" w:type="dxa"/>
            <w:vAlign w:val="bottom"/>
            <w:gridSpan w:val="6"/>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w:t>
            </w:r>
          </w:p>
        </w:tc>
      </w:tr>
      <w:tr>
        <w:trPr>
          <w:trHeight w:val="196"/>
        </w:trPr>
        <w:tc>
          <w:tcPr>
            <w:tcW w:w="180" w:type="dxa"/>
            <w:vAlign w:val="bottom"/>
          </w:tcPr>
          <w:p>
            <w:pPr>
              <w:spacing w:after="0"/>
              <w:rPr>
                <w:sz w:val="17"/>
                <w:szCs w:val="17"/>
                <w:color w:val="auto"/>
              </w:rPr>
            </w:pPr>
          </w:p>
        </w:tc>
        <w:tc>
          <w:tcPr>
            <w:tcW w:w="35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Communications with the Board of Directors</w:t>
              </w:r>
            </w:hyperlink>
          </w:p>
        </w:tc>
        <w:tc>
          <w:tcPr>
            <w:tcW w:w="6760" w:type="dxa"/>
            <w:vAlign w:val="bottom"/>
            <w:gridSpan w:val="17"/>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Policy Prohibiting Hedging or Pledging of Securities</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26"/>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Code of Business Conduct and Ethics</w:t>
              </w:r>
            </w:hyperlink>
          </w:p>
        </w:tc>
        <w:tc>
          <w:tcPr>
            <w:tcW w:w="1060" w:type="dxa"/>
            <w:vAlign w:val="bottom"/>
            <w:tcBorders>
              <w:top w:val="single" w:sz="8" w:color="0000EE"/>
            </w:tcBorders>
            <w:gridSpan w:val="10"/>
          </w:tcPr>
          <w:p>
            <w:pPr>
              <w:spacing w:after="0"/>
              <w:rPr>
                <w:sz w:val="17"/>
                <w:szCs w:val="17"/>
                <w:color w:val="auto"/>
              </w:rPr>
            </w:pPr>
          </w:p>
        </w:tc>
        <w:tc>
          <w:tcPr>
            <w:tcW w:w="6180" w:type="dxa"/>
            <w:vAlign w:val="bottom"/>
            <w:gridSpan w:val="11"/>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Director Compensation</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223"/>
        </w:trPr>
        <w:tc>
          <w:tcPr>
            <w:tcW w:w="4680" w:type="dxa"/>
            <w:vAlign w:val="bottom"/>
            <w:tcBorders>
              <w:bottom w:val="single" w:sz="8" w:color="0000EE"/>
            </w:tcBorders>
            <w:gridSpan w:val="38"/>
          </w:tcPr>
          <w:p>
            <w:pPr>
              <w:spacing w:after="0" w:line="210"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 xml:space="preserve">PROPOSAL NO. 1: ELECTION OF CLASS </w:t>
              </w:r>
              <w:r>
                <w:rPr>
                  <w:rFonts w:ascii="Arial" w:cs="Arial" w:eastAsia="Arial" w:hAnsi="Arial"/>
                  <w:sz w:val="21"/>
                  <w:szCs w:val="21"/>
                  <w:color w:val="0000EE"/>
                  <w:w w:val="99"/>
                </w:rPr>
                <w:t>I</w:t>
              </w:r>
              <w:r>
                <w:rPr>
                  <w:rFonts w:ascii="Arial" w:cs="Arial" w:eastAsia="Arial" w:hAnsi="Arial"/>
                  <w:sz w:val="18"/>
                  <w:szCs w:val="18"/>
                  <w:color w:val="0000EE"/>
                  <w:w w:val="99"/>
                </w:rPr>
                <w:t xml:space="preserve"> DIRECTORS</w:t>
              </w:r>
            </w:hyperlink>
          </w:p>
        </w:tc>
        <w:tc>
          <w:tcPr>
            <w:tcW w:w="5780" w:type="dxa"/>
            <w:vAlign w:val="bottom"/>
            <w:gridSpan w:val="10"/>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196"/>
        </w:trPr>
        <w:tc>
          <w:tcPr>
            <w:tcW w:w="8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Nominees</w:t>
              </w:r>
            </w:hyperlink>
          </w:p>
        </w:tc>
        <w:tc>
          <w:tcPr>
            <w:tcW w:w="9640" w:type="dxa"/>
            <w:vAlign w:val="bottom"/>
            <w:gridSpan w:val="46"/>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r>
      <w:tr>
        <w:trPr>
          <w:trHeight w:val="196"/>
        </w:trPr>
        <w:tc>
          <w:tcPr>
            <w:tcW w:w="10460" w:type="dxa"/>
            <w:vAlign w:val="bottom"/>
            <w:gridSpan w:val="48"/>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Vote Required</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r>
      <w:tr>
        <w:trPr>
          <w:trHeight w:val="20"/>
        </w:trPr>
        <w:tc>
          <w:tcPr>
            <w:tcW w:w="11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0460" w:type="dxa"/>
            <w:vAlign w:val="bottom"/>
            <w:gridSpan w:val="48"/>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Board Recommendation</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9800" w:type="dxa"/>
            <w:vAlign w:val="bottom"/>
            <w:tcBorders>
              <w:bottom w:val="single" w:sz="8" w:color="0000EE"/>
            </w:tcBorders>
            <w:gridSpan w:val="47"/>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PROPOSAL NO. 2: RATIFICATION OF APPOINTMENT OF INDEPENDENT REGISTERED PUBLIC ACCOUNTING FIRM</w:t>
              </w:r>
            </w:hyperlink>
          </w:p>
        </w:tc>
        <w:tc>
          <w:tcPr>
            <w:tcW w:w="660" w:type="dxa"/>
            <w:vAlign w:val="bottom"/>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r>
      <w:tr>
        <w:trPr>
          <w:trHeight w:val="196"/>
        </w:trPr>
        <w:tc>
          <w:tcPr>
            <w:tcW w:w="180" w:type="dxa"/>
            <w:vAlign w:val="bottom"/>
          </w:tcPr>
          <w:p>
            <w:pPr>
              <w:spacing w:after="0"/>
              <w:rPr>
                <w:sz w:val="17"/>
                <w:szCs w:val="17"/>
                <w:color w:val="auto"/>
              </w:rPr>
            </w:pPr>
          </w:p>
        </w:tc>
        <w:tc>
          <w:tcPr>
            <w:tcW w:w="5180" w:type="dxa"/>
            <w:vAlign w:val="bottom"/>
            <w:tcBorders>
              <w:bottom w:val="single" w:sz="8" w:color="0000EE"/>
            </w:tcBorders>
            <w:gridSpan w:val="39"/>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Fees Paid to the Independent Registered Public Accounting Firm</w:t>
              </w:r>
            </w:hyperlink>
          </w:p>
        </w:tc>
        <w:tc>
          <w:tcPr>
            <w:tcW w:w="5100" w:type="dxa"/>
            <w:vAlign w:val="bottom"/>
            <w:gridSpan w:val="8"/>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Auditor Independence</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Audit Committee Policy on Pre-Approval of Audit and Permissible Non-Audit Services of Independent Registered Public</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2"/>
        </w:trPr>
        <w:tc>
          <w:tcPr>
            <w:tcW w:w="180" w:type="dxa"/>
            <w:vAlign w:val="bottom"/>
          </w:tcPr>
          <w:p>
            <w:pPr>
              <w:spacing w:after="0"/>
              <w:rPr>
                <w:sz w:val="15"/>
                <w:szCs w:val="15"/>
                <w:color w:val="auto"/>
              </w:rPr>
            </w:pPr>
          </w:p>
        </w:tc>
        <w:tc>
          <w:tcPr>
            <w:tcW w:w="9500" w:type="dxa"/>
            <w:vAlign w:val="bottom"/>
            <w:tcBorders>
              <w:top w:val="single" w:sz="8" w:color="0000EE"/>
            </w:tcBorders>
            <w:gridSpan w:val="45"/>
          </w:tcPr>
          <w:p>
            <w:pPr>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Accounting Firm</w:t>
              </w:r>
            </w:hyperlink>
          </w:p>
        </w:tc>
        <w:tc>
          <w:tcPr>
            <w:tcW w:w="780" w:type="dxa"/>
            <w:vAlign w:val="bottom"/>
            <w:gridSpan w:val="2"/>
          </w:tcPr>
          <w:p>
            <w:pPr>
              <w:spacing w:after="0"/>
              <w:rPr>
                <w:sz w:val="15"/>
                <w:szCs w:val="15"/>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r>
      <w:tr>
        <w:trPr>
          <w:trHeight w:val="183"/>
        </w:trPr>
        <w:tc>
          <w:tcPr>
            <w:tcW w:w="180" w:type="dxa"/>
            <w:vAlign w:val="bottom"/>
          </w:tcPr>
          <w:p>
            <w:pPr>
              <w:spacing w:after="0"/>
              <w:rPr>
                <w:sz w:val="15"/>
                <w:szCs w:val="15"/>
                <w:color w:val="auto"/>
              </w:rPr>
            </w:pPr>
          </w:p>
        </w:tc>
        <w:tc>
          <w:tcPr>
            <w:tcW w:w="1300" w:type="dxa"/>
            <w:vAlign w:val="bottom"/>
            <w:tcBorders>
              <w:top w:val="single" w:sz="8" w:color="0000EE"/>
            </w:tcBorders>
            <w:gridSpan w:val="4"/>
          </w:tcPr>
          <w:p>
            <w:pPr>
              <w:spacing w:after="0" w:line="169" w:lineRule="exact"/>
              <w:rPr>
                <w:rFonts w:ascii="Arial" w:cs="Arial" w:eastAsia="Arial" w:hAnsi="Arial"/>
                <w:sz w:val="18"/>
                <w:szCs w:val="18"/>
                <w:color w:val="0000EE"/>
              </w:rPr>
            </w:pPr>
            <w:hyperlink w:anchor="page27">
              <w:r>
                <w:rPr>
                  <w:rFonts w:ascii="Arial" w:cs="Arial" w:eastAsia="Arial" w:hAnsi="Arial"/>
                  <w:sz w:val="18"/>
                  <w:szCs w:val="18"/>
                  <w:color w:val="0000EE"/>
                </w:rPr>
                <w:t>Vote Required</w:t>
              </w:r>
            </w:hyperlink>
          </w:p>
        </w:tc>
        <w:tc>
          <w:tcPr>
            <w:tcW w:w="8980" w:type="dxa"/>
            <w:vAlign w:val="bottom"/>
            <w:gridSpan w:val="43"/>
          </w:tcPr>
          <w:p>
            <w:pPr>
              <w:spacing w:after="0"/>
              <w:rPr>
                <w:sz w:val="15"/>
                <w:szCs w:val="15"/>
                <w:color w:val="auto"/>
              </w:rPr>
            </w:pPr>
          </w:p>
        </w:tc>
        <w:tc>
          <w:tcPr>
            <w:tcW w:w="800" w:type="dxa"/>
            <w:vAlign w:val="bottom"/>
            <w:gridSpan w:val="2"/>
          </w:tcPr>
          <w:p>
            <w:pPr>
              <w:jc w:val="right"/>
              <w:ind w:right="20"/>
              <w:spacing w:after="0" w:line="169" w:lineRule="exact"/>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Board Recommendation</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10460" w:type="dxa"/>
            <w:vAlign w:val="bottom"/>
            <w:gridSpan w:val="48"/>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REPORT OF THE AUDIT COMMITTEE</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w:t>
            </w:r>
          </w:p>
        </w:tc>
      </w:tr>
      <w:tr>
        <w:trPr>
          <w:trHeight w:val="196"/>
        </w:trPr>
        <w:tc>
          <w:tcPr>
            <w:tcW w:w="31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EXECUTIVE OFFICERS</w:t>
              </w:r>
            </w:hyperlink>
          </w:p>
        </w:tc>
        <w:tc>
          <w:tcPr>
            <w:tcW w:w="7280" w:type="dxa"/>
            <w:vAlign w:val="bottom"/>
            <w:gridSpan w:val="23"/>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r>
      <w:tr>
        <w:trPr>
          <w:trHeight w:val="196"/>
        </w:trPr>
        <w:tc>
          <w:tcPr>
            <w:tcW w:w="1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Executive Officers</w:t>
              </w:r>
            </w:hyperlink>
          </w:p>
        </w:tc>
        <w:tc>
          <w:tcPr>
            <w:tcW w:w="360" w:type="dxa"/>
            <w:vAlign w:val="bottom"/>
            <w:tcBorders>
              <w:top w:val="single" w:sz="8" w:color="0000EE"/>
            </w:tcBorders>
            <w:gridSpan w:val="7"/>
          </w:tcPr>
          <w:p>
            <w:pPr>
              <w:spacing w:after="0"/>
              <w:rPr>
                <w:sz w:val="17"/>
                <w:szCs w:val="17"/>
                <w:color w:val="auto"/>
              </w:rPr>
            </w:pPr>
          </w:p>
        </w:tc>
        <w:tc>
          <w:tcPr>
            <w:tcW w:w="8460" w:type="dxa"/>
            <w:vAlign w:val="bottom"/>
            <w:gridSpan w:val="33"/>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r>
      <w:tr>
        <w:trPr>
          <w:trHeight w:val="196"/>
        </w:trPr>
        <w:tc>
          <w:tcPr>
            <w:tcW w:w="10460" w:type="dxa"/>
            <w:vAlign w:val="bottom"/>
            <w:gridSpan w:val="48"/>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EXECUTIVE COMPENSATION</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w:t>
            </w:r>
          </w:p>
        </w:tc>
      </w:tr>
      <w:tr>
        <w:trPr>
          <w:trHeight w:val="196"/>
        </w:trPr>
        <w:tc>
          <w:tcPr>
            <w:tcW w:w="1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Executive Compensation</w:t>
              </w:r>
            </w:hyperlink>
          </w:p>
        </w:tc>
        <w:tc>
          <w:tcPr>
            <w:tcW w:w="340" w:type="dxa"/>
            <w:vAlign w:val="bottom"/>
            <w:tcBorders>
              <w:top w:val="single" w:sz="8" w:color="0000EE"/>
            </w:tcBorders>
            <w:gridSpan w:val="4"/>
          </w:tcPr>
          <w:p>
            <w:pPr>
              <w:spacing w:after="0"/>
              <w:rPr>
                <w:sz w:val="17"/>
                <w:szCs w:val="17"/>
                <w:color w:val="auto"/>
              </w:rPr>
            </w:pPr>
          </w:p>
        </w:tc>
        <w:tc>
          <w:tcPr>
            <w:tcW w:w="7940" w:type="dxa"/>
            <w:vAlign w:val="bottom"/>
            <w:gridSpan w:val="27"/>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w:t>
            </w:r>
          </w:p>
        </w:tc>
      </w:tr>
      <w:tr>
        <w:trPr>
          <w:trHeight w:val="196"/>
        </w:trPr>
        <w:tc>
          <w:tcPr>
            <w:tcW w:w="180" w:type="dxa"/>
            <w:vAlign w:val="bottom"/>
          </w:tcPr>
          <w:p>
            <w:pPr>
              <w:spacing w:after="0"/>
              <w:rPr>
                <w:sz w:val="17"/>
                <w:szCs w:val="17"/>
                <w:color w:val="auto"/>
              </w:rPr>
            </w:pPr>
          </w:p>
        </w:tc>
        <w:tc>
          <w:tcPr>
            <w:tcW w:w="338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2019-2020 Summary Compensation Table</w:t>
              </w:r>
            </w:hyperlink>
          </w:p>
        </w:tc>
        <w:tc>
          <w:tcPr>
            <w:tcW w:w="6900" w:type="dxa"/>
            <w:vAlign w:val="bottom"/>
            <w:gridSpan w:val="18"/>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Outstanding Equity Awards at December 31, 2020</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25"/>
          </w:tcPr>
          <w:p>
            <w:pPr>
              <w:spacing w:after="0" w:line="182"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Executive Employment Arrangements</w:t>
              </w:r>
            </w:hyperlink>
          </w:p>
        </w:tc>
        <w:tc>
          <w:tcPr>
            <w:tcW w:w="980" w:type="dxa"/>
            <w:vAlign w:val="bottom"/>
            <w:tcBorders>
              <w:top w:val="single" w:sz="8" w:color="0000EE"/>
            </w:tcBorders>
            <w:gridSpan w:val="10"/>
          </w:tcPr>
          <w:p>
            <w:pPr>
              <w:spacing w:after="0"/>
              <w:rPr>
                <w:sz w:val="17"/>
                <w:szCs w:val="17"/>
                <w:color w:val="auto"/>
              </w:rPr>
            </w:pPr>
          </w:p>
        </w:tc>
        <w:tc>
          <w:tcPr>
            <w:tcW w:w="6280" w:type="dxa"/>
            <w:vAlign w:val="bottom"/>
            <w:gridSpan w:val="12"/>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w:t>
            </w:r>
          </w:p>
        </w:tc>
      </w:tr>
      <w:tr>
        <w:trPr>
          <w:trHeight w:val="196"/>
        </w:trPr>
        <w:tc>
          <w:tcPr>
            <w:tcW w:w="180" w:type="dxa"/>
            <w:vAlign w:val="bottom"/>
          </w:tcPr>
          <w:p>
            <w:pPr>
              <w:spacing w:after="0"/>
              <w:rPr>
                <w:sz w:val="17"/>
                <w:szCs w:val="17"/>
                <w:color w:val="auto"/>
              </w:rPr>
            </w:pPr>
          </w:p>
        </w:tc>
        <w:tc>
          <w:tcPr>
            <w:tcW w:w="374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34">
              <w:r>
                <w:rPr>
                  <w:rFonts w:ascii="Arial" w:cs="Arial" w:eastAsia="Arial" w:hAnsi="Arial"/>
                  <w:sz w:val="18"/>
                  <w:szCs w:val="18"/>
                  <w:color w:val="0000EE"/>
                  <w:w w:val="99"/>
                </w:rPr>
                <w:t>Change in Control and Severance Agreements</w:t>
              </w:r>
            </w:hyperlink>
          </w:p>
        </w:tc>
        <w:tc>
          <w:tcPr>
            <w:tcW w:w="6540" w:type="dxa"/>
            <w:vAlign w:val="bottom"/>
            <w:gridSpan w:val="16"/>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29</w:t>
            </w:r>
          </w:p>
        </w:tc>
      </w:tr>
      <w:tr>
        <w:trPr>
          <w:trHeight w:val="196"/>
        </w:trPr>
        <w:tc>
          <w:tcPr>
            <w:tcW w:w="180" w:type="dxa"/>
            <w:vAlign w:val="bottom"/>
          </w:tcPr>
          <w:p>
            <w:pPr>
              <w:spacing w:after="0"/>
              <w:rPr>
                <w:sz w:val="17"/>
                <w:szCs w:val="17"/>
                <w:color w:val="auto"/>
              </w:rPr>
            </w:pPr>
          </w:p>
        </w:tc>
        <w:tc>
          <w:tcPr>
            <w:tcW w:w="318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Executive Incentive Compensation Plan</w:t>
              </w:r>
            </w:hyperlink>
          </w:p>
        </w:tc>
        <w:tc>
          <w:tcPr>
            <w:tcW w:w="7100" w:type="dxa"/>
            <w:vAlign w:val="bottom"/>
            <w:gridSpan w:val="20"/>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31</w:t>
            </w:r>
          </w:p>
        </w:tc>
      </w:tr>
      <w:tr>
        <w:trPr>
          <w:trHeight w:val="196"/>
        </w:trPr>
        <w:tc>
          <w:tcPr>
            <w:tcW w:w="10460" w:type="dxa"/>
            <w:vAlign w:val="bottom"/>
            <w:gridSpan w:val="48"/>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SECURITY OWNERSHIP OF CERTAIN BENEFICIAL OWNERS AND MANAGEMENT</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33</w:t>
            </w:r>
          </w:p>
        </w:tc>
      </w:tr>
      <w:tr>
        <w:trPr>
          <w:trHeight w:val="20"/>
        </w:trPr>
        <w:tc>
          <w:tcPr>
            <w:tcW w:w="154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40" w:type="dxa"/>
            <w:vAlign w:val="bottom"/>
            <w:gridSpan w:val="17"/>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196"/>
        </w:trPr>
        <w:tc>
          <w:tcPr>
            <w:tcW w:w="7260" w:type="dxa"/>
            <w:vAlign w:val="bottom"/>
            <w:tcBorders>
              <w:bottom w:val="single" w:sz="8" w:color="0000EE"/>
            </w:tcBorders>
            <w:gridSpan w:val="44"/>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SECURITIES AUTHORIZED FOR ISSUANCE UNDER EQUITY COMPENSATION PLANS</w:t>
              </w:r>
            </w:hyperlink>
          </w:p>
        </w:tc>
        <w:tc>
          <w:tcPr>
            <w:tcW w:w="3200" w:type="dxa"/>
            <w:vAlign w:val="bottom"/>
            <w:gridSpan w:val="4"/>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35</w:t>
            </w:r>
          </w:p>
        </w:tc>
      </w:tr>
      <w:tr>
        <w:trPr>
          <w:trHeight w:val="196"/>
        </w:trPr>
        <w:tc>
          <w:tcPr>
            <w:tcW w:w="310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RELATED PERSON TRANSACTIONS</w:t>
              </w:r>
            </w:hyperlink>
          </w:p>
        </w:tc>
        <w:tc>
          <w:tcPr>
            <w:tcW w:w="7360" w:type="dxa"/>
            <w:vAlign w:val="bottom"/>
            <w:gridSpan w:val="24"/>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Related-Person Transactions Policy</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Sales of Securities</w:t>
              </w:r>
            </w:hyperlink>
          </w:p>
        </w:tc>
        <w:tc>
          <w:tcPr>
            <w:tcW w:w="1360" w:type="dxa"/>
            <w:vAlign w:val="bottom"/>
            <w:tcBorders>
              <w:top w:val="single" w:sz="8" w:color="0000EE"/>
            </w:tcBorders>
            <w:gridSpan w:val="14"/>
          </w:tcPr>
          <w:p>
            <w:pPr>
              <w:spacing w:after="0"/>
              <w:rPr>
                <w:sz w:val="17"/>
                <w:szCs w:val="17"/>
                <w:color w:val="auto"/>
              </w:rPr>
            </w:pPr>
          </w:p>
        </w:tc>
        <w:tc>
          <w:tcPr>
            <w:tcW w:w="7420" w:type="dxa"/>
            <w:vAlign w:val="bottom"/>
            <w:gridSpan w:val="25"/>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Investors’ Rights Agreement</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44">
              <w:r>
                <w:rPr>
                  <w:rFonts w:ascii="Arial" w:cs="Arial" w:eastAsia="Arial" w:hAnsi="Arial"/>
                  <w:sz w:val="18"/>
                  <w:szCs w:val="18"/>
                  <w:color w:val="0000EE"/>
                  <w:w w:val="98"/>
                </w:rPr>
                <w:t>Voting Agreement</w:t>
              </w:r>
            </w:hyperlink>
          </w:p>
        </w:tc>
        <w:tc>
          <w:tcPr>
            <w:tcW w:w="820" w:type="dxa"/>
            <w:vAlign w:val="bottom"/>
            <w:tcBorders>
              <w:top w:val="single" w:sz="8" w:color="0000EE"/>
            </w:tcBorders>
            <w:gridSpan w:val="13"/>
          </w:tcPr>
          <w:p>
            <w:pPr>
              <w:spacing w:after="0"/>
              <w:rPr>
                <w:sz w:val="17"/>
                <w:szCs w:val="17"/>
                <w:color w:val="auto"/>
              </w:rPr>
            </w:pPr>
          </w:p>
        </w:tc>
        <w:tc>
          <w:tcPr>
            <w:tcW w:w="8020" w:type="dxa"/>
            <w:vAlign w:val="bottom"/>
            <w:gridSpan w:val="28"/>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r>
      <w:tr>
        <w:trPr>
          <w:trHeight w:val="196"/>
        </w:trPr>
        <w:tc>
          <w:tcPr>
            <w:tcW w:w="18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Other Transactions</w:t>
              </w:r>
            </w:hyperlink>
          </w:p>
        </w:tc>
        <w:tc>
          <w:tcPr>
            <w:tcW w:w="8740" w:type="dxa"/>
            <w:vAlign w:val="bottom"/>
            <w:gridSpan w:val="38"/>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39</w:t>
            </w:r>
          </w:p>
        </w:tc>
      </w:tr>
      <w:tr>
        <w:trPr>
          <w:trHeight w:val="196"/>
        </w:trPr>
        <w:tc>
          <w:tcPr>
            <w:tcW w:w="154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OTHER MATTERS</w:t>
              </w:r>
            </w:hyperlink>
          </w:p>
        </w:tc>
        <w:tc>
          <w:tcPr>
            <w:tcW w:w="8920" w:type="dxa"/>
            <w:vAlign w:val="bottom"/>
            <w:gridSpan w:val="42"/>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576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Stockholder Proposals or Director Nominations for 2022 Annual Meeting</w:t>
              </w:r>
            </w:hyperlink>
          </w:p>
        </w:tc>
        <w:tc>
          <w:tcPr>
            <w:tcW w:w="4520" w:type="dxa"/>
            <w:vAlign w:val="bottom"/>
            <w:gridSpan w:val="7"/>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Availability of Bylaws</w:t>
              </w:r>
            </w:hyperlink>
          </w:p>
        </w:tc>
        <w:tc>
          <w:tcPr>
            <w:tcW w:w="8600" w:type="dxa"/>
            <w:vAlign w:val="bottom"/>
            <w:gridSpan w:val="35"/>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10280" w:type="dxa"/>
            <w:vAlign w:val="bottom"/>
            <w:gridSpan w:val="47"/>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Delinquent Section 16 Reports</w:t>
              </w:r>
            </w:hyperlink>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2020 Annual Report</w:t>
              </w:r>
            </w:hyperlink>
          </w:p>
        </w:tc>
        <w:tc>
          <w:tcPr>
            <w:tcW w:w="7840" w:type="dxa"/>
            <w:vAlign w:val="bottom"/>
            <w:gridSpan w:val="26"/>
          </w:tcPr>
          <w:p>
            <w:pPr>
              <w:spacing w:after="0"/>
              <w:rPr>
                <w:sz w:val="17"/>
                <w:szCs w:val="17"/>
                <w:color w:val="auto"/>
              </w:rPr>
            </w:pPr>
          </w:p>
        </w:tc>
        <w:tc>
          <w:tcPr>
            <w:tcW w:w="8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40</w:t>
            </w:r>
          </w:p>
        </w:tc>
      </w:tr>
      <w:tr>
        <w:trPr>
          <w:trHeight w:val="594"/>
        </w:trPr>
        <w:tc>
          <w:tcPr>
            <w:tcW w:w="180" w:type="dxa"/>
            <w:vAlign w:val="bottom"/>
            <w:tcBorders>
              <w:bottom w:val="single" w:sz="8" w:color="9A9A9A"/>
            </w:tcBorders>
          </w:tcPr>
          <w:p>
            <w:pPr>
              <w:spacing w:after="0"/>
              <w:rPr>
                <w:sz w:val="24"/>
                <w:szCs w:val="24"/>
                <w:color w:val="auto"/>
              </w:rPr>
            </w:pPr>
          </w:p>
        </w:tc>
        <w:tc>
          <w:tcPr>
            <w:tcW w:w="64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2021 ANNUAL MEETING OF STOCKHOLDERS</w:t>
      </w:r>
    </w:p>
    <w:p>
      <w:pPr>
        <w:jc w:val="center"/>
        <w:spacing w:after="0"/>
        <w:rPr>
          <w:sz w:val="20"/>
          <w:szCs w:val="20"/>
          <w:color w:val="auto"/>
        </w:rPr>
      </w:pPr>
      <w:r>
        <w:rPr>
          <w:rFonts w:ascii="Arial" w:cs="Arial" w:eastAsia="Arial" w:hAnsi="Arial"/>
          <w:sz w:val="18"/>
          <w:szCs w:val="18"/>
          <w:b w:val="1"/>
          <w:bCs w:val="1"/>
          <w:color w:val="auto"/>
        </w:rPr>
        <w:t>To be held at 10:00 a.m., Pacific Time, on Thursday May 27, 2021</w:t>
      </w:r>
    </w:p>
    <w:p>
      <w:pPr>
        <w:spacing w:after="0" w:line="10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83"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QUESTIONS AND ANSWERS ABOUT THE PROXY MATERIALS AND OUR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This proxy statement and the form of proxy are furnished in connection with the solicitation of proxies by our board of directors for use at the 2021 annual meeting of stockholders of Athira Pharma, Inc., a Delaware corporation, and any postponements, adjournments or continuations thereof. The annual meeting will be held on Thursday May 27, 2021 at 10:00 a.m., Pacific Time. The annual meeting will be conducted virtually via live audio webcast. You will be able to attend the annual meeting virtually by visiting ww.virtualshareholdermeeting.com/ATHA2021, where you will be able to listen to the meeting live, submit questions and vote online during the meeting.</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16, 2021 to all stockholders of record as of March 29, 2021. The proxy materials and our annual report can be accessed as of April 16, 2021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proposals will be voted on at the annual meeting:</w:t>
      </w:r>
    </w:p>
    <w:p>
      <w:pPr>
        <w:spacing w:after="0" w:line="104" w:lineRule="exact"/>
        <w:rPr>
          <w:sz w:val="20"/>
          <w:szCs w:val="20"/>
          <w:color w:val="auto"/>
        </w:rPr>
      </w:pPr>
    </w:p>
    <w:p>
      <w:pPr>
        <w:ind w:left="1160" w:hanging="572"/>
        <w:spacing w:after="0" w:line="246"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three nominees named in this proxy statement as Class I directors to hold office until our 2024 annual meeting of stockholders and until their respective successors are elected and qualified;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our fiscal year ending December 31, 2021; and</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annual meeting or any adjournments or postponements thereof.</w:t>
      </w:r>
    </w:p>
    <w:p>
      <w:pPr>
        <w:spacing w:after="0" w:line="204" w:lineRule="exact"/>
        <w:rPr>
          <w:rFonts w:ascii="Arial" w:cs="Arial" w:eastAsia="Arial" w:hAnsi="Arial"/>
          <w:sz w:val="18"/>
          <w:szCs w:val="18"/>
          <w:color w:val="auto"/>
        </w:rPr>
      </w:pPr>
    </w:p>
    <w:p>
      <w:pPr>
        <w:ind w:left="5580" w:hanging="132"/>
        <w:spacing w:after="0"/>
        <w:tabs>
          <w:tab w:leader="none" w:pos="5580" w:val="left"/>
        </w:tabs>
        <w:numPr>
          <w:ilvl w:val="1"/>
          <w:numId w:val="6"/>
        </w:numPr>
        <w:rPr>
          <w:rFonts w:ascii="Arial" w:cs="Arial" w:eastAsia="Arial" w:hAnsi="Arial"/>
          <w:sz w:val="22"/>
          <w:szCs w:val="22"/>
          <w:color w:val="auto"/>
        </w:rPr>
      </w:pPr>
      <w:r>
        <w:rPr>
          <w:rFonts w:ascii="Arial" w:cs="Arial" w:eastAsia="Arial" w:hAnsi="Arial"/>
          <w:sz w:val="18"/>
          <w:szCs w:val="18"/>
          <w:color w:val="auto"/>
        </w:rPr>
        <w:t xml:space="preserve">1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firstLine="589"/>
        <w:spacing w:after="0" w:line="246" w:lineRule="auto"/>
        <w:rPr>
          <w:sz w:val="20"/>
          <w:szCs w:val="20"/>
          <w:color w:val="auto"/>
        </w:rPr>
      </w:pPr>
      <w:r>
        <w:rPr>
          <w:rFonts w:ascii="Arial" w:cs="Arial" w:eastAsia="Arial" w:hAnsi="Arial"/>
          <w:sz w:val="18"/>
          <w:szCs w:val="18"/>
          <w:color w:val="auto"/>
        </w:rPr>
        <w:t>As of the date of this proxy statement, our management and board of directors were not aware of any other matters to be presented at the annual meeting.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these proposals?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82" w:lineRule="exact"/>
        <w:rPr>
          <w:sz w:val="20"/>
          <w:szCs w:val="20"/>
          <w:color w:val="auto"/>
        </w:rPr>
      </w:pPr>
    </w:p>
    <w:p>
      <w:pPr>
        <w:ind w:left="1160" w:hanging="572"/>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Class I director nominee named in this proxy statement; and</w:t>
      </w:r>
    </w:p>
    <w:p>
      <w:pPr>
        <w:spacing w:after="0" w:line="144" w:lineRule="exact"/>
        <w:rPr>
          <w:rFonts w:ascii="Arial" w:cs="Arial" w:eastAsia="Arial" w:hAnsi="Arial"/>
          <w:sz w:val="18"/>
          <w:szCs w:val="18"/>
          <w:color w:val="auto"/>
        </w:rPr>
      </w:pPr>
    </w:p>
    <w:p>
      <w:pPr>
        <w:ind w:left="1160" w:right="20" w:hanging="572"/>
        <w:spacing w:after="0" w:line="271"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our fiscal year ending December 31, 2021.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Holders of our common stock as of the close of business on March 29, 2021, the record date for the annual meeting, may vote at the annual meeting. As of the record date, there were 37,120,363 shares of our common stock outstanding. Each share of common stock is entitled to one vote on each matter properly brought before the annual meeting. Stockholders are not permitted to cumulate votes with respect to the election of directors. We do not have any outstanding shares of preferred stock.</w:t>
      </w:r>
    </w:p>
    <w:p>
      <w:pPr>
        <w:spacing w:after="0" w:line="187"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Computershare Inc.,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stockholder of record with respect to those shares, and the Notice of Internet Availability was sent directly to you by us. As a stockholder of record, you have the right to grant your voting proxy directly to the individuals listed on the proxy card or to vote on your own behalf at the annual meeting. Throughout this proxy statement, we refer to these holders as “stockholders of record.”</w:t>
      </w:r>
    </w:p>
    <w:p>
      <w:pPr>
        <w:spacing w:after="0" w:line="181"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your shares are held in a brokerage account or by a broker, bank or other nominee, then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the beneficial owner of shares held in street name, and the 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As a beneficial owner, you are also invited to attend the annual meeting. However, because you are not the stockholder of record, you may not vote these shares at the annual meeting unless you obtain a signed legal proxy from your broker, bank or other nominee giving you the right to vote the shares. Throughout this proxy statement, we refer to these holders as “street name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proposal?</w:t>
      </w:r>
    </w:p>
    <w:p>
      <w:pPr>
        <w:spacing w:after="0" w:line="108" w:lineRule="exact"/>
        <w:rPr>
          <w:sz w:val="20"/>
          <w:szCs w:val="20"/>
          <w:color w:val="auto"/>
        </w:rPr>
      </w:pPr>
    </w:p>
    <w:p>
      <w:pPr>
        <w:jc w:val="both"/>
        <w:ind w:left="1160" w:hanging="572"/>
        <w:spacing w:after="0" w:line="239"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Each director is elected by a plurality of the voting power of the shares present (including virtually)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represented by proxy at the annual meeting and entitled to vote on the election of directors. A plurality means that the nominees with the largest number of </w:t>
      </w:r>
      <w:r>
        <w:rPr>
          <w:rFonts w:ascii="Arial" w:cs="Arial" w:eastAsia="Arial" w:hAnsi="Arial"/>
          <w:sz w:val="18"/>
          <w:szCs w:val="18"/>
          <w:b w:val="1"/>
          <w:bCs w:val="1"/>
          <w:color w:val="auto"/>
        </w:rPr>
        <w:t>FOR</w:t>
      </w:r>
      <w:r>
        <w:rPr>
          <w:rFonts w:ascii="Arial" w:cs="Arial" w:eastAsia="Arial" w:hAnsi="Arial"/>
          <w:sz w:val="18"/>
          <w:szCs w:val="18"/>
          <w:color w:val="auto"/>
        </w:rPr>
        <w:t xml:space="preserve"> votes are elected as directors. You may (1)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of the director nominees named herein, (2)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authority to vote for all such director nominees or (3)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such director nominees other than any nominees with respect to whom the vote is specifically </w:t>
      </w:r>
      <w:r>
        <w:rPr>
          <w:rFonts w:ascii="Arial" w:cs="Arial" w:eastAsia="Arial" w:hAnsi="Arial"/>
          <w:sz w:val="18"/>
          <w:szCs w:val="18"/>
          <w:b w:val="1"/>
          <w:bCs w:val="1"/>
          <w:color w:val="auto"/>
        </w:rPr>
        <w:t>WITHHELD</w:t>
      </w:r>
      <w:r>
        <w:rPr>
          <w:rFonts w:ascii="Arial" w:cs="Arial" w:eastAsia="Arial" w:hAnsi="Arial"/>
          <w:sz w:val="18"/>
          <w:szCs w:val="18"/>
          <w:color w:val="auto"/>
        </w:rPr>
        <w:t xml:space="preserve"> by indicating in the space provided on the proxy Because the outcome of this proposal will be determined by a plurality vote, any shares not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 particular nominee, whether as a result of a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vote or a broker non-vote, will have no effect on the outcome of the election.</w:t>
      </w:r>
    </w:p>
    <w:p>
      <w:pPr>
        <w:spacing w:after="0" w:line="79" w:lineRule="exact"/>
        <w:rPr>
          <w:rFonts w:ascii="Arial" w:cs="Arial" w:eastAsia="Arial" w:hAnsi="Arial"/>
          <w:sz w:val="18"/>
          <w:szCs w:val="18"/>
          <w:color w:val="auto"/>
        </w:rPr>
      </w:pPr>
    </w:p>
    <w:p>
      <w:pPr>
        <w:jc w:val="both"/>
        <w:ind w:left="1160" w:hanging="572"/>
        <w:spacing w:after="0" w:line="245"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Proposal No. 2</w:t>
      </w:r>
      <w:r>
        <w:rPr>
          <w:rFonts w:ascii="Arial" w:cs="Arial" w:eastAsia="Arial" w:hAnsi="Arial"/>
          <w:sz w:val="18"/>
          <w:szCs w:val="18"/>
          <w:color w:val="auto"/>
        </w:rPr>
        <w:t>: The ratification of the appointment of Ernst &amp; Young LLP as our independent registered public accounting firm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our fiscal year ending December 31, 2021 requires the affirmative vote of a majority of the voting power of the shares cast, affirmatively or negatively. You may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this proposal, or you may indicate that you wish to </w:t>
      </w:r>
      <w:r>
        <w:rPr>
          <w:rFonts w:ascii="Arial" w:cs="Arial" w:eastAsia="Arial" w:hAnsi="Arial"/>
          <w:sz w:val="18"/>
          <w:szCs w:val="18"/>
          <w:b w:val="1"/>
          <w:bCs w:val="1"/>
          <w:color w:val="auto"/>
        </w:rPr>
        <w:t>ABSTAIN</w:t>
      </w:r>
      <w:r>
        <w:rPr>
          <w:rFonts w:ascii="Arial" w:cs="Arial" w:eastAsia="Arial" w:hAnsi="Arial"/>
          <w:sz w:val="18"/>
          <w:szCs w:val="18"/>
          <w:color w:val="auto"/>
        </w:rPr>
        <w:t xml:space="preserve"> from voting on this proposal. Broker non-votes and abstentions will be counted for purposes of</w:t>
      </w:r>
    </w:p>
    <w:p>
      <w:pPr>
        <w:spacing w:after="0" w:line="178" w:lineRule="exact"/>
        <w:rPr>
          <w:rFonts w:ascii="Arial" w:cs="Arial" w:eastAsia="Arial" w:hAnsi="Arial"/>
          <w:sz w:val="18"/>
          <w:szCs w:val="18"/>
          <w:color w:val="auto"/>
        </w:rPr>
      </w:pPr>
    </w:p>
    <w:p>
      <w:pPr>
        <w:ind w:left="5580" w:hanging="132"/>
        <w:spacing w:after="0"/>
        <w:tabs>
          <w:tab w:leader="none" w:pos="5580" w:val="left"/>
        </w:tabs>
        <w:numPr>
          <w:ilvl w:val="1"/>
          <w:numId w:val="8"/>
        </w:numPr>
        <w:rPr>
          <w:rFonts w:ascii="Arial" w:cs="Arial" w:eastAsia="Arial" w:hAnsi="Arial"/>
          <w:sz w:val="22"/>
          <w:szCs w:val="22"/>
          <w:color w:val="auto"/>
        </w:rPr>
      </w:pPr>
      <w:r>
        <w:rPr>
          <w:rFonts w:ascii="Arial" w:cs="Arial" w:eastAsia="Arial" w:hAnsi="Arial"/>
          <w:sz w:val="18"/>
          <w:szCs w:val="18"/>
          <w:color w:val="auto"/>
        </w:rPr>
        <w:t xml:space="preserve">2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both"/>
        <w:ind w:left="1160"/>
        <w:spacing w:after="0"/>
        <w:rPr>
          <w:sz w:val="20"/>
          <w:szCs w:val="20"/>
          <w:color w:val="auto"/>
        </w:rPr>
      </w:pPr>
      <w:r>
        <w:rPr>
          <w:rFonts w:ascii="Arial" w:cs="Arial" w:eastAsia="Arial" w:hAnsi="Arial"/>
          <w:sz w:val="18"/>
          <w:szCs w:val="18"/>
          <w:color w:val="auto"/>
        </w:rPr>
        <w:t>determining the presence or absence of a quorum. However, neither broker non-votes nor abstentions are considered votes cast for or against a proposal, and thus will have no effect on the outcome of the vote on this proposal. Because this is a routine proposal, we do not expect any broker non-votes on this proposal.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A quorum is the minimum number of shares required to be present or represented at the annual meeting for the meeting to be properly held under our amended and restated bylaws and Delaware law. The presence, including virtually or by proxy, of a majority of the voting power of our capital stock issued and outstanding and entitled to vote will constitute a quorum to transact business at the annual meeting. Abstentions,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votes and broker non-votes are counted as present and entitled to vote for purposes of determining a quorum. If there is no quorum, the chairperson of the meeting may adjourn the meeting to another time or place.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and what are the voting deadlines?</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may vote in one of the following ways:</w:t>
      </w:r>
    </w:p>
    <w:p>
      <w:pPr>
        <w:spacing w:after="0" w:line="122" w:lineRule="exact"/>
        <w:rPr>
          <w:sz w:val="20"/>
          <w:szCs w:val="20"/>
          <w:color w:val="auto"/>
        </w:rPr>
      </w:pPr>
    </w:p>
    <w:p>
      <w:pPr>
        <w:jc w:val="both"/>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Internet at www.proxyvote.com, 24 hours a day, 7 days a week, until 11:59 p.m., Eastern Time, the day before the cut-off date or meeting date. Have your Notice of Availability or proxy card in hand when you access the web site and follow the instructions to obtain your records and to create an electronic voting instruction form;</w:t>
      </w:r>
    </w:p>
    <w:p>
      <w:pPr>
        <w:spacing w:after="0" w:line="94" w:lineRule="exact"/>
        <w:rPr>
          <w:rFonts w:ascii="Arial" w:cs="Arial" w:eastAsia="Arial" w:hAnsi="Arial"/>
          <w:sz w:val="18"/>
          <w:szCs w:val="18"/>
          <w:color w:val="auto"/>
        </w:rPr>
      </w:pPr>
    </w:p>
    <w:p>
      <w:pPr>
        <w:jc w:val="both"/>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toll-free telephone at 1-800-690-6903, 24 hours a day, 7 days a week, until 11:59 p.m., Eastern Time, the date before the cut-off date or meeting date. Have your Notice of Availability or proxy card in hand when you call and then follow the instructions;</w:t>
      </w:r>
    </w:p>
    <w:p>
      <w:pPr>
        <w:spacing w:after="0" w:line="9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completing, signing and mailing your proxy card (if you received printed proxy materials), which must be received prior to the annual meeting; or</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attending the annual meeting virtually by visiting www.virtualshareholdermeeting.com/ATHA201, where you may vote during the meeting. Have your Notice of Availability or proxy card in hand when you visit the website).</w:t>
      </w:r>
    </w:p>
    <w:p>
      <w:pPr>
        <w:spacing w:after="0" w:line="179"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 will receive voting instructions from your broker, bank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nominee. You must follow the instructions provided by your broker, bank or other nominee in order to instruct them on how to vote your shares. The availability of Internet and telephone voting options will depend on the voting process of your broker, bank or other nominee. </w:t>
      </w:r>
      <w:r>
        <w:rPr>
          <w:rFonts w:ascii="Arial" w:cs="Arial" w:eastAsia="Arial" w:hAnsi="Arial"/>
          <w:sz w:val="18"/>
          <w:szCs w:val="18"/>
          <w:b w:val="1"/>
          <w:bCs w:val="1"/>
          <w:color w:val="auto"/>
        </w:rPr>
        <w:t>As</w:t>
      </w:r>
      <w:r>
        <w:rPr>
          <w:rFonts w:ascii="Arial" w:cs="Arial" w:eastAsia="Arial" w:hAnsi="Arial"/>
          <w:sz w:val="18"/>
          <w:szCs w:val="18"/>
          <w:color w:val="auto"/>
        </w:rPr>
        <w:t xml:space="preserve"> </w:t>
      </w:r>
      <w:r>
        <w:rPr>
          <w:rFonts w:ascii="Arial" w:cs="Arial" w:eastAsia="Arial" w:hAnsi="Arial"/>
          <w:sz w:val="18"/>
          <w:szCs w:val="18"/>
          <w:b w:val="1"/>
          <w:bCs w:val="1"/>
          <w:color w:val="auto"/>
        </w:rPr>
        <w:t>discussed above, if you are a street name stockholder, then you may not vote your shares at the annual meeting unless you obtain a legal proxy from your broker, bank or other nominee.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108"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and you submit a proxy but you do not provide voting instructions,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will be voted:</w:t>
      </w:r>
    </w:p>
    <w:p>
      <w:pPr>
        <w:spacing w:after="0" w:line="48" w:lineRule="exact"/>
        <w:rPr>
          <w:sz w:val="20"/>
          <w:szCs w:val="20"/>
          <w:color w:val="auto"/>
        </w:rPr>
      </w:pPr>
    </w:p>
    <w:p>
      <w:pPr>
        <w:ind w:left="1160" w:hanging="572"/>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Class I director nominee named in this proxy statement; and</w:t>
      </w:r>
    </w:p>
    <w:p>
      <w:pPr>
        <w:spacing w:after="0" w:line="144" w:lineRule="exact"/>
        <w:rPr>
          <w:rFonts w:ascii="Arial" w:cs="Arial" w:eastAsia="Arial" w:hAnsi="Arial"/>
          <w:sz w:val="18"/>
          <w:szCs w:val="18"/>
          <w:color w:val="auto"/>
        </w:rPr>
      </w:pPr>
    </w:p>
    <w:p>
      <w:pPr>
        <w:ind w:left="1160" w:right="20" w:hanging="572"/>
        <w:spacing w:after="0" w:line="271"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Ernst &amp; Young LLP as our independent registered public accounting firm for our fiscal year ending December 31, 2021.</w:t>
      </w:r>
    </w:p>
    <w:p>
      <w:pPr>
        <w:spacing w:after="0" w:line="17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jc w:val="both"/>
        <w:ind w:firstLine="589"/>
        <w:spacing w:after="0" w:line="238"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Brokers, banks and other nominees holding shares of common stock in street name for customers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required to vote such shares in the manner directed by their customers. In the absence of timely directions, your broker, bank or other nominee will have discretion to vote your shares on our sole routine matter: the proposal to ratify the appointment of Ernst &amp; Young LLP as our independent registered public accounting firm for our fiscal year ending December 31, 2021. Your broker, bank or other nominee will not have discretion to vote on any other proposals,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 are a stockholder of record, you can change your vote or revoke your proxy before the annual meeting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4" w:lineRule="exact"/>
        <w:rPr>
          <w:sz w:val="20"/>
          <w:szCs w:val="20"/>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telephone (subject to the applicable deadlines for each method as set forth above);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and returning a later-dated proxy card, which must be received prior to the annual meeting;</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a written notice of revocation to our corporate secretary at Athira Pharma, Inc., 18706 North Creek Parkway, Suite 104, Bothell, Washington 98011, Attention: Corporate Secretary, which must be received prior to the annual meeting; or</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and voting at the annual meeting (although attendance at the annual meeting will not, by itself, revoke a proxy).</w:t>
      </w:r>
    </w:p>
    <w:p>
      <w:pPr>
        <w:spacing w:after="0" w:line="234" w:lineRule="exact"/>
        <w:rPr>
          <w:sz w:val="20"/>
          <w:szCs w:val="20"/>
          <w:color w:val="auto"/>
        </w:rPr>
      </w:pPr>
    </w:p>
    <w:p>
      <w:pPr>
        <w:jc w:val="both"/>
        <w:ind w:right="20" w:firstLine="589"/>
        <w:spacing w:after="0" w:line="267" w:lineRule="auto"/>
        <w:rPr>
          <w:sz w:val="20"/>
          <w:szCs w:val="20"/>
          <w:color w:val="auto"/>
        </w:rPr>
      </w:pPr>
      <w:r>
        <w:rPr>
          <w:rFonts w:ascii="Arial" w:cs="Arial" w:eastAsia="Arial" w:hAnsi="Arial"/>
          <w:sz w:val="18"/>
          <w:szCs w:val="18"/>
          <w:i w:val="1"/>
          <w:iCs w:val="1"/>
          <w:color w:val="auto"/>
        </w:rPr>
        <w:t>Street Name Stockholders</w:t>
      </w:r>
      <w:r>
        <w:rPr>
          <w:rFonts w:ascii="Arial" w:cs="Arial" w:eastAsia="Arial" w:hAnsi="Arial"/>
          <w:sz w:val="18"/>
          <w:szCs w:val="18"/>
          <w:color w:val="auto"/>
        </w:rPr>
        <w:t>. If you are a street name stockholder, then your broker, bank or other nominee can provide you with</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on how to change or revoke your proxy.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do to attend the annual meeting?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will be hosting the annual meeting via live webcast only. You will be able to attend the annual meeting virtually, submit your questions during the meeting and vote your shares electronically during the meeting by visiting www.virtualshareholdermeeting.com/ATHA2021. To participate in the annual meeting, you will need the control number included on your proxy card. The annual meeting webcast will begin promptly at 10:00 a.m., Pacific Time. We encourage you to access the meeting prior to the start time. Online check-in will begin at 9:45 a.m., Pacific time, and you should allow ample time for the check-in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get help if I have trouble checking in or listening to the annual meeting online?</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If you encounter difficulties accessing the virtual meeting during the check-in or meeting time, please call the technical support number that will be posted on the virtual meeting log-in page.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Proxies are solicited by and on behalf of our board of directors. Leen Kawas, our President and Chief Executive Officer; Glenna Mileson, our Chief Financial Officer and Corporate Secretary and Mark Litton, our Chief Operating Officer, have been designated as proxy holders for the annual meeting by our board of directors. When proxies are properly dated, executed and returned, the shares represented by such proxies will be voted at the annual meeting in accordance with the instructions of the stockholder. If the proxy is dated and signed, but no specific instructions are given, however, the shares will be voted in accordance with the recommendations of our board of directors on the proposals as described above. If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rPr>
          <w:sz w:val="20"/>
          <w:szCs w:val="20"/>
          <w:color w:val="auto"/>
        </w:rPr>
      </w:pPr>
      <w:r>
        <w:rPr>
          <w:rFonts w:ascii="Arial" w:cs="Arial" w:eastAsia="Arial" w:hAnsi="Arial"/>
          <w:sz w:val="18"/>
          <w:szCs w:val="18"/>
          <w:color w:val="auto"/>
        </w:rPr>
        <w:t>any other matters are properly brought before the annual meeting, then the proxy holders will use their own judgment to determine how to vote your shares. If the annual meeting is postponed or adjourned, then the proxy holders can vote your shares on the new meeting date, unless you have properly revoked your proxy,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representative of Broadridge Financial Solutions, Inc. will tabulate the votes and act as inspector of election.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Athira Pharma, Inc.’s transfer agent?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You may contact our transfer agent, Computershare Inc., by telephone at (800) 736-3001, or by writing Computershare, at P.O. Box 505000 Louisville, KY 40233. You may also access instructions with respect to certain stockholder matters (e.g., change of address) via the Internet at www.computershare.com/investor.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 compensation will be paid to these individuals for any such services, although we may reimburse such individuals for their reasonable out-of-pocket expenses in connection with such solicitation.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possible, we will announce preliminary voting results at the annual meeting. We will also disclose voting results on a Current Report on Form 8-K that we will file with the U.S. Securities and Exchange Commission, or SEC, within four business days after the meeting. If final voting results are not available to us in time to file a Form 8-K, we will file a Form 8-K to publish preliminary results and will provide the final results in an amendment to the Form 8-K as soon as they become available.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instead of a full set of proxy materials?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of Internet Availability?</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Notice of Internet Availability. How may I obtain an additional copy of the Notice of Internet Availability?</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have adopted a procedure approved by the SEC called “householding,” under which we can deliver a single copy of the Notice of Internet Availability,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jc w:val="center"/>
        <w:spacing w:after="0" w:line="234" w:lineRule="auto"/>
        <w:rPr>
          <w:sz w:val="20"/>
          <w:szCs w:val="20"/>
          <w:color w:val="auto"/>
        </w:rPr>
      </w:pPr>
      <w:r>
        <w:rPr>
          <w:rFonts w:ascii="Arial" w:cs="Arial" w:eastAsia="Arial" w:hAnsi="Arial"/>
          <w:sz w:val="18"/>
          <w:szCs w:val="18"/>
          <w:color w:val="auto"/>
        </w:rPr>
        <w:t>Attention: Investor Relations</w:t>
      </w:r>
    </w:p>
    <w:p>
      <w:pPr>
        <w:jc w:val="center"/>
        <w:spacing w:after="0" w:line="235" w:lineRule="auto"/>
        <w:rPr>
          <w:sz w:val="20"/>
          <w:szCs w:val="20"/>
          <w:color w:val="auto"/>
        </w:rPr>
      </w:pPr>
      <w:r>
        <w:rPr>
          <w:rFonts w:ascii="Arial" w:cs="Arial" w:eastAsia="Arial" w:hAnsi="Arial"/>
          <w:sz w:val="18"/>
          <w:szCs w:val="18"/>
          <w:color w:val="auto"/>
        </w:rPr>
        <w:t>18706 North Creek Parkway, Suite 104</w:t>
      </w:r>
    </w:p>
    <w:p>
      <w:pPr>
        <w:jc w:val="center"/>
        <w:spacing w:after="0" w:line="235" w:lineRule="auto"/>
        <w:rPr>
          <w:sz w:val="20"/>
          <w:szCs w:val="20"/>
          <w:color w:val="auto"/>
        </w:rPr>
      </w:pPr>
      <w:r>
        <w:rPr>
          <w:rFonts w:ascii="Arial" w:cs="Arial" w:eastAsia="Arial" w:hAnsi="Arial"/>
          <w:sz w:val="18"/>
          <w:szCs w:val="18"/>
          <w:color w:val="auto"/>
        </w:rPr>
        <w:t>Bothell, Washington 98011</w:t>
      </w:r>
    </w:p>
    <w:p>
      <w:pPr>
        <w:jc w:val="center"/>
        <w:spacing w:after="0"/>
        <w:rPr>
          <w:sz w:val="20"/>
          <w:szCs w:val="20"/>
          <w:color w:val="auto"/>
        </w:rPr>
      </w:pPr>
      <w:r>
        <w:rPr>
          <w:rFonts w:ascii="Arial" w:cs="Arial" w:eastAsia="Arial" w:hAnsi="Arial"/>
          <w:sz w:val="18"/>
          <w:szCs w:val="18"/>
          <w:color w:val="auto"/>
        </w:rPr>
        <w:t>Tel: (425) 620-8501</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2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a stockholder would like us to consider including a proposal in our proxy statement for our 2022 annual meeting pursuant to Rule 14a-8 of the Exchange Act, then the proposal must be received by our corporate secretary at our principal executive offices on or before Friday, December 17, 2021. In addition, stockholder proposals must comply with the requirements of Rule 14a-8 regarding the inclusion of stockholder proposals in company-sponsored proxy materials. Proposals should be addressed to:</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Athira Pharma, Inc.</w:t>
      </w:r>
    </w:p>
    <w:p>
      <w:pPr>
        <w:jc w:val="center"/>
        <w:spacing w:after="0" w:line="234" w:lineRule="auto"/>
        <w:rPr>
          <w:sz w:val="20"/>
          <w:szCs w:val="20"/>
          <w:color w:val="auto"/>
        </w:rPr>
      </w:pPr>
      <w:r>
        <w:rPr>
          <w:rFonts w:ascii="Arial" w:cs="Arial" w:eastAsia="Arial" w:hAnsi="Arial"/>
          <w:sz w:val="18"/>
          <w:szCs w:val="18"/>
          <w:color w:val="auto"/>
        </w:rPr>
        <w:t>Attention: Corporate Secretary</w:t>
      </w:r>
    </w:p>
    <w:p>
      <w:pPr>
        <w:jc w:val="center"/>
        <w:spacing w:after="0" w:line="235" w:lineRule="auto"/>
        <w:rPr>
          <w:sz w:val="20"/>
          <w:szCs w:val="20"/>
          <w:color w:val="auto"/>
        </w:rPr>
      </w:pPr>
      <w:r>
        <w:rPr>
          <w:rFonts w:ascii="Arial" w:cs="Arial" w:eastAsia="Arial" w:hAnsi="Arial"/>
          <w:sz w:val="18"/>
          <w:szCs w:val="18"/>
          <w:color w:val="auto"/>
        </w:rPr>
        <w:t>18706 North Creek Parkway, Suite 104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Bothell, Washington 98011</w:t>
      </w:r>
    </w:p>
    <w:p>
      <w:pPr>
        <w:spacing w:after="0" w:line="10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amended and restated bylaws also establish an advance notice procedure for stockholders who wish to present a proposal or nominate a director at an annual meeting, but do not seek to include the proposal or director nominee in our proxy statement. In order to be properly brought before our 2022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w:t>
      </w:r>
    </w:p>
    <w:p>
      <w:pPr>
        <w:spacing w:after="0" w:line="205" w:lineRule="exact"/>
        <w:rPr>
          <w:sz w:val="20"/>
          <w:szCs w:val="20"/>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earlier than 8:00 a.m., local time, on January 27, 2022, and</w:t>
      </w:r>
    </w:p>
    <w:p>
      <w:pPr>
        <w:spacing w:after="0" w:line="252" w:lineRule="exact"/>
        <w:rPr>
          <w:rFonts w:ascii="Arial" w:cs="Arial" w:eastAsia="Arial" w:hAnsi="Arial"/>
          <w:sz w:val="18"/>
          <w:szCs w:val="18"/>
          <w:color w:val="auto"/>
        </w:rPr>
      </w:pPr>
    </w:p>
    <w:p>
      <w:pPr>
        <w:ind w:left="1160" w:hanging="57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later than 5:00 p.m., local time, on February 26, 2022.</w:t>
      </w:r>
    </w:p>
    <w:p>
      <w:pPr>
        <w:spacing w:after="0" w:line="231" w:lineRule="exact"/>
        <w:rPr>
          <w:rFonts w:ascii="Arial" w:cs="Arial" w:eastAsia="Arial" w:hAnsi="Arial"/>
          <w:sz w:val="18"/>
          <w:szCs w:val="18"/>
          <w:color w:val="auto"/>
        </w:rPr>
      </w:pPr>
    </w:p>
    <w:p>
      <w:pPr>
        <w:ind w:left="5580" w:hanging="132"/>
        <w:spacing w:after="0"/>
        <w:tabs>
          <w:tab w:leader="none" w:pos="5580" w:val="left"/>
        </w:tabs>
        <w:numPr>
          <w:ilvl w:val="1"/>
          <w:numId w:val="12"/>
        </w:numPr>
        <w:rPr>
          <w:rFonts w:ascii="Arial" w:cs="Arial" w:eastAsia="Arial" w:hAnsi="Arial"/>
          <w:sz w:val="22"/>
          <w:szCs w:val="22"/>
          <w:color w:val="auto"/>
        </w:rPr>
      </w:pPr>
      <w:r>
        <w:rPr>
          <w:rFonts w:ascii="Arial" w:cs="Arial" w:eastAsia="Arial" w:hAnsi="Arial"/>
          <w:sz w:val="18"/>
          <w:szCs w:val="18"/>
          <w:color w:val="auto"/>
        </w:rPr>
        <w:t xml:space="preserve">6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right="20" w:firstLine="589"/>
        <w:spacing w:after="0" w:line="246" w:lineRule="auto"/>
        <w:rPr>
          <w:sz w:val="20"/>
          <w:szCs w:val="20"/>
          <w:color w:val="auto"/>
        </w:rPr>
      </w:pPr>
      <w:r>
        <w:rPr>
          <w:rFonts w:ascii="Arial" w:cs="Arial" w:eastAsia="Arial" w:hAnsi="Arial"/>
          <w:sz w:val="18"/>
          <w:szCs w:val="18"/>
          <w:color w:val="auto"/>
        </w:rPr>
        <w:t>In the event that we hold our 2022 annual meeting more or less than 25 days after the one-year anniversary of this year’s annual meeting, then such written notice must be received by our corporate secretary at our principal executive offices:</w:t>
      </w:r>
    </w:p>
    <w:p>
      <w:pPr>
        <w:spacing w:after="0" w:line="197" w:lineRule="exact"/>
        <w:rPr>
          <w:sz w:val="20"/>
          <w:szCs w:val="20"/>
          <w:color w:val="auto"/>
        </w:rPr>
      </w:pPr>
    </w:p>
    <w:p>
      <w:pPr>
        <w:ind w:left="1160" w:hanging="57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earlier than 8:00 a.m., local time, on the 120th day prior to the day of our 2022 annual meeting, and</w:t>
      </w:r>
    </w:p>
    <w:p>
      <w:pPr>
        <w:spacing w:after="0" w:line="252"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later than 5:00 p.m., local time, on the 10th day following the day on which public announcement of the date of the annual meeting is first made by us.</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7</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board of directors currently consists of seven directors, six of whom are independent under the listing standards of The Nasdaq Stock Market LLC, or Nasdaq. Our board of directors is divided into three classes with staggered three-year terms. Thus, at each annual meeting of stockholders, a class of directors will be elected for a three-year term to succeed the class whose term is then expiring.</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following table sets forth the names, ages as of March 29, 2021, and certain other information for each of our directors and director nominees: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Expiration of</w:t>
            </w:r>
          </w:p>
        </w:tc>
      </w:tr>
      <w:tr>
        <w:trPr>
          <w:trHeight w:val="176"/>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Current</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for</w:t>
            </w:r>
          </w:p>
        </w:tc>
      </w:tr>
      <w:tr>
        <w:trPr>
          <w:trHeight w:val="175"/>
        </w:trPr>
        <w:tc>
          <w:tcPr>
            <w:tcW w:w="2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Director</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Which</w:t>
            </w:r>
          </w:p>
        </w:tc>
      </w:tr>
      <w:tr>
        <w:trPr>
          <w:trHeight w:val="175"/>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Class</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Age</w:t>
            </w:r>
          </w:p>
        </w:tc>
        <w:tc>
          <w:tcPr>
            <w:tcW w:w="2860" w:type="dxa"/>
            <w:vAlign w:val="bottom"/>
            <w:gridSpan w:val="2"/>
          </w:tcPr>
          <w:p>
            <w:pPr>
              <w:ind w:left="1080"/>
              <w:spacing w:after="0"/>
              <w:rPr>
                <w:sz w:val="20"/>
                <w:szCs w:val="20"/>
                <w:color w:val="auto"/>
              </w:rPr>
            </w:pPr>
            <w:r>
              <w:rPr>
                <w:rFonts w:ascii="Arial" w:cs="Arial" w:eastAsia="Arial" w:hAnsi="Arial"/>
                <w:sz w:val="14"/>
                <w:szCs w:val="14"/>
                <w:b w:val="1"/>
                <w:bCs w:val="1"/>
                <w:color w:val="auto"/>
              </w:rPr>
              <w:t>Position</w:t>
            </w: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Since</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Expires</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Nominated</w:t>
            </w:r>
          </w:p>
        </w:tc>
      </w:tr>
      <w:tr>
        <w:trPr>
          <w:trHeight w:val="178"/>
        </w:trPr>
        <w:tc>
          <w:tcPr>
            <w:tcW w:w="2200" w:type="dxa"/>
            <w:vAlign w:val="bottom"/>
            <w:tcBorders>
              <w:top w:val="single" w:sz="8" w:color="auto"/>
            </w:tcBorders>
            <w:shd w:val="clear" w:color="auto" w:fill="CFF0FC"/>
          </w:tcPr>
          <w:p>
            <w:pPr>
              <w:spacing w:after="0" w:line="178" w:lineRule="exact"/>
              <w:rPr>
                <w:sz w:val="20"/>
                <w:szCs w:val="20"/>
                <w:color w:val="auto"/>
              </w:rPr>
            </w:pPr>
            <w:r>
              <w:rPr>
                <w:rFonts w:ascii="Arial" w:cs="Arial" w:eastAsia="Arial" w:hAnsi="Arial"/>
                <w:sz w:val="16"/>
                <w:szCs w:val="16"/>
                <w:b w:val="1"/>
                <w:bCs w:val="1"/>
                <w:color w:val="auto"/>
              </w:rPr>
              <w:t>Nominees for</w:t>
            </w:r>
          </w:p>
        </w:tc>
        <w:tc>
          <w:tcPr>
            <w:tcW w:w="16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7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3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7"/>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6"/>
                <w:szCs w:val="16"/>
                <w:b w:val="1"/>
                <w:bCs w:val="1"/>
                <w:color w:val="auto"/>
              </w:rPr>
              <w:t>Director</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4"/>
        </w:trPr>
        <w:tc>
          <w:tcPr>
            <w:tcW w:w="2360" w:type="dxa"/>
            <w:vAlign w:val="bottom"/>
            <w:gridSpan w:val="2"/>
          </w:tcPr>
          <w:p>
            <w:pPr>
              <w:spacing w:after="0"/>
              <w:rPr>
                <w:sz w:val="20"/>
                <w:szCs w:val="20"/>
                <w:color w:val="auto"/>
              </w:rPr>
            </w:pPr>
            <w:r>
              <w:rPr>
                <w:rFonts w:ascii="Arial" w:cs="Arial" w:eastAsia="Arial" w:hAnsi="Arial"/>
                <w:sz w:val="16"/>
                <w:szCs w:val="16"/>
                <w:color w:val="auto"/>
              </w:rPr>
              <w:t>Leen Kawas, Ph.D.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President, Chief Executive</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7"/>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tcPr>
          <w:p>
            <w:pPr>
              <w:jc w:val="center"/>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6"/>
                <w:szCs w:val="16"/>
                <w:color w:val="auto"/>
              </w:rPr>
            </w:pPr>
          </w:p>
        </w:tc>
        <w:tc>
          <w:tcPr>
            <w:tcW w:w="2860" w:type="dxa"/>
            <w:vAlign w:val="bottom"/>
            <w:gridSpan w:val="2"/>
          </w:tcPr>
          <w:p>
            <w:pPr>
              <w:ind w:left="140"/>
              <w:spacing w:after="0"/>
              <w:rPr>
                <w:sz w:val="20"/>
                <w:szCs w:val="20"/>
                <w:color w:val="auto"/>
              </w:rPr>
            </w:pPr>
            <w:r>
              <w:rPr>
                <w:rFonts w:ascii="Arial" w:cs="Arial" w:eastAsia="Arial" w:hAnsi="Arial"/>
                <w:sz w:val="16"/>
                <w:szCs w:val="16"/>
                <w:color w:val="auto"/>
              </w:rPr>
              <w:t>Officer and 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2014</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6"/>
                <w:szCs w:val="16"/>
                <w:color w:val="auto"/>
              </w:rPr>
            </w:pPr>
          </w:p>
        </w:tc>
      </w:tr>
      <w:tr>
        <w:trPr>
          <w:trHeight w:val="199"/>
        </w:trPr>
        <w:tc>
          <w:tcPr>
            <w:tcW w:w="23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Tadataka Yamada,</w:t>
            </w: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2"/>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M.D.</w:t>
            </w:r>
            <w:r>
              <w:rPr>
                <w:rFonts w:ascii="Arial" w:cs="Arial" w:eastAsia="Arial" w:hAnsi="Arial"/>
                <w:sz w:val="13"/>
                <w:szCs w:val="13"/>
                <w:color w:val="auto"/>
              </w:rPr>
              <w:t>(1)(2)</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FF0FC"/>
          </w:tcPr>
          <w:p>
            <w:pPr>
              <w:spacing w:after="0"/>
              <w:rPr>
                <w:sz w:val="16"/>
                <w:szCs w:val="16"/>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Chairman of the Board</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FF0FC"/>
          </w:tcPr>
          <w:p>
            <w:pPr>
              <w:spacing w:after="0"/>
              <w:rPr>
                <w:sz w:val="16"/>
                <w:szCs w:val="16"/>
                <w:color w:val="auto"/>
              </w:rPr>
            </w:pPr>
          </w:p>
        </w:tc>
      </w:tr>
      <w:tr>
        <w:trPr>
          <w:trHeight w:val="203"/>
        </w:trPr>
        <w:tc>
          <w:tcPr>
            <w:tcW w:w="2360" w:type="dxa"/>
            <w:vAlign w:val="bottom"/>
            <w:gridSpan w:val="2"/>
          </w:tcPr>
          <w:p>
            <w:pPr>
              <w:spacing w:after="0" w:line="202" w:lineRule="exact"/>
              <w:rPr>
                <w:sz w:val="20"/>
                <w:szCs w:val="20"/>
                <w:color w:val="auto"/>
              </w:rPr>
            </w:pPr>
            <w:r>
              <w:rPr>
                <w:rFonts w:ascii="Arial" w:cs="Arial" w:eastAsia="Arial" w:hAnsi="Arial"/>
                <w:sz w:val="14"/>
                <w:szCs w:val="14"/>
                <w:color w:val="auto"/>
              </w:rPr>
              <w:t>Barbara Kosacz</w:t>
            </w:r>
            <w:r>
              <w:rPr>
                <w:rFonts w:ascii="Arial" w:cs="Arial" w:eastAsia="Arial" w:hAnsi="Arial"/>
                <w:sz w:val="23"/>
                <w:szCs w:val="23"/>
                <w:color w:val="auto"/>
                <w:vertAlign w:val="superscript"/>
              </w:rPr>
              <w:t>(3)(4)(7)</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w:t>
            </w:r>
          </w:p>
        </w:tc>
        <w:tc>
          <w:tcPr>
            <w:tcW w:w="760" w:type="dxa"/>
            <w:vAlign w:val="bottom"/>
          </w:tcPr>
          <w:p>
            <w:pPr>
              <w:jc w:val="center"/>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4"/>
        </w:trPr>
        <w:tc>
          <w:tcPr>
            <w:tcW w:w="23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Continuing</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6"/>
                <w:szCs w:val="16"/>
                <w:b w:val="1"/>
                <w:bCs w:val="1"/>
                <w:color w:val="auto"/>
              </w:rPr>
              <w:t>Directors</w:t>
            </w: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2360" w:type="dxa"/>
            <w:vAlign w:val="bottom"/>
            <w:gridSpan w:val="2"/>
          </w:tcPr>
          <w:p>
            <w:pPr>
              <w:spacing w:after="0" w:line="202" w:lineRule="exact"/>
              <w:rPr>
                <w:sz w:val="20"/>
                <w:szCs w:val="20"/>
                <w:color w:val="auto"/>
              </w:rPr>
            </w:pPr>
            <w:r>
              <w:rPr>
                <w:rFonts w:ascii="Arial" w:cs="Arial" w:eastAsia="Arial" w:hAnsi="Arial"/>
                <w:sz w:val="14"/>
                <w:szCs w:val="14"/>
                <w:color w:val="auto"/>
              </w:rPr>
              <w:t>Joseph Edelman</w:t>
            </w:r>
            <w:r>
              <w:rPr>
                <w:rFonts w:ascii="Arial" w:cs="Arial" w:eastAsia="Arial" w:hAnsi="Arial"/>
                <w:sz w:val="23"/>
                <w:szCs w:val="23"/>
                <w:color w:val="auto"/>
                <w:vertAlign w:val="superscript"/>
              </w:rPr>
              <w:t>(3)(4)</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tcPr>
          <w:p>
            <w:pPr>
              <w:jc w:val="center"/>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John M. Fluke, Jr.</w:t>
            </w:r>
            <w:r>
              <w:rPr>
                <w:rFonts w:ascii="Arial" w:cs="Arial" w:eastAsia="Arial" w:hAnsi="Arial"/>
                <w:sz w:val="23"/>
                <w:szCs w:val="23"/>
                <w:color w:val="auto"/>
                <w:vertAlign w:val="superscript"/>
              </w:rPr>
              <w:t>(3)(5)</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78</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2014</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2022</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360" w:type="dxa"/>
            <w:vAlign w:val="bottom"/>
            <w:gridSpan w:val="2"/>
          </w:tcPr>
          <w:p>
            <w:pPr>
              <w:spacing w:after="0"/>
              <w:rPr>
                <w:sz w:val="20"/>
                <w:szCs w:val="20"/>
                <w:color w:val="auto"/>
              </w:rPr>
            </w:pPr>
            <w:r>
              <w:rPr>
                <w:rFonts w:ascii="Arial" w:cs="Arial" w:eastAsia="Arial" w:hAnsi="Arial"/>
                <w:sz w:val="16"/>
                <w:szCs w:val="16"/>
                <w:color w:val="auto"/>
              </w:rPr>
              <w:t>James A.</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2360" w:type="dxa"/>
            <w:vAlign w:val="bottom"/>
            <w:gridSpan w:val="2"/>
          </w:tcPr>
          <w:p>
            <w:pPr>
              <w:ind w:left="140"/>
              <w:spacing w:after="0" w:line="192" w:lineRule="exact"/>
              <w:rPr>
                <w:sz w:val="20"/>
                <w:szCs w:val="20"/>
                <w:color w:val="auto"/>
              </w:rPr>
            </w:pPr>
            <w:r>
              <w:rPr>
                <w:rFonts w:ascii="Arial" w:cs="Arial" w:eastAsia="Arial" w:hAnsi="Arial"/>
                <w:sz w:val="14"/>
                <w:szCs w:val="14"/>
                <w:color w:val="auto"/>
              </w:rPr>
              <w:t>Johnson</w:t>
            </w:r>
            <w:r>
              <w:rPr>
                <w:rFonts w:ascii="Arial" w:cs="Arial" w:eastAsia="Arial" w:hAnsi="Arial"/>
                <w:sz w:val="22"/>
                <w:szCs w:val="22"/>
                <w:color w:val="auto"/>
                <w:vertAlign w:val="superscript"/>
              </w:rPr>
              <w:t>(6)(7)</w:t>
            </w:r>
          </w:p>
        </w:tc>
        <w:tc>
          <w:tcPr>
            <w:tcW w:w="900" w:type="dxa"/>
            <w:vAlign w:val="bottom"/>
            <w:gridSpan w:val="2"/>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tcPr>
          <w:p>
            <w:pPr>
              <w:jc w:val="center"/>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6"/>
                <w:szCs w:val="16"/>
                <w:color w:val="auto"/>
              </w:rPr>
            </w:pPr>
          </w:p>
        </w:tc>
        <w:tc>
          <w:tcPr>
            <w:tcW w:w="286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320" w:type="dxa"/>
            <w:vAlign w:val="bottom"/>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tcPr>
          <w:p>
            <w:pPr>
              <w:spacing w:after="0"/>
              <w:rPr>
                <w:sz w:val="16"/>
                <w:szCs w:val="16"/>
                <w:color w:val="auto"/>
              </w:rPr>
            </w:pPr>
          </w:p>
        </w:tc>
        <w:tc>
          <w:tcPr>
            <w:tcW w:w="130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203"/>
        </w:trPr>
        <w:tc>
          <w:tcPr>
            <w:tcW w:w="2360" w:type="dxa"/>
            <w:vAlign w:val="bottom"/>
            <w:gridSpan w:val="2"/>
            <w:shd w:val="clear" w:color="auto" w:fill="CFF0FC"/>
          </w:tcPr>
          <w:p>
            <w:pPr>
              <w:spacing w:after="0" w:line="202" w:lineRule="exact"/>
              <w:rPr>
                <w:sz w:val="20"/>
                <w:szCs w:val="20"/>
                <w:color w:val="auto"/>
              </w:rPr>
            </w:pPr>
            <w:r>
              <w:rPr>
                <w:rFonts w:ascii="Arial" w:cs="Arial" w:eastAsia="Arial" w:hAnsi="Arial"/>
                <w:sz w:val="14"/>
                <w:szCs w:val="14"/>
                <w:color w:val="auto"/>
              </w:rPr>
              <w:t>Kelly A. Romano</w:t>
            </w:r>
            <w:r>
              <w:rPr>
                <w:rFonts w:ascii="Arial" w:cs="Arial" w:eastAsia="Arial" w:hAnsi="Arial"/>
                <w:sz w:val="23"/>
                <w:szCs w:val="23"/>
                <w:color w:val="auto"/>
                <w:vertAlign w:val="superscript"/>
              </w:rPr>
              <w:t>(5)</w:t>
            </w:r>
          </w:p>
        </w:tc>
        <w:tc>
          <w:tcPr>
            <w:tcW w:w="900" w:type="dxa"/>
            <w:vAlign w:val="bottom"/>
            <w:gridSpan w:val="2"/>
            <w:shd w:val="clear" w:color="auto" w:fill="CFF0FC"/>
          </w:tcPr>
          <w:p>
            <w:pPr>
              <w:jc w:val="center"/>
              <w:ind w:right="160"/>
              <w:spacing w:after="0"/>
              <w:rPr>
                <w:sz w:val="20"/>
                <w:szCs w:val="20"/>
                <w:color w:val="auto"/>
              </w:rPr>
            </w:pPr>
            <w:r>
              <w:rPr>
                <w:rFonts w:ascii="Arial" w:cs="Arial" w:eastAsia="Arial" w:hAnsi="Arial"/>
                <w:sz w:val="16"/>
                <w:szCs w:val="16"/>
                <w:color w:val="auto"/>
              </w:rPr>
              <w:t>III</w:t>
            </w:r>
          </w:p>
        </w:tc>
        <w:tc>
          <w:tcPr>
            <w:tcW w:w="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59</w:t>
            </w:r>
          </w:p>
        </w:tc>
        <w:tc>
          <w:tcPr>
            <w:tcW w:w="140" w:type="dxa"/>
            <w:vAlign w:val="bottom"/>
            <w:shd w:val="clear" w:color="auto" w:fill="CFF0FC"/>
          </w:tcPr>
          <w:p>
            <w:pPr>
              <w:spacing w:after="0"/>
              <w:rPr>
                <w:sz w:val="17"/>
                <w:szCs w:val="17"/>
                <w:color w:val="auto"/>
              </w:rPr>
            </w:pPr>
          </w:p>
        </w:tc>
        <w:tc>
          <w:tcPr>
            <w:tcW w:w="2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Director</w:t>
            </w: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2023</w:t>
            </w:r>
          </w:p>
        </w:tc>
        <w:tc>
          <w:tcPr>
            <w:tcW w:w="14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30"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Chairman of the compensation committee.</w:t>
      </w:r>
    </w:p>
    <w:p>
      <w:pPr>
        <w:spacing w:after="0" w:line="30" w:lineRule="exact"/>
        <w:rPr>
          <w:rFonts w:ascii="Arial" w:cs="Arial" w:eastAsia="Arial" w:hAnsi="Arial"/>
          <w:sz w:val="24"/>
          <w:szCs w:val="24"/>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Chairman of the nominating and corporate governance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Member of the nominating and corporate governance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Member of the compensation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Member of audit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Chairman of the audit committee.</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14"/>
        </w:numPr>
        <w:rPr>
          <w:rFonts w:ascii="Arial" w:cs="Arial" w:eastAsia="Arial" w:hAnsi="Arial"/>
          <w:sz w:val="19"/>
          <w:szCs w:val="19"/>
          <w:color w:val="auto"/>
          <w:vertAlign w:val="superscript"/>
        </w:rPr>
      </w:pPr>
      <w:r>
        <w:rPr>
          <w:rFonts w:ascii="Arial" w:cs="Arial" w:eastAsia="Arial" w:hAnsi="Arial"/>
          <w:sz w:val="12"/>
          <w:szCs w:val="12"/>
          <w:color w:val="auto"/>
        </w:rPr>
        <w:t>In April 2021, Ms. Kosacz was appointed to the compensation committee to replace Mr. Johnson. Mr. Johnson remains the chairman of the audit committee.</w:t>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Nominees for Director</w:t>
      </w:r>
    </w:p>
    <w:p>
      <w:pPr>
        <w:spacing w:after="0" w:line="108"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Tadataka Yamada, M.D.</w:t>
      </w:r>
      <w:r>
        <w:rPr>
          <w:rFonts w:ascii="Arial" w:cs="Arial" w:eastAsia="Arial" w:hAnsi="Arial"/>
          <w:sz w:val="18"/>
          <w:szCs w:val="18"/>
          <w:color w:val="auto"/>
        </w:rPr>
        <w:t>, has served on our board of directors since June 2019 and as the chair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spacing w:after="0" w:line="236" w:lineRule="auto"/>
        <w:rPr>
          <w:sz w:val="20"/>
          <w:szCs w:val="20"/>
          <w:color w:val="auto"/>
        </w:rPr>
      </w:pPr>
      <w:r>
        <w:rPr>
          <w:rFonts w:ascii="Arial" w:cs="Arial" w:eastAsia="Arial" w:hAnsi="Arial"/>
          <w:sz w:val="18"/>
          <w:szCs w:val="18"/>
          <w:color w:val="auto"/>
        </w:rPr>
        <w:t>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 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8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Barbara Kosacz </w:t>
      </w:r>
      <w:r>
        <w:rPr>
          <w:rFonts w:ascii="Arial" w:cs="Arial" w:eastAsia="Arial" w:hAnsi="Arial"/>
          <w:sz w:val="18"/>
          <w:szCs w:val="18"/>
          <w:color w:val="auto"/>
        </w:rPr>
        <w:t>has served on our board of directors since March 2021. Ms. Kosacz has served as chief operating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counsel at Kronos Bio, Inc., a clinical-stage biopharmaceutical company, since July 2020. Prior to joining Kronos Bio, Ms. Kosacz was a partner at Cooley LLP from January 1997 to December 2000, and again from February 2002 until July 2020, where she led the international life sciences practice. Ms. Kosacz has more than 25 years of experience in counseling clients in the life sciences arena, ranging from early stage startups to larger public companies, venture funds, investment banks, and non-profit institutions. She has served as a member of the BIO Emerging Companies’ Section Governing Board, is a member of the Board of Trustees of the Keck Graduate Institute, an advisory board member of Locust Walk Partners, and has been a speaker at multiple life sciences-related conferences, as well as guest lecturer at the University of California, Berkeley, and Stanford University about biotechnology law, biotech business models, corporate partnering negotiations and deal structures, and bioethics. Recognized by Best Lawyers in America since 2008 and most recently as Biotechnology Lawyer of the Year in 2018, Ms. Kosacz was listed as a “leading lawyer” for healthcare and life sciences in the 2018 Legal 500, as a “Band 1” attorney in the 2018 edition of Chambers USA: America’s Leading Lawyers for Business and recognized as a “highly recommended transactions” lawyer by IAM Patent 1000 for her “nearly three decades advising diverse companies in the industry at a deeply strategic and commercial level and overseeing their most complex and profitable deals.” Ms. Kosacz is a member of the board of directors of Xoma Corp., a public biotechnology company, and Locust Walk Acquisition Corp., a blank check company formed for the purpose of acquiring or merging with one or more businesses. Ms. Kosacz received her B.A. from Stanford University and her J.D. from the University of California, Berkeley School of Law. We believe Ms. Kosacz’s extensive experience as an advisor to life sciences companies qualifies her to serve on our board of directors</w:t>
      </w:r>
      <w:r>
        <w:rPr>
          <w:rFonts w:ascii="Arial" w:cs="Arial" w:eastAsia="Arial" w:hAnsi="Arial"/>
          <w:sz w:val="18"/>
          <w:szCs w:val="18"/>
          <w:color w:val="0A0A0A"/>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8"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85"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jc w:val="both"/>
        <w:spacing w:after="0" w:line="236" w:lineRule="auto"/>
        <w:rPr>
          <w:sz w:val="20"/>
          <w:szCs w:val="20"/>
          <w:color w:val="auto"/>
        </w:rPr>
      </w:pPr>
      <w:r>
        <w:rPr>
          <w:rFonts w:ascii="Arial" w:cs="Arial" w:eastAsia="Arial" w:hAnsi="Arial"/>
          <w:sz w:val="18"/>
          <w:szCs w:val="18"/>
          <w:color w:val="auto"/>
        </w:rPr>
        <w:t>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89"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9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Kelly A. Romano </w:t>
      </w:r>
      <w:r>
        <w:rPr>
          <w:rFonts w:ascii="Arial" w:cs="Arial" w:eastAsia="Arial" w:hAnsi="Arial"/>
          <w:sz w:val="18"/>
          <w:szCs w:val="18"/>
          <w:color w:val="auto"/>
        </w:rPr>
        <w:t>has served on our board of directors since December 2020.</w:t>
      </w:r>
      <w:r>
        <w:rPr>
          <w:rFonts w:ascii="Arial" w:cs="Arial" w:eastAsia="Arial" w:hAnsi="Arial"/>
          <w:sz w:val="18"/>
          <w:szCs w:val="18"/>
          <w:i w:val="1"/>
          <w:iCs w:val="1"/>
          <w:color w:val="auto"/>
        </w:rPr>
        <w:t xml:space="preserve"> </w:t>
      </w:r>
      <w:r>
        <w:rPr>
          <w:rFonts w:ascii="Arial" w:cs="Arial" w:eastAsia="Arial" w:hAnsi="Arial"/>
          <w:sz w:val="18"/>
          <w:szCs w:val="18"/>
          <w:color w:val="0A0A0A"/>
        </w:rPr>
        <w:t>Ms. Romano brings over 30 years of executive</w:t>
      </w:r>
      <w:r>
        <w:rPr>
          <w:rFonts w:ascii="Arial" w:cs="Arial" w:eastAsia="Arial" w:hAnsi="Arial"/>
          <w:sz w:val="18"/>
          <w:szCs w:val="18"/>
          <w:i w:val="1"/>
          <w:iCs w:val="1"/>
          <w:color w:val="auto"/>
        </w:rPr>
        <w:t xml:space="preserve"> </w:t>
      </w:r>
      <w:r>
        <w:rPr>
          <w:rFonts w:ascii="Arial" w:cs="Arial" w:eastAsia="Arial" w:hAnsi="Arial"/>
          <w:sz w:val="18"/>
          <w:szCs w:val="18"/>
          <w:color w:val="0A0A0A"/>
        </w:rPr>
        <w:t xml:space="preserve">operating experience in technology, with a background in commercial buildings and aerospace. Ms. Romano is the chief executive officer of BlueRipple Capital, LLC, a consultancy firm she founded in May 2018. In addition to her role at BlueRipple Capital, LLC, Ms. Romano is an operating partner at AE Industrial Partners. Ms. Romano has also served as senior advisory partner at Sand Oak Capital Partners, LLC, a private equity firm focused on industrial and manufacturing investments, since May 2016. Previously, she spent 32 years working at United Technologies Corp. (UTC) in various positions of increasing </w:t>
      </w:r>
      <w:r>
        <w:rPr>
          <w:rFonts w:ascii="Arial" w:cs="Arial" w:eastAsia="Arial" w:hAnsi="Arial"/>
          <w:sz w:val="18"/>
          <w:szCs w:val="18"/>
          <w:color w:val="000000"/>
        </w:rPr>
        <w:t>responsibility, most recently as president of intelligent building technologies in</w:t>
      </w:r>
      <w:r>
        <w:rPr>
          <w:rFonts w:ascii="Arial" w:cs="Arial" w:eastAsia="Arial" w:hAnsi="Arial"/>
          <w:sz w:val="18"/>
          <w:szCs w:val="18"/>
          <w:color w:val="0A0A0A"/>
        </w:rPr>
        <w:t xml:space="preserve"> </w:t>
      </w:r>
      <w:r>
        <w:rPr>
          <w:rFonts w:ascii="Arial" w:cs="Arial" w:eastAsia="Arial" w:hAnsi="Arial"/>
          <w:sz w:val="18"/>
          <w:szCs w:val="18"/>
          <w:color w:val="000000"/>
        </w:rPr>
        <w:t>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 We believe Ms. Romano’s executive operating experience and aptitude for understanding growing companies qualifies her to serve on our board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common stock is listed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spacing w:after="0"/>
        <w:rPr>
          <w:sz w:val="20"/>
          <w:szCs w:val="20"/>
          <w:color w:val="auto"/>
        </w:rPr>
      </w:pPr>
      <w:r>
        <w:rPr>
          <w:rFonts w:ascii="Arial" w:cs="Arial" w:eastAsia="Arial" w:hAnsi="Arial"/>
          <w:sz w:val="18"/>
          <w:szCs w:val="18"/>
          <w:color w:val="auto"/>
        </w:rPr>
        <w:t>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Our board of directors also determined that Messrs. Johnson and Fluke and Ms. Romano, who comprise our audit committee; Dr. Yamada, Mr. Edelman and Ms. Kosacz, who comprise our compensation committee; and Dr. Yamada, Messrs. Edelman and Fluke and Ms. Kosacz,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Our Board has determined it is in the best interests of our stockholders to continue to maintain an independent chairman to allow Dr. Kawas to focus on her primary responsibility for the operational leadership and strategic direction of our company. Our corporate governance guidelines provide that if our board of directors does not have an independent chairperson, the board of directors will appoint a lead independent director.</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234"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Management is responsible for the day-to-day management of risks the company faces, and 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While each committee is responsible for evaluating certain risks and overseeing the management of such risks, our entire board of directors is regularly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6" w:name="page17"/>
    <w:bookmarkEnd w:id="16"/>
    <w:p>
      <w:pPr>
        <w:jc w:val="both"/>
        <w:spacing w:after="0" w:line="246" w:lineRule="auto"/>
        <w:rPr>
          <w:sz w:val="20"/>
          <w:szCs w:val="20"/>
          <w:color w:val="auto"/>
        </w:rPr>
      </w:pPr>
      <w:r>
        <w:rPr>
          <w:rFonts w:ascii="Arial" w:cs="Arial" w:eastAsia="Arial" w:hAnsi="Arial"/>
          <w:sz w:val="18"/>
          <w:szCs w:val="18"/>
          <w:color w:val="auto"/>
        </w:rPr>
        <w:t>informed through discussions from committee members about such risks. Our board of directors believes its administration of its risk oversight function has not affected the board of directors’ leadership structure.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Stockholder Meetings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During our fiscal year ended December 31, 2020, our board of directors held nine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the annual meetings of stockholders, we encourage, but do not require, directors to attend. This annual meeting will be our first annual meeting of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Non-Employee Directors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To encourage and enhance communication among non-employee directors, and as required under applicable Nasdaq rules, our corporate governance guidelines provide that the non-employee directors will meet in executive sessions without management directors or management present on a periodic basis. In addition, if any of our non-employee directors are not independent directors, then our independent directors will also meet in executive session on a periodic basis. These executive sessions are chaired by Tadataka Yamada, M.D., our chairman of the board.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members of our audit committee are Messrs. Johnson and Fluke and Ms. Romano,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which is available on our website at https://investors.athira.com/corporate-governance/governance-overview. Our board of directors has determined that each of Messrs. Johnson and Fluke and Ms. Romano is independent for audit committee purposes, as that term is defined in the rules of the SEC and the applicable Nasdaq rules, and have sufficient knowledge in financial and auditing matters to serve on the audit committee.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w:t>
      </w:r>
    </w:p>
    <w:p>
      <w:pPr>
        <w:spacing w:after="0" w:line="104" w:lineRule="exact"/>
        <w:rPr>
          <w:sz w:val="20"/>
          <w:szCs w:val="20"/>
          <w:color w:val="auto"/>
        </w:rPr>
      </w:pPr>
    </w:p>
    <w:p>
      <w:pPr>
        <w:ind w:left="1160" w:hanging="572"/>
        <w:spacing w:after="0" w:line="246"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retains, compensates, evaluates, oversees and, where appropriate, terminates our independent registered public accounting firm;</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and approves the scope and plans for the audits and the audit fees and approves all non-audit and tax services to be performed by the independent audit;</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evaluates the independence and qualification of the independent registered public accounting firm;</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15"/>
        </w:numPr>
        <w:rPr>
          <w:rFonts w:ascii="Arial" w:cs="Arial" w:eastAsia="Arial" w:hAnsi="Arial"/>
          <w:sz w:val="22"/>
          <w:szCs w:val="22"/>
          <w:color w:val="auto"/>
        </w:rPr>
      </w:pPr>
      <w:r>
        <w:rPr>
          <w:rFonts w:ascii="Arial" w:cs="Arial" w:eastAsia="Arial" w:hAnsi="Arial"/>
          <w:sz w:val="18"/>
          <w:szCs w:val="18"/>
          <w:color w:val="auto"/>
        </w:rPr>
        <w:t xml:space="preserve">12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internal controls and integrity of financial statements;</w:t>
      </w:r>
    </w:p>
    <w:p>
      <w:pPr>
        <w:spacing w:after="0" w:line="143"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financial information presentation, earnings press releases and guidance;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oversees the design, implementation and performance of our internal audit function, if any;</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sets hiring policies with regard to the hiring of employees and former employees of our independent auditor and oversees compliance with such policies;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monitors compliance with our Investment Policy and approves any amendments or deviations;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monitors related party transactions;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develops, approves, reviews and monitors compliance with our Code of Business Conduct and Ethics;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adopts and oversees procedures to address complaints regarding accounting, internal accounting controls or auditing matters;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discusses with our management and the independent auditor our compliance with various laws;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discusses with management our independent auditor guidelines and policies to identify, monitor, and address enterprise risks;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engages independent legal, accounting and other advisors;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provides appropriate funding for compensation to independent registered accounting firm, advisors and related expenses;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the adequacy of the audit committee charter and recommend any proposed changes to our board of directors.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members of our compensation committee are Dr. Yamada and Mr. Edelman and Ms. Kosacz. From August 2020 to April 2021, Mr. Johnson also served on the compensation committee. Dr. Yamada is the chairman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A copy of the charter of our compensation committee is available on our website at https://investors.athira.com/corporate-governance/governance-overview. The compensation committee:</w:t>
      </w:r>
    </w:p>
    <w:p>
      <w:pPr>
        <w:spacing w:after="0" w:line="97" w:lineRule="exact"/>
        <w:rPr>
          <w:sz w:val="20"/>
          <w:szCs w:val="20"/>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the corporate goals and objectives applicable to the compensation of our chief executive officer;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the compensation and benefits for our executive officers;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approves, and administers employee compensation plans;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advises on proposals to stockholders on executive compensation matters;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compensation plans and programs;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discusses our compensation policies and practices and the risks related thereto;</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approves the creation or revision of any clawback policy allowing us to recoup compensation paid to employees;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approves the form and amount of compensation to be paid for service on the board of directors and committees and for service as a chairperson of a committee;</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oversees regulatory compliance with respect to compensation matters;</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17"/>
        </w:numPr>
        <w:rPr>
          <w:rFonts w:ascii="Arial" w:cs="Arial" w:eastAsia="Arial" w:hAnsi="Arial"/>
          <w:sz w:val="22"/>
          <w:szCs w:val="22"/>
          <w:color w:val="auto"/>
        </w:rPr>
      </w:pPr>
      <w:r>
        <w:rPr>
          <w:rFonts w:ascii="Arial" w:cs="Arial" w:eastAsia="Arial" w:hAnsi="Arial"/>
          <w:sz w:val="18"/>
          <w:szCs w:val="18"/>
          <w:color w:val="auto"/>
        </w:rPr>
        <w:t xml:space="preserve">13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ind w:left="1160" w:hanging="57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retains or obtains the advice of compensation consultants; and</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reviews the adequacy of the compensation committee charter and recommends any proposed changes to our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members of our nominating and corporate governance committee are Dr. Yamada, Messrs. Edelman and Fluke and Ms. Kosacz.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A copy of the charter of our nominating and corporate governance committee is available on our website at https://investors.athira.com/corporate-governance/governance-overview. The nominating and corporate governance committee:</w:t>
      </w:r>
    </w:p>
    <w:p>
      <w:pPr>
        <w:spacing w:after="0" w:line="95" w:lineRule="exact"/>
        <w:rPr>
          <w:sz w:val="20"/>
          <w:szCs w:val="20"/>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establishes procedures for the submission of candidates for election to our board of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conducts a periodic review of our succession planning process for the executive management team;</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structure and composition of each committee of our board of directors and makes recommendations for changes to the committees;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develops and recommends to the board of directors corporate governance guidelines and annually reviews the corporate governance guidelines and their application;</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governance practices;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our director orientation and continuing education;</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oversees the evaluation of our board of directors and its committees;</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administers policies and procedures for various constituencies that are involved with us to communicate with the non-management members of our board of directors;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reviews the adequacy of the nominating and corporate governance committee charter and recommends any proposed changes to our board of directors.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nominating and corporate governance committee uses a variety of methods for identifying and evaluating potential director nominees. In its evaluation of director candidates, including the current directors eligible for re-election, our nominating and corporate governance committee will consider the current size and composition of our board of directors and the needs of our board of directors and the respective committees of our board of directors and other director qualifications. While our board has not established minimum qualifications for board members, some of the factors that our nominating and corporate governance committee considers in assessing director nominee qualifications include, without limitation, issues of character, professional ethics and integrity, judgment, business acumen, proven achievement and competence in one’s field, the ability to exercise sound business judgment, tenure on the board of directors and skills that are complementary to the board of directors, an understanding of our business, an understanding of the responsibilities that are required of a member of the board of directors, other time commitments, diversity with respect to professional background, education, race, ethnicity, gender, age and geography, as well as other individual qualities and attributes that contribute to the total mix of viewpoints and experience represented on our board. Although our board of directors does not maintain a specific policy with respect to board diversity, our board of directors believes that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9" w:name="page20"/>
    <w:bookmarkEnd w:id="19"/>
    <w:p>
      <w:pPr>
        <w:jc w:val="both"/>
        <w:spacing w:after="0" w:line="246" w:lineRule="auto"/>
        <w:rPr>
          <w:sz w:val="20"/>
          <w:szCs w:val="20"/>
          <w:color w:val="auto"/>
        </w:rPr>
      </w:pPr>
      <w:r>
        <w:rPr>
          <w:rFonts w:ascii="Arial" w:cs="Arial" w:eastAsia="Arial" w:hAnsi="Arial"/>
          <w:sz w:val="18"/>
          <w:szCs w:val="18"/>
          <w:color w:val="auto"/>
        </w:rPr>
        <w:t>should be a diverse body, and the nominating and corporate governance committee considers a broad range of perspectives, backgrounds and experiences.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our nominating and corporate governance committee determines that an additional or replacement director is required, then the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After completing its review and evaluation of director candidates, our nominating and corporate governance committee recommends to our full board of directors the director nominees for selection. Our nominating and corporate governance committee has discretion to decide which individuals to recommend for nomination as directors and our board of directors has the final authority in determining the selection of director candidates for nomination to our board.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and Nominations to our Board of Directors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nominating and corporate governance committee will consider recommendations and nominations for candidates to our board of directors from stockholders in the same manner as candidates recommended to the committee from other sources, so long as such recommendations and nominations comply with our amended and restated certificate of incorporation and amended and restated bylaws, all applicable company policies and all applicable laws, rules and regulations, including those promulgated by the SEC. Our nominating and corporate governance committee will evaluate such recommendations in accordance with its charter, our bylaws and the director nominee criteria described above.</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 stockholder that wants to recommend a candidate to our board of directors should direct the recommendation in writing by letter to our corporate secretary at Athira Pharma, Inc., 18706 North Creek Parkway, Suite 104, Bothell, Washington 98011,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 evidence of the recommending stockholder’s ownership of our capital stock. Such recommendation must also include a statement from the recommending stockholder in support of the candidate. Our nominating and corporate governance committee has discretion to decide which individuals to recommend for nomination as directors.</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our amended and restated bylaws, stockholders may also directly nominate persons for our board of directors. Any nomination must comply with the requirements set forth in our amended and restated bylaws and the rules and regulations of the SEC and should be sent in writing to our corporate secretary at the address above. To be timely for our 2022 annual meeting of stockholders, nominations must be received by our corporate secretary observing the deadlines discussed above under “</w:t>
      </w:r>
      <w:r>
        <w:rPr>
          <w:rFonts w:ascii="Arial" w:cs="Arial" w:eastAsia="Arial" w:hAnsi="Arial"/>
          <w:sz w:val="18"/>
          <w:szCs w:val="18"/>
          <w:i w:val="1"/>
          <w:iCs w:val="1"/>
          <w:color w:val="auto"/>
        </w:rPr>
        <w:t>Questions and Answers About the Proxy Materials</w:t>
      </w:r>
      <w:r>
        <w:rPr>
          <w:rFonts w:ascii="Arial" w:cs="Arial" w:eastAsia="Arial" w:hAnsi="Arial"/>
          <w:sz w:val="18"/>
          <w:szCs w:val="18"/>
          <w:color w:val="auto"/>
        </w:rPr>
        <w:t xml:space="preserve"> </w:t>
      </w:r>
      <w:r>
        <w:rPr>
          <w:rFonts w:ascii="Arial" w:cs="Arial" w:eastAsia="Arial" w:hAnsi="Arial"/>
          <w:sz w:val="18"/>
          <w:szCs w:val="18"/>
          <w:i w:val="1"/>
          <w:iCs w:val="1"/>
          <w:color w:val="auto"/>
        </w:rPr>
        <w:t>and our Annual Meeting—What is the deadline to propose actions for consideration at next year’s annual meeting of stockholders or to nominate individuals to serve as directors?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Stockholders and other interested parties wishing to communicate directly with our non-employee directors, may do so by writing and sending the correspondence to our Chief Financial Officer and Corporate Secretary by mail to our principal executive offices at Athira Pharma, Inc., 18706 North Creek Parkway, Suite 104, Bothell, Washington 98011. Our Chief Financial Officer and Corporate Secretary,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render them improper or irrelevant to the functioning of our board or our business, for example, mass mailings, product complaints or inquiries, job inquiries, business solicitations and patently offensive or otherwise inappropriate material. If appropriate, our Chief Financial Officer and Corporate Secretary of the Legal Department will route such communications to the appropriate director(s) or, if none is specified, then to the chairman of the board. These policies and procedures do not apply to communications to non-employee directors from our officers or directors who are stockholders or stockholder proposals submitted pursuant to Rule 14a-8 under the Exchange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 or Pledging of Securities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our insider trading policy, our employees, including our executive officers, and the members of our board of directors are prohibited from, directly or indirectly, among other things, (1) 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(4) holding our securities in a margin account.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investor section of our website at https://investors.athira.com/corporate-governance/governance-overview. We will post amendments to our code of business conduct and ethics or waivers of our code of business conduct and ethics for directors and executive officers on the same website.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16</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Director Compensation</w:t>
      </w:r>
    </w:p>
    <w:p>
      <w:pPr>
        <w:spacing w:after="0" w:line="126"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color w:val="auto"/>
        </w:rPr>
        <w:t>Prior to our initial public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Fees Earned or</w:t>
            </w: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Paid in Cash</w:t>
            </w: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 Awards</w:t>
            </w:r>
          </w:p>
        </w:tc>
        <w:tc>
          <w:tcPr>
            <w:tcW w:w="144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r>
      <w:tr>
        <w:trPr>
          <w:trHeight w:val="175"/>
        </w:trPr>
        <w:tc>
          <w:tcPr>
            <w:tcW w:w="652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Name</w:t>
            </w:r>
          </w:p>
        </w:tc>
        <w:tc>
          <w:tcPr>
            <w:tcW w:w="1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FF0FC"/>
            </w:tcBorders>
          </w:tcPr>
          <w:p>
            <w:pPr>
              <w:spacing w:after="0"/>
              <w:rPr>
                <w:sz w:val="15"/>
                <w:szCs w:val="15"/>
                <w:color w:val="auto"/>
              </w:rPr>
            </w:pPr>
          </w:p>
        </w:tc>
      </w:tr>
      <w:tr>
        <w:trPr>
          <w:trHeight w:val="209"/>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110,777</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134,491</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12,571</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82,385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94,956</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13,285</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85,644</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98,929</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320" w:type="dxa"/>
            <w:vAlign w:val="bottom"/>
          </w:tcPr>
          <w:p>
            <w:pPr>
              <w:jc w:val="right"/>
              <w:spacing w:after="0"/>
              <w:rPr>
                <w:sz w:val="20"/>
                <w:szCs w:val="20"/>
                <w:color w:val="auto"/>
              </w:rPr>
            </w:pPr>
            <w:r>
              <w:rPr>
                <w:rFonts w:ascii="Arial" w:cs="Arial" w:eastAsia="Arial" w:hAnsi="Arial"/>
                <w:sz w:val="18"/>
                <w:szCs w:val="18"/>
                <w:color w:val="auto"/>
              </w:rPr>
              <w:t>15,714</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82,075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97,789</w:t>
            </w:r>
          </w:p>
        </w:tc>
        <w:tc>
          <w:tcPr>
            <w:tcW w:w="100" w:type="dxa"/>
            <w:vAlign w:val="bottom"/>
          </w:tcPr>
          <w:p>
            <w:pPr>
              <w:spacing w:after="0"/>
              <w:rPr>
                <w:sz w:val="18"/>
                <w:szCs w:val="18"/>
                <w:color w:val="auto"/>
              </w:rPr>
            </w:pPr>
          </w:p>
        </w:tc>
      </w:tr>
      <w:tr>
        <w:trPr>
          <w:trHeight w:val="216"/>
        </w:trPr>
        <w:tc>
          <w:tcPr>
            <w:tcW w:w="6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74,412</w:t>
            </w:r>
          </w:p>
        </w:tc>
        <w:tc>
          <w:tcPr>
            <w:tcW w:w="100" w:type="dxa"/>
            <w:vAlign w:val="bottom"/>
            <w:shd w:val="clear" w:color="auto" w:fill="CFF0FC"/>
          </w:tcPr>
          <w:p>
            <w:pPr>
              <w:spacing w:after="0"/>
              <w:rPr>
                <w:sz w:val="18"/>
                <w:szCs w:val="18"/>
                <w:color w:val="auto"/>
              </w:rPr>
            </w:pPr>
          </w:p>
        </w:tc>
      </w:t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(7)</w:t>
            </w:r>
          </w:p>
        </w:tc>
        <w:tc>
          <w:tcPr>
            <w:tcW w:w="132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582,382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583,900</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3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0" w:lineRule="exact"/>
        <w:rPr>
          <w:sz w:val="20"/>
          <w:szCs w:val="20"/>
          <w:color w:val="auto"/>
        </w:rPr>
      </w:pPr>
    </w:p>
    <w:p>
      <w:pPr>
        <w:jc w:val="both"/>
        <w:ind w:left="580" w:hanging="572"/>
        <w:spacing w:after="0" w:line="195" w:lineRule="auto"/>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the amount in this column reflects the aggregate grant date fair value of stock options granted during 2020 computed in accordance with Accounting Standards Codification (ASC) Topic 718, rather than the amount paid or realized by the director. For a discussion of valuation assumptions, see the notes to our financial statements included in our Annual Report on Form 10-K for the year ended December 31, 2020.</w:t>
      </w:r>
    </w:p>
    <w:p>
      <w:pPr>
        <w:ind w:left="580" w:right="2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Dr. Yamada became a member of our board of directors in June 2019. As of December 31, 2020, Dr. Yamada held stock options to purchase 109,707 shares of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Edelman became a member of our board of directors in May 2020. As of December 31, 2020, Mr. Edelman held stock options to purchase 27,742 shares of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Fluke became a member of our board of directors in December 2014. As of December 31, 2020, Mr. Fluke held stock options to purchase 56,745 shares of our common stock.</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20"/>
        </w:numPr>
        <w:rPr>
          <w:rFonts w:ascii="Arial" w:cs="Arial" w:eastAsia="Arial" w:hAnsi="Arial"/>
          <w:sz w:val="23"/>
          <w:szCs w:val="23"/>
          <w:color w:val="auto"/>
          <w:vertAlign w:val="superscript"/>
        </w:rPr>
      </w:pPr>
      <w:r>
        <w:rPr>
          <w:rFonts w:ascii="Arial" w:cs="Arial" w:eastAsia="Arial" w:hAnsi="Arial"/>
          <w:sz w:val="14"/>
          <w:szCs w:val="14"/>
          <w:color w:val="auto"/>
        </w:rPr>
        <w:t>Mr. Johnson became a member of our board of directors in August 2020. As of December 31, 2020, Mr. Johnson held stock options to purchase 27,742 shares of our common stock.</w:t>
      </w:r>
    </w:p>
    <w:p>
      <w:pPr>
        <w:spacing w:after="0" w:line="1" w:lineRule="exact"/>
        <w:rPr>
          <w:rFonts w:ascii="Arial" w:cs="Arial" w:eastAsia="Arial" w:hAnsi="Arial"/>
          <w:sz w:val="23"/>
          <w:szCs w:val="23"/>
          <w:color w:val="auto"/>
          <w:vertAlign w:val="superscript"/>
        </w:rPr>
      </w:pPr>
    </w:p>
    <w:p>
      <w:pPr>
        <w:ind w:left="580" w:hanging="572"/>
        <w:spacing w:after="0"/>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Dr. Harding resigned from our board of directors in August 2020. As of December 31, 2020, Dr. Harding held stock options to purchase 25,220 shares of our common stock.</w:t>
      </w:r>
    </w:p>
    <w:p>
      <w:pPr>
        <w:spacing w:after="0" w:line="88"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Ms. Romano was appointed to our board of directors in December 2020. As of December 31, 2020, Ms. Romano held stock options to purchase 27,742 shares of our common stock.</w:t>
      </w:r>
    </w:p>
    <w:p>
      <w:pPr>
        <w:spacing w:after="0" w:line="201"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relating to our initial public offering.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September 17,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jc w:val="both"/>
        <w:ind w:firstLine="589"/>
        <w:spacing w:after="0" w:line="210"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September 17, 2020:</w:t>
      </w:r>
    </w:p>
    <w:p>
      <w:pPr>
        <w:spacing w:after="0" w:line="94" w:lineRule="exact"/>
        <w:rPr>
          <w:sz w:val="20"/>
          <w:szCs w:val="20"/>
          <w:color w:val="auto"/>
        </w:rPr>
      </w:pPr>
    </w:p>
    <w:p>
      <w:pPr>
        <w:ind w:left="1160" w:hanging="572"/>
        <w:spacing w:after="0" w:line="207" w:lineRule="exact"/>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$30,000 per year for service as chair of the board of directors;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$15,000 per year for service as chair of the audit committee;</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21"/>
        </w:numPr>
        <w:rPr>
          <w:rFonts w:ascii="Arial" w:cs="Arial" w:eastAsia="Arial" w:hAnsi="Arial"/>
          <w:sz w:val="22"/>
          <w:szCs w:val="22"/>
          <w:color w:val="auto"/>
        </w:rPr>
      </w:pPr>
      <w:r>
        <w:rPr>
          <w:rFonts w:ascii="Arial" w:cs="Arial" w:eastAsia="Arial" w:hAnsi="Arial"/>
          <w:sz w:val="18"/>
          <w:szCs w:val="18"/>
          <w:color w:val="auto"/>
        </w:rPr>
        <w:t xml:space="preserve">17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2" w:name="page23"/>
    <w:bookmarkEnd w:id="22"/>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$7,500 per year for service as a member of the audit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$10,000 per year for service as chair of the compensation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$5,000 per year for service as a member of the compensation committee;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52"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receives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4"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then-serving non-employee director received, on</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an award, or the IPO Award, of stock options to purchase 27,742 shares of our common stock. For each non-employee director other than Mr. Johnson, each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8"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17, 2020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vests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44" w:lineRule="exact"/>
        <w:rPr>
          <w:sz w:val="20"/>
          <w:szCs w:val="20"/>
          <w:color w:val="auto"/>
        </w:rPr>
      </w:pPr>
    </w:p>
    <w:p>
      <w:pPr>
        <w:jc w:val="both"/>
        <w:ind w:firstLine="589"/>
        <w:spacing w:after="0" w:line="209"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receives, on the first trading day immediately after the date of each annual meeting of our stockholders that occurs following September 17, 2020, an annual award (or, the Annual Award) of stock options to purchase 13,871 shares of our common stock. Each Annual Award vests on the earlier of the one-year anniversary of the grant date, or the day immediately before the day of the next annual meeting of our stockholders that occurs after the grant date of the Annual Award, subject to continued services to us through the applicable vesting date.</w:t>
      </w:r>
    </w:p>
    <w:p>
      <w:pPr>
        <w:spacing w:after="0" w:line="144" w:lineRule="exact"/>
        <w:rPr>
          <w:sz w:val="20"/>
          <w:szCs w:val="20"/>
          <w:color w:val="auto"/>
        </w:rPr>
      </w:pPr>
    </w:p>
    <w:p>
      <w:pPr>
        <w:jc w:val="both"/>
        <w:ind w:firstLine="589"/>
        <w:spacing w:after="0" w:line="214"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57"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share exercise price equal to 100% of the fair market value of a share of our common stock on the award’s grant date.</w:t>
      </w:r>
    </w:p>
    <w:p>
      <w:pPr>
        <w:spacing w:after="0" w:line="167" w:lineRule="exact"/>
        <w:rPr>
          <w:sz w:val="20"/>
          <w:szCs w:val="20"/>
          <w:color w:val="auto"/>
        </w:rPr>
      </w:pPr>
    </w:p>
    <w:p>
      <w:pPr>
        <w:jc w:val="both"/>
        <w:ind w:firstLine="589"/>
        <w:spacing w:after="0" w:line="207"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their grant date fair value determined in accordance with U.S. Generally Accepted Accounting Principles for purposes of this limit), with such limit increased to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relating to our initial public offering, do not count toward this annual limit.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19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CLASS I DIRECTORS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board of directors currently consists of seven directors and is divided into three classes with staggered three-year terms. At the annual meeting, three Class I directors will be elected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nominating and corporate governance committee has recommended, and our board of directors has approved, Tadataka Yamada, M.D., Leen Kawas Ph.D., and Barbara Kosacz as nominees for election as Class I directors at the annual meeting. If elected, each of Dr. Yamada, Dr. Kawas, and Ms. Kosacz will serve as a Class I director until the 2024 annual meeting of stockholders and until his or her respective successor is elected and qualified or until his or her earlier death, resignation or removal. For more information concerning the nominees, please see the section titled “</w:t>
      </w:r>
      <w:r>
        <w:rPr>
          <w:rFonts w:ascii="Arial" w:cs="Arial" w:eastAsia="Arial" w:hAnsi="Arial"/>
          <w:sz w:val="18"/>
          <w:szCs w:val="18"/>
          <w:i w:val="1"/>
          <w:iCs w:val="1"/>
          <w:color w:val="auto"/>
        </w:rPr>
        <w:t>Board of Directors and Corporate Governance</w:t>
      </w:r>
      <w:r>
        <w:rPr>
          <w:rFonts w:ascii="Arial" w:cs="Arial" w:eastAsia="Arial" w:hAnsi="Arial"/>
          <w:sz w:val="18"/>
          <w:szCs w:val="18"/>
          <w:color w:val="auto"/>
        </w:rPr>
        <w:t>.”</w:t>
      </w:r>
    </w:p>
    <w:p>
      <w:pPr>
        <w:spacing w:after="0" w:line="2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Dr. Yamada, Dr. Kawas, and Ms. Kosacz have agreed to serve as directors if elected, and management has no reason to believe that they will be unavailable to serve. In the event a nominee is unable or declines to serve as a director at the time of the annual meeting, proxies will be voted for any nominee designated by the present board of directors to fill the vacancy.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Each director is elected by a plurality of the voting power of the shares present (including virtually) or represented by proxy at the meeting and entitled to vote on the election of directors. Because the outcome of this proposal will be determined by a plurality vote, any shares not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 particular nominee, whether as a result of a </w:t>
      </w:r>
      <w:r>
        <w:rPr>
          <w:rFonts w:ascii="Arial" w:cs="Arial" w:eastAsia="Arial" w:hAnsi="Arial"/>
          <w:sz w:val="18"/>
          <w:szCs w:val="18"/>
          <w:b w:val="1"/>
          <w:bCs w:val="1"/>
          <w:color w:val="auto"/>
        </w:rPr>
        <w:t>WITHHOLD</w:t>
      </w:r>
      <w:r>
        <w:rPr>
          <w:rFonts w:ascii="Arial" w:cs="Arial" w:eastAsia="Arial" w:hAnsi="Arial"/>
          <w:sz w:val="18"/>
          <w:szCs w:val="18"/>
          <w:color w:val="auto"/>
        </w:rPr>
        <w:t xml:space="preserve"> vote or a broker non-vote, will have no effect on the outcome of the election.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 RECOMMENDS A VOTE “FOR” THE ELECTION OF EACH OF THE NOMINEES NAMED ABOVE.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audit committee has appointed Ernst &amp; Young LLP as our independent registered public accounting firm to audit our consolidated financial statements for our fiscal year ending December 31, 2021. Ernst &amp; Young LLP served as our independent registered public accounting firm for the fiscal year ended December 31, 2020.</w:t>
      </w:r>
    </w:p>
    <w:p>
      <w:pPr>
        <w:spacing w:after="0" w:line="203" w:lineRule="exact"/>
        <w:rPr>
          <w:sz w:val="20"/>
          <w:szCs w:val="20"/>
          <w:color w:val="auto"/>
        </w:rPr>
      </w:pPr>
    </w:p>
    <w:p>
      <w:pPr>
        <w:jc w:val="both"/>
        <w:ind w:firstLine="589"/>
        <w:spacing w:after="0" w:line="248" w:lineRule="auto"/>
        <w:rPr>
          <w:sz w:val="20"/>
          <w:szCs w:val="20"/>
          <w:color w:val="auto"/>
        </w:rPr>
      </w:pPr>
      <w:r>
        <w:rPr>
          <w:rFonts w:ascii="Arial" w:cs="Arial" w:eastAsia="Arial" w:hAnsi="Arial"/>
          <w:sz w:val="17"/>
          <w:szCs w:val="17"/>
          <w:color w:val="auto"/>
        </w:rPr>
        <w:t>At the annual meeting, we are asking our stockholders to ratify the appointment of Ernst &amp; Young LLP as our independent registered public accounting firm for our fiscal year ending December 31, 2021. Our audit committee is submitting the appointment of Ernst &amp; Young LLP to our stockholders because we value our stockholders’ views on our independent registered public accounting firm and as a matter of good corporate governance. Notwithstanding the appointment of Ernst &amp; Young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If our stockholders do not ratify the appointment of Ernst &amp; Young LLP, then our audit committee may reconsider the appointment. One or more representatives of Ernst</w:t>
      </w:r>
    </w:p>
    <w:p>
      <w:pPr>
        <w:spacing w:after="0" w:line="4" w:lineRule="exact"/>
        <w:rPr>
          <w:sz w:val="20"/>
          <w:szCs w:val="20"/>
          <w:color w:val="auto"/>
        </w:rPr>
      </w:pPr>
    </w:p>
    <w:p>
      <w:pPr>
        <w:ind w:firstLine="8"/>
        <w:spacing w:after="0" w:line="246" w:lineRule="auto"/>
        <w:tabs>
          <w:tab w:leader="none" w:pos="177"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Young LLP are expected to be present at the annual meeting, and they will have an opportunity to make a statement and are expected to be available to respond to appropriate questions from our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us by Ernst &amp; Young LLP for our fiscal years ended December 31, 2020 and 2019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86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0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1,292</w:t>
            </w:r>
          </w:p>
        </w:tc>
        <w:tc>
          <w:tcPr>
            <w:tcW w:w="10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2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2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6"/>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228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8"/>
                <w:szCs w:val="18"/>
                <w:color w:val="auto"/>
              </w:rPr>
            </w:pPr>
          </w:p>
        </w:tc>
      </w:tr>
      <w:tr>
        <w:trPr>
          <w:trHeight w:val="21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 fees</w:t>
            </w:r>
          </w:p>
        </w:tc>
        <w:tc>
          <w:tcPr>
            <w:tcW w:w="3080" w:type="dxa"/>
            <w:vAlign w:val="bottom"/>
            <w:gridSpan w:val="2"/>
            <w:shd w:val="clear" w:color="auto" w:fill="CFF0FC"/>
          </w:tcPr>
          <w:p>
            <w:pPr>
              <w:jc w:val="right"/>
              <w:ind w:right="628"/>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1,312</w:t>
            </w:r>
          </w:p>
        </w:tc>
        <w:tc>
          <w:tcPr>
            <w:tcW w:w="1080" w:type="dxa"/>
            <w:vAlign w:val="bottom"/>
            <w:gridSpan w:val="2"/>
            <w:shd w:val="clear" w:color="auto" w:fill="CFF0FC"/>
          </w:tcPr>
          <w:p>
            <w:pPr>
              <w:jc w:val="right"/>
              <w:ind w:right="7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8"/>
                <w:szCs w:val="18"/>
                <w:color w:val="auto"/>
              </w:rPr>
            </w:pP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454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87" w:lineRule="exact"/>
        <w:rPr>
          <w:sz w:val="20"/>
          <w:szCs w:val="20"/>
          <w:color w:val="auto"/>
        </w:rPr>
      </w:pPr>
    </w:p>
    <w:p>
      <w:pPr>
        <w:ind w:left="580" w:hanging="572"/>
        <w:spacing w:after="0" w:line="183" w:lineRule="auto"/>
        <w:tabs>
          <w:tab w:leader="none" w:pos="58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Audit fees include fees incurred associated with the annual audit, the reviews of the Company’s interim financial information, and services provided in connection with our 2020 initial public offering in 2020.</w:t>
      </w:r>
    </w:p>
    <w:p>
      <w:pPr>
        <w:spacing w:after="0" w:line="3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4"/>
        </w:numPr>
        <w:rPr>
          <w:rFonts w:ascii="Arial" w:cs="Arial" w:eastAsia="Arial" w:hAnsi="Arial"/>
          <w:sz w:val="24"/>
          <w:szCs w:val="24"/>
          <w:color w:val="auto"/>
          <w:vertAlign w:val="superscript"/>
        </w:rPr>
      </w:pPr>
      <w:r>
        <w:rPr>
          <w:rFonts w:ascii="Arial" w:cs="Arial" w:eastAsia="Arial" w:hAnsi="Arial"/>
          <w:sz w:val="14"/>
          <w:szCs w:val="14"/>
          <w:color w:val="auto"/>
        </w:rPr>
        <w:t>Audit-related fees include fees for assurance and related services that are reasonably related to the performance of the audit or review of our financial statements. There were no such fees incurred in 2020 or 2019.</w:t>
      </w:r>
    </w:p>
    <w:p>
      <w:pPr>
        <w:spacing w:after="0" w:line="1" w:lineRule="exact"/>
        <w:rPr>
          <w:rFonts w:ascii="Arial" w:cs="Arial" w:eastAsia="Arial" w:hAnsi="Arial"/>
          <w:sz w:val="24"/>
          <w:szCs w:val="24"/>
          <w:color w:val="auto"/>
          <w:vertAlign w:val="superscript"/>
        </w:rPr>
      </w:pPr>
    </w:p>
    <w:p>
      <w:pPr>
        <w:ind w:left="580" w:hanging="572"/>
        <w:spacing w:after="0" w:line="183" w:lineRule="auto"/>
        <w:tabs>
          <w:tab w:leader="none" w:pos="580" w:val="left"/>
        </w:tabs>
        <w:numPr>
          <w:ilvl w:val="0"/>
          <w:numId w:val="24"/>
        </w:numPr>
        <w:rPr>
          <w:rFonts w:ascii="Arial" w:cs="Arial" w:eastAsia="Arial" w:hAnsi="Arial"/>
          <w:sz w:val="23"/>
          <w:szCs w:val="23"/>
          <w:color w:val="auto"/>
          <w:vertAlign w:val="superscript"/>
        </w:rPr>
      </w:pPr>
      <w:r>
        <w:rPr>
          <w:rFonts w:ascii="Arial" w:cs="Arial" w:eastAsia="Arial" w:hAnsi="Arial"/>
          <w:sz w:val="14"/>
          <w:szCs w:val="14"/>
          <w:color w:val="auto"/>
        </w:rPr>
        <w:t>Tax fees consist of fees for professional services, including tax compliance services and tax advisory services.</w:t>
      </w:r>
    </w:p>
    <w:p>
      <w:pPr>
        <w:spacing w:after="0" w:line="31" w:lineRule="exact"/>
        <w:rPr>
          <w:rFonts w:ascii="Arial" w:cs="Arial" w:eastAsia="Arial" w:hAnsi="Arial"/>
          <w:sz w:val="23"/>
          <w:szCs w:val="23"/>
          <w:color w:val="auto"/>
          <w:vertAlign w:val="superscript"/>
        </w:rPr>
      </w:pPr>
    </w:p>
    <w:p>
      <w:pPr>
        <w:ind w:left="580" w:hanging="572"/>
        <w:spacing w:after="0" w:line="189" w:lineRule="auto"/>
        <w:tabs>
          <w:tab w:leader="none" w:pos="580" w:val="left"/>
        </w:tabs>
        <w:numPr>
          <w:ilvl w:val="0"/>
          <w:numId w:val="24"/>
        </w:numPr>
        <w:rPr>
          <w:rFonts w:ascii="Arial" w:cs="Arial" w:eastAsia="Arial" w:hAnsi="Arial"/>
          <w:sz w:val="19"/>
          <w:szCs w:val="19"/>
          <w:color w:val="auto"/>
          <w:vertAlign w:val="superscript"/>
        </w:rPr>
      </w:pPr>
      <w:r>
        <w:rPr>
          <w:rFonts w:ascii="Arial" w:cs="Arial" w:eastAsia="Arial" w:hAnsi="Arial"/>
          <w:sz w:val="12"/>
          <w:szCs w:val="12"/>
          <w:color w:val="auto"/>
        </w:rPr>
        <w:t>All other fees include any fees billed that are not audit fees, audit-related fees or tax fees. There were no such fees incurred in 2020 or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2020, there were no other professional services provided by Ernst &amp; Young LLP, other than those listed above, that would have required our audit committee to consider their compatibility with maintaining the independence of Ernst &amp; Young LLP.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Policy on Pre-Approval of Audit and Permissible Non-Audit Services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both"/>
        <w:spacing w:after="0" w:line="238" w:lineRule="auto"/>
        <w:rPr>
          <w:sz w:val="20"/>
          <w:szCs w:val="20"/>
          <w:color w:val="auto"/>
        </w:rPr>
      </w:pPr>
      <w:r>
        <w:rPr>
          <w:rFonts w:ascii="Arial" w:cs="Arial" w:eastAsia="Arial" w:hAnsi="Arial"/>
          <w:sz w:val="18"/>
          <w:szCs w:val="18"/>
          <w:color w:val="auto"/>
        </w:rPr>
        <w:t>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 The audit committee may delegate to the chairperson authority to approve in advance permitted services to be performed by the independent auditor or other registered public accounting firms along with any associated fees.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All services related to the fees described in the table above were pre-approved by our audit committee.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for our fiscal year ending December 31, 2021 requires the affirmative vote of a majority of the voting power of the shares present (including virtually) or represented by proxy at the annual meeting and entitled to vote thereon. Neither broker non-votes nor abstentions are considered votes cast for or against a proposal, and thus will have no effect on the outcome of the vote on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OUR BOARD OF DIRECTORS RECOMMENDS A VOTE “FOR” THE RATIFICATION OF THE APPOINTMENT OF ERNST &amp; YOUNG LLP AS OUR INDEPENDENT REGISTERED PUBLIC ACCOUNTING FIRM FOR OUR FISCAL YEAR ENDING DECEMBER 31, 2021.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is a committee of our board of directors comprised solely of independent directors as required by Nasdaq listing rules and the rules and regulations of the SEC. The audit committee operates under a written charter adopted by the board of directors, which is available on our website at https://investors.athira.com/corporate-governance/governance-overview. This written charter is reviewed annually for changes, as appropriate. With respect to our financial reporting process, our management is responsible for (1) establishing and maintaining internal controls and (2) preparing our consolidated financial statements. Our independent registered public accounting firm, Ernst &amp; Young LLP, is responsible for performing an independent audit of our consolidated financial statements. It is the responsibility of the audit committee to oversee these activities. It is not the responsibility of the audit committee to prepare our financial statements. These are the fundamental responsibilities of management. In the performance of its oversight function, the audit committee has:</w:t>
      </w:r>
    </w:p>
    <w:p>
      <w:pPr>
        <w:spacing w:after="0" w:line="100"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reviewed and discussed the audited consolidated financial statements with management and Ernst &amp; Young LLP;</w:t>
      </w:r>
    </w:p>
    <w:p>
      <w:pPr>
        <w:spacing w:after="0" w:line="144" w:lineRule="exact"/>
        <w:rPr>
          <w:rFonts w:ascii="Arial" w:cs="Arial" w:eastAsia="Arial" w:hAnsi="Arial"/>
          <w:sz w:val="18"/>
          <w:szCs w:val="18"/>
          <w:color w:val="auto"/>
        </w:rPr>
      </w:pPr>
    </w:p>
    <w:p>
      <w:pPr>
        <w:ind w:left="880" w:hanging="440"/>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by the applicable requirements of the Public Company Accounting Oversight Board, or PCAOB, and the SEC; and</w:t>
      </w:r>
    </w:p>
    <w:p>
      <w:pPr>
        <w:spacing w:after="0" w:line="88" w:lineRule="exact"/>
        <w:rPr>
          <w:rFonts w:ascii="Arial" w:cs="Arial" w:eastAsia="Arial" w:hAnsi="Arial"/>
          <w:sz w:val="18"/>
          <w:szCs w:val="18"/>
          <w:color w:val="auto"/>
        </w:rPr>
      </w:pPr>
    </w:p>
    <w:p>
      <w:pPr>
        <w:jc w:val="both"/>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Ernst &amp; Young LLP required by the applicable requirements of the PCAOB regarding the independent accountant’s communications with the audit committee concerning independence, and has discussed with Ernst &amp; Young LLP its independence.</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the audit committee’s review and discussions with management and Ernst &amp; Young LLP noted above, the audit committee recommended to the board of directors that the audited consolidated financial statements be included in the Annual Report on Form 10-K for the fiscal year ended December 31, 2020 for filing with the SEC.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James A. Johnson (Chair), John M. Fluke, Jr., Kelly A. Romano.</w:t>
      </w:r>
    </w:p>
    <w:p>
      <w:pPr>
        <w:spacing w:after="0" w:line="19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the Company under the Securities Act of 1933, as amended, or the Securities Act, or the Exchange Act, except to the extent the Company specifically requests that the information be treated as “soliciting material” or specifically incorporates it by reference.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23</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following table sets forth certain information about our executive officers as of March 29, 2021. There are no family relationships among any of our directors or executive officers.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Age</w:t>
            </w:r>
          </w:p>
        </w:tc>
        <w:tc>
          <w:tcPr>
            <w:tcW w:w="5400" w:type="dxa"/>
            <w:vAlign w:val="bottom"/>
          </w:tcPr>
          <w:p>
            <w:pPr>
              <w:ind w:left="24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400" w:type="dxa"/>
            <w:vAlign w:val="bottom"/>
            <w:tcBorders>
              <w:top w:val="single" w:sz="8" w:color="auto"/>
            </w:tcBorders>
            <w:shd w:val="clear" w:color="auto" w:fill="CFF0FC"/>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63</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53</w:t>
            </w:r>
          </w:p>
        </w:tc>
        <w:tc>
          <w:tcPr>
            <w:tcW w:w="1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7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shd w:val="clear" w:color="auto" w:fill="CFF0FC"/>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70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9"/>
                <w:szCs w:val="19"/>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Vice President of Discovery</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8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91"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 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24</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both"/>
        <w:ind w:firstLine="589"/>
        <w:spacing w:after="0" w:line="237"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from April 2020 to September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93"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Kevin Church, Ph.D.</w:t>
      </w:r>
      <w:r>
        <w:rPr>
          <w:rFonts w:ascii="Arial" w:cs="Arial" w:eastAsia="Arial" w:hAnsi="Arial"/>
          <w:sz w:val="18"/>
          <w:szCs w:val="18"/>
          <w:color w:val="auto"/>
        </w:rPr>
        <w:t>, 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25</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Processes and Procedures for Compensation Decisions</w:t>
      </w:r>
    </w:p>
    <w:p>
      <w:pPr>
        <w:spacing w:after="0" w:line="12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compensation programs are designed to:</w:t>
      </w:r>
    </w:p>
    <w:p>
      <w:pPr>
        <w:spacing w:after="0" w:line="104"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 motivate, incentivize and retain employees at the executive level who contribute to our long-term success;</w:t>
      </w:r>
    </w:p>
    <w:p>
      <w:pPr>
        <w:spacing w:after="0" w:line="14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compensation packages to our executives that are fair and competitive and reward high levels of performance and the achievement of our business objectives; and</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more closely align our executives’ interests with those of our stockholders by focusing on long-term equity incentives that correlate with the growth of sustainable long-term value for our stockholders.</w:t>
      </w:r>
    </w:p>
    <w:p>
      <w:pPr>
        <w:spacing w:after="0" w:line="89"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Since our initial public offering and the establishment of our compensation committee, our compensation committee is responsible for making compensation decisions, but may, in its discretion, choose to make compensation recommendations to the full board of directors. Before our initial public offering, our board of directors was responsible for determining the compensation of our chief executive officer and our chief executive officer was responsible for determining the compensation for other executives, except for stock-based compensation, which was approved by the full board for all employees, including our chief executive officer and chief financial officer.</w:t>
      </w:r>
    </w:p>
    <w:p>
      <w:pPr>
        <w:spacing w:after="0" w:line="310"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Beginning in June 2020, our board of directors retained Radford, a compensation consulting firm, to provide recommendations based on research and analysis of executive compensation in companies in similar industries at a similar size and stage of corporate development, with the goal of ensuring that the compensation we offer to our executives is competitive and fair. Since our initial public offering and the establishment of our compensation committee, Radford has continued to serve as compensation consultant at the discretion of the compensation committee. Typically, our chief executive officer and chief financial officer will prepare and present recommendations at compensation committee meetings based on the Radford recommendations, and a representative from Radford will often be present in the meetings to respond to committee questions. The compensation committee considers the recommendations for cash and stock-based compensation and makes the final determinations for the full executive team. With regard to incentive compensation, the compensation committee evaluates the performance of the chief executive officer and makes determinations with respect to the achievement of defined goals. The chief executive officer evaluates the performance of other executive team members and their individual contributions towards the achievement of defined goals, then makes recommendations to the committee with respect to incentive compensation. The compensation committee then evaluates the recommendations and makes determinations.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“—2019 – 2020 Summary Compensation Table” below. For 2020, our “named executive officers” and their positions were as follows:</w:t>
      </w:r>
    </w:p>
    <w:p>
      <w:pPr>
        <w:spacing w:after="0" w:line="95" w:lineRule="exact"/>
        <w:rPr>
          <w:sz w:val="20"/>
          <w:szCs w:val="20"/>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Leen Kawas, Ph.D., our president and chief executive officer;</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Hans Moebius, M.D., Ph.D., our chief medical officer;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Glenna Mileson, our chief financial officer.</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27"/>
        </w:numPr>
        <w:rPr>
          <w:rFonts w:ascii="Arial" w:cs="Arial" w:eastAsia="Arial" w:hAnsi="Arial"/>
          <w:sz w:val="22"/>
          <w:szCs w:val="22"/>
          <w:color w:val="auto"/>
        </w:rPr>
      </w:pPr>
      <w:r>
        <w:rPr>
          <w:rFonts w:ascii="Arial" w:cs="Arial" w:eastAsia="Arial" w:hAnsi="Arial"/>
          <w:sz w:val="18"/>
          <w:szCs w:val="18"/>
          <w:color w:val="auto"/>
        </w:rPr>
        <w:t xml:space="preserve">26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2019 – 2020 Summary Compensation Table</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for the years ended December 31, 2020 and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Salary</w:t>
            </w:r>
          </w:p>
        </w:tc>
        <w:tc>
          <w:tcPr>
            <w:tcW w:w="4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jc w:val="right"/>
              <w:ind w:right="136"/>
              <w:spacing w:after="0"/>
              <w:rPr>
                <w:sz w:val="20"/>
                <w:szCs w:val="20"/>
                <w:color w:val="auto"/>
              </w:rPr>
            </w:pPr>
            <w:r>
              <w:rPr>
                <w:rFonts w:ascii="Arial" w:cs="Arial" w:eastAsia="Arial" w:hAnsi="Arial"/>
                <w:sz w:val="14"/>
                <w:szCs w:val="14"/>
                <w:b w:val="1"/>
                <w:bCs w:val="1"/>
                <w:color w:val="auto"/>
              </w:rPr>
              <w:t>Bonus</w:t>
            </w:r>
          </w:p>
        </w:tc>
        <w:tc>
          <w:tcPr>
            <w:tcW w:w="4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r>
      <w:tr>
        <w:trPr>
          <w:trHeight w:val="175"/>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22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($)(3)</w:t>
            </w:r>
          </w:p>
        </w:tc>
        <w:tc>
          <w:tcPr>
            <w:tcW w:w="4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FF0FC"/>
            </w:tcBorders>
          </w:tcPr>
          <w:p>
            <w:pPr>
              <w:spacing w:after="0"/>
              <w:rPr>
                <w:sz w:val="15"/>
                <w:szCs w:val="15"/>
                <w:color w:val="auto"/>
              </w:rPr>
            </w:pPr>
          </w:p>
        </w:tc>
      </w:tr>
      <w:tr>
        <w:trPr>
          <w:trHeight w:val="210"/>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 President</w:t>
            </w:r>
          </w:p>
        </w:tc>
        <w:tc>
          <w:tcPr>
            <w:tcW w:w="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8"/>
              </w:rPr>
              <w:t>349,372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642,570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357,100</w:t>
            </w: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(3)</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1,349,042</w:t>
            </w:r>
          </w:p>
        </w:tc>
        <w:tc>
          <w:tcPr>
            <w:tcW w:w="60" w:type="dxa"/>
            <w:vAlign w:val="bottom"/>
            <w:shd w:val="clear" w:color="auto" w:fill="CFF0FC"/>
          </w:tcPr>
          <w:p>
            <w:pPr>
              <w:spacing w:after="0"/>
              <w:rPr>
                <w:sz w:val="18"/>
                <w:szCs w:val="18"/>
                <w:color w:val="auto"/>
              </w:rPr>
            </w:pPr>
          </w:p>
        </w:tc>
      </w:tr>
      <w:tr>
        <w:trPr>
          <w:trHeight w:val="216"/>
        </w:trPr>
        <w:tc>
          <w:tcPr>
            <w:tcW w:w="4160" w:type="dxa"/>
            <w:vAlign w:val="bottom"/>
            <w:gridSpan w:val="2"/>
          </w:tcPr>
          <w:p>
            <w:pPr>
              <w:ind w:left="160"/>
              <w:spacing w:after="0"/>
              <w:rPr>
                <w:sz w:val="20"/>
                <w:szCs w:val="20"/>
                <w:color w:val="auto"/>
              </w:rPr>
            </w:pPr>
            <w:r>
              <w:rPr>
                <w:rFonts w:ascii="Arial" w:cs="Arial" w:eastAsia="Arial" w:hAnsi="Arial"/>
                <w:sz w:val="18"/>
                <w:szCs w:val="18"/>
                <w:color w:val="auto"/>
              </w:rPr>
              <w:t>and Chief Executive Officer</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2019</w:t>
            </w:r>
          </w:p>
        </w:tc>
        <w:tc>
          <w:tcPr>
            <w:tcW w:w="10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98"/>
              </w:rPr>
              <w:t>284,999</w:t>
            </w:r>
          </w:p>
        </w:tc>
        <w:tc>
          <w:tcPr>
            <w:tcW w:w="4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jc w:val="right"/>
              <w:ind w:right="44"/>
              <w:spacing w:after="0"/>
              <w:rPr>
                <w:sz w:val="20"/>
                <w:szCs w:val="20"/>
                <w:color w:val="auto"/>
              </w:rPr>
            </w:pPr>
            <w:r>
              <w:rPr>
                <w:rFonts w:ascii="Arial" w:cs="Arial" w:eastAsia="Arial" w:hAnsi="Arial"/>
                <w:sz w:val="15"/>
                <w:szCs w:val="15"/>
                <w:color w:val="auto"/>
              </w:rPr>
              <w:t>(6)</w:t>
            </w:r>
          </w:p>
        </w:tc>
        <w:tc>
          <w:tcPr>
            <w:tcW w:w="940" w:type="dxa"/>
            <w:vAlign w:val="bottom"/>
          </w:tcPr>
          <w:p>
            <w:pPr>
              <w:jc w:val="right"/>
              <w:spacing w:after="0"/>
              <w:rPr>
                <w:sz w:val="20"/>
                <w:szCs w:val="20"/>
                <w:color w:val="auto"/>
              </w:rPr>
            </w:pPr>
            <w:r>
              <w:rPr>
                <w:rFonts w:ascii="Arial" w:cs="Arial" w:eastAsia="Arial" w:hAnsi="Arial"/>
                <w:sz w:val="18"/>
                <w:szCs w:val="18"/>
                <w:color w:val="auto"/>
              </w:rPr>
              <w:t>287,015</w:t>
            </w:r>
          </w:p>
        </w:tc>
        <w:tc>
          <w:tcPr>
            <w:tcW w:w="60" w:type="dxa"/>
            <w:vAlign w:val="bottom"/>
          </w:tcPr>
          <w:p>
            <w:pPr>
              <w:spacing w:after="0"/>
              <w:rPr>
                <w:sz w:val="18"/>
                <w:szCs w:val="18"/>
                <w:color w:val="auto"/>
              </w:rPr>
            </w:pPr>
          </w:p>
        </w:tc>
      </w:tr>
      <w:tr>
        <w:trPr>
          <w:trHeight w:val="215"/>
        </w:trPr>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 Chief</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3"/>
              <w:spacing w:after="0"/>
              <w:rPr>
                <w:sz w:val="20"/>
                <w:szCs w:val="20"/>
                <w:color w:val="auto"/>
              </w:rPr>
            </w:pPr>
            <w:r>
              <w:rPr>
                <w:rFonts w:ascii="Arial" w:cs="Arial" w:eastAsia="Arial" w:hAnsi="Arial"/>
                <w:sz w:val="15"/>
                <w:szCs w:val="15"/>
                <w:color w:val="auto"/>
              </w:rPr>
              <w:t>(1)</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(4)</w:t>
            </w:r>
          </w:p>
        </w:tc>
        <w:tc>
          <w:tcPr>
            <w:tcW w:w="10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rPr>
              <w:t>(7)</w:t>
            </w:r>
          </w:p>
        </w:tc>
        <w:tc>
          <w:tcPr>
            <w:tcW w:w="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3"/>
        </w:trPr>
        <w:tc>
          <w:tcPr>
            <w:tcW w:w="4160" w:type="dxa"/>
            <w:vAlign w:val="bottom"/>
            <w:gridSpan w:val="2"/>
            <w:shd w:val="clear" w:color="auto" w:fill="CFF0FC"/>
          </w:tcPr>
          <w:p>
            <w:pPr>
              <w:ind w:left="160"/>
              <w:spacing w:after="0" w:line="203" w:lineRule="exact"/>
              <w:rPr>
                <w:sz w:val="20"/>
                <w:szCs w:val="20"/>
                <w:color w:val="auto"/>
              </w:rPr>
            </w:pPr>
            <w:r>
              <w:rPr>
                <w:rFonts w:ascii="Arial" w:cs="Arial" w:eastAsia="Arial" w:hAnsi="Arial"/>
                <w:sz w:val="18"/>
                <w:szCs w:val="18"/>
                <w:color w:val="auto"/>
              </w:rPr>
              <w:t>Medical Officer</w:t>
            </w:r>
          </w:p>
        </w:tc>
        <w:tc>
          <w:tcPr>
            <w:tcW w:w="94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2020</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w w:val="98"/>
              </w:rPr>
              <w:t>218,859</w:t>
            </w:r>
          </w:p>
        </w:tc>
        <w:tc>
          <w:tcPr>
            <w:tcW w:w="12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593,430</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190,220</w:t>
            </w: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15,979</w:t>
            </w:r>
          </w:p>
        </w:tc>
        <w:tc>
          <w:tcPr>
            <w:tcW w:w="4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1,018,488</w:t>
            </w:r>
          </w:p>
        </w:tc>
        <w:tc>
          <w:tcPr>
            <w:tcW w:w="60" w:type="dxa"/>
            <w:vAlign w:val="bottom"/>
            <w:shd w:val="clear" w:color="auto" w:fill="CFF0FC"/>
          </w:tcPr>
          <w:p>
            <w:pPr>
              <w:spacing w:after="0"/>
              <w:rPr>
                <w:sz w:val="17"/>
                <w:szCs w:val="17"/>
                <w:color w:val="auto"/>
              </w:rPr>
            </w:pPr>
          </w:p>
        </w:tc>
      </w:tr>
      <w:tr>
        <w:trPr>
          <w:trHeight w:val="230"/>
        </w:trPr>
        <w:tc>
          <w:tcPr>
            <w:tcW w:w="4160" w:type="dxa"/>
            <w:vAlign w:val="bottom"/>
            <w:gridSpan w:val="2"/>
          </w:tcPr>
          <w:p>
            <w:pPr>
              <w:spacing w:after="0"/>
              <w:rPr>
                <w:sz w:val="20"/>
                <w:szCs w:val="20"/>
                <w:color w:val="auto"/>
              </w:rPr>
            </w:pPr>
            <w:r>
              <w:rPr>
                <w:rFonts w:ascii="Arial" w:cs="Arial" w:eastAsia="Arial" w:hAnsi="Arial"/>
                <w:sz w:val="18"/>
                <w:szCs w:val="18"/>
                <w:color w:val="auto"/>
              </w:rPr>
              <w:t>Glenna Mileson, Chief Financial Officer</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100" w:type="dxa"/>
            <w:vAlign w:val="bottom"/>
          </w:tcPr>
          <w:p>
            <w:pPr>
              <w:spacing w:after="0"/>
              <w:rPr>
                <w:sz w:val="19"/>
                <w:szCs w:val="19"/>
                <w:color w:val="auto"/>
              </w:rPr>
            </w:pPr>
          </w:p>
        </w:tc>
        <w:tc>
          <w:tcPr>
            <w:tcW w:w="860" w:type="dxa"/>
            <w:vAlign w:val="bottom"/>
          </w:tcPr>
          <w:p>
            <w:pPr>
              <w:ind w:left="200"/>
              <w:spacing w:after="0"/>
              <w:rPr>
                <w:sz w:val="20"/>
                <w:szCs w:val="20"/>
                <w:color w:val="auto"/>
              </w:rPr>
            </w:pPr>
            <w:r>
              <w:rPr>
                <w:rFonts w:ascii="Arial" w:cs="Arial" w:eastAsia="Arial" w:hAnsi="Arial"/>
                <w:sz w:val="18"/>
                <w:szCs w:val="18"/>
                <w:color w:val="auto"/>
                <w:w w:val="98"/>
              </w:rPr>
              <w:t>199,445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291,375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218,200</w:t>
            </w:r>
          </w:p>
        </w:tc>
        <w:tc>
          <w:tcPr>
            <w:tcW w:w="400" w:type="dxa"/>
            <w:vAlign w:val="bottom"/>
          </w:tcPr>
          <w:p>
            <w:pPr>
              <w:jc w:val="right"/>
              <w:ind w:right="44"/>
              <w:spacing w:after="0"/>
              <w:rPr>
                <w:sz w:val="20"/>
                <w:szCs w:val="20"/>
                <w:color w:val="auto"/>
              </w:rPr>
            </w:pPr>
            <w:r>
              <w:rPr>
                <w:rFonts w:ascii="Arial" w:cs="Arial" w:eastAsia="Arial" w:hAnsi="Arial"/>
                <w:sz w:val="15"/>
                <w:szCs w:val="15"/>
                <w:color w:val="auto"/>
              </w:rPr>
              <w:t>(5)</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709,020</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3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60" w:lineRule="exact"/>
        <w:rPr>
          <w:sz w:val="20"/>
          <w:szCs w:val="20"/>
          <w:color w:val="auto"/>
        </w:rPr>
      </w:pPr>
    </w:p>
    <w:p>
      <w:pPr>
        <w:ind w:left="580" w:right="20" w:hanging="572"/>
        <w:spacing w:after="0" w:line="182" w:lineRule="auto"/>
        <w:tabs>
          <w:tab w:leader="none" w:pos="580" w:val="left"/>
        </w:tabs>
        <w:numPr>
          <w:ilvl w:val="0"/>
          <w:numId w:val="28"/>
        </w:numPr>
        <w:rPr>
          <w:rFonts w:ascii="Arial" w:cs="Arial" w:eastAsia="Arial" w:hAnsi="Arial"/>
          <w:sz w:val="23"/>
          <w:szCs w:val="23"/>
          <w:color w:val="auto"/>
          <w:vertAlign w:val="superscript"/>
        </w:rPr>
      </w:pPr>
      <w:r>
        <w:rPr>
          <w:rFonts w:ascii="Arial" w:cs="Arial" w:eastAsia="Arial" w:hAnsi="Arial"/>
          <w:sz w:val="14"/>
          <w:szCs w:val="14"/>
          <w:color w:val="auto"/>
        </w:rPr>
        <w:t>Represents $121,724 of consulting fees earned and paid prior to Dr. Moebius joining us as chief medical officer in September 2020 and salary of $97,135 earned and paid following his hiring.</w:t>
      </w:r>
    </w:p>
    <w:p>
      <w:pPr>
        <w:spacing w:after="0" w:line="1" w:lineRule="exact"/>
        <w:rPr>
          <w:rFonts w:ascii="Arial" w:cs="Arial" w:eastAsia="Arial" w:hAnsi="Arial"/>
          <w:sz w:val="23"/>
          <w:szCs w:val="23"/>
          <w:color w:val="auto"/>
          <w:vertAlign w:val="superscript"/>
        </w:rPr>
      </w:pPr>
    </w:p>
    <w:p>
      <w:pPr>
        <w:jc w:val="both"/>
        <w:ind w:left="580" w:hanging="572"/>
        <w:spacing w:after="0" w:line="162" w:lineRule="exact"/>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In accordance with SEC rules, amounts in this column reflect the aggregate grant date fair value of stock options granted during 2019 and 2020 computed in accordance with Accounting Standards Codification (ASC) Topic 718, rather than the amounts paid or realized by the named executive officer. For a discussion of valuation assumptions, see the notes to our financial statements included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2020.</w:t>
      </w:r>
    </w:p>
    <w:p>
      <w:pPr>
        <w:jc w:val="both"/>
        <w:ind w:left="580" w:hanging="572"/>
        <w:spacing w:after="0" w:line="195" w:lineRule="auto"/>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$357,000 in recognition of Company and individual performance in the year ended December 31, 2020, including the advancement of our product candidates, completion of certain financings and other corporate achievements, and (ii) a $100 payment made in consideration of Dr. Kawas’s entry into a non-disclosure and confidentiality agreement with us in 2020.</w:t>
      </w:r>
    </w:p>
    <w:p>
      <w:pPr>
        <w:jc w:val="both"/>
        <w:ind w:left="580" w:hanging="572"/>
        <w:spacing w:after="0" w:line="195" w:lineRule="auto"/>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$190,120 in recognition of Company and individual performance in the year ended December 31, 2020, including the advancement of our product candidates, completion of certain financings and other corporate achievements, and (ii) a $100 payment made in consideration of Dr. Moebius’s entry into a non-disclosure and confidentiality agreement with us in 2020.</w:t>
      </w:r>
    </w:p>
    <w:p>
      <w:pPr>
        <w:jc w:val="both"/>
        <w:ind w:left="580" w:hanging="572"/>
        <w:spacing w:after="0" w:line="204" w:lineRule="auto"/>
        <w:tabs>
          <w:tab w:leader="none" w:pos="58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Represents (i) a discretionary bonus payment of $215,600 in recognition of Company and individual performance in the year ended December 31, 2020, including the advancement of our product candidates, completion of certain financings and other corporate achievements, (ii) a bonus payment of $2,500 paid in connection with the closing of our Series B financing in the second quarter of 2020, and (iii) a $100 payment made in consideration of Ms. Mileson’s entry into a non-disclosure and confidentiality agreement with us in 2020.</w:t>
      </w:r>
    </w:p>
    <w:p>
      <w:pPr>
        <w:spacing w:after="0" w:line="2" w:lineRule="exact"/>
        <w:rPr>
          <w:rFonts w:ascii="Arial" w:cs="Arial" w:eastAsia="Arial" w:hAnsi="Arial"/>
          <w:sz w:val="24"/>
          <w:szCs w:val="24"/>
          <w:color w:val="auto"/>
          <w:vertAlign w:val="superscript"/>
        </w:rPr>
      </w:pPr>
    </w:p>
    <w:p>
      <w:pPr>
        <w:ind w:left="580" w:hanging="572"/>
        <w:spacing w:after="0" w:line="189" w:lineRule="auto"/>
        <w:tabs>
          <w:tab w:leader="none" w:pos="580" w:val="left"/>
        </w:tabs>
        <w:numPr>
          <w:ilvl w:val="0"/>
          <w:numId w:val="28"/>
        </w:numPr>
        <w:rPr>
          <w:rFonts w:ascii="Arial" w:cs="Arial" w:eastAsia="Arial" w:hAnsi="Arial"/>
          <w:sz w:val="19"/>
          <w:szCs w:val="19"/>
          <w:color w:val="auto"/>
          <w:vertAlign w:val="superscript"/>
        </w:rPr>
      </w:pPr>
      <w:r>
        <w:rPr>
          <w:rFonts w:ascii="Arial" w:cs="Arial" w:eastAsia="Arial" w:hAnsi="Arial"/>
          <w:sz w:val="12"/>
          <w:szCs w:val="12"/>
          <w:color w:val="auto"/>
        </w:rPr>
        <w:t>Represents reimbursements paid to Dr. Kawas to cover parking fees.</w:t>
      </w:r>
    </w:p>
    <w:p>
      <w:pPr>
        <w:spacing w:after="0" w:line="30" w:lineRule="exact"/>
        <w:rPr>
          <w:rFonts w:ascii="Arial" w:cs="Arial" w:eastAsia="Arial" w:hAnsi="Arial"/>
          <w:sz w:val="19"/>
          <w:szCs w:val="19"/>
          <w:color w:val="auto"/>
          <w:vertAlign w:val="superscript"/>
        </w:rPr>
      </w:pPr>
    </w:p>
    <w:p>
      <w:pPr>
        <w:ind w:left="580" w:hanging="572"/>
        <w:spacing w:after="0" w:line="189" w:lineRule="auto"/>
        <w:tabs>
          <w:tab w:leader="none" w:pos="580" w:val="left"/>
        </w:tabs>
        <w:numPr>
          <w:ilvl w:val="0"/>
          <w:numId w:val="28"/>
        </w:numPr>
        <w:rPr>
          <w:rFonts w:ascii="Arial" w:cs="Arial" w:eastAsia="Arial" w:hAnsi="Arial"/>
          <w:sz w:val="19"/>
          <w:szCs w:val="19"/>
          <w:color w:val="auto"/>
          <w:vertAlign w:val="superscript"/>
        </w:rPr>
      </w:pPr>
      <w:r>
        <w:rPr>
          <w:rFonts w:ascii="Arial" w:cs="Arial" w:eastAsia="Arial" w:hAnsi="Arial"/>
          <w:sz w:val="12"/>
          <w:szCs w:val="12"/>
          <w:color w:val="auto"/>
        </w:rPr>
        <w:t>Represents monthly stipends paid to Dr. Moebius to defray the costs associated with mandatory and elective benefits contributions in Switzerland, where he is located.</w:t>
      </w:r>
    </w:p>
    <w:p>
      <w:pPr>
        <w:spacing w:after="0" w:line="179" w:lineRule="exact"/>
        <w:rPr>
          <w:rFonts w:ascii="Arial" w:cs="Arial" w:eastAsia="Arial" w:hAnsi="Arial"/>
          <w:sz w:val="19"/>
          <w:szCs w:val="19"/>
          <w:color w:val="auto"/>
          <w:vertAlign w:val="superscript"/>
        </w:rPr>
      </w:pPr>
    </w:p>
    <w:p>
      <w:pPr>
        <w:ind w:left="5520" w:hanging="122"/>
        <w:spacing w:after="0"/>
        <w:tabs>
          <w:tab w:leader="none" w:pos="5520" w:val="left"/>
        </w:tabs>
        <w:numPr>
          <w:ilvl w:val="1"/>
          <w:numId w:val="28"/>
        </w:numPr>
        <w:rPr>
          <w:rFonts w:ascii="Arial" w:cs="Arial" w:eastAsia="Arial" w:hAnsi="Arial"/>
          <w:sz w:val="22"/>
          <w:szCs w:val="22"/>
          <w:color w:val="auto"/>
        </w:rPr>
      </w:pPr>
      <w:r>
        <w:rPr>
          <w:rFonts w:ascii="Arial" w:cs="Arial" w:eastAsia="Arial" w:hAnsi="Arial"/>
          <w:sz w:val="18"/>
          <w:szCs w:val="18"/>
          <w:color w:val="auto"/>
        </w:rPr>
        <w:t xml:space="preserve">27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grants of stock options to each of our named executive officers outstanding at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Vesting</w:t>
            </w:r>
          </w:p>
        </w:tc>
        <w:tc>
          <w:tcPr>
            <w:tcW w:w="5020" w:type="dxa"/>
            <w:vAlign w:val="bottom"/>
            <w:tcBorders>
              <w:bottom w:val="single" w:sz="8" w:color="auto"/>
            </w:tcBorders>
            <w:gridSpan w:val="8"/>
          </w:tcPr>
          <w:p>
            <w:pPr>
              <w:jc w:val="right"/>
              <w:ind w:right="573"/>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rPr>
              <w:t>Option Exercise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Commencement</w:t>
            </w:r>
          </w:p>
        </w:tc>
        <w:tc>
          <w:tcPr>
            <w:tcW w:w="980" w:type="dxa"/>
            <w:vAlign w:val="bottom"/>
          </w:tcPr>
          <w:p>
            <w:pPr>
              <w:jc w:val="right"/>
              <w:ind w:right="14"/>
              <w:spacing w:after="0"/>
              <w:rPr>
                <w:sz w:val="20"/>
                <w:szCs w:val="20"/>
                <w:color w:val="auto"/>
              </w:rPr>
            </w:pPr>
            <w:r>
              <w:rPr>
                <w:rFonts w:ascii="Arial" w:cs="Arial" w:eastAsia="Arial" w:hAnsi="Arial"/>
                <w:sz w:val="14"/>
                <w:szCs w:val="14"/>
                <w:b w:val="1"/>
                <w:bCs w:val="1"/>
                <w:color w:val="auto"/>
              </w:rPr>
              <w:t>Exercisable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Unexercisable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Prices</w:t>
            </w:r>
          </w:p>
        </w:tc>
        <w:tc>
          <w:tcPr>
            <w:tcW w:w="1100" w:type="dxa"/>
            <w:vAlign w:val="bottom"/>
          </w:tcPr>
          <w:p>
            <w:pPr>
              <w:jc w:val="right"/>
              <w:ind w:right="233"/>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5"/>
        </w:trPr>
        <w:tc>
          <w:tcPr>
            <w:tcW w:w="486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FF0FC"/>
            </w:tcBorders>
          </w:tcPr>
          <w:p>
            <w:pPr>
              <w:spacing w:after="0"/>
              <w:rPr>
                <w:sz w:val="15"/>
                <w:szCs w:val="15"/>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09"/>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Leen Kawas, Ph.D.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1/20/2014</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25,220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08/29/2014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50,440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08/28/2024</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10/24/2015</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151,320</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10/23/2025</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12/01/2017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63,050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01/21/2023</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01/01/2019</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27,017</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12/17/2023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08/26/2020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209,956</w:t>
            </w: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04/01/2019</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6,305</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06/25/2029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06/01/2019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23,644</w:t>
            </w:r>
          </w:p>
        </w:tc>
        <w:tc>
          <w:tcPr>
            <w:tcW w:w="360" w:type="dxa"/>
            <w:vAlign w:val="bottom"/>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08/14/2029</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145,015</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Glenna Mileson</w:t>
            </w:r>
          </w:p>
        </w:tc>
        <w:tc>
          <w:tcPr>
            <w:tcW w:w="1120" w:type="dxa"/>
            <w:vAlign w:val="bottom"/>
          </w:tcPr>
          <w:p>
            <w:pPr>
              <w:jc w:val="right"/>
              <w:spacing w:after="0"/>
              <w:rPr>
                <w:sz w:val="20"/>
                <w:szCs w:val="20"/>
                <w:color w:val="auto"/>
              </w:rPr>
            </w:pPr>
            <w:r>
              <w:rPr>
                <w:rFonts w:ascii="Arial" w:cs="Arial" w:eastAsia="Arial" w:hAnsi="Arial"/>
                <w:sz w:val="18"/>
                <w:szCs w:val="18"/>
                <w:color w:val="auto"/>
              </w:rPr>
              <w:t>01/01/2019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12,610</w:t>
            </w:r>
          </w:p>
        </w:tc>
        <w:tc>
          <w:tcPr>
            <w:tcW w:w="360" w:type="dxa"/>
            <w:vAlign w:val="bottom"/>
          </w:tcPr>
          <w:p>
            <w:pPr>
              <w:jc w:val="right"/>
              <w:spacing w:after="0"/>
              <w:rPr>
                <w:sz w:val="20"/>
                <w:szCs w:val="20"/>
                <w:color w:val="auto"/>
              </w:rPr>
            </w:pPr>
            <w:r>
              <w:rPr>
                <w:rFonts w:ascii="Arial" w:cs="Arial" w:eastAsia="Arial" w:hAnsi="Arial"/>
                <w:sz w:val="15"/>
                <w:szCs w:val="15"/>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12/17/2028</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08/26/2020</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95,205</w:t>
            </w:r>
          </w:p>
        </w:tc>
        <w:tc>
          <w:tcPr>
            <w:tcW w:w="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09/16/2030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74" w:lineRule="exact"/>
        <w:rPr>
          <w:sz w:val="20"/>
          <w:szCs w:val="20"/>
          <w:color w:val="auto"/>
        </w:rPr>
      </w:pPr>
    </w:p>
    <w:p>
      <w:pPr>
        <w:ind w:left="580" w:hanging="572"/>
        <w:spacing w:after="0" w:line="182" w:lineRule="auto"/>
        <w:tabs>
          <w:tab w:leader="none" w:pos="58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 w:lineRule="exact"/>
        <w:rPr>
          <w:rFonts w:ascii="Arial" w:cs="Arial" w:eastAsia="Arial" w:hAnsi="Arial"/>
          <w:sz w:val="23"/>
          <w:szCs w:val="23"/>
          <w:color w:val="auto"/>
          <w:vertAlign w:val="superscript"/>
        </w:rPr>
      </w:pPr>
    </w:p>
    <w:p>
      <w:pPr>
        <w:ind w:left="580" w:right="20" w:hanging="572"/>
        <w:spacing w:after="0" w:line="182" w:lineRule="auto"/>
        <w:tabs>
          <w:tab w:leader="none" w:pos="580" w:val="left"/>
        </w:tabs>
        <w:numPr>
          <w:ilvl w:val="0"/>
          <w:numId w:val="29"/>
        </w:numPr>
        <w:rPr>
          <w:rFonts w:ascii="Arial" w:cs="Arial" w:eastAsia="Arial" w:hAnsi="Arial"/>
          <w:sz w:val="23"/>
          <w:szCs w:val="23"/>
          <w:color w:val="auto"/>
          <w:vertAlign w:val="superscript"/>
        </w:rPr>
      </w:pPr>
      <w:r>
        <w:rPr>
          <w:rFonts w:ascii="Arial" w:cs="Arial" w:eastAsia="Arial" w:hAnsi="Arial"/>
          <w:sz w:val="14"/>
          <w:szCs w:val="14"/>
          <w:color w:val="auto"/>
        </w:rPr>
        <w:t>Stock option vests over two years, with 1/2 vesting on each anniversary of the vesting commencement date, subject to continued service with us through the applicable vesting date.</w:t>
      </w:r>
    </w:p>
    <w:p>
      <w:pPr>
        <w:spacing w:after="0" w:line="1" w:lineRule="exact"/>
        <w:rPr>
          <w:rFonts w:ascii="Arial" w:cs="Arial" w:eastAsia="Arial" w:hAnsi="Arial"/>
          <w:sz w:val="23"/>
          <w:szCs w:val="23"/>
          <w:color w:val="auto"/>
          <w:vertAlign w:val="superscript"/>
        </w:rPr>
      </w:pPr>
    </w:p>
    <w:p>
      <w:pPr>
        <w:jc w:val="both"/>
        <w:ind w:left="580" w:hanging="572"/>
        <w:spacing w:after="0" w:line="199"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 The stock option will accelerate vesting as to 100% of the unvested shares subject thereto upon the earlier of a change in control or a termination without “cause” and other than due to death or “disability” (as such terms are defined in our 2014 Equity Incentive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The confirmatory employment letter provides for an annual base salary of $510,000 effective upon our initial public offering and, for the 2020 fiscal year, an annual target cash incentive payment equal to 50% of her annual base salary.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Hans Moebius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September 2020, we entered into an employment letter agreement with Dr. Moebius, our chief medical officer. The employment agreement has no specific term and provides that Dr. Moebius is an at-will employee, as defined under applicable law, and supersedes any prior employment or other service agreements between Dr. Moebius and us. Dr. Moebius’ employment letter agreement provides for an annual base salary of $339,500 effective upon our initial public offering and, for the 2020 fiscal year, an annual target cash incentive payment equal to 40% of his annual base salary. In addition, Dr. Moebius will receive a monthly stipend of $4,625 to defray the costs associated with mandatory and elective benefits contributions in Switzerland, where he is located.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28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Glenna Mileson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September 2020, we entered into a confirmatory employment letter with Ms. Mileson, our chief financial officer. The confirmatory employment letter has no specific term and provides that Ms. Mileson is an at-will employee and supersedes all prior employment agreements between Ms. Mileson and us. The confirmatory offer letter provides for an annual base salary of $385,000 effective upon our initial public offering and, for the 2020 fiscal year, an annual target cash incentive payment equal to 40% of her annual base salary.</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option agreement governing the terms of Ms. Mileson’s option award granted on December 18, 2018, under our 2014 Equity Incentive Plan, with a vesting commencement date of January 1, 2019, provides for 100% vesting of unvested shares subject to the option upon the earlier of a change in control or a termination of Ms. Mileson’s employment without “cause” and other than due to her death or “disability” (as such terms are defined in our 2014 Equity Incentive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September 2020, we entered into change in control and severance agreements with Dr. Kawas, Dr. Moebius, and Ms. Mileson, which agreements provide for certain severance and change in control benefits as described below.</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such named executive officer timely signs and does not revoke a release of claims in our favor:</w:t>
      </w:r>
    </w:p>
    <w:p>
      <w:pPr>
        <w:spacing w:after="0" w:line="97" w:lineRule="exact"/>
        <w:rPr>
          <w:sz w:val="20"/>
          <w:szCs w:val="20"/>
          <w:color w:val="auto"/>
        </w:rPr>
      </w:pPr>
    </w:p>
    <w:p>
      <w:pPr>
        <w:jc w:val="both"/>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and</w:t>
      </w:r>
    </w:p>
    <w:p>
      <w:pPr>
        <w:spacing w:after="0" w:line="94" w:lineRule="exact"/>
        <w:rPr>
          <w:rFonts w:ascii="Arial" w:cs="Arial" w:eastAsia="Arial" w:hAnsi="Arial"/>
          <w:sz w:val="18"/>
          <w:szCs w:val="18"/>
          <w:color w:val="auto"/>
        </w:rPr>
      </w:pPr>
    </w:p>
    <w:p>
      <w:pPr>
        <w:jc w:val="both"/>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the Consolidated Omnibus Budget Reconciliation Act of 1985, as amended (COBRA), for the named executive officer and his or her eligible dependents, if any, for up to 9 months for Ms. Mileson or up to 12 months for Dr. Kawas.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97" w:lineRule="exact"/>
        <w:rPr>
          <w:sz w:val="20"/>
          <w:szCs w:val="20"/>
          <w:color w:val="auto"/>
        </w:rPr>
      </w:pPr>
    </w:p>
    <w:p>
      <w:pPr>
        <w:jc w:val="both"/>
        <w:ind w:left="1160" w:hanging="572"/>
        <w:spacing w:after="0" w:line="238"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181" w:lineRule="exact"/>
        <w:rPr>
          <w:rFonts w:ascii="Arial" w:cs="Arial" w:eastAsia="Arial" w:hAnsi="Arial"/>
          <w:sz w:val="18"/>
          <w:szCs w:val="18"/>
          <w:color w:val="auto"/>
        </w:rPr>
      </w:pPr>
    </w:p>
    <w:p>
      <w:pPr>
        <w:ind w:left="5520" w:hanging="122"/>
        <w:spacing w:after="0"/>
        <w:tabs>
          <w:tab w:leader="none" w:pos="5520" w:val="left"/>
        </w:tabs>
        <w:numPr>
          <w:ilvl w:val="1"/>
          <w:numId w:val="31"/>
        </w:numPr>
        <w:rPr>
          <w:rFonts w:ascii="Arial" w:cs="Arial" w:eastAsia="Arial" w:hAnsi="Arial"/>
          <w:sz w:val="22"/>
          <w:szCs w:val="22"/>
          <w:color w:val="auto"/>
        </w:rPr>
      </w:pPr>
      <w:r>
        <w:rPr>
          <w:rFonts w:ascii="Arial" w:cs="Arial" w:eastAsia="Arial" w:hAnsi="Arial"/>
          <w:sz w:val="18"/>
          <w:szCs w:val="18"/>
          <w:color w:val="auto"/>
        </w:rPr>
        <w:t xml:space="preserve">29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4" w:name="page35"/>
    <w:bookmarkEnd w:id="34"/>
    <w:p>
      <w:pPr>
        <w:jc w:val="both"/>
        <w:ind w:left="1160" w:hanging="572"/>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named executive officers other than Dr. Moebius, payment of premiums for coverage under COBRA for the named executive officer and the named executive officer’s eligible dependents, if any, for up to 12 months for Ms. Mileson or up to 18 months for Dr. Kawas; and</w:t>
      </w:r>
    </w:p>
    <w:p>
      <w:pPr>
        <w:spacing w:after="0" w:line="93"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Dr. Moebius or Ms. Mileson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for named executive officers other than Dr. Moebius, a material reduction in his or her employee benefits (other than (1) in connection with a general decrease in salary (or employee benefits, as applicable) of all similarly situated employees, and (2) following our change in control, to the extent necessary to make his or her salary (or employee benefits, as applicable)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202"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Under our Executive Incentive Compensation Plan, the administrator will determine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21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31</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6" w:name="page37"/>
    <w:bookmarkEnd w:id="36"/>
    <w:p>
      <w:pPr>
        <w:jc w:val="both"/>
        <w:spacing w:after="0" w:line="246" w:lineRule="auto"/>
        <w:rPr>
          <w:sz w:val="20"/>
          <w:szCs w:val="20"/>
          <w:color w:val="auto"/>
        </w:rPr>
      </w:pPr>
      <w:r>
        <w:rPr>
          <w:rFonts w:ascii="Arial" w:cs="Arial" w:eastAsia="Arial" w:hAnsi="Arial"/>
          <w:sz w:val="18"/>
          <w:szCs w:val="18"/>
          <w:color w:val="auto"/>
        </w:rPr>
        <w:t>certain accounting restatements we may be required to prepare due to our material noncompliance with any financial reporting requirements under applicable securities laws, as a result of misconduct.</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32</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7" w:name="page38"/>
    <w:bookmarkEnd w:id="37"/>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beneficial ownership of our common stock as of March 29, 2021 by:</w:t>
      </w:r>
    </w:p>
    <w:p>
      <w:pPr>
        <w:spacing w:after="0" w:line="104" w:lineRule="exact"/>
        <w:rPr>
          <w:sz w:val="20"/>
          <w:szCs w:val="20"/>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5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percentage of beneficial ownership shown in the table is based upon 37,120,363 shares of common stock outstanding as of March 29, 2021.</w:t>
      </w:r>
    </w:p>
    <w:p>
      <w:pPr>
        <w:spacing w:after="0" w:line="19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March 29, 2021.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20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18706 North Creek Parkway, Suite 104, Bothell, Washington 98011.</w:t>
      </w:r>
    </w:p>
    <w:p>
      <w:pPr>
        <w:spacing w:after="0" w:line="279"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30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Shares Beneficially Owned</w:t>
            </w:r>
          </w:p>
        </w:tc>
        <w:tc>
          <w:tcPr>
            <w:tcW w:w="120" w:type="dxa"/>
            <w:vAlign w:val="bottom"/>
          </w:tcPr>
          <w:p>
            <w:pPr>
              <w:spacing w:after="0"/>
              <w:rPr>
                <w:sz w:val="15"/>
                <w:szCs w:val="15"/>
                <w:color w:val="auto"/>
              </w:rPr>
            </w:pPr>
          </w:p>
        </w:tc>
      </w:tr>
      <w:tr>
        <w:trPr>
          <w:trHeight w:val="156"/>
        </w:trPr>
        <w:tc>
          <w:tcPr>
            <w:tcW w:w="6940" w:type="dxa"/>
            <w:vAlign w:val="bottom"/>
          </w:tcPr>
          <w:p>
            <w:pPr>
              <w:spacing w:after="0"/>
              <w:rPr>
                <w:sz w:val="13"/>
                <w:szCs w:val="13"/>
                <w:color w:val="auto"/>
              </w:rPr>
            </w:pPr>
          </w:p>
        </w:tc>
        <w:tc>
          <w:tcPr>
            <w:tcW w:w="16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Percentage</w:t>
            </w:r>
          </w:p>
        </w:tc>
      </w:tr>
      <w:tr>
        <w:trPr>
          <w:trHeight w:val="175"/>
        </w:trPr>
        <w:tc>
          <w:tcPr>
            <w:tcW w:w="6940" w:type="dxa"/>
            <w:vAlign w:val="bottom"/>
          </w:tcPr>
          <w:p>
            <w:pPr>
              <w:spacing w:after="0"/>
              <w:rPr>
                <w:sz w:val="15"/>
                <w:szCs w:val="15"/>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80" w:type="dxa"/>
            <w:vAlign w:val="bottom"/>
          </w:tcPr>
          <w:p>
            <w:pPr>
              <w:jc w:val="right"/>
              <w:ind w:right="4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210"/>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5% and Greater Stockholders:</w:t>
            </w:r>
          </w:p>
        </w:tc>
        <w:tc>
          <w:tcPr>
            <w:tcW w:w="14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3,425,916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(2)</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2,685,779</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8"/>
                <w:szCs w:val="18"/>
                <w:color w:val="auto"/>
              </w:rPr>
              <w:t>Viking Global Opportunities Illiquid Investments</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6940" w:type="dxa"/>
            <w:vAlign w:val="bottom"/>
          </w:tcPr>
          <w:p>
            <w:pPr>
              <w:ind w:left="140"/>
              <w:spacing w:after="0" w:line="206" w:lineRule="exact"/>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(3)</w:t>
            </w:r>
          </w:p>
        </w:tc>
        <w:tc>
          <w:tcPr>
            <w:tcW w:w="1400" w:type="dxa"/>
            <w:vAlign w:val="bottom"/>
          </w:tcPr>
          <w:p>
            <w:pPr>
              <w:jc w:val="right"/>
              <w:spacing w:after="0" w:line="206" w:lineRule="exact"/>
              <w:rPr>
                <w:sz w:val="20"/>
                <w:szCs w:val="20"/>
                <w:color w:val="auto"/>
              </w:rPr>
            </w:pPr>
            <w:r>
              <w:rPr>
                <w:rFonts w:ascii="Arial" w:cs="Arial" w:eastAsia="Arial" w:hAnsi="Arial"/>
                <w:sz w:val="18"/>
                <w:szCs w:val="18"/>
                <w:color w:val="auto"/>
              </w:rPr>
              <w:t>2,120,653</w:t>
            </w:r>
          </w:p>
        </w:tc>
        <w:tc>
          <w:tcPr>
            <w:tcW w:w="260" w:type="dxa"/>
            <w:vAlign w:val="bottom"/>
          </w:tcPr>
          <w:p>
            <w:pPr>
              <w:spacing w:after="0"/>
              <w:rPr>
                <w:sz w:val="17"/>
                <w:szCs w:val="17"/>
                <w:color w:val="auto"/>
              </w:rPr>
            </w:pPr>
          </w:p>
        </w:tc>
        <w:tc>
          <w:tcPr>
            <w:tcW w:w="1380" w:type="dxa"/>
            <w:vAlign w:val="bottom"/>
          </w:tcPr>
          <w:p>
            <w:pPr>
              <w:jc w:val="right"/>
              <w:spacing w:after="0" w:line="206"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17"/>
                <w:szCs w:val="17"/>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(4)</w:t>
            </w:r>
          </w:p>
        </w:tc>
        <w:tc>
          <w:tcPr>
            <w:tcW w:w="1400" w:type="dxa"/>
            <w:vAlign w:val="bottom"/>
          </w:tcPr>
          <w:p>
            <w:pPr>
              <w:jc w:val="right"/>
              <w:spacing w:after="0"/>
              <w:rPr>
                <w:sz w:val="20"/>
                <w:szCs w:val="20"/>
                <w:color w:val="auto"/>
              </w:rPr>
            </w:pPr>
            <w:r>
              <w:rPr>
                <w:rFonts w:ascii="Arial" w:cs="Arial" w:eastAsia="Arial" w:hAnsi="Arial"/>
                <w:sz w:val="18"/>
                <w:szCs w:val="18"/>
                <w:color w:val="auto"/>
              </w:rPr>
              <w:t>1,693,102</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Hans Moebius</w:t>
            </w:r>
            <w:r>
              <w:rPr>
                <w:rFonts w:ascii="Arial" w:cs="Arial" w:eastAsia="Arial" w:hAnsi="Arial"/>
                <w:sz w:val="15"/>
                <w:szCs w:val="15"/>
                <w:color w:val="auto"/>
              </w:rPr>
              <w:t>(5)</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20,491</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Glenna Mileson</w:t>
            </w:r>
            <w:r>
              <w:rPr>
                <w:rFonts w:ascii="Arial" w:cs="Arial" w:eastAsia="Arial" w:hAnsi="Arial"/>
                <w:sz w:val="15"/>
                <w:szCs w:val="15"/>
                <w:color w:val="auto"/>
              </w:rPr>
              <w:t>(6)</w:t>
            </w:r>
          </w:p>
        </w:tc>
        <w:tc>
          <w:tcPr>
            <w:tcW w:w="1400" w:type="dxa"/>
            <w:vAlign w:val="bottom"/>
          </w:tcPr>
          <w:p>
            <w:pPr>
              <w:jc w:val="right"/>
              <w:spacing w:after="0"/>
              <w:rPr>
                <w:sz w:val="20"/>
                <w:szCs w:val="20"/>
                <w:color w:val="auto"/>
              </w:rPr>
            </w:pPr>
            <w:r>
              <w:rPr>
                <w:rFonts w:ascii="Arial" w:cs="Arial" w:eastAsia="Arial" w:hAnsi="Arial"/>
                <w:sz w:val="18"/>
                <w:szCs w:val="18"/>
                <w:color w:val="auto"/>
              </w:rPr>
              <w:t>88,270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62,382</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(8)</w:t>
            </w:r>
          </w:p>
        </w:tc>
        <w:tc>
          <w:tcPr>
            <w:tcW w:w="1400" w:type="dxa"/>
            <w:vAlign w:val="bottom"/>
          </w:tcPr>
          <w:p>
            <w:pPr>
              <w:jc w:val="right"/>
              <w:spacing w:after="0"/>
              <w:rPr>
                <w:sz w:val="20"/>
                <w:szCs w:val="20"/>
                <w:color w:val="auto"/>
              </w:rPr>
            </w:pPr>
            <w:r>
              <w:rPr>
                <w:rFonts w:ascii="Arial" w:cs="Arial" w:eastAsia="Arial" w:hAnsi="Arial"/>
                <w:sz w:val="18"/>
                <w:szCs w:val="18"/>
                <w:color w:val="auto"/>
              </w:rPr>
              <w:t>3,432,080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156,779</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(10)</w:t>
            </w:r>
          </w:p>
        </w:tc>
        <w:tc>
          <w:tcPr>
            <w:tcW w:w="1400" w:type="dxa"/>
            <w:vAlign w:val="bottom"/>
          </w:tcPr>
          <w:p>
            <w:pPr>
              <w:jc w:val="right"/>
              <w:spacing w:after="0"/>
              <w:rPr>
                <w:sz w:val="20"/>
                <w:szCs w:val="20"/>
                <w:color w:val="auto"/>
              </w:rPr>
            </w:pPr>
            <w:r>
              <w:rPr>
                <w:rFonts w:ascii="Arial" w:cs="Arial" w:eastAsia="Arial" w:hAnsi="Arial"/>
                <w:sz w:val="18"/>
                <w:szCs w:val="18"/>
                <w:color w:val="auto"/>
              </w:rPr>
              <w:t>6,935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Barbara Kosacz</w:t>
            </w:r>
            <w:r>
              <w:rPr>
                <w:rFonts w:ascii="Arial" w:cs="Arial" w:eastAsia="Arial" w:hAnsi="Arial"/>
                <w:sz w:val="15"/>
                <w:szCs w:val="15"/>
                <w:color w:val="auto"/>
              </w:rPr>
              <w:t>(11)</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Kelly A. Romano</w:t>
            </w:r>
            <w:r>
              <w:rPr>
                <w:rFonts w:ascii="Arial" w:cs="Arial" w:eastAsia="Arial" w:hAnsi="Arial"/>
                <w:sz w:val="15"/>
                <w:szCs w:val="15"/>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4,168</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193"/>
        </w:trPr>
        <w:tc>
          <w:tcPr>
            <w:tcW w:w="694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i w:val="1"/>
                <w:iCs w:val="1"/>
                <w:color w:val="auto"/>
              </w:rPr>
              <w:t>All directors and executive officers as a group</w:t>
            </w:r>
          </w:p>
        </w:tc>
        <w:tc>
          <w:tcPr>
            <w:tcW w:w="14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6940" w:type="dxa"/>
            <w:vAlign w:val="bottom"/>
            <w:shd w:val="clear" w:color="auto" w:fill="CFF0FC"/>
          </w:tcPr>
          <w:p>
            <w:pPr>
              <w:ind w:left="140"/>
              <w:spacing w:after="0"/>
              <w:rPr>
                <w:sz w:val="20"/>
                <w:szCs w:val="20"/>
                <w:color w:val="auto"/>
              </w:rPr>
            </w:pPr>
            <w:r>
              <w:rPr>
                <w:rFonts w:ascii="Arial" w:cs="Arial" w:eastAsia="Arial" w:hAnsi="Arial"/>
                <w:sz w:val="18"/>
                <w:szCs w:val="18"/>
                <w:b w:val="1"/>
                <w:bCs w:val="1"/>
                <w:i w:val="1"/>
                <w:iCs w:val="1"/>
                <w:color w:val="auto"/>
              </w:rPr>
              <w:t>(11 persons)</w:t>
            </w:r>
            <w:r>
              <w:rPr>
                <w:rFonts w:ascii="Arial" w:cs="Arial" w:eastAsia="Arial" w:hAnsi="Arial"/>
                <w:sz w:val="15"/>
                <w:szCs w:val="15"/>
                <w:color w:val="auto"/>
              </w:rPr>
              <w:t>(13)</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5,602,594</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70"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Represents beneficial ownership of less than 1% of our outstanding common stock.</w:t>
      </w:r>
    </w:p>
    <w:p>
      <w:pPr>
        <w:spacing w:after="0" w:line="179"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4"/>
        </w:numPr>
        <w:rPr>
          <w:rFonts w:ascii="Arial" w:cs="Arial" w:eastAsia="Arial" w:hAnsi="Arial"/>
          <w:sz w:val="22"/>
          <w:szCs w:val="22"/>
          <w:color w:val="auto"/>
        </w:rPr>
      </w:pPr>
      <w:r>
        <w:rPr>
          <w:rFonts w:ascii="Arial" w:cs="Arial" w:eastAsia="Arial" w:hAnsi="Arial"/>
          <w:sz w:val="18"/>
          <w:szCs w:val="18"/>
          <w:color w:val="auto"/>
        </w:rPr>
        <w:t xml:space="preserve">33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ind w:left="572" w:hanging="572"/>
        <w:spacing w:after="0" w:line="197" w:lineRule="auto"/>
        <w:tabs>
          <w:tab w:leader="none" w:pos="57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Consists of 3,425,916 shares held of record by Perceptive Life Sciences Master Fund Ltd., or Perceptive. The business address of Perceptive is 51 Astor Place,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24"/>
          <w:szCs w:val="24"/>
          <w:color w:val="auto"/>
          <w:vertAlign w:val="superscript"/>
        </w:rPr>
      </w:pPr>
    </w:p>
    <w:p>
      <w:pPr>
        <w:jc w:val="both"/>
        <w:ind w:left="572" w:hanging="572"/>
        <w:spacing w:after="0" w:line="200" w:lineRule="auto"/>
        <w:tabs>
          <w:tab w:leader="none" w:pos="57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 filed with the SEC on February 12, 2021. Consists of 2,685,779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Avenue, Floor 7, New York, NY 10014.</w:t>
      </w:r>
    </w:p>
    <w:p>
      <w:pPr>
        <w:spacing w:after="0" w:line="3" w:lineRule="exact"/>
        <w:rPr>
          <w:rFonts w:ascii="Arial" w:cs="Arial" w:eastAsia="Arial" w:hAnsi="Arial"/>
          <w:sz w:val="24"/>
          <w:szCs w:val="24"/>
          <w:color w:val="auto"/>
          <w:vertAlign w:val="superscript"/>
        </w:rPr>
      </w:pPr>
    </w:p>
    <w:p>
      <w:pPr>
        <w:jc w:val="both"/>
        <w:ind w:left="572" w:hanging="572"/>
        <w:spacing w:after="0" w:line="215" w:lineRule="auto"/>
        <w:tabs>
          <w:tab w:leader="none" w:pos="572" w:val="left"/>
        </w:tabs>
        <w:numPr>
          <w:ilvl w:val="0"/>
          <w:numId w:val="35"/>
        </w:numPr>
        <w:rPr>
          <w:rFonts w:ascii="Arial" w:cs="Arial" w:eastAsia="Arial" w:hAnsi="Arial"/>
          <w:sz w:val="24"/>
          <w:szCs w:val="24"/>
          <w:color w:val="auto"/>
          <w:vertAlign w:val="superscript"/>
        </w:rPr>
      </w:pPr>
      <w:r>
        <w:rPr>
          <w:rFonts w:ascii="Arial" w:cs="Arial" w:eastAsia="Arial" w:hAnsi="Arial"/>
          <w:sz w:val="14"/>
          <w:szCs w:val="14"/>
          <w:color w:val="auto"/>
        </w:rPr>
        <w:t>Based on the most recently available Schedule 13G/A filed with the SEC on February 12, 2021. Consists of 2,120,653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3" w:lineRule="exact"/>
        <w:rPr>
          <w:rFonts w:ascii="Arial" w:cs="Arial" w:eastAsia="Arial" w:hAnsi="Arial"/>
          <w:sz w:val="24"/>
          <w:szCs w:val="24"/>
          <w:color w:val="auto"/>
          <w:vertAlign w:val="superscript"/>
        </w:rPr>
      </w:pPr>
    </w:p>
    <w:p>
      <w:pPr>
        <w:ind w:left="572" w:hanging="572"/>
        <w:spacing w:after="0" w:line="182" w:lineRule="auto"/>
        <w:tabs>
          <w:tab w:leader="none" w:pos="572"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Consists of 264,810 shares held of record by Hamdan Family GST Trust, 1,117,246 shares held of record by Dr. Kawas and options to purchase 311,046 shares that are exercisable within 60 days of March 29, 2021.</w:t>
      </w:r>
    </w:p>
    <w:p>
      <w:pPr>
        <w:spacing w:after="0" w:line="1" w:lineRule="exact"/>
        <w:rPr>
          <w:rFonts w:ascii="Arial" w:cs="Arial" w:eastAsia="Arial" w:hAnsi="Arial"/>
          <w:sz w:val="23"/>
          <w:szCs w:val="23"/>
          <w:color w:val="auto"/>
          <w:vertAlign w:val="superscript"/>
        </w:rPr>
      </w:pP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20,491 shares that are exercisable within 60 days of March 29, 2021.</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81,965 shares held by Ms. Mileson and options to purchase 6,305 shares that are exercisable within 60 days of March 29, 2021.</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62,382 shares that are exercisable within 60 days of March 29, 2021.</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the shares referenced in footnote (1) above and options to purchase 6,164 shares that are exercisable within 60 days of March 29, 2021.</w:t>
      </w:r>
    </w:p>
    <w:p>
      <w:pPr>
        <w:ind w:left="572" w:hanging="572"/>
        <w:spacing w:after="0" w:line="182" w:lineRule="auto"/>
        <w:tabs>
          <w:tab w:leader="none" w:pos="572" w:val="left"/>
        </w:tabs>
        <w:numPr>
          <w:ilvl w:val="0"/>
          <w:numId w:val="35"/>
        </w:numPr>
        <w:rPr>
          <w:rFonts w:ascii="Arial" w:cs="Arial" w:eastAsia="Arial" w:hAnsi="Arial"/>
          <w:sz w:val="23"/>
          <w:szCs w:val="23"/>
          <w:color w:val="auto"/>
          <w:vertAlign w:val="superscript"/>
        </w:rPr>
      </w:pPr>
      <w:r>
        <w:rPr>
          <w:rFonts w:ascii="Arial" w:cs="Arial" w:eastAsia="Arial" w:hAnsi="Arial"/>
          <w:sz w:val="14"/>
          <w:szCs w:val="14"/>
          <w:color w:val="auto"/>
        </w:rPr>
        <w:t>Consists of 6,731 shares held of record by Fluke Capital Management, L.P., 143,884 shares held by Mr. Fluke, and options to purchase 6,164 shares that are exercisable within 60 days of March 29, 2021.</w:t>
      </w:r>
    </w:p>
    <w:p>
      <w:pPr>
        <w:spacing w:after="0" w:line="1" w:lineRule="exact"/>
        <w:rPr>
          <w:rFonts w:ascii="Arial" w:cs="Arial" w:eastAsia="Arial" w:hAnsi="Arial"/>
          <w:sz w:val="23"/>
          <w:szCs w:val="23"/>
          <w:color w:val="auto"/>
          <w:vertAlign w:val="superscript"/>
        </w:rPr>
      </w:pP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6,935 shares that are exercisable within 60 days of March 29, 2021.</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options to purchase 1,541 shares that are exercisable within 60 days of March 29, 2021.</w:t>
      </w:r>
    </w:p>
    <w:p>
      <w:pPr>
        <w:ind w:left="572" w:hanging="572"/>
        <w:spacing w:after="0" w:line="187" w:lineRule="auto"/>
        <w:tabs>
          <w:tab w:leader="none" w:pos="572" w:val="left"/>
        </w:tabs>
        <w:numPr>
          <w:ilvl w:val="0"/>
          <w:numId w:val="35"/>
        </w:numPr>
        <w:rPr>
          <w:rFonts w:ascii="Arial" w:cs="Arial" w:eastAsia="Arial" w:hAnsi="Arial"/>
          <w:sz w:val="18"/>
          <w:szCs w:val="18"/>
          <w:color w:val="auto"/>
          <w:vertAlign w:val="superscript"/>
        </w:rPr>
      </w:pPr>
      <w:r>
        <w:rPr>
          <w:rFonts w:ascii="Arial" w:cs="Arial" w:eastAsia="Arial" w:hAnsi="Arial"/>
          <w:sz w:val="11"/>
          <w:szCs w:val="11"/>
          <w:color w:val="auto"/>
        </w:rPr>
        <w:t>Consists of 315 shares held by Ms. Romano and options to purchase 3,853 shares that are exercisable within 60 days of March 29, 2021.</w:t>
      </w:r>
    </w:p>
    <w:p>
      <w:pPr>
        <w:ind w:left="572" w:hanging="572"/>
        <w:spacing w:after="0" w:line="189" w:lineRule="auto"/>
        <w:tabs>
          <w:tab w:leader="none" w:pos="572" w:val="left"/>
        </w:tabs>
        <w:numPr>
          <w:ilvl w:val="0"/>
          <w:numId w:val="35"/>
        </w:numPr>
        <w:rPr>
          <w:rFonts w:ascii="Arial" w:cs="Arial" w:eastAsia="Arial" w:hAnsi="Arial"/>
          <w:sz w:val="19"/>
          <w:szCs w:val="19"/>
          <w:color w:val="auto"/>
          <w:vertAlign w:val="superscript"/>
        </w:rPr>
      </w:pPr>
      <w:r>
        <w:rPr>
          <w:rFonts w:ascii="Arial" w:cs="Arial" w:eastAsia="Arial" w:hAnsi="Arial"/>
          <w:sz w:val="12"/>
          <w:szCs w:val="12"/>
          <w:color w:val="auto"/>
        </w:rPr>
        <w:t>Consists of 5,165,103 shares held of record and options to purchase 437,491 shares that are exercisable within 60 days of March 29, 2021.</w:t>
      </w:r>
    </w:p>
    <w:p>
      <w:pPr>
        <w:spacing w:after="0" w:line="368" w:lineRule="exact"/>
        <w:rPr>
          <w:rFonts w:ascii="Arial" w:cs="Arial" w:eastAsia="Arial" w:hAnsi="Arial"/>
          <w:sz w:val="19"/>
          <w:szCs w:val="19"/>
          <w:color w:val="auto"/>
          <w:vertAlign w:val="superscript"/>
        </w:rPr>
      </w:pPr>
    </w:p>
    <w:p>
      <w:pPr>
        <w:ind w:left="5512" w:hanging="122"/>
        <w:spacing w:after="0"/>
        <w:tabs>
          <w:tab w:leader="none" w:pos="5512" w:val="left"/>
        </w:tabs>
        <w:numPr>
          <w:ilvl w:val="1"/>
          <w:numId w:val="35"/>
        </w:numPr>
        <w:rPr>
          <w:rFonts w:ascii="Arial" w:cs="Arial" w:eastAsia="Arial" w:hAnsi="Arial"/>
          <w:sz w:val="22"/>
          <w:szCs w:val="22"/>
          <w:color w:val="auto"/>
        </w:rPr>
      </w:pPr>
      <w:r>
        <w:rPr>
          <w:rFonts w:ascii="Arial" w:cs="Arial" w:eastAsia="Arial" w:hAnsi="Arial"/>
          <w:sz w:val="18"/>
          <w:szCs w:val="18"/>
          <w:color w:val="auto"/>
        </w:rPr>
        <w:t xml:space="preserve">34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13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2020. All outstanding awards relate to our common stock.</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 Number of</w:t>
            </w:r>
          </w:p>
        </w:tc>
      </w:t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Available for</w:t>
            </w:r>
          </w:p>
        </w:tc>
      </w:t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Future</w:t>
            </w:r>
          </w:p>
        </w:tc>
      </w:tr>
      <w:tr>
        <w:trPr>
          <w:trHeight w:val="162"/>
        </w:trPr>
        <w:tc>
          <w:tcPr>
            <w:tcW w:w="5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 Weighted</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Issuance</w:t>
            </w:r>
          </w:p>
        </w:tc>
      </w:tr>
      <w:tr>
        <w:trPr>
          <w:trHeight w:val="162"/>
        </w:trPr>
        <w:tc>
          <w:tcPr>
            <w:tcW w:w="5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 Number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Under Equity</w:t>
            </w:r>
          </w:p>
        </w:tc>
      </w:tr>
      <w:tr>
        <w:trPr>
          <w:trHeight w:val="162"/>
        </w:trPr>
        <w:tc>
          <w:tcPr>
            <w:tcW w:w="5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Securities to be</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Compensation</w:t>
            </w:r>
          </w:p>
        </w:tc>
      </w:tr>
      <w:tr>
        <w:trPr>
          <w:trHeight w:val="162"/>
        </w:trPr>
        <w:tc>
          <w:tcPr>
            <w:tcW w:w="5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Issued Upon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Plans</w:t>
            </w:r>
          </w:p>
        </w:tc>
      </w:tr>
      <w:tr>
        <w:trPr>
          <w:trHeight w:val="162"/>
        </w:trPr>
        <w:tc>
          <w:tcPr>
            <w:tcW w:w="5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Exercise of</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(Excluding</w:t>
            </w:r>
          </w:p>
        </w:tc>
      </w:tr>
      <w:tr>
        <w:trPr>
          <w:trHeight w:val="162"/>
        </w:trPr>
        <w:tc>
          <w:tcPr>
            <w:tcW w:w="56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Options,</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Securities</w:t>
            </w:r>
          </w:p>
        </w:tc>
      </w:tr>
      <w:tr>
        <w:trPr>
          <w:trHeight w:val="159"/>
        </w:trPr>
        <w:tc>
          <w:tcPr>
            <w:tcW w:w="560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Options, Warrants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Warrants</w:t>
            </w:r>
          </w:p>
        </w:tc>
        <w:tc>
          <w:tcPr>
            <w:tcW w:w="146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rPr>
              <w:t>Reflected in</w:t>
            </w:r>
          </w:p>
        </w:tc>
      </w:tr>
      <w:tr>
        <w:trPr>
          <w:trHeight w:val="179"/>
        </w:trPr>
        <w:tc>
          <w:tcPr>
            <w:tcW w:w="560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and Rights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and Rights</w:t>
            </w:r>
          </w:p>
        </w:tc>
        <w:tc>
          <w:tcPr>
            <w:tcW w:w="1460" w:type="dxa"/>
            <w:vAlign w:val="bottom"/>
            <w:gridSpan w:val="2"/>
          </w:tcPr>
          <w:p>
            <w:pPr>
              <w:jc w:val="center"/>
              <w:ind w:right="120"/>
              <w:spacing w:after="0" w:line="179" w:lineRule="exact"/>
              <w:rPr>
                <w:sz w:val="20"/>
                <w:szCs w:val="20"/>
                <w:color w:val="auto"/>
              </w:rPr>
            </w:pPr>
            <w:r>
              <w:rPr>
                <w:rFonts w:ascii="Arial" w:cs="Arial" w:eastAsia="Arial" w:hAnsi="Arial"/>
                <w:sz w:val="12"/>
                <w:szCs w:val="12"/>
                <w:b w:val="1"/>
                <w:bCs w:val="1"/>
                <w:color w:val="auto"/>
              </w:rPr>
              <w:t>Column (a))</w:t>
            </w:r>
            <w:r>
              <w:rPr>
                <w:rFonts w:ascii="Arial" w:cs="Arial" w:eastAsia="Arial" w:hAnsi="Arial"/>
                <w:sz w:val="20"/>
                <w:szCs w:val="20"/>
                <w:b w:val="1"/>
                <w:bCs w:val="1"/>
                <w:color w:val="auto"/>
                <w:vertAlign w:val="superscript"/>
              </w:rPr>
              <w:t>(1)</w:t>
            </w:r>
          </w:p>
        </w:tc>
      </w:tr>
      <w:tr>
        <w:trPr>
          <w:trHeight w:val="209"/>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13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6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by security holders:</w:t>
            </w:r>
          </w:p>
        </w:tc>
        <w:tc>
          <w:tcPr>
            <w:tcW w:w="1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00" w:type="dxa"/>
            <w:vAlign w:val="bottom"/>
          </w:tcPr>
          <w:p>
            <w:pPr>
              <w:ind w:left="240"/>
              <w:spacing w:after="0"/>
              <w:rPr>
                <w:sz w:val="20"/>
                <w:szCs w:val="20"/>
                <w:color w:val="auto"/>
              </w:rPr>
            </w:pPr>
            <w:r>
              <w:rPr>
                <w:rFonts w:ascii="Arial" w:cs="Arial" w:eastAsia="Arial" w:hAnsi="Arial"/>
                <w:sz w:val="18"/>
                <w:szCs w:val="18"/>
                <w:color w:val="auto"/>
              </w:rPr>
              <w:t>2014 Equity Incentive Plan</w:t>
            </w:r>
          </w:p>
        </w:tc>
        <w:tc>
          <w:tcPr>
            <w:tcW w:w="1340" w:type="dxa"/>
            <w:vAlign w:val="bottom"/>
          </w:tcPr>
          <w:p>
            <w:pPr>
              <w:jc w:val="right"/>
              <w:spacing w:after="0"/>
              <w:rPr>
                <w:sz w:val="20"/>
                <w:szCs w:val="20"/>
                <w:color w:val="auto"/>
              </w:rPr>
            </w:pPr>
            <w:r>
              <w:rPr>
                <w:rFonts w:ascii="Arial" w:cs="Arial" w:eastAsia="Arial" w:hAnsi="Arial"/>
                <w:sz w:val="18"/>
                <w:szCs w:val="18"/>
                <w:color w:val="auto"/>
              </w:rPr>
              <w:t>983,605</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 Equity Incentive Plan</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991,268</w:t>
            </w:r>
          </w:p>
        </w:tc>
        <w:tc>
          <w:tcPr>
            <w:tcW w:w="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3,742,234</w:t>
            </w:r>
          </w:p>
        </w:tc>
        <w:tc>
          <w:tcPr>
            <w:tcW w:w="100" w:type="dxa"/>
            <w:vAlign w:val="bottom"/>
            <w:shd w:val="clear" w:color="auto" w:fill="CFF0FC"/>
          </w:tcPr>
          <w:p>
            <w:pPr>
              <w:spacing w:after="0"/>
              <w:rPr>
                <w:sz w:val="18"/>
                <w:szCs w:val="18"/>
                <w:color w:val="auto"/>
              </w:rPr>
            </w:pPr>
          </w:p>
        </w:tc>
      </w:tr>
      <w:tr>
        <w:trPr>
          <w:trHeight w:val="215"/>
        </w:trPr>
        <w:tc>
          <w:tcPr>
            <w:tcW w:w="5600" w:type="dxa"/>
            <w:vAlign w:val="bottom"/>
          </w:tcPr>
          <w:p>
            <w:pPr>
              <w:ind w:left="240"/>
              <w:spacing w:after="0"/>
              <w:rPr>
                <w:sz w:val="20"/>
                <w:szCs w:val="20"/>
                <w:color w:val="auto"/>
              </w:rPr>
            </w:pPr>
            <w:r>
              <w:rPr>
                <w:rFonts w:ascii="Arial" w:cs="Arial" w:eastAsia="Arial" w:hAnsi="Arial"/>
                <w:sz w:val="18"/>
                <w:szCs w:val="18"/>
                <w:color w:val="auto"/>
              </w:rPr>
              <w:t>2020 Employee Stock Purchase</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600" w:type="dxa"/>
            <w:vAlign w:val="bottom"/>
            <w:tcBorders>
              <w:bottom w:val="single" w:sz="8" w:color="CFF0FC"/>
            </w:tcBorders>
          </w:tcPr>
          <w:p>
            <w:pPr>
              <w:ind w:left="400"/>
              <w:spacing w:after="0" w:line="203" w:lineRule="exact"/>
              <w:rPr>
                <w:sz w:val="20"/>
                <w:szCs w:val="20"/>
                <w:color w:val="auto"/>
              </w:rPr>
            </w:pPr>
            <w:r>
              <w:rPr>
                <w:rFonts w:ascii="Arial" w:cs="Arial" w:eastAsia="Arial" w:hAnsi="Arial"/>
                <w:sz w:val="18"/>
                <w:szCs w:val="18"/>
                <w:color w:val="auto"/>
              </w:rPr>
              <w:t>Plan</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320" w:type="dxa"/>
            <w:vAlign w:val="bottom"/>
            <w:tcBorders>
              <w:bottom w:val="single" w:sz="8" w:color="CFF0FC"/>
            </w:tcBorders>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323,000</w:t>
            </w:r>
          </w:p>
        </w:tc>
        <w:tc>
          <w:tcPr>
            <w:tcW w:w="100" w:type="dxa"/>
            <w:vAlign w:val="bottom"/>
            <w:tcBorders>
              <w:bottom w:val="single" w:sz="8" w:color="CFF0FC"/>
            </w:tcBorders>
          </w:tcPr>
          <w:p>
            <w:pPr>
              <w:spacing w:after="0"/>
              <w:rPr>
                <w:sz w:val="17"/>
                <w:szCs w:val="17"/>
                <w:color w:val="auto"/>
              </w:rPr>
            </w:pPr>
          </w:p>
        </w:tc>
      </w:tr>
      <w:tr>
        <w:trPr>
          <w:trHeight w:val="209"/>
        </w:trPr>
        <w:tc>
          <w:tcPr>
            <w:tcW w:w="56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1,974,873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4,065,234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580" w:hanging="572"/>
        <w:spacing w:after="0" w:line="213" w:lineRule="auto"/>
        <w:tabs>
          <w:tab w:leader="none" w:pos="580" w:val="left"/>
        </w:tabs>
        <w:numPr>
          <w:ilvl w:val="0"/>
          <w:numId w:val="36"/>
        </w:numPr>
        <w:rPr>
          <w:rFonts w:ascii="Arial" w:cs="Arial" w:eastAsia="Arial" w:hAnsi="Arial"/>
          <w:sz w:val="24"/>
          <w:szCs w:val="24"/>
          <w:color w:val="auto"/>
          <w:vertAlign w:val="superscript"/>
        </w:rPr>
      </w:pPr>
      <w:r>
        <w:rPr>
          <w:rFonts w:ascii="Arial" w:cs="Arial" w:eastAsia="Arial" w:hAnsi="Arial"/>
          <w:sz w:val="14"/>
          <w:szCs w:val="14"/>
          <w:color w:val="auto"/>
        </w:rPr>
        <w:t>Our 2020 Equity Incentive Plan includes provisions providing for an annual increase in the number of securities available for future issuance on the first day of each fiscal year, equal to the least of: (a) 3,230,000 shares; (b) 5% of the outstanding shares of common stock as of the last day of the immediately preceding fiscal year; and (c) such lesser number of shares determined by the board of directors. Our 2020 Employee Stock Purchase Plan includes provisions providing for an annual increase in the number of securities available for future issuance on the first day of each fiscal year, equal to the least of: (a) 1% of the outstanding shares of common stock on the first day of such fiscal year; (b) 646,000 shares; and (c) such lesser number of shares determined by the board of directors.</w:t>
      </w:r>
    </w:p>
    <w:p>
      <w:pPr>
        <w:spacing w:after="0" w:line="200" w:lineRule="exact"/>
        <w:rPr>
          <w:rFonts w:ascii="Arial" w:cs="Arial" w:eastAsia="Arial" w:hAnsi="Arial"/>
          <w:sz w:val="24"/>
          <w:szCs w:val="24"/>
          <w:color w:val="auto"/>
          <w:vertAlign w:val="superscript"/>
        </w:rPr>
      </w:pPr>
    </w:p>
    <w:p>
      <w:pPr>
        <w:spacing w:after="0" w:line="226"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6"/>
        </w:numPr>
        <w:rPr>
          <w:rFonts w:ascii="Arial" w:cs="Arial" w:eastAsia="Arial" w:hAnsi="Arial"/>
          <w:sz w:val="22"/>
          <w:szCs w:val="22"/>
          <w:color w:val="auto"/>
        </w:rPr>
      </w:pPr>
      <w:r>
        <w:rPr>
          <w:rFonts w:ascii="Arial" w:cs="Arial" w:eastAsia="Arial" w:hAnsi="Arial"/>
          <w:sz w:val="18"/>
          <w:szCs w:val="18"/>
          <w:color w:val="auto"/>
        </w:rPr>
        <w:t xml:space="preserve">35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 formal, written policy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97"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benefits and perceived benefits to us;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231" w:lineRule="exact"/>
        <w:rPr>
          <w:rFonts w:ascii="Arial" w:cs="Arial" w:eastAsia="Arial" w:hAnsi="Arial"/>
          <w:sz w:val="18"/>
          <w:szCs w:val="18"/>
          <w:color w:val="auto"/>
        </w:rPr>
      </w:pPr>
    </w:p>
    <w:p>
      <w:pPr>
        <w:ind w:left="5520" w:hanging="122"/>
        <w:spacing w:after="0"/>
        <w:tabs>
          <w:tab w:leader="none" w:pos="5520" w:val="left"/>
        </w:tabs>
        <w:numPr>
          <w:ilvl w:val="1"/>
          <w:numId w:val="38"/>
        </w:numPr>
        <w:rPr>
          <w:rFonts w:ascii="Arial" w:cs="Arial" w:eastAsia="Arial" w:hAnsi="Arial"/>
          <w:sz w:val="22"/>
          <w:szCs w:val="22"/>
          <w:color w:val="auto"/>
        </w:rPr>
      </w:pPr>
      <w:r>
        <w:rPr>
          <w:rFonts w:ascii="Arial" w:cs="Arial" w:eastAsia="Arial" w:hAnsi="Arial"/>
          <w:sz w:val="18"/>
          <w:szCs w:val="18"/>
          <w:color w:val="auto"/>
        </w:rPr>
        <w:t xml:space="preserve">36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Sales of Securities</w:t>
      </w:r>
    </w:p>
    <w:p>
      <w:pPr>
        <w:spacing w:after="0" w:line="126" w:lineRule="exact"/>
        <w:rPr>
          <w:sz w:val="20"/>
          <w:szCs w:val="20"/>
          <w:color w:val="auto"/>
        </w:rPr>
      </w:pPr>
    </w:p>
    <w:p>
      <w:pPr>
        <w:jc w:val="both"/>
        <w:ind w:firstLine="589"/>
        <w:spacing w:after="0" w:line="243" w:lineRule="auto"/>
        <w:rPr>
          <w:sz w:val="20"/>
          <w:szCs w:val="20"/>
          <w:color w:val="auto"/>
        </w:rPr>
      </w:pPr>
      <w:r>
        <w:rPr>
          <w:rFonts w:ascii="Arial" w:cs="Arial" w:eastAsia="Arial" w:hAnsi="Arial"/>
          <w:sz w:val="18"/>
          <w:szCs w:val="18"/>
          <w:color w:val="auto"/>
        </w:rPr>
        <w:t>The following table sets forth a summary of the sale and issuance of our securities to related persons since January 1, 2019, other than compensation arrangements which are described under the sections of this proxy statement titled “Board of Directors and Corporate Governance—Director Compensation” and “Executive Compensation.” For a description of beneficial ownership see the section of this proxy statement titled “Security Ownership of Certain Beneficial Owners and Management.”</w:t>
      </w:r>
    </w:p>
    <w:p>
      <w:pPr>
        <w:spacing w:after="0" w:line="31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Series B-1</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of</w:t>
            </w:r>
          </w:p>
        </w:tc>
      </w:tr>
      <w:tr>
        <w:trPr>
          <w:trHeight w:val="162"/>
        </w:trPr>
        <w:tc>
          <w:tcPr>
            <w:tcW w:w="426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w:t>
            </w: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Issued on</w:t>
            </w:r>
          </w:p>
        </w:tc>
        <w:tc>
          <w:tcPr>
            <w:tcW w:w="4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Common</w:t>
            </w:r>
          </w:p>
        </w:tc>
      </w:tr>
      <w:tr>
        <w:trPr>
          <w:trHeight w:val="162"/>
        </w:trPr>
        <w:tc>
          <w:tcPr>
            <w:tcW w:w="426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Convertible</w:t>
            </w: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Conversion of</w:t>
            </w:r>
          </w:p>
        </w:tc>
        <w:tc>
          <w:tcPr>
            <w:tcW w:w="4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26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Convertible</w:t>
            </w:r>
          </w:p>
        </w:tc>
        <w:tc>
          <w:tcPr>
            <w:tcW w:w="4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Underlying</w:t>
            </w:r>
          </w:p>
        </w:tc>
      </w:tr>
      <w:tr>
        <w:trPr>
          <w:trHeight w:val="175"/>
        </w:trPr>
        <w:tc>
          <w:tcPr>
            <w:tcW w:w="426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Stock</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Notes</w:t>
            </w:r>
          </w:p>
        </w:tc>
        <w:tc>
          <w:tcPr>
            <w:tcW w:w="4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Warrants</w:t>
            </w:r>
          </w:p>
        </w:tc>
      </w:tr>
      <w:tr>
        <w:trPr>
          <w:trHeight w:val="209"/>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0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Perceptive Life Sciences Master</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5"/>
                <w:szCs w:val="15"/>
                <w:color w:val="auto"/>
              </w:rPr>
              <w:t>(1)</w:t>
            </w:r>
          </w:p>
        </w:tc>
      </w:tr>
      <w:tr>
        <w:trPr>
          <w:trHeight w:val="203"/>
        </w:trPr>
        <w:tc>
          <w:tcPr>
            <w:tcW w:w="4260" w:type="dxa"/>
            <w:vAlign w:val="bottom"/>
          </w:tcPr>
          <w:p>
            <w:pPr>
              <w:ind w:left="140"/>
              <w:spacing w:after="0" w:line="203" w:lineRule="exact"/>
              <w:rPr>
                <w:sz w:val="20"/>
                <w:szCs w:val="20"/>
                <w:color w:val="auto"/>
              </w:rPr>
            </w:pPr>
            <w:r>
              <w:rPr>
                <w:rFonts w:ascii="Arial" w:cs="Arial" w:eastAsia="Arial" w:hAnsi="Arial"/>
                <w:sz w:val="18"/>
                <w:szCs w:val="18"/>
                <w:color w:val="auto"/>
              </w:rPr>
              <w:t>Fund Ltd.</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1,644,785</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411,196</w:t>
            </w:r>
          </w:p>
        </w:tc>
        <w:tc>
          <w:tcPr>
            <w:tcW w:w="300" w:type="dxa"/>
            <w:vAlign w:val="bottom"/>
          </w:tcPr>
          <w:p>
            <w:pPr>
              <w:spacing w:after="0"/>
              <w:rPr>
                <w:sz w:val="17"/>
                <w:szCs w:val="17"/>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Entities affiliated with RTW Investments,</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(3)</w:t>
            </w:r>
          </w:p>
        </w:tc>
      </w:tr>
      <w:tr>
        <w:trPr>
          <w:trHeight w:val="203"/>
        </w:trPr>
        <w:tc>
          <w:tcPr>
            <w:tcW w:w="42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LP</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1,535,131</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383,782</w:t>
            </w:r>
          </w:p>
        </w:tc>
        <w:tc>
          <w:tcPr>
            <w:tcW w:w="300" w:type="dxa"/>
            <w:vAlign w:val="bottom"/>
            <w:shd w:val="clear" w:color="auto" w:fill="CFF0FC"/>
          </w:tcPr>
          <w:p>
            <w:pPr>
              <w:spacing w:after="0"/>
              <w:rPr>
                <w:sz w:val="17"/>
                <w:szCs w:val="17"/>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8"/>
                <w:szCs w:val="18"/>
                <w:color w:val="auto"/>
              </w:rPr>
              <w:t>Entities affiliated with Franklin</w:t>
            </w:r>
          </w:p>
        </w:tc>
        <w:tc>
          <w:tcPr>
            <w:tcW w:w="1480" w:type="dxa"/>
            <w:vAlign w:val="bottom"/>
            <w:gridSpan w:val="2"/>
          </w:tcPr>
          <w:p>
            <w:pPr>
              <w:jc w:val="right"/>
              <w:ind w:right="120"/>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5"/>
                <w:szCs w:val="15"/>
                <w:color w:val="auto"/>
              </w:rPr>
              <w:t>(5)</w:t>
            </w:r>
          </w:p>
        </w:tc>
      </w:tr>
      <w:tr>
        <w:trPr>
          <w:trHeight w:val="203"/>
        </w:trPr>
        <w:tc>
          <w:tcPr>
            <w:tcW w:w="4260" w:type="dxa"/>
            <w:vAlign w:val="bottom"/>
          </w:tcPr>
          <w:p>
            <w:pPr>
              <w:ind w:left="140"/>
              <w:spacing w:after="0" w:line="203" w:lineRule="exact"/>
              <w:rPr>
                <w:sz w:val="20"/>
                <w:szCs w:val="20"/>
                <w:color w:val="auto"/>
              </w:rPr>
            </w:pPr>
            <w:r>
              <w:rPr>
                <w:rFonts w:ascii="Arial" w:cs="Arial" w:eastAsia="Arial" w:hAnsi="Arial"/>
                <w:sz w:val="18"/>
                <w:szCs w:val="18"/>
                <w:color w:val="auto"/>
              </w:rPr>
              <w:t>Templeton Investments</w:t>
            </w: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767,566</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191,890</w:t>
            </w:r>
          </w:p>
        </w:tc>
        <w:tc>
          <w:tcPr>
            <w:tcW w:w="300" w:type="dxa"/>
            <w:vAlign w:val="bottom"/>
          </w:tcPr>
          <w:p>
            <w:pPr>
              <w:spacing w:after="0"/>
              <w:rPr>
                <w:sz w:val="17"/>
                <w:szCs w:val="17"/>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Viking Global Opportunities Illiquid</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20"/>
              <w:spacing w:after="0"/>
              <w:rPr>
                <w:sz w:val="20"/>
                <w:szCs w:val="20"/>
                <w:color w:val="auto"/>
              </w:rPr>
            </w:pPr>
            <w:r>
              <w:rPr>
                <w:rFonts w:ascii="Arial" w:cs="Arial" w:eastAsia="Arial" w:hAnsi="Arial"/>
                <w:sz w:val="15"/>
                <w:szCs w:val="15"/>
                <w:color w:val="auto"/>
              </w:rPr>
              <w:t>(1)</w:t>
            </w:r>
          </w:p>
        </w:tc>
      </w:tr>
      <w:tr>
        <w:trPr>
          <w:trHeight w:val="203"/>
        </w:trPr>
        <w:tc>
          <w:tcPr>
            <w:tcW w:w="42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Investments Sub-Master LP</w:t>
            </w:r>
          </w:p>
        </w:tc>
        <w:tc>
          <w:tcPr>
            <w:tcW w:w="10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1,096,523</w:t>
            </w:r>
          </w:p>
        </w:tc>
        <w:tc>
          <w:tcPr>
            <w:tcW w:w="4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274,130</w:t>
            </w:r>
          </w:p>
        </w:tc>
        <w:tc>
          <w:tcPr>
            <w:tcW w:w="300" w:type="dxa"/>
            <w:vAlign w:val="bottom"/>
            <w:shd w:val="clear" w:color="auto" w:fill="CFF0FC"/>
          </w:tcPr>
          <w:p>
            <w:pPr>
              <w:spacing w:after="0"/>
              <w:rPr>
                <w:sz w:val="17"/>
                <w:szCs w:val="17"/>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1,644,785</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 xml:space="preserve">411,196 </w:t>
            </w:r>
            <w:r>
              <w:rPr>
                <w:rFonts w:ascii="Arial" w:cs="Arial" w:eastAsia="Arial" w:hAnsi="Arial"/>
                <w:sz w:val="15"/>
                <w:szCs w:val="15"/>
                <w:color w:val="auto"/>
              </w:rPr>
              <w:t>(1)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Mark Litton, Ph.D.</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(7)</w:t>
            </w:r>
          </w:p>
        </w:tc>
        <w:tc>
          <w:tcPr>
            <w:tcW w:w="1080" w:type="dxa"/>
            <w:vAlign w:val="bottom"/>
          </w:tcPr>
          <w:p>
            <w:pPr>
              <w:jc w:val="right"/>
              <w:spacing w:after="0"/>
              <w:rPr>
                <w:sz w:val="20"/>
                <w:szCs w:val="20"/>
                <w:color w:val="auto"/>
              </w:rPr>
            </w:pPr>
            <w:r>
              <w:rPr>
                <w:rFonts w:ascii="Arial" w:cs="Arial" w:eastAsia="Arial" w:hAnsi="Arial"/>
                <w:sz w:val="18"/>
                <w:szCs w:val="18"/>
                <w:color w:val="auto"/>
              </w:rPr>
              <w:t>32,815</w:t>
            </w:r>
          </w:p>
        </w:tc>
        <w:tc>
          <w:tcPr>
            <w:tcW w:w="400" w:type="dxa"/>
            <w:vAlign w:val="bottom"/>
          </w:tcPr>
          <w:p>
            <w:pPr>
              <w:jc w:val="right"/>
              <w:ind w:right="37"/>
              <w:spacing w:after="0"/>
              <w:rPr>
                <w:sz w:val="20"/>
                <w:szCs w:val="20"/>
                <w:color w:val="auto"/>
              </w:rPr>
            </w:pPr>
            <w:r>
              <w:rPr>
                <w:rFonts w:ascii="Arial" w:cs="Arial" w:eastAsia="Arial" w:hAnsi="Arial"/>
                <w:sz w:val="15"/>
                <w:szCs w:val="15"/>
                <w:color w:val="auto"/>
              </w:rPr>
              <w:t>(8)</w:t>
            </w: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0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4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83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4"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This warrant was fully exercised prior to August 26, 2020.</w:t>
      </w:r>
    </w:p>
    <w:p>
      <w:pPr>
        <w:ind w:left="580" w:right="2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an aggregate of 1,535,131 shares of our Series B convertible preferred stock issued to RTW Master Fund, Ltd., RTW Innovation Master Fund, Ltd. and RTW Venture Fund Limited.</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warrants to purchase an aggregate of 383,782 shares of our common stock issued to RTW Innovation Master Fund, Ltd., RTW Master Fund, Ltd., and RTW Venture Fund Limited. Each of these warrants was fully exercised prior to August 26, 2020.</w:t>
      </w:r>
    </w:p>
    <w:p>
      <w:pPr>
        <w:spacing w:after="0" w:line="1" w:lineRule="exact"/>
        <w:rPr>
          <w:rFonts w:ascii="Arial" w:cs="Arial" w:eastAsia="Arial" w:hAnsi="Arial"/>
          <w:sz w:val="23"/>
          <w:szCs w:val="23"/>
          <w:color w:val="auto"/>
          <w:vertAlign w:val="superscript"/>
        </w:rPr>
      </w:pPr>
    </w:p>
    <w:p>
      <w:pPr>
        <w:ind w:left="580" w:hanging="572"/>
        <w:spacing w:after="0" w:line="182" w:lineRule="auto"/>
        <w:tabs>
          <w:tab w:leader="none" w:pos="580" w:val="left"/>
        </w:tabs>
        <w:numPr>
          <w:ilvl w:val="0"/>
          <w:numId w:val="39"/>
        </w:numPr>
        <w:rPr>
          <w:rFonts w:ascii="Arial" w:cs="Arial" w:eastAsia="Arial" w:hAnsi="Arial"/>
          <w:sz w:val="23"/>
          <w:szCs w:val="23"/>
          <w:color w:val="auto"/>
          <w:vertAlign w:val="superscript"/>
        </w:rPr>
      </w:pPr>
      <w:r>
        <w:rPr>
          <w:rFonts w:ascii="Arial" w:cs="Arial" w:eastAsia="Arial" w:hAnsi="Arial"/>
          <w:sz w:val="14"/>
          <w:szCs w:val="14"/>
          <w:color w:val="auto"/>
        </w:rPr>
        <w:t>Consists of 326,344 shares of our Series B convertible preferred stock issued to Franklin Strategic Series – Franklin Biotechnology Discovery Fund and 441,222 shares of our Series B convertible preferred stock issued to Franklin Templeton Investment Funds – Franklin Biotechnology Discovery Fund.</w:t>
      </w:r>
    </w:p>
    <w:p>
      <w:pPr>
        <w:spacing w:after="0" w:line="1" w:lineRule="exact"/>
        <w:rPr>
          <w:rFonts w:ascii="Arial" w:cs="Arial" w:eastAsia="Arial" w:hAnsi="Arial"/>
          <w:sz w:val="23"/>
          <w:szCs w:val="23"/>
          <w:color w:val="auto"/>
          <w:vertAlign w:val="superscript"/>
        </w:rPr>
      </w:pP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 In connection with the closing of our initial public offering on September 22, 2020, these warrants were automatically net exercised into an aggregate of 190,994 shares of our common stock.</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1,644,785 shares of our Series B convertible preferred stock and warrants to purchase 411,196 shares of our common stock issued to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$100,000 in aggregate principal amount of convertible notes issued jointly to Dr. Litton and Alicia Litton, his wife, and $150,000 in aggregate principal amount of convertible notes issued to the Irrevocable Trust of OSL, the Irrevocable Trust of SWL, and the Irrevocable Trust of WGL, each of which are trusts held for the benefit of Dr. Litton’s children.</w:t>
      </w:r>
    </w:p>
    <w:p>
      <w:pPr>
        <w:jc w:val="both"/>
        <w:ind w:left="580" w:hanging="572"/>
        <w:spacing w:after="0" w:line="195" w:lineRule="auto"/>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13,126 shares of our Series B-1 convertible preferred stock issued jointly to Dr. Litton and Alicia Litton, his wife, and an aggregate 19,689 shares of our Series B-1 convertible preferred stock issued to the Irrevocable Trust of OSL, the Irrevocable Trust of SWL, and the Irrevocable Trust of WGL, each of which are trusts held for the benefit of Dr. Litton’s children.</w:t>
      </w:r>
    </w:p>
    <w:p>
      <w:pPr>
        <w:ind w:left="580" w:hanging="572"/>
        <w:spacing w:after="0" w:line="167" w:lineRule="exact"/>
        <w:tabs>
          <w:tab w:leader="none" w:pos="58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issued to Fluke Capital Management, L.P., of which John M. Fluke, Jr. has a beneficial ownership interest.</w:t>
      </w:r>
    </w:p>
    <w:p>
      <w:pPr>
        <w:spacing w:after="0" w:line="180" w:lineRule="exact"/>
        <w:rPr>
          <w:rFonts w:ascii="Arial" w:cs="Arial" w:eastAsia="Arial" w:hAnsi="Arial"/>
          <w:sz w:val="24"/>
          <w:szCs w:val="24"/>
          <w:color w:val="auto"/>
          <w:vertAlign w:val="superscript"/>
        </w:rPr>
      </w:pPr>
    </w:p>
    <w:p>
      <w:pPr>
        <w:ind w:left="5520" w:hanging="122"/>
        <w:spacing w:after="0"/>
        <w:tabs>
          <w:tab w:leader="none" w:pos="5520" w:val="left"/>
        </w:tabs>
        <w:numPr>
          <w:ilvl w:val="1"/>
          <w:numId w:val="39"/>
        </w:numPr>
        <w:rPr>
          <w:rFonts w:ascii="Arial" w:cs="Arial" w:eastAsia="Arial" w:hAnsi="Arial"/>
          <w:sz w:val="22"/>
          <w:szCs w:val="22"/>
          <w:color w:val="auto"/>
        </w:rPr>
      </w:pPr>
      <w:r>
        <w:rPr>
          <w:rFonts w:ascii="Arial" w:cs="Arial" w:eastAsia="Arial" w:hAnsi="Arial"/>
          <w:sz w:val="18"/>
          <w:szCs w:val="18"/>
          <w:color w:val="auto"/>
        </w:rPr>
        <w:t xml:space="preserve">37 </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From January 2019 to January 2020, we issued and sold $2.6 million in aggregate principal amount of our convertible notes. The notes accrue interest at a rate of 5% per year. Dr. Litton, our chief operating officer, and Alicia Litton, his wife, purchased $100,000 in aggregate principal amount of the notes. In addition, notes in an aggregate principal amount of $150,000 were purchased by the Irrevocable Trust of OSL, the Irrevocable Trust of WGL, and the Irrevocable Trust of SWL, each of which are trusts 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September and October 2020, we issued and sold 13,397,712 shares of our common stock (including 1,397,712 shares sold pursuant to the underwriters’ partial exercise of their option to purchase additional shares) in our initial public offering at $17.00 per share for aggregate gross proceeds of $227.8 million. Perceptive Life Sciences Master Fund Ltd., entities affiliated with RTW Investments, LP, Viking Global Opportunities Illiquid Investments Sub-Master LP, and entities affiliated with Franklin Templeton Investments, are each significant stockholders of the company and invested in the initial public offering purchasing 1,058,824, 750,000, 750,000, and 411,764 shares of our common stock, respectively.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January and February 2021, we issued and sold 4,600,000 shares (including 600,000 shares sold pursuant to the underwriters’ full exercise of their option to purchase additional shares) of our common stock at a public offering price of $22.50 per share for aggregate gross proceeds of approximately $103.5 million. Perceptive Life Sciences Master Fund Ltd. invested in the follow-on public offering, purchasing 311,111 shares of our common stock.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38</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18"/>
          <w:szCs w:val="18"/>
          <w:color w:val="auto"/>
        </w:rPr>
        <w:t>Viking Global Opportunities Illiquid Investments Sub-Master LP, and entities affiliated with Franklin Templeton Investments, are each parties to the agreement. As of the date of this proxy statement, the holders of approximately 5,041,842 shares of our common stock, or their transferees, are entitled to rights with respect to the registration of their shares under the Securities Act.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Prior to our initial public offering, the election of the members of the board of directors was governed by a voting agreement with certain of our stockholders, including Dr. Kawas, our chief executive officer, and Perceptive Life Sciences Master Fund Ltd. The parties to the voting agreement agreed, subject to certain conditions, to vote their shares to elect as directors as follows:</w:t>
      </w:r>
    </w:p>
    <w:p>
      <w:pPr>
        <w:spacing w:after="0" w:line="95" w:lineRule="exact"/>
        <w:rPr>
          <w:sz w:val="20"/>
          <w:szCs w:val="20"/>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nominee designated by Perceptive Life Sciences Master Fund Ltd.;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four nominees, one of which must be our chief executive officer, designated by a majority vote of our common stock;</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designated by Perceptive Life Sciences Master Fund Ltd.; and</w:t>
      </w:r>
    </w:p>
    <w:p>
      <w:pPr>
        <w:spacing w:after="0" w:line="144"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Upon the consummation of our initial public offering, the obligations of the parties to the voting agreement to vote their shares to elect these nominees terminated, and, following such termination, none of our stockholders have any special rights regarding the nomination, election or designation of members of the board of directors. The certificate of incorporation in effect at the time of our initial public offering contained provisions that corresponded to the voting agreement; however, the certificate of incorporation that became effective immediately prior to the closing of our initial public offering does not include such provisions.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relating to our initial public offering.</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proxy statement titled “Executive Compensation – Executive Employment Arrangements.”</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have granted stock options and restricted share awards and issued common stock to our executive officers and to certain of our non-executive directors. For a description of these grants and issuances, see the sections of this proxy statement titled “Board of Directors and Corporate Governance – Director Compensation” and “Executive Compensation.”</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indemnification agreements are necessary to attract and retain qualified persons as directors and officers. We also maintain directors’ and officers’ liability insurance.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39</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4" w:name="page45"/>
    <w:bookmarkEnd w:id="44"/>
    <w:p>
      <w:pPr>
        <w:ind w:left="4860"/>
        <w:spacing w:after="0"/>
        <w:rPr>
          <w:sz w:val="20"/>
          <w:szCs w:val="20"/>
          <w:color w:val="auto"/>
        </w:rPr>
      </w:pPr>
      <w:r>
        <w:rPr>
          <w:rFonts w:ascii="Arial" w:cs="Arial" w:eastAsia="Arial" w:hAnsi="Arial"/>
          <w:sz w:val="18"/>
          <w:szCs w:val="18"/>
          <w:b w:val="1"/>
          <w:bCs w:val="1"/>
          <w:color w:val="auto"/>
        </w:rPr>
        <w:t>OTHER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or Director Nominations for 2021 Annual Meeting</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 stockholder would like us to consider including a proposal in our proxy statement for our 2022 annual meeting pursuant to Rule 14a-8 of the Exchange Act, then the proposal must be received by our corporate secretary at our principal executive offices on or before Friday, December 17, 2021. In addition, stockholder proposals must comply with the requirements of Rule 14a-8 regarding the inclusion of stockholder proposals in company-sponsored proxy materials. For more information, please see the section of this proxy statement titled “</w:t>
      </w:r>
      <w:r>
        <w:rPr>
          <w:rFonts w:ascii="Arial" w:cs="Arial" w:eastAsia="Arial" w:hAnsi="Arial"/>
          <w:sz w:val="18"/>
          <w:szCs w:val="18"/>
          <w:i w:val="1"/>
          <w:iCs w:val="1"/>
          <w:color w:val="auto"/>
        </w:rPr>
        <w:t>Questions and Answers About the Proxy Materials and our Annual Meeting—What is the deadline to propose actions for consideration at</w:t>
      </w:r>
      <w:r>
        <w:rPr>
          <w:rFonts w:ascii="Arial" w:cs="Arial" w:eastAsia="Arial" w:hAnsi="Arial"/>
          <w:sz w:val="18"/>
          <w:szCs w:val="18"/>
          <w:color w:val="auto"/>
        </w:rPr>
        <w:t xml:space="preserve"> </w:t>
      </w:r>
      <w:r>
        <w:rPr>
          <w:rFonts w:ascii="Arial" w:cs="Arial" w:eastAsia="Arial" w:hAnsi="Arial"/>
          <w:sz w:val="18"/>
          <w:szCs w:val="18"/>
          <w:i w:val="1"/>
          <w:iCs w:val="1"/>
          <w:color w:val="auto"/>
        </w:rPr>
        <w:t>next year’s annual meeting of stockholders or to nominate individuals to serve as directors?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A copy of our amended and restated bylaws may be obtained by accessing our filings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 Reports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reports of ownership and changes in ownership with the SEC. Based solely on our review of Forms 3, 4 and 5 and amendments thereto filed electronically with the SEC by the reporting persons, and written representations from certain reporting persons, we believe that during the fiscal year ended December 31, 2020, our directors, executive officers, and ten percent stockholders complied with all Section 16(a) filing requirements applicable to them with the exception of a Form 3 due on September 17, 2020 but filed by Mr. Fluke on September 18,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Annual Report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financial statements for our fiscal year ended December 31, 2020 are included in our annual report, which we will make available to stockholders at the same time as this proxy statement. Our proxy materials and our annual report are posted on our website at www.athira.com and are available from the SEC at its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t>
      </w:r>
      <w:r>
        <w:rPr>
          <w:rFonts w:ascii="Arial" w:cs="Arial" w:eastAsia="Arial" w:hAnsi="Arial"/>
          <w:sz w:val="18"/>
          <w:szCs w:val="18"/>
          <w:b w:val="1"/>
          <w:bCs w:val="1"/>
          <w:color w:val="auto"/>
        </w:rPr>
        <w:t>You may also obtain a copy of our annual report, free of</w:t>
      </w:r>
      <w:r>
        <w:rPr>
          <w:rFonts w:ascii="Arial" w:cs="Arial" w:eastAsia="Arial" w:hAnsi="Arial"/>
          <w:sz w:val="18"/>
          <w:szCs w:val="18"/>
          <w:color w:val="auto"/>
        </w:rPr>
        <w:t xml:space="preserve"> </w:t>
      </w:r>
      <w:r>
        <w:rPr>
          <w:rFonts w:ascii="Arial" w:cs="Arial" w:eastAsia="Arial" w:hAnsi="Arial"/>
          <w:sz w:val="18"/>
          <w:szCs w:val="18"/>
          <w:b w:val="1"/>
          <w:bCs w:val="1"/>
          <w:color w:val="auto"/>
        </w:rPr>
        <w:t>charge, by sending a written request to Athira Pharma, Inc., 18706 North Creek Parkway, Suite 104, Bothell, Washington 98011, Attention: Investor Relations.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proxy will have discretion to vote the shares of our common stock they represent in accordance with their own judgment on such matters.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as promptly as possible to ensure your vote is recorded.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Bothell, Washington</w:t>
      </w:r>
    </w:p>
    <w:p>
      <w:pPr>
        <w:spacing w:after="0"/>
        <w:rPr>
          <w:sz w:val="20"/>
          <w:szCs w:val="20"/>
          <w:color w:val="auto"/>
        </w:rPr>
      </w:pPr>
      <w:r>
        <w:rPr>
          <w:rFonts w:ascii="Arial" w:cs="Arial" w:eastAsia="Arial" w:hAnsi="Arial"/>
          <w:sz w:val="18"/>
          <w:szCs w:val="18"/>
          <w:color w:val="auto"/>
        </w:rPr>
        <w:t>April 16, 2021</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40</w:t>
      </w:r>
      <w:r>
        <w:rPr>
          <w:rFonts w:ascii="Arial" w:cs="Arial" w:eastAsia="Arial" w:hAnsi="Arial"/>
          <w:sz w:val="22"/>
          <w:szCs w:val="22"/>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363220</wp:posOffset>
            </wp:positionV>
            <wp:extent cx="7174865" cy="73082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73082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226060</wp:posOffset>
            </wp:positionV>
            <wp:extent cx="5340350" cy="68408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40350" cy="6840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lvl w:ilvl="1">
      <w:lvlJc w:val="left"/>
      <w:lvlText w:val="(%2)"/>
      <w:numFmt w:val="decimal"/>
      <w:start w:val="1"/>
    </w:lvl>
  </w:abstractNum>
  <w:abstractNum w:abstractNumId="5">
    <w:nsid w:val="2D1D5AE9"/>
    <w:multiLevelType w:val="hybridMultilevel"/>
    <w:lvl w:ilvl="0">
      <w:lvlJc w:val="left"/>
      <w:lvlText w:val="•"/>
      <w:numFmt w:val="bullet"/>
      <w:start w:val="1"/>
    </w:lvl>
    <w:lvl w:ilvl="1">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lvl w:ilvl="1">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
      <w:numFmt w:val="bullet"/>
      <w:start w:val="1"/>
    </w:lvl>
    <w:lvl w:ilvl="1">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lvl w:ilvl="1">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
      <w:numFmt w:val="bullet"/>
      <w:start w:val="1"/>
    </w:lvl>
    <w:lvl w:ilvl="1">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amp;"/>
      <w:numFmt w:val="bullet"/>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lvl w:ilvl="1">
      <w:lvlJc w:val="left"/>
      <w:lvlText w:val="-"/>
      <w:numFmt w:val="bullet"/>
      <w:start w:val="1"/>
    </w:lvl>
  </w:abstractNum>
  <w:abstractNum w:abstractNumId="27">
    <w:nsid w:val="614FD4A1"/>
    <w:multiLevelType w:val="hybridMultilevel"/>
    <w:lvl w:ilvl="0">
      <w:lvlJc w:val="left"/>
      <w:lvlText w:val="(%1)"/>
      <w:numFmt w:val="decimal"/>
      <w:start w:val="1"/>
    </w:lvl>
    <w:lvl w:ilvl="1">
      <w:lvlJc w:val="left"/>
      <w:lvlText w:val="-"/>
      <w:numFmt w:val="bullet"/>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lvl w:ilvl="1">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lvl w:ilvl="1">
      <w:lvlJc w:val="left"/>
      <w:lvlText w:val="-"/>
      <w:numFmt w:val="bullet"/>
      <w:start w:val="1"/>
    </w:lvl>
  </w:abstractNum>
  <w:abstractNum w:abstractNumId="34">
    <w:nsid w:val="7724C67E"/>
    <w:multiLevelType w:val="hybridMultilevel"/>
    <w:lvl w:ilvl="0">
      <w:lvlJc w:val="left"/>
      <w:lvlText w:val="(%1)"/>
      <w:numFmt w:val="decimal"/>
      <w:start w:val="1"/>
    </w:lvl>
    <w:lvl w:ilvl="1">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lvl w:ilvl="1">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2021-04-16T05:30:46Z</dcterms:created>
  <dcterms:modified xsi:type="dcterms:W3CDTF">2021-04-16T05:30:46Z</dcterms:modified>
</cp:coreProperties>
</file>