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MOEBIUS HANS</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right="18"/>
              <w:spacing w:after="0"/>
              <w:rPr>
                <w:sz w:val="20"/>
                <w:szCs w:val="20"/>
                <w:color w:val="auto"/>
              </w:rPr>
            </w:pPr>
            <w:r>
              <w:rPr>
                <w:rFonts w:ascii="Times New Roman" w:cs="Times New Roman" w:eastAsia="Times New Roman" w:hAnsi="Times New Roman"/>
                <w:sz w:val="17"/>
                <w:szCs w:val="17"/>
                <w:color w:val="0000FF"/>
              </w:rPr>
              <w:t>05/18/2022</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1,699</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7.06</w:t>
            </w:r>
            <w:r>
              <w:rPr>
                <w:rFonts w:ascii="Times New Roman" w:cs="Times New Roman" w:eastAsia="Times New Roman" w:hAnsi="Times New Roman"/>
                <w:sz w:val="22"/>
                <w:szCs w:val="22"/>
                <w:color w:val="008000"/>
                <w:w w:val="92"/>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32,955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06/22/2022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42,955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2021 through May 18, 2022.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2022 and is the Purchase Period comprising the Offering Period (as defined in the ESPP) that began November 18,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2022.</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10,000 RSUs vested and settled on such date.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Glenna Mileson, Attorney-  </w:t>
      </w:r>
      <w:r>
        <w:rPr>
          <w:rFonts w:ascii="Times New Roman" w:cs="Times New Roman" w:eastAsia="Times New Roman" w:hAnsi="Times New Roman"/>
          <w:sz w:val="34"/>
          <w:szCs w:val="34"/>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Hans Moebius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3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24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2022-06-24T18:55:53Z</dcterms:created>
  <dcterms:modified xsi:type="dcterms:W3CDTF">2022-06-24T18:55:53Z</dcterms:modified>
</cp:coreProperties>
</file>