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81280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100965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85090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Athira Pharma, Inc.</w:t>
      </w:r>
    </w:p>
    <w:p>
      <w:pPr>
        <w:spacing w:after="0" w:line="7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72390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9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261"/>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18706 North Creek Parkway, Suite 104</w:t>
            </w:r>
          </w:p>
        </w:tc>
        <w:tc>
          <w:tcPr>
            <w:tcW w:w="1780" w:type="dxa"/>
            <w:vAlign w:val="bottom"/>
          </w:tcPr>
          <w:p>
            <w:pPr>
              <w:spacing w:after="0"/>
              <w:rPr>
                <w:sz w:val="24"/>
                <w:szCs w:val="24"/>
                <w:color w:val="auto"/>
              </w:rPr>
            </w:pPr>
          </w:p>
        </w:tc>
      </w:tr>
      <w:tr>
        <w:trPr>
          <w:trHeight w:val="225"/>
        </w:trPr>
        <w:tc>
          <w:tcPr>
            <w:tcW w:w="2160" w:type="dxa"/>
            <w:vAlign w:val="bottom"/>
          </w:tcPr>
          <w:p>
            <w:pPr>
              <w:spacing w:after="0"/>
              <w:rPr>
                <w:sz w:val="19"/>
                <w:szCs w:val="19"/>
                <w:color w:val="auto"/>
              </w:rPr>
            </w:pP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9"/>
                <w:szCs w:val="19"/>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67"/>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84"/>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84455</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7"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630" w:right="499" w:bottom="1440" w:gutter="0" w:footer="0" w:header="0"/>
        </w:sectPr>
      </w:pPr>
    </w:p>
    <w:p>
      <w:pPr>
        <w:spacing w:after="0" w:line="109"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4" w:lineRule="exact"/>
        <w:rPr>
          <w:sz w:val="24"/>
          <w:szCs w:val="24"/>
          <w:color w:val="auto"/>
        </w:rPr>
      </w:pPr>
    </w:p>
    <w:p>
      <w:pPr>
        <w:sectPr>
          <w:pgSz w:w="11900" w:h="16838" w:orient="portrait"/>
          <w:cols w:equalWidth="0" w:num="3">
            <w:col w:w="4340" w:space="720"/>
            <w:col w:w="2160" w:space="720"/>
            <w:col w:w="3140"/>
          </w:cols>
          <w:pgMar w:left="320" w:top="630" w:right="49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128" w:lineRule="exact"/>
        <w:rPr>
          <w:sz w:val="24"/>
          <w:szCs w:val="24"/>
          <w:color w:val="auto"/>
        </w:rPr>
      </w:pPr>
    </w:p>
    <w:p>
      <w:pPr>
        <w:sectPr>
          <w:pgSz w:w="11900" w:h="16838" w:orient="portrait"/>
          <w:cols w:equalWidth="0" w:num="3">
            <w:col w:w="4700" w:space="720"/>
            <w:col w:w="1980" w:space="720"/>
            <w:col w:w="2960"/>
          </w:cols>
          <w:pgMar w:left="320" w:top="630" w:right="499" w:bottom="1440" w:gutter="0" w:footer="0" w:header="0"/>
          <w:type w:val="continuous"/>
        </w:sectPr>
      </w:pPr>
    </w:p>
    <w:p>
      <w:pPr>
        <w:ind w:right="36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ind w:left="60"/>
        <w:spacing w:after="0" w:line="241"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33"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3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5" w:lineRule="exact"/>
        <w:rPr>
          <w:sz w:val="20"/>
          <w:szCs w:val="20"/>
          <w:color w:val="auto"/>
        </w:rPr>
      </w:pPr>
    </w:p>
    <w:p>
      <w:pPr>
        <w:ind w:right="740" w:firstLine="749"/>
        <w:spacing w:after="0" w:line="340" w:lineRule="auto"/>
        <w:rPr>
          <w:sz w:val="20"/>
          <w:szCs w:val="20"/>
          <w:color w:val="auto"/>
        </w:rPr>
      </w:pPr>
      <w:r>
        <w:rPr>
          <w:rFonts w:ascii="Arial" w:cs="Arial" w:eastAsia="Arial" w:hAnsi="Arial"/>
          <w:sz w:val="18"/>
          <w:szCs w:val="18"/>
          <w:color w:val="auto"/>
        </w:rPr>
        <w:t>On November 10, 2021, Athira Pharma, Inc. (the “Company”) issued a press release reporting its financial results for the quarter ended September 30, 2021. A copy of the press release is furnished herewith as Exhibit 99.1.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48" w:lineRule="exact"/>
        <w:rPr>
          <w:sz w:val="20"/>
          <w:szCs w:val="20"/>
          <w:color w:val="auto"/>
        </w:rPr>
      </w:pPr>
    </w:p>
    <w:p>
      <w:pPr>
        <w:ind w:right="40" w:firstLine="749"/>
        <w:spacing w:after="0" w:line="317"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020" w:type="dxa"/>
            <w:vAlign w:val="bottom"/>
          </w:tcPr>
          <w:p>
            <w:pPr>
              <w:ind w:left="60"/>
              <w:spacing w:after="0" w:line="20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Athira Pharma, Inc. press release dated November 10,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EE"/>
            </w:tcBorders>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439"/>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323" w:lineRule="exact"/>
        <w:rPr>
          <w:sz w:val="20"/>
          <w:szCs w:val="20"/>
          <w:color w:val="auto"/>
        </w:rPr>
      </w:pPr>
    </w:p>
    <w:p>
      <w:pPr>
        <w:ind w:right="400" w:firstLine="749"/>
        <w:spacing w:after="0" w:line="303" w:lineRule="auto"/>
        <w:rPr>
          <w:sz w:val="20"/>
          <w:szCs w:val="20"/>
          <w:color w:val="auto"/>
        </w:rPr>
      </w:pPr>
      <w:r>
        <w:rPr>
          <w:rFonts w:ascii="Arial" w:cs="Arial" w:eastAsia="Arial" w:hAnsi="Arial"/>
          <w:sz w:val="17"/>
          <w:szCs w:val="17"/>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firstLine="749"/>
        <w:spacing w:after="0" w:line="34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r>
      <w:tr>
        <w:trPr>
          <w:trHeight w:val="527"/>
        </w:trPr>
        <w:tc>
          <w:tcPr>
            <w:tcW w:w="3880" w:type="dxa"/>
            <w:vAlign w:val="bottom"/>
          </w:tcPr>
          <w:p>
            <w:pPr>
              <w:ind w:left="140"/>
              <w:spacing w:after="0"/>
              <w:rPr>
                <w:sz w:val="20"/>
                <w:szCs w:val="20"/>
                <w:color w:val="auto"/>
              </w:rPr>
            </w:pPr>
            <w:r>
              <w:rPr>
                <w:rFonts w:ascii="Arial" w:cs="Arial" w:eastAsia="Arial" w:hAnsi="Arial"/>
                <w:sz w:val="18"/>
                <w:szCs w:val="18"/>
                <w:color w:val="auto"/>
              </w:rPr>
              <w:t>Date: November 10, 2021</w:t>
            </w:r>
          </w:p>
        </w:tc>
        <w:tc>
          <w:tcPr>
            <w:tcW w:w="2320" w:type="dxa"/>
            <w:vAlign w:val="bottom"/>
          </w:tcPr>
          <w:p>
            <w:pPr>
              <w:ind w:left="18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Litton</w:t>
            </w:r>
          </w:p>
        </w:tc>
      </w:tr>
      <w:tr>
        <w:trPr>
          <w:trHeight w:val="237"/>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Mark Litton</w:t>
            </w:r>
          </w:p>
        </w:tc>
      </w:tr>
      <w:tr>
        <w:trPr>
          <w:trHeight w:val="257"/>
        </w:trPr>
        <w:tc>
          <w:tcPr>
            <w:tcW w:w="38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925"/>
        </w:trPr>
        <w:tc>
          <w:tcPr>
            <w:tcW w:w="38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19685</wp:posOffset>
            </wp:positionV>
            <wp:extent cx="116586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Athira Pharma Reports Third Quarter 2021 Financial Results and Business Update</w:t>
      </w:r>
    </w:p>
    <w:p>
      <w:pPr>
        <w:spacing w:after="0" w:line="307"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 Completed enrollment of ACT-AD trial with topline data expected in the first half of 2022; LIFT-AD is actively recruiting with</w:t>
      </w:r>
    </w:p>
    <w:p>
      <w:pPr>
        <w:spacing w:after="0" w:line="55" w:lineRule="exact"/>
        <w:rPr>
          <w:sz w:val="20"/>
          <w:szCs w:val="20"/>
          <w:color w:val="auto"/>
        </w:rPr>
      </w:pPr>
    </w:p>
    <w:p>
      <w:pPr>
        <w:ind w:left="3800"/>
        <w:spacing w:after="0"/>
        <w:rPr>
          <w:sz w:val="20"/>
          <w:szCs w:val="20"/>
          <w:color w:val="auto"/>
        </w:rPr>
      </w:pPr>
      <w:r>
        <w:rPr>
          <w:rFonts w:ascii="Arial" w:cs="Arial" w:eastAsia="Arial" w:hAnsi="Arial"/>
          <w:sz w:val="22"/>
          <w:szCs w:val="22"/>
          <w:i w:val="1"/>
          <w:iCs w:val="1"/>
          <w:color w:val="auto"/>
        </w:rPr>
        <w:t>topline data expected by the end of 2022 –</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auto"/>
        </w:rPr>
        <w:t>– Presented program updates and baseline data from ATH-1017’s ongoing Phase 2 and Phase 2/3 clinical trials at the 2021</w:t>
      </w:r>
    </w:p>
    <w:p>
      <w:pPr>
        <w:spacing w:after="0" w:line="55" w:lineRule="exact"/>
        <w:rPr>
          <w:sz w:val="20"/>
          <w:szCs w:val="20"/>
          <w:color w:val="auto"/>
        </w:rPr>
      </w:pPr>
    </w:p>
    <w:p>
      <w:pPr>
        <w:ind w:left="4780"/>
        <w:spacing w:after="0"/>
        <w:rPr>
          <w:sz w:val="20"/>
          <w:szCs w:val="20"/>
          <w:color w:val="auto"/>
        </w:rPr>
      </w:pPr>
      <w:r>
        <w:rPr>
          <w:rFonts w:ascii="Arial" w:cs="Arial" w:eastAsia="Arial" w:hAnsi="Arial"/>
          <w:sz w:val="22"/>
          <w:szCs w:val="22"/>
          <w:i w:val="1"/>
          <w:iCs w:val="1"/>
          <w:color w:val="auto"/>
        </w:rPr>
        <w:t>CTAD conference –</w:t>
      </w:r>
    </w:p>
    <w:p>
      <w:pPr>
        <w:spacing w:after="0" w:line="200" w:lineRule="exact"/>
        <w:rPr>
          <w:sz w:val="20"/>
          <w:szCs w:val="20"/>
          <w:color w:val="auto"/>
        </w:rPr>
      </w:pPr>
    </w:p>
    <w:p>
      <w:pPr>
        <w:spacing w:after="0" w:line="347" w:lineRule="exact"/>
        <w:rPr>
          <w:sz w:val="20"/>
          <w:szCs w:val="20"/>
          <w:color w:val="auto"/>
        </w:rPr>
      </w:pPr>
    </w:p>
    <w:p>
      <w:pPr>
        <w:ind w:right="380"/>
        <w:spacing w:after="0" w:line="330" w:lineRule="auto"/>
        <w:rPr>
          <w:sz w:val="20"/>
          <w:szCs w:val="20"/>
          <w:color w:val="auto"/>
        </w:rPr>
      </w:pPr>
      <w:r>
        <w:rPr>
          <w:rFonts w:ascii="Arial" w:cs="Arial" w:eastAsia="Arial" w:hAnsi="Arial"/>
          <w:sz w:val="19"/>
          <w:szCs w:val="19"/>
          <w:b w:val="1"/>
          <w:bCs w:val="1"/>
          <w:color w:val="auto"/>
        </w:rPr>
        <w:t xml:space="preserve">BOTHELL, Wash., November 10, 2021 </w:t>
      </w:r>
      <w:r>
        <w:rPr>
          <w:rFonts w:ascii="Arial" w:cs="Arial" w:eastAsia="Arial" w:hAnsi="Arial"/>
          <w:sz w:val="19"/>
          <w:szCs w:val="19"/>
          <w:color w:val="auto"/>
        </w:rPr>
        <w:t>— Athira Pharma, Inc. (NASDAQ: ATHA), a late clinical-stage biopharmaceutical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focused on developing small molecules to restore neuronal health and stop neurodegeneration, today reported its financial results for the third quarter ended September 30, 2021, and provided an update on the company’s operations.</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22"/>
          <w:szCs w:val="22"/>
          <w:color w:val="auto"/>
        </w:rPr>
        <w:t>“We remained focused on our development efforts during the third quarter of 2021, and our initiatives remain on track as we enter a potentially transformative phase with multiple near-term clinical events,” said Mark Litton, Ph.D., President and Chief Executive Officer at Athira. “The completion of enrollment in our ACT-AD trial is an important step forward in advancing the development of ATH-1017 with the goal of improving the lives for those suffering from Alzheimer’s disease. We look forward to sharing topline results from this Phase 2 trial in the first half of 2022. In parallel, our LIFT-AD trial is actively recruiting with topline results targeted by the end of 2022, and SHAPE, our Phase 2 trial for patients with Parkinson’s disease dementia or dementia with Lewy bodies, is expected to initiate later this year. As we evaluate the year ahead, we are well-funded for the continued execution of our planned clinical development and look forward to advancing our pipeline of small molecule therapeutics.”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Clinical Development and Upcoming Milestones</w:t>
      </w:r>
    </w:p>
    <w:p>
      <w:pPr>
        <w:spacing w:after="0" w:line="287" w:lineRule="exact"/>
        <w:rPr>
          <w:sz w:val="20"/>
          <w:szCs w:val="20"/>
          <w:color w:val="auto"/>
        </w:rPr>
      </w:pPr>
    </w:p>
    <w:p>
      <w:pPr>
        <w:ind w:right="40"/>
        <w:spacing w:after="0" w:line="281" w:lineRule="auto"/>
        <w:rPr>
          <w:sz w:val="20"/>
          <w:szCs w:val="20"/>
          <w:color w:val="auto"/>
        </w:rPr>
      </w:pPr>
      <w:r>
        <w:rPr>
          <w:rFonts w:ascii="Arial" w:cs="Arial" w:eastAsia="Arial" w:hAnsi="Arial"/>
          <w:sz w:val="21"/>
          <w:szCs w:val="21"/>
          <w:b w:val="1"/>
          <w:bCs w:val="1"/>
          <w:color w:val="auto"/>
        </w:rPr>
        <w:t xml:space="preserve">ATH-1017: </w:t>
      </w:r>
      <w:r>
        <w:rPr>
          <w:rFonts w:ascii="Arial" w:cs="Arial" w:eastAsia="Arial" w:hAnsi="Arial"/>
          <w:sz w:val="21"/>
          <w:szCs w:val="21"/>
          <w:color w:val="auto"/>
        </w:rPr>
        <w:t>A small molecule therapeutic specifically designed to enhance the activity of hepatocyte growth factor (HGF)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receptor, MET, to impact neurodegeneration and regenerate brain tissue. ATH-1017 is currently being evaluated in two randomized, double-blind, placebo-controlled trials, LIFT-AD and ACT-AD, designed to evaluate the safety and efficacy of the investigational therapeutic in individuals with mild-to-moderate Alzheimer’s disease.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Advancements</w:t>
      </w:r>
    </w:p>
    <w:p>
      <w:pPr>
        <w:spacing w:after="0" w:line="21" w:lineRule="exact"/>
        <w:rPr>
          <w:sz w:val="20"/>
          <w:szCs w:val="20"/>
          <w:color w:val="auto"/>
        </w:rPr>
      </w:pPr>
    </w:p>
    <w:p>
      <w:pPr>
        <w:ind w:left="700" w:right="100"/>
        <w:spacing w:after="0" w:line="277" w:lineRule="auto"/>
        <w:rPr>
          <w:sz w:val="20"/>
          <w:szCs w:val="20"/>
          <w:color w:val="auto"/>
        </w:rPr>
      </w:pPr>
      <w:r>
        <w:rPr>
          <w:rFonts w:ascii="Arial" w:cs="Arial" w:eastAsia="Arial" w:hAnsi="Arial"/>
          <w:sz w:val="21"/>
          <w:szCs w:val="21"/>
          <w:b w:val="1"/>
          <w:bCs w:val="1"/>
          <w:color w:val="auto"/>
        </w:rPr>
        <w:t xml:space="preserve">ACT-AD Phase 2 trial: </w:t>
      </w:r>
      <w:r>
        <w:rPr>
          <w:rFonts w:ascii="Arial" w:cs="Arial" w:eastAsia="Arial" w:hAnsi="Arial"/>
          <w:sz w:val="21"/>
          <w:szCs w:val="21"/>
          <w:color w:val="auto"/>
        </w:rPr>
        <w:t>Completed enrollment with topline data expected in the first half of 2022. This Phase 2</w:t>
      </w:r>
      <w:r>
        <w:rPr>
          <w:rFonts w:ascii="Arial" w:cs="Arial" w:eastAsia="Arial" w:hAnsi="Arial"/>
          <w:sz w:val="21"/>
          <w:szCs w:val="21"/>
          <w:b w:val="1"/>
          <w:bCs w:val="1"/>
          <w:color w:val="auto"/>
        </w:rPr>
        <w:t xml:space="preserve"> </w:t>
      </w:r>
      <w:r>
        <w:rPr>
          <w:rFonts w:ascii="Arial" w:cs="Arial" w:eastAsia="Arial" w:hAnsi="Arial"/>
          <w:sz w:val="21"/>
          <w:szCs w:val="21"/>
          <w:color w:val="auto"/>
        </w:rPr>
        <w:t>randomized, double-blind, placebo-controlled, parallel-group study of ATH-1017 in patients with mild-to-moderate Alzheimer’s disease has enrolled 77 subjects across 14 sites in the United States and Australia. The primary endpoint for ACT-AD is Event-Related-Potential (ERP) P300 latency, a functional measure of 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ind w:left="700"/>
        <w:spacing w:after="0"/>
        <w:rPr>
          <w:sz w:val="20"/>
          <w:szCs w:val="20"/>
          <w:color w:val="auto"/>
        </w:rPr>
      </w:pPr>
      <w:r>
        <w:rPr>
          <w:rFonts w:ascii="Arial" w:cs="Arial" w:eastAsia="Arial" w:hAnsi="Arial"/>
          <w:sz w:val="22"/>
          <w:szCs w:val="22"/>
          <w:color w:val="auto"/>
        </w:rPr>
        <w:t>memory processing speed, and secondary endpoints measuring cognition, function and behavior.</w:t>
      </w:r>
    </w:p>
    <w:p>
      <w:pPr>
        <w:spacing w:after="0" w:line="21" w:lineRule="exact"/>
        <w:rPr>
          <w:sz w:val="20"/>
          <w:szCs w:val="20"/>
          <w:color w:val="auto"/>
        </w:rPr>
      </w:pPr>
    </w:p>
    <w:p>
      <w:pPr>
        <w:ind w:left="700" w:right="240"/>
        <w:spacing w:after="0" w:line="268" w:lineRule="auto"/>
        <w:rPr>
          <w:sz w:val="20"/>
          <w:szCs w:val="20"/>
          <w:color w:val="auto"/>
        </w:rPr>
      </w:pPr>
      <w:r>
        <w:rPr>
          <w:rFonts w:ascii="Arial" w:cs="Arial" w:eastAsia="Arial" w:hAnsi="Arial"/>
          <w:sz w:val="21"/>
          <w:szCs w:val="21"/>
          <w:b w:val="1"/>
          <w:bCs w:val="1"/>
          <w:color w:val="auto"/>
        </w:rPr>
        <w:t xml:space="preserve">2021 Clinical Trials on Alzheimer’s Disease Conference (CTAD): </w:t>
      </w:r>
      <w:r>
        <w:rPr>
          <w:rFonts w:ascii="Arial" w:cs="Arial" w:eastAsia="Arial" w:hAnsi="Arial"/>
          <w:sz w:val="21"/>
          <w:szCs w:val="21"/>
          <w:color w:val="auto"/>
        </w:rPr>
        <w:t>Provided program updates and baseline data from</w:t>
      </w:r>
      <w:r>
        <w:rPr>
          <w:rFonts w:ascii="Arial" w:cs="Arial" w:eastAsia="Arial" w:hAnsi="Arial"/>
          <w:sz w:val="21"/>
          <w:szCs w:val="21"/>
          <w:b w:val="1"/>
          <w:bCs w:val="1"/>
          <w:color w:val="auto"/>
        </w:rPr>
        <w:t xml:space="preserve"> </w:t>
      </w:r>
      <w:r>
        <w:rPr>
          <w:rFonts w:ascii="Arial" w:cs="Arial" w:eastAsia="Arial" w:hAnsi="Arial"/>
          <w:sz w:val="21"/>
          <w:szCs w:val="21"/>
          <w:color w:val="auto"/>
        </w:rPr>
        <w:t>ATH-1017’s ongoing Phase 2 and Phase 2/3 clinical trials in an oral presentation at CTAD.</w:t>
      </w:r>
    </w:p>
    <w:p>
      <w:pPr>
        <w:spacing w:after="0" w:line="1" w:lineRule="exact"/>
        <w:rPr>
          <w:sz w:val="20"/>
          <w:szCs w:val="20"/>
          <w:color w:val="auto"/>
        </w:rPr>
      </w:pPr>
    </w:p>
    <w:p>
      <w:pPr>
        <w:ind w:left="700" w:right="120"/>
        <w:spacing w:after="0" w:line="261" w:lineRule="auto"/>
        <w:rPr>
          <w:sz w:val="20"/>
          <w:szCs w:val="20"/>
          <w:color w:val="auto"/>
        </w:rPr>
      </w:pPr>
      <w:r>
        <w:rPr>
          <w:rFonts w:ascii="Arial" w:cs="Arial" w:eastAsia="Arial" w:hAnsi="Arial"/>
          <w:sz w:val="22"/>
          <w:szCs w:val="22"/>
          <w:b w:val="1"/>
          <w:bCs w:val="1"/>
          <w:color w:val="auto"/>
        </w:rPr>
        <w:t xml:space="preserve">Open Label Extension Study for LIFT-AD and ACT-AD trials of ATH-1017: </w:t>
      </w:r>
      <w:r>
        <w:rPr>
          <w:rFonts w:ascii="Arial" w:cs="Arial" w:eastAsia="Arial" w:hAnsi="Arial"/>
          <w:sz w:val="22"/>
          <w:szCs w:val="22"/>
          <w:color w:val="auto"/>
        </w:rPr>
        <w:t>The study is ongoing and was initiated</w:t>
      </w:r>
      <w:r>
        <w:rPr>
          <w:rFonts w:ascii="Arial" w:cs="Arial" w:eastAsia="Arial" w:hAnsi="Arial"/>
          <w:sz w:val="22"/>
          <w:szCs w:val="22"/>
          <w:b w:val="1"/>
          <w:bCs w:val="1"/>
          <w:color w:val="auto"/>
        </w:rPr>
        <w:t xml:space="preserve"> </w:t>
      </w:r>
      <w:r>
        <w:rPr>
          <w:rFonts w:ascii="Arial" w:cs="Arial" w:eastAsia="Arial" w:hAnsi="Arial"/>
          <w:sz w:val="22"/>
          <w:szCs w:val="22"/>
          <w:color w:val="auto"/>
        </w:rPr>
        <w:t>in June 2021. Following completion of the 26-week treatment period during the LIFT-AD or ACT-AD trials, study participants may elect to continue on the open label extension and receive treatment with ATH-1017 at the high dose (70 mg/day) for up to an additional 26 weeks.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Upcoming Milestones</w:t>
      </w:r>
    </w:p>
    <w:p>
      <w:pPr>
        <w:spacing w:after="0" w:line="21" w:lineRule="exact"/>
        <w:rPr>
          <w:sz w:val="20"/>
          <w:szCs w:val="20"/>
          <w:color w:val="auto"/>
        </w:rPr>
      </w:pPr>
    </w:p>
    <w:p>
      <w:pPr>
        <w:ind w:left="700" w:right="20"/>
        <w:spacing w:after="0" w:line="256" w:lineRule="auto"/>
        <w:rPr>
          <w:sz w:val="20"/>
          <w:szCs w:val="20"/>
          <w:color w:val="auto"/>
        </w:rPr>
      </w:pPr>
      <w:r>
        <w:rPr>
          <w:rFonts w:ascii="Arial" w:cs="Arial" w:eastAsia="Arial" w:hAnsi="Arial"/>
          <w:sz w:val="22"/>
          <w:szCs w:val="22"/>
          <w:b w:val="1"/>
          <w:bCs w:val="1"/>
          <w:color w:val="auto"/>
        </w:rPr>
        <w:t xml:space="preserve">LIFT-AD Phase 2/3 trial </w:t>
      </w:r>
      <w:r>
        <w:rPr>
          <w:rFonts w:ascii="Arial" w:cs="Arial" w:eastAsia="Arial" w:hAnsi="Arial"/>
          <w:sz w:val="22"/>
          <w:szCs w:val="22"/>
          <w:color w:val="auto"/>
        </w:rPr>
        <w:t>of ATH-1017 in patients with mild-to-moderate Alzheimer’s disease is actively recruiting, with</w:t>
      </w:r>
      <w:r>
        <w:rPr>
          <w:rFonts w:ascii="Arial" w:cs="Arial" w:eastAsia="Arial" w:hAnsi="Arial"/>
          <w:sz w:val="22"/>
          <w:szCs w:val="22"/>
          <w:b w:val="1"/>
          <w:bCs w:val="1"/>
          <w:color w:val="auto"/>
        </w:rPr>
        <w:t xml:space="preserve"> </w:t>
      </w:r>
      <w:r>
        <w:rPr>
          <w:rFonts w:ascii="Arial" w:cs="Arial" w:eastAsia="Arial" w:hAnsi="Arial"/>
          <w:sz w:val="22"/>
          <w:szCs w:val="22"/>
          <w:color w:val="auto"/>
        </w:rPr>
        <w:t>top-line data expected by the end of 2022.</w:t>
      </w:r>
    </w:p>
    <w:p>
      <w:pPr>
        <w:ind w:left="700" w:right="540"/>
        <w:spacing w:after="0" w:line="272" w:lineRule="auto"/>
        <w:rPr>
          <w:sz w:val="20"/>
          <w:szCs w:val="20"/>
          <w:color w:val="auto"/>
        </w:rPr>
      </w:pPr>
      <w:r>
        <w:rPr>
          <w:rFonts w:ascii="Arial" w:cs="Arial" w:eastAsia="Arial" w:hAnsi="Arial"/>
          <w:sz w:val="22"/>
          <w:szCs w:val="22"/>
          <w:b w:val="1"/>
          <w:bCs w:val="1"/>
          <w:color w:val="auto"/>
        </w:rPr>
        <w:t xml:space="preserve">SHAPE Phase 2 trial </w:t>
      </w:r>
      <w:r>
        <w:rPr>
          <w:rFonts w:ascii="Arial" w:cs="Arial" w:eastAsia="Arial" w:hAnsi="Arial"/>
          <w:sz w:val="22"/>
          <w:szCs w:val="22"/>
          <w:color w:val="auto"/>
        </w:rPr>
        <w:t>of ATH-1017 in patients with Parkinson’s disease dementia or dementia with Lewy bodies is</w:t>
      </w:r>
      <w:r>
        <w:rPr>
          <w:rFonts w:ascii="Arial" w:cs="Arial" w:eastAsia="Arial" w:hAnsi="Arial"/>
          <w:sz w:val="22"/>
          <w:szCs w:val="22"/>
          <w:b w:val="1"/>
          <w:bCs w:val="1"/>
          <w:color w:val="auto"/>
        </w:rPr>
        <w:t xml:space="preserve"> </w:t>
      </w:r>
      <w:r>
        <w:rPr>
          <w:rFonts w:ascii="Arial" w:cs="Arial" w:eastAsia="Arial" w:hAnsi="Arial"/>
          <w:sz w:val="22"/>
          <w:szCs w:val="22"/>
          <w:color w:val="auto"/>
        </w:rPr>
        <w:t>anticipated to initiate by the end of 2021.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Advancements</w:t>
      </w:r>
    </w:p>
    <w:p>
      <w:pPr>
        <w:spacing w:after="0" w:line="287"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 xml:space="preserve">ATH-1020: </w:t>
      </w:r>
      <w:r>
        <w:rPr>
          <w:rFonts w:ascii="Arial" w:cs="Arial" w:eastAsia="Arial" w:hAnsi="Arial"/>
          <w:sz w:val="22"/>
          <w:szCs w:val="22"/>
          <w:color w:val="auto"/>
        </w:rPr>
        <w:t>A novel, small molecule therapeutic designed to be an orally available, once-daily treatment. ATH-1020 is intended</w:t>
      </w:r>
      <w:r>
        <w:rPr>
          <w:rFonts w:ascii="Arial" w:cs="Arial" w:eastAsia="Arial" w:hAnsi="Arial"/>
          <w:sz w:val="22"/>
          <w:szCs w:val="22"/>
          <w:b w:val="1"/>
          <w:bCs w:val="1"/>
          <w:color w:val="auto"/>
        </w:rPr>
        <w:t xml:space="preserve"> </w:t>
      </w:r>
      <w:r>
        <w:rPr>
          <w:rFonts w:ascii="Arial" w:cs="Arial" w:eastAsia="Arial" w:hAnsi="Arial"/>
          <w:sz w:val="22"/>
          <w:szCs w:val="22"/>
          <w:color w:val="auto"/>
        </w:rPr>
        <w:t>to enhance the HGF/MET system and distribute to the central nervous system as a potential candidate for neuropsychiatric indications.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Upcoming Milestone</w:t>
      </w:r>
    </w:p>
    <w:p>
      <w:pPr>
        <w:spacing w:after="0" w:line="21" w:lineRule="exact"/>
        <w:rPr>
          <w:sz w:val="20"/>
          <w:szCs w:val="20"/>
          <w:color w:val="auto"/>
        </w:rPr>
      </w:pPr>
    </w:p>
    <w:p>
      <w:pPr>
        <w:ind w:left="700" w:right="400"/>
        <w:spacing w:after="0" w:line="272" w:lineRule="auto"/>
        <w:rPr>
          <w:sz w:val="20"/>
          <w:szCs w:val="20"/>
          <w:color w:val="auto"/>
        </w:rPr>
      </w:pPr>
      <w:r>
        <w:rPr>
          <w:rFonts w:ascii="Arial" w:cs="Arial" w:eastAsia="Arial" w:hAnsi="Arial"/>
          <w:sz w:val="22"/>
          <w:szCs w:val="22"/>
          <w:b w:val="1"/>
          <w:bCs w:val="1"/>
          <w:color w:val="auto"/>
        </w:rPr>
        <w:t xml:space="preserve">IND filing expected by end of 2021. </w:t>
      </w:r>
      <w:r>
        <w:rPr>
          <w:rFonts w:ascii="Arial" w:cs="Arial" w:eastAsia="Arial" w:hAnsi="Arial"/>
          <w:sz w:val="22"/>
          <w:szCs w:val="22"/>
          <w:color w:val="auto"/>
        </w:rPr>
        <w:t>IND-enabling studies are proceeding for ATH-1020. Athira is targeting an IND</w:t>
      </w:r>
      <w:r>
        <w:rPr>
          <w:rFonts w:ascii="Arial" w:cs="Arial" w:eastAsia="Arial" w:hAnsi="Arial"/>
          <w:sz w:val="22"/>
          <w:szCs w:val="22"/>
          <w:b w:val="1"/>
          <w:bCs w:val="1"/>
          <w:color w:val="auto"/>
        </w:rPr>
        <w:t xml:space="preserve"> </w:t>
      </w:r>
      <w:r>
        <w:rPr>
          <w:rFonts w:ascii="Arial" w:cs="Arial" w:eastAsia="Arial" w:hAnsi="Arial"/>
          <w:sz w:val="22"/>
          <w:szCs w:val="22"/>
          <w:color w:val="auto"/>
        </w:rPr>
        <w:t>submission to the U.S. Food and Drug Administration (FDA) by the end of 2021.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Corporate Event</w:t>
      </w:r>
    </w:p>
    <w:p>
      <w:pPr>
        <w:spacing w:after="0" w:line="287" w:lineRule="exact"/>
        <w:rPr>
          <w:sz w:val="20"/>
          <w:szCs w:val="20"/>
          <w:color w:val="auto"/>
        </w:rPr>
      </w:pPr>
    </w:p>
    <w:p>
      <w:pPr>
        <w:ind w:left="700"/>
        <w:spacing w:after="0" w:line="310" w:lineRule="auto"/>
        <w:rPr>
          <w:sz w:val="20"/>
          <w:szCs w:val="20"/>
          <w:color w:val="auto"/>
        </w:rPr>
      </w:pPr>
      <w:r>
        <w:rPr>
          <w:rFonts w:ascii="Arial" w:cs="Arial" w:eastAsia="Arial" w:hAnsi="Arial"/>
          <w:sz w:val="19"/>
          <w:szCs w:val="19"/>
          <w:b w:val="1"/>
          <w:bCs w:val="1"/>
          <w:color w:val="auto"/>
        </w:rPr>
        <w:t xml:space="preserve">Educational webinar: </w:t>
      </w:r>
      <w:r>
        <w:rPr>
          <w:rFonts w:ascii="Arial" w:cs="Arial" w:eastAsia="Arial" w:hAnsi="Arial"/>
          <w:sz w:val="19"/>
          <w:szCs w:val="19"/>
          <w:color w:val="auto"/>
        </w:rPr>
        <w:t>On November 5, 2021, the company hosted an educational webinar on the clinical applications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ERP P300 latency as a functional measure of working memory processing speed, as well as its correlation to cognition. The webinar featured a discussion with John Michael Olichney, M.D., a board-certified behavioral neurologist and Professor of Neurology at UC Davis Health; Hans Moebius, M.D., Ph.D., Chief Medical Officer of Athira; and Kevin Church, Ph.D., EVP, Research at Athira. An archived replay of the webinar can be accessed from the investors’ section of the Athira website at https://investors.athira.com/news-and-events/events-and-presentations.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2021 Financial Results</w:t>
      </w:r>
    </w:p>
    <w:p>
      <w:pPr>
        <w:spacing w:after="0" w:line="287" w:lineRule="exact"/>
        <w:rPr>
          <w:sz w:val="20"/>
          <w:szCs w:val="20"/>
          <w:color w:val="auto"/>
        </w:rPr>
      </w:pPr>
    </w:p>
    <w:p>
      <w:pPr>
        <w:ind w:left="700" w:right="500"/>
        <w:spacing w:after="0" w:line="282" w:lineRule="auto"/>
        <w:rPr>
          <w:sz w:val="20"/>
          <w:szCs w:val="20"/>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Cash, cash equivalents and investments were $339.4 million as of September 30, 2021,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$268.2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 w:name="page6"/>
    <w:bookmarkEnd w:id="5"/>
    <w:p>
      <w:pPr>
        <w:ind w:left="700" w:right="160"/>
        <w:spacing w:after="0" w:line="282" w:lineRule="auto"/>
        <w:rPr>
          <w:sz w:val="20"/>
          <w:szCs w:val="20"/>
          <w:color w:val="auto"/>
        </w:rPr>
      </w:pPr>
      <w:r>
        <w:rPr>
          <w:rFonts w:ascii="Arial" w:cs="Arial" w:eastAsia="Arial" w:hAnsi="Arial"/>
          <w:sz w:val="22"/>
          <w:szCs w:val="22"/>
          <w:b w:val="1"/>
          <w:bCs w:val="1"/>
          <w:color w:val="auto"/>
        </w:rPr>
        <w:t>Research and Development (R&amp;D) Expenses</w:t>
      </w:r>
      <w:r>
        <w:rPr>
          <w:rFonts w:ascii="Arial" w:cs="Arial" w:eastAsia="Arial" w:hAnsi="Arial"/>
          <w:sz w:val="22"/>
          <w:szCs w:val="22"/>
          <w:color w:val="auto"/>
        </w:rPr>
        <w:t>. R&amp;D expenses were $10.7 million for the quarter ended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2021, as compared to $5.8 million for the same quarter in 2020.</w:t>
      </w:r>
    </w:p>
    <w:p>
      <w:pPr>
        <w:spacing w:after="0" w:line="216" w:lineRule="exact"/>
        <w:rPr>
          <w:sz w:val="20"/>
          <w:szCs w:val="20"/>
          <w:color w:val="auto"/>
        </w:rPr>
      </w:pPr>
    </w:p>
    <w:p>
      <w:pPr>
        <w:ind w:left="700" w:right="160"/>
        <w:spacing w:after="0" w:line="282" w:lineRule="auto"/>
        <w:rPr>
          <w:sz w:val="20"/>
          <w:szCs w:val="20"/>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$7.1 million for the quarter ended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2021, as compared to $1.6 million for the same quarter in 2020.</w:t>
      </w:r>
    </w:p>
    <w:p>
      <w:pPr>
        <w:spacing w:after="0" w:line="216" w:lineRule="exact"/>
        <w:rPr>
          <w:sz w:val="20"/>
          <w:szCs w:val="20"/>
          <w:color w:val="auto"/>
        </w:rPr>
      </w:pPr>
    </w:p>
    <w:p>
      <w:pPr>
        <w:ind w:left="700" w:right="380"/>
        <w:spacing w:after="0" w:line="364" w:lineRule="auto"/>
        <w:rPr>
          <w:sz w:val="20"/>
          <w:szCs w:val="20"/>
          <w:color w:val="auto"/>
        </w:rPr>
      </w:pPr>
      <w:r>
        <w:rPr>
          <w:rFonts w:ascii="Arial" w:cs="Arial" w:eastAsia="Arial" w:hAnsi="Arial"/>
          <w:sz w:val="19"/>
          <w:szCs w:val="19"/>
          <w:b w:val="1"/>
          <w:bCs w:val="1"/>
          <w:color w:val="auto"/>
        </w:rPr>
        <w:t>Net Loss</w:t>
      </w:r>
      <w:r>
        <w:rPr>
          <w:rFonts w:ascii="Arial" w:cs="Arial" w:eastAsia="Arial" w:hAnsi="Arial"/>
          <w:sz w:val="19"/>
          <w:szCs w:val="19"/>
          <w:color w:val="auto"/>
        </w:rPr>
        <w:t>. Net loss was $15.7 million, or $0.42 per share basic and diluted, for the quarter ended September 30, 2021,</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a net loss of $8.5 million, or $1.12 per share basic and diluted, for the same quarter in 2020.</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Athira Pharma, Inc.</w:t>
      </w:r>
    </w:p>
    <w:p>
      <w:pPr>
        <w:spacing w:after="0" w:line="64" w:lineRule="exact"/>
        <w:rPr>
          <w:sz w:val="20"/>
          <w:szCs w:val="20"/>
          <w:color w:val="auto"/>
        </w:rPr>
      </w:pPr>
    </w:p>
    <w:p>
      <w:pPr>
        <w:ind w:right="240"/>
        <w:spacing w:after="0" w:line="356" w:lineRule="auto"/>
        <w:rPr>
          <w:sz w:val="20"/>
          <w:szCs w:val="20"/>
          <w:color w:val="auto"/>
        </w:rPr>
      </w:pPr>
      <w:r>
        <w:rPr>
          <w:rFonts w:ascii="Arial" w:cs="Arial" w:eastAsia="Arial" w:hAnsi="Arial"/>
          <w:sz w:val="19"/>
          <w:szCs w:val="19"/>
          <w:color w:val="auto"/>
        </w:rPr>
        <w:t>Athira, headquartered in the Seattle area, is a late clinical-stage biopharmaceutical company focused on developing small molecules to restore neuronal health and stop neurodegeneration. Athira aims to provide rapid cognitive improvement and alter the course of neurological diseases with our novel mechanism of action. Athira is currently advancing its lead therapeutic candidate, ATH-1017, a novel small molecule for Alzheimer’s and Parkinson’s disease dementia. For more information, visit www.athira.com. You can also follow Athira on Facebook, LinkedIn and @athirapharma on Twitter and Instagram.</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64" w:lineRule="exact"/>
        <w:rPr>
          <w:sz w:val="20"/>
          <w:szCs w:val="20"/>
          <w:color w:val="auto"/>
        </w:rPr>
      </w:pPr>
    </w:p>
    <w:p>
      <w:pPr>
        <w:spacing w:after="0" w:line="346" w:lineRule="auto"/>
        <w:rPr>
          <w:sz w:val="20"/>
          <w:szCs w:val="20"/>
          <w:color w:val="auto"/>
        </w:rPr>
      </w:pPr>
      <w:r>
        <w:rPr>
          <w:rFonts w:ascii="Arial" w:cs="Arial" w:eastAsia="Arial" w:hAnsi="Arial"/>
          <w:sz w:val="19"/>
          <w:szCs w:val="19"/>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future development plans; clinical and regulatory objectives and the timing thereof, including the timing of the ACT-AD and LIFT-AD clinical trials and the timing of the Phase 2 clinical trial of ATH-1017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the sufficiency of Athira’s cash, cash equivalents and investments to support its planned development activities; and Athira’s ability to advance its product candidates into later stages of development. Forward-looking statements generally include statements that are predictive in nature and depend upon or refer to future events or conditions, and include words such as “may,” “will,” “should,” “would,” “expect,” “plan,” “believe,” “intend,” “pursue,” “continue,” and other similar expressions, among others. Any forward-looking statements are based on management’s current expectations of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 w:name="page7"/>
    <w:bookmarkEnd w:id="6"/>
    <w:p>
      <w:pPr>
        <w:spacing w:after="0" w:line="344" w:lineRule="auto"/>
        <w:rPr>
          <w:sz w:val="20"/>
          <w:szCs w:val="20"/>
          <w:color w:val="auto"/>
        </w:rPr>
      </w:pPr>
      <w:r>
        <w:rPr>
          <w:rFonts w:ascii="Arial" w:cs="Arial" w:eastAsia="Arial" w:hAnsi="Arial"/>
          <w:sz w:val="19"/>
          <w:szCs w:val="19"/>
          <w:color w:val="auto"/>
        </w:rPr>
        <w:t>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and other product candidates may occur; future potential regulatory milestones of ATH-1017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adverse conditions in the general domestic and global economic markets;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Julie Rathbun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Athira Pharma,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Julie.rathbun@athira.com</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(Amounts in thousands)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5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73"/>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7060" w:type="dxa"/>
            <w:vAlign w:val="bottom"/>
            <w:gridSpan w:val="2"/>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7060" w:type="dxa"/>
            <w:vAlign w:val="bottom"/>
            <w:gridSpan w:val="2"/>
          </w:tcPr>
          <w:p>
            <w:pPr>
              <w:ind w:left="69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107,328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60,625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0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124,057</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Other short-term assets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0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Other long-term assets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76"/>
        </w:trPr>
        <w:tc>
          <w:tcPr>
            <w:tcW w:w="580" w:type="dxa"/>
            <w:vAlign w:val="bottom"/>
          </w:tcPr>
          <w:p>
            <w:pPr>
              <w:spacing w:after="0"/>
              <w:rPr>
                <w:sz w:val="24"/>
                <w:szCs w:val="24"/>
                <w:color w:val="auto"/>
              </w:rPr>
            </w:pPr>
          </w:p>
        </w:tc>
        <w:tc>
          <w:tcPr>
            <w:tcW w:w="6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347,331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58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706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70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060" w:type="dxa"/>
            <w:vAlign w:val="bottom"/>
            <w:gridSpan w:val="2"/>
            <w:shd w:val="clear" w:color="auto" w:fill="CFF0FC"/>
          </w:tcPr>
          <w:p>
            <w:pPr>
              <w:ind w:left="69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Long-term liabilities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336,237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580" w:type="dxa"/>
            <w:vAlign w:val="bottom"/>
          </w:tcPr>
          <w:p>
            <w:pPr>
              <w:spacing w:after="0"/>
              <w:rPr>
                <w:sz w:val="24"/>
                <w:szCs w:val="24"/>
                <w:color w:val="auto"/>
              </w:rPr>
            </w:pPr>
          </w:p>
        </w:tc>
        <w:tc>
          <w:tcPr>
            <w:tcW w:w="7060" w:type="dxa"/>
            <w:vAlign w:val="bottom"/>
            <w:gridSpan w:val="2"/>
            <w:shd w:val="clear" w:color="auto" w:fill="CFF0FC"/>
          </w:tcPr>
          <w:p>
            <w:pPr>
              <w:ind w:left="69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8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71"/>
        </w:trPr>
        <w:tc>
          <w:tcPr>
            <w:tcW w:w="580" w:type="dxa"/>
            <w:vAlign w:val="bottom"/>
            <w:tcBorders>
              <w:bottom w:val="single" w:sz="8" w:color="9A9A9A"/>
            </w:tcBorders>
          </w:tcPr>
          <w:p>
            <w:pPr>
              <w:spacing w:after="0"/>
              <w:rPr>
                <w:sz w:val="24"/>
                <w:szCs w:val="24"/>
                <w:color w:val="auto"/>
              </w:rPr>
            </w:pPr>
          </w:p>
        </w:tc>
        <w:tc>
          <w:tcPr>
            <w:tcW w:w="69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-2425065</wp:posOffset>
            </wp:positionV>
            <wp:extent cx="110617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3257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-599440</wp:posOffset>
            </wp:positionV>
            <wp:extent cx="146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-582295</wp:posOffset>
            </wp:positionV>
            <wp:extent cx="146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-599440</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-582295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(Amounts in thousands, except share and per share amounts)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10,707</w:t>
            </w:r>
          </w:p>
        </w:tc>
        <w:tc>
          <w:tcPr>
            <w:tcW w:w="2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(17,826 )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(7,397 )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 income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(1,059 )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(15,674 )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(8,456 )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80" w:type="dxa"/>
            <w:vAlign w:val="bottom"/>
          </w:tcPr>
          <w:p>
            <w:pPr>
              <w:spacing w:after="0"/>
              <w:rPr>
                <w:sz w:val="24"/>
                <w:szCs w:val="24"/>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gain on available-for-sale securities</w:t>
            </w:r>
          </w:p>
        </w:tc>
        <w:tc>
          <w:tcPr>
            <w:tcW w:w="220" w:type="dxa"/>
            <w:vAlign w:val="bottom"/>
            <w:shd w:val="clear" w:color="auto" w:fill="CFF0FC"/>
          </w:tcPr>
          <w:p>
            <w:pPr>
              <w:spacing w:after="0"/>
              <w:rPr>
                <w:sz w:val="24"/>
                <w:szCs w:val="24"/>
                <w:color w:val="auto"/>
              </w:rPr>
            </w:pPr>
          </w:p>
        </w:tc>
        <w:tc>
          <w:tcPr>
            <w:tcW w:w="14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(33 )</w:t>
            </w:r>
          </w:p>
        </w:tc>
        <w:tc>
          <w:tcPr>
            <w:tcW w:w="340" w:type="dxa"/>
            <w:vAlign w:val="bottom"/>
            <w:shd w:val="clear" w:color="auto" w:fill="CFF0FC"/>
          </w:tcPr>
          <w:p>
            <w:pPr>
              <w:spacing w:after="0"/>
              <w:rPr>
                <w:sz w:val="24"/>
                <w:szCs w:val="2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6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40" w:type="dxa"/>
            <w:vAlign w:val="bottom"/>
            <w:gridSpan w:val="2"/>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(15,707 )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(8,449 )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(0.42 )</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(1.12 )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6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basic and diluted</w:t>
            </w:r>
          </w:p>
        </w:tc>
        <w:tc>
          <w:tcPr>
            <w:tcW w:w="220" w:type="dxa"/>
            <w:vAlign w:val="bottom"/>
            <w:vMerge w:val="continue"/>
            <w:shd w:val="clear" w:color="auto" w:fill="CFF0FC"/>
          </w:tcPr>
          <w:p>
            <w:pPr>
              <w:spacing w:after="0"/>
              <w:rPr>
                <w:sz w:val="21"/>
                <w:szCs w:val="21"/>
                <w:color w:val="auto"/>
              </w:rPr>
            </w:pPr>
          </w:p>
        </w:tc>
        <w:tc>
          <w:tcPr>
            <w:tcW w:w="1440" w:type="dxa"/>
            <w:vAlign w:val="bottom"/>
            <w:gridSpan w:val="2"/>
            <w:vMerge w:val="continue"/>
            <w:shd w:val="clear" w:color="auto" w:fill="CFF0FC"/>
          </w:tcPr>
          <w:p>
            <w:pPr>
              <w:spacing w:after="0"/>
              <w:rPr>
                <w:sz w:val="21"/>
                <w:szCs w:val="21"/>
                <w:color w:val="auto"/>
              </w:rPr>
            </w:pPr>
          </w:p>
        </w:tc>
        <w:tc>
          <w:tcPr>
            <w:tcW w:w="340" w:type="dxa"/>
            <w:vAlign w:val="bottom"/>
            <w:vMerge w:val="continue"/>
            <w:shd w:val="clear" w:color="auto" w:fill="CFF0FC"/>
          </w:tcPr>
          <w:p>
            <w:pPr>
              <w:spacing w:after="0"/>
              <w:rPr>
                <w:sz w:val="21"/>
                <w:szCs w:val="21"/>
                <w:color w:val="auto"/>
              </w:rPr>
            </w:pPr>
          </w:p>
        </w:tc>
        <w:tc>
          <w:tcPr>
            <w:tcW w:w="1200" w:type="dxa"/>
            <w:vAlign w:val="bottom"/>
            <w:gridSpan w:val="2"/>
            <w:vMerge w:val="continue"/>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share attributable to common stockholders, basic</w:t>
            </w:r>
          </w:p>
        </w:tc>
        <w:tc>
          <w:tcPr>
            <w:tcW w:w="2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37,312,356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7,564,538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900" w:type="dxa"/>
            <w:vAlign w:val="bottom"/>
          </w:tcPr>
          <w:p>
            <w:pPr>
              <w:ind w:left="160"/>
              <w:spacing w:after="0" w:line="202" w:lineRule="exact"/>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-2865120</wp:posOffset>
            </wp:positionV>
            <wp:extent cx="145415" cy="302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415" cy="3028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-2865120</wp:posOffset>
            </wp:positionV>
            <wp:extent cx="60325" cy="302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3028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-1811020</wp:posOffset>
            </wp:positionV>
            <wp:extent cx="145415" cy="182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415" cy="18288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-1811020</wp:posOffset>
            </wp:positionV>
            <wp:extent cx="60325" cy="182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8288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-1330960</wp:posOffset>
            </wp:positionV>
            <wp:extent cx="145415" cy="182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415" cy="18288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-1330960</wp:posOffset>
            </wp:positionV>
            <wp:extent cx="60325" cy="182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18288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-873760</wp:posOffset>
            </wp:positionV>
            <wp:extent cx="111442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4425" cy="4718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2021-11-10T15:33:12Z</dcterms:created>
  <dcterms:modified xsi:type="dcterms:W3CDTF">2021-11-10T15:33:12Z</dcterms:modified>
</cp:coreProperties>
</file>