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ind w:left="4220"/>
        <w:spacing w:after="0"/>
        <w:rPr>
          <w:sz w:val="20"/>
          <w:szCs w:val="20"/>
          <w:color w:val="auto"/>
        </w:rPr>
      </w:pPr>
      <w:r>
        <w:rPr>
          <w:rFonts w:ascii="Arial" w:cs="Arial" w:eastAsia="Arial" w:hAnsi="Arial"/>
          <w:sz w:val="22"/>
          <w:szCs w:val="22"/>
          <w:color w:val="auto"/>
        </w:rPr>
        <w:t>__________________________</w:t>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11, 2020</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4940" w:type="dxa"/>
            <w:vAlign w:val="bottom"/>
          </w:tcPr>
          <w:p>
            <w:pPr>
              <w:jc w:val="right"/>
              <w:ind w:right="958"/>
              <w:spacing w:after="0"/>
              <w:rPr>
                <w:sz w:val="20"/>
                <w:szCs w:val="20"/>
                <w:color w:val="auto"/>
              </w:rPr>
            </w:pPr>
            <w:r>
              <w:rPr>
                <w:rFonts w:ascii="Arial" w:cs="Arial" w:eastAsia="Arial" w:hAnsi="Arial"/>
                <w:sz w:val="18"/>
                <w:szCs w:val="18"/>
                <w:color w:val="auto"/>
              </w:rPr>
              <w:t>________________________________</w:t>
            </w:r>
          </w:p>
        </w:tc>
        <w:tc>
          <w:tcPr>
            <w:tcW w:w="1780" w:type="dxa"/>
            <w:vAlign w:val="bottom"/>
          </w:tcPr>
          <w:p>
            <w:pPr>
              <w:spacing w:after="0"/>
              <w:rPr>
                <w:sz w:val="20"/>
                <w:szCs w:val="20"/>
                <w:color w:val="auto"/>
              </w:rPr>
            </w:pPr>
          </w:p>
        </w:tc>
      </w:tr>
      <w:tr>
        <w:trPr>
          <w:trHeight w:val="403"/>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2160" w:type="dxa"/>
            <w:vAlign w:val="bottom"/>
          </w:tcPr>
          <w:p>
            <w:pPr>
              <w:spacing w:after="0"/>
              <w:rPr>
                <w:sz w:val="24"/>
                <w:szCs w:val="24"/>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4000 Mason Road, Suite 300</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Seattle, WA 98195</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49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(206) 221-8112</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68"/>
        </w:trPr>
        <w:tc>
          <w:tcPr>
            <w:tcW w:w="2160" w:type="dxa"/>
            <w:vAlign w:val="bottom"/>
          </w:tcPr>
          <w:p>
            <w:pPr>
              <w:spacing w:after="0"/>
              <w:rPr>
                <w:sz w:val="23"/>
                <w:szCs w:val="23"/>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3"/>
                <w:szCs w:val="23"/>
                <w:color w:val="auto"/>
              </w:rPr>
            </w:pPr>
          </w:p>
        </w:tc>
      </w:tr>
      <w:tr>
        <w:trPr>
          <w:trHeight w:val="230"/>
        </w:trPr>
        <w:tc>
          <w:tcPr>
            <w:tcW w:w="21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_________________________________</w:t>
            </w:r>
          </w:p>
        </w:tc>
        <w:tc>
          <w:tcPr>
            <w:tcW w:w="1780" w:type="dxa"/>
            <w:vAlign w:val="bottom"/>
          </w:tcPr>
          <w:p>
            <w:pPr>
              <w:spacing w:after="0"/>
              <w:rPr>
                <w:sz w:val="20"/>
                <w:szCs w:val="20"/>
                <w:color w:val="auto"/>
              </w:rPr>
            </w:pPr>
          </w:p>
        </w:tc>
      </w:tr>
    </w:tbl>
    <w:p>
      <w:pPr>
        <w:spacing w:after="0" w:line="1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271" w:lineRule="exact"/>
        <w:rPr>
          <w:sz w:val="24"/>
          <w:szCs w:val="24"/>
          <w:color w:val="auto"/>
        </w:rPr>
      </w:pPr>
    </w:p>
    <w:p>
      <w:pPr>
        <w:ind w:left="13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1" w:lineRule="exact"/>
        <w:rPr>
          <w:sz w:val="24"/>
          <w:szCs w:val="24"/>
          <w:color w:val="auto"/>
        </w:rPr>
      </w:pPr>
    </w:p>
    <w:p>
      <w:pPr>
        <w:sectPr>
          <w:pgSz w:w="11900" w:h="16838" w:orient="portrait"/>
          <w:cols w:equalWidth="0" w:num="3">
            <w:col w:w="4340" w:space="720"/>
            <w:col w:w="2260" w:space="720"/>
            <w:col w:w="3200"/>
          </w:cols>
          <w:pgMar w:left="320" w:top="71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680" w:space="720"/>
            <w:col w:w="2100" w:space="720"/>
            <w:col w:w="3020"/>
          </w:cols>
          <w:pgMar w:left="320" w:top="719" w:right="339" w:bottom="1440" w:gutter="0" w:footer="0" w:header="0"/>
          <w:type w:val="continuous"/>
        </w:sectPr>
      </w:pPr>
    </w:p>
    <w:p>
      <w:pPr>
        <w:spacing w:after="0" w:line="7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120"/>
        <w:spacing w:after="0" w:line="241" w:lineRule="exact"/>
        <w:tabs>
          <w:tab w:leader="none" w:pos="2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-107315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7"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firstLine="790"/>
        <w:spacing w:after="0" w:line="259" w:lineRule="auto"/>
        <w:rPr>
          <w:sz w:val="20"/>
          <w:szCs w:val="20"/>
          <w:color w:val="auto"/>
        </w:rPr>
      </w:pPr>
      <w:r>
        <w:rPr>
          <w:rFonts w:ascii="Arial" w:cs="Arial" w:eastAsia="Arial" w:hAnsi="Arial"/>
          <w:sz w:val="18"/>
          <w:szCs w:val="18"/>
          <w:color w:val="auto"/>
        </w:rPr>
        <w:t>On December 11, 2020 the board of directors of Athira Pharma, Inc. (the “Company”), upon recommendation from the nominating and corporate governance committee of the Company’s board of directors, voted to appoint Kelly A. Romano as a director of the Company, effective immediately. Ms. Romano was appointed as a Class III director with a term expiring at the Company’s 2023 annual meeting of stockholders. Ms. Romano was also appointed to the audit committee of the Company’s board of directors.</w:t>
      </w:r>
    </w:p>
    <w:p>
      <w:pPr>
        <w:spacing w:after="0" w:line="187" w:lineRule="exact"/>
        <w:rPr>
          <w:sz w:val="20"/>
          <w:szCs w:val="20"/>
          <w:color w:val="auto"/>
        </w:rPr>
      </w:pPr>
    </w:p>
    <w:p>
      <w:pPr>
        <w:jc w:val="both"/>
        <w:ind w:right="120" w:firstLine="790"/>
        <w:spacing w:after="0" w:line="263" w:lineRule="auto"/>
        <w:rPr>
          <w:sz w:val="20"/>
          <w:szCs w:val="20"/>
          <w:color w:val="auto"/>
        </w:rPr>
      </w:pPr>
      <w:r>
        <w:rPr>
          <w:rFonts w:ascii="Arial" w:cs="Arial" w:eastAsia="Arial" w:hAnsi="Arial"/>
          <w:sz w:val="18"/>
          <w:szCs w:val="18"/>
          <w:color w:val="auto"/>
        </w:rPr>
        <w:t>There are no transactions and no proposed transactions between Ms. Romano or any member of her immediate family and the Company or any of its subsidiaries, and there is no arrangement or understanding between Ms. Romano and any other person or entity pursuant to which Ms. Romano was appointed as a director of the Company.</w:t>
      </w:r>
    </w:p>
    <w:p>
      <w:pPr>
        <w:spacing w:after="0" w:line="184" w:lineRule="exact"/>
        <w:rPr>
          <w:sz w:val="20"/>
          <w:szCs w:val="20"/>
          <w:color w:val="auto"/>
        </w:rPr>
      </w:pPr>
    </w:p>
    <w:p>
      <w:pPr>
        <w:ind w:firstLine="790"/>
        <w:spacing w:after="0" w:line="275" w:lineRule="auto"/>
        <w:rPr>
          <w:sz w:val="20"/>
          <w:szCs w:val="20"/>
          <w:color w:val="auto"/>
        </w:rPr>
      </w:pPr>
      <w:r>
        <w:rPr>
          <w:rFonts w:ascii="Arial" w:cs="Arial" w:eastAsia="Arial" w:hAnsi="Arial"/>
          <w:sz w:val="17"/>
          <w:szCs w:val="17"/>
          <w:color w:val="auto"/>
        </w:rPr>
        <w:t>Ms. Romano will enter into the Company’s standard form of indemnification agreement for directors and executive officers and participate in the Company’s standard compensation plan for non-employee directors, including an initial stock option grant, which was granted to Ms. Romano effective as of December 11, 2020. The terms of the standard compensation plan for non-employee directors are described in the section titled “Management — Director Compensation” and included as Exhibit 10.12 to the Company’s registration statement on Form S-1 (File No. 333-248428), initially filed with the Securities and Exchange Commission on August 26, 2020, as amended through September 17, 2020.</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press release announcing Ms. Romano’s appointment to the board of directors is attached hereto as Exhibit 99.1 and is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5846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Athira Pharma, Inc. press release dated December 14,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Athira Pharma, Inc.</w:t>
      </w:r>
    </w:p>
    <w:p>
      <w:pPr>
        <w:spacing w:after="0" w:line="364" w:lineRule="exact"/>
        <w:rPr>
          <w:sz w:val="20"/>
          <w:szCs w:val="20"/>
          <w:color w:val="auto"/>
        </w:rPr>
      </w:pPr>
    </w:p>
    <w:p>
      <w:pPr>
        <w:ind w:left="180"/>
        <w:spacing w:after="0"/>
        <w:tabs>
          <w:tab w:leader="none" w:pos="5460" w:val="left"/>
        </w:tabs>
        <w:rPr>
          <w:sz w:val="20"/>
          <w:szCs w:val="20"/>
          <w:color w:val="auto"/>
        </w:rPr>
      </w:pPr>
      <w:r>
        <w:rPr>
          <w:rFonts w:ascii="Arial" w:cs="Arial" w:eastAsia="Arial" w:hAnsi="Arial"/>
          <w:sz w:val="18"/>
          <w:szCs w:val="18"/>
          <w:color w:val="auto"/>
        </w:rPr>
        <w:t>Date: December 14, 2020</w:t>
      </w:r>
      <w:r>
        <w:rPr>
          <w:sz w:val="20"/>
          <w:szCs w:val="20"/>
          <w:color w:val="auto"/>
        </w:rPr>
        <w:tab/>
      </w:r>
      <w:r>
        <w:rPr>
          <w:rFonts w:ascii="Arial" w:cs="Arial" w:eastAsia="Arial" w:hAnsi="Arial"/>
          <w:sz w:val="16"/>
          <w:szCs w:val="16"/>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31750</wp:posOffset>
            </wp:positionV>
            <wp:extent cx="2202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Leen Kawas</w:t>
      </w:r>
    </w:p>
    <w:p>
      <w:pPr>
        <w:spacing w:after="0" w:line="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769"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13970</wp:posOffset>
            </wp:positionV>
            <wp:extent cx="1722755" cy="848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Announces Appointment of Kelly A. Romano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its Board of Directors</w:t>
      </w:r>
    </w:p>
    <w:p>
      <w:pPr>
        <w:spacing w:after="0" w:line="22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 xml:space="preserve">SEATTLE, Dec. 14,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Athira Pharma,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ATHA), a late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stop neurodegeneration, today announced the appointment of Kelly A. Romano to its Board of Directors. Ms. Romano is the Founder and Chief Executive Officer of BlueRipple Capital, LLC, a consultancy firm for global technology companies.</w:t>
      </w:r>
    </w:p>
    <w:p>
      <w:pPr>
        <w:spacing w:after="0" w:line="20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we expanded our Board, we sought a candidate who would help us best serve shareholders as we work towards making new treatments available for patients through the continued advancement of our Phase 2/3 clinical studies for ATH-1017 in Alzheimer’s disease,” said Leen Kawas, Ph.D., President and Chief Executive Officer at Athira. “Kelly has a track record of operational success and an aptitude for understanding growing companies as we continue to drive the business forward.”</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Ms. Romano brings over 30 years of executive operating experience in technology, with a background in commercial buildings and aerospace. In addition to her role at BlueRipple Capital, LLC, Ms. Romano is an Operating Partner at AE Industrial Partners.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w:t>
      </w:r>
    </w:p>
    <w:p>
      <w:pPr>
        <w:spacing w:after="0" w:line="182" w:lineRule="exact"/>
        <w:rPr>
          <w:sz w:val="20"/>
          <w:szCs w:val="20"/>
          <w:color w:val="auto"/>
        </w:rPr>
      </w:pPr>
    </w:p>
    <w:p>
      <w:pPr>
        <w:ind w:right="600"/>
        <w:spacing w:after="0" w:line="269" w:lineRule="auto"/>
        <w:rPr>
          <w:sz w:val="20"/>
          <w:szCs w:val="20"/>
          <w:color w:val="auto"/>
        </w:rPr>
      </w:pPr>
      <w:r>
        <w:rPr>
          <w:rFonts w:ascii="Arial" w:cs="Arial" w:eastAsia="Arial" w:hAnsi="Arial"/>
          <w:sz w:val="19"/>
          <w:szCs w:val="19"/>
          <w:color w:val="auto"/>
        </w:rPr>
        <w:t>Ms. Romano commented, “I am honored to be joining Athira’s Board to leverage my experience with business and technology as the company recruits for its ongoing clinical trials of ATH-1017. I strongly support Athira’s critical mission to develop therapies that have potential to benefit patients with neurodegenerative disease, a space where treatment options are limited."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ATH-1017</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ATH-1017 is a small molecule therapeutic specifically designed to enhance the activity of Hepatocyte Growth Factor (HGF) and its receptor, MET, which are expressed in normal central nervous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right="80"/>
        <w:spacing w:after="0" w:line="316" w:lineRule="auto"/>
        <w:rPr>
          <w:sz w:val="20"/>
          <w:szCs w:val="20"/>
          <w:color w:val="auto"/>
        </w:rPr>
      </w:pPr>
      <w:r>
        <w:rPr>
          <w:rFonts w:ascii="Arial" w:cs="Arial" w:eastAsia="Arial" w:hAnsi="Arial"/>
          <w:sz w:val="16"/>
          <w:szCs w:val="16"/>
          <w:color w:val="auto"/>
        </w:rPr>
        <w:t>function, in order to impact neurodegeneration and regenerate brain tissue. In addition to Alzheimer’s disease, ATH-1017 is designed to address the broader dementia population, including Parkinson’s disease dementia. Athira’s completed Phase 1a/b clinical trials of ATH-1017 for the treatment of Alzheimer's disease established that the treatment was generally well tolerated at all tested doses. Measures evaluating brain function with quantitative electroencephalogram (qEEG) also produced a strong suite of translational data. Additionally, a statistically significant improvement in Event-Related Potential (ERP) P300 latency, an objective measure of working memory processing speed, was noted in patients with Alzheimer’s disease following multiple dose treatments with ATH-1017 compared with those receiving placebo.</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2" w:lineRule="exact"/>
        <w:rPr>
          <w:sz w:val="20"/>
          <w:szCs w:val="20"/>
          <w:color w:val="auto"/>
        </w:rPr>
      </w:pPr>
    </w:p>
    <w:p>
      <w:pPr>
        <w:ind w:right="280"/>
        <w:spacing w:after="0" w:line="256" w:lineRule="auto"/>
        <w:rPr>
          <w:sz w:val="20"/>
          <w:szCs w:val="20"/>
          <w:color w:val="auto"/>
        </w:rPr>
      </w:pPr>
      <w:r>
        <w:rPr>
          <w:rFonts w:ascii="Arial" w:cs="Arial" w:eastAsia="Arial" w:hAnsi="Arial"/>
          <w:sz w:val="19"/>
          <w:szCs w:val="19"/>
          <w:color w:val="auto"/>
        </w:rPr>
        <w:t xml:space="preserve">Athira, headquartered in Seattle,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disease and Parkinson’s disease dementia. For more information, visit </w:t>
      </w:r>
      <w:r>
        <w:rPr>
          <w:rFonts w:ascii="Arial" w:cs="Arial" w:eastAsia="Arial" w:hAnsi="Arial"/>
          <w:sz w:val="19"/>
          <w:szCs w:val="19"/>
          <w:u w:val="single" w:color="auto"/>
          <w:color w:val="auto"/>
        </w:rPr>
        <w:t>www.athira.com.</w:t>
      </w:r>
      <w:r>
        <w:rPr>
          <w:rFonts w:ascii="Arial" w:cs="Arial" w:eastAsia="Arial" w:hAnsi="Arial"/>
          <w:sz w:val="19"/>
          <w:szCs w:val="19"/>
          <w:color w:val="auto"/>
        </w:rPr>
        <w:t xml:space="preserve"> You can also follow Athira on </w:t>
      </w:r>
      <w:r>
        <w:rPr>
          <w:rFonts w:ascii="Arial" w:cs="Arial" w:eastAsia="Arial" w:hAnsi="Arial"/>
          <w:sz w:val="19"/>
          <w:szCs w:val="19"/>
          <w:u w:val="single" w:color="auto"/>
          <w:color w:val="auto"/>
        </w:rPr>
        <w:t>Facebook</w:t>
      </w:r>
      <w:r>
        <w:rPr>
          <w:rFonts w:ascii="Arial" w:cs="Arial" w:eastAsia="Arial" w:hAnsi="Arial"/>
          <w:sz w:val="19"/>
          <w:szCs w:val="19"/>
          <w:color w:val="auto"/>
        </w:rPr>
        <w:t xml:space="preserve">, </w:t>
      </w:r>
      <w:r>
        <w:rPr>
          <w:rFonts w:ascii="Arial" w:cs="Arial" w:eastAsia="Arial" w:hAnsi="Arial"/>
          <w:sz w:val="19"/>
          <w:szCs w:val="19"/>
          <w:u w:val="single" w:color="auto"/>
          <w:color w:val="auto"/>
        </w:rPr>
        <w:t>LinkedIn</w:t>
      </w:r>
      <w:r>
        <w:rPr>
          <w:rFonts w:ascii="Arial" w:cs="Arial" w:eastAsia="Arial" w:hAnsi="Arial"/>
          <w:sz w:val="19"/>
          <w:szCs w:val="19"/>
          <w:color w:val="auto"/>
        </w:rPr>
        <w:t xml:space="preserve"> and @athirapharma on </w:t>
      </w:r>
      <w:r>
        <w:rPr>
          <w:rFonts w:ascii="Arial" w:cs="Arial" w:eastAsia="Arial" w:hAnsi="Arial"/>
          <w:sz w:val="19"/>
          <w:szCs w:val="19"/>
          <w:u w:val="single" w:color="auto"/>
          <w:color w:val="auto"/>
        </w:rPr>
        <w:t>Twitter</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Instagram</w:t>
      </w:r>
      <w:r>
        <w:rPr>
          <w:rFonts w:ascii="Arial" w:cs="Arial" w:eastAsia="Arial" w:hAnsi="Arial"/>
          <w:sz w:val="19"/>
          <w:szCs w:val="19"/>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future development plans; clinical and regulatory objectives and the timing thereof; expectations regarding the potential efficacy and commercial potential of Athira’s product candidates, including ATH-1017; the results of Athira’s research and development efforts and Athira’s ability to advance its product candidates into later stages of development. Forward-looking statements generally include statements that are predictive in nature and depend upon or refer to future events or conditions, and include words and phrases such as “work towards,” “continue to,” “would,” "may," "will," "should," "expect," "plan," "believe," "intend," "pursue,"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as well as the other risks detailed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9"/>
          <w:szCs w:val="19"/>
          <w:color w:val="auto"/>
        </w:rPr>
        <w:t>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rPr>
          <w:sz w:val="20"/>
          <w:szCs w:val="20"/>
          <w:color w:val="auto"/>
        </w:rPr>
      </w:pPr>
      <w:r>
        <w:rPr>
          <w:rFonts w:ascii="Arial" w:cs="Arial" w:eastAsia="Arial" w:hAnsi="Arial"/>
          <w:sz w:val="20"/>
          <w:szCs w:val="20"/>
          <w:u w:val="single" w:color="auto"/>
          <w:color w:val="auto"/>
        </w:rPr>
        <w:t>Julie.rathbun@athira.com</w:t>
      </w:r>
    </w:p>
    <w:p>
      <w:pPr>
        <w:spacing w:after="0"/>
        <w:rPr>
          <w:sz w:val="20"/>
          <w:szCs w:val="20"/>
          <w:color w:val="auto"/>
        </w:rPr>
      </w:pPr>
      <w:r>
        <w:rPr>
          <w:rFonts w:ascii="Arial" w:cs="Arial" w:eastAsia="Arial" w:hAnsi="Arial"/>
          <w:sz w:val="20"/>
          <w:szCs w:val="20"/>
          <w:color w:val="auto"/>
        </w:rPr>
        <w:t>206-769-9219</w:t>
      </w:r>
    </w:p>
    <w:sectPr>
      <w:pgSz w:w="11900" w:h="16838" w:orient="portrait"/>
      <w:cols w:equalWidth="0" w:num="1">
        <w:col w:w="11180"/>
      </w:cols>
      <w:pgMar w:left="32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2020-12-14T06:36:14Z</dcterms:created>
  <dcterms:modified xsi:type="dcterms:W3CDTF">2020-12-14T06:36:14Z</dcterms:modified>
</cp:coreProperties>
</file>