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6" w:lineRule="exact"/>
        <w:rPr>
          <w:sz w:val="24"/>
          <w:szCs w:val="24"/>
          <w:color w:val="auto"/>
        </w:rPr>
      </w:pPr>
    </w:p>
    <w:p>
      <w:pPr>
        <w:ind w:left="3920" w:right="2760" w:hanging="3899"/>
        <w:spacing w:after="0" w:line="303"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5"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ectPr>
          <w:pgSz w:w="11900" w:h="16838" w:orient="portrait"/>
          <w:cols w:equalWidth="0" w:num="1">
            <w:col w:w="11240"/>
          </w:cols>
          <w:pgMar w:left="320" w:top="312"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Delaware</w:t>
      </w:r>
    </w:p>
    <w:p>
      <w:pPr>
        <w:spacing w:after="0" w:line="21"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45-3368487</w:t>
      </w:r>
    </w:p>
    <w:p>
      <w:pPr>
        <w:spacing w:after="0" w:line="33"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0" w:lineRule="exact"/>
        <w:rPr>
          <w:sz w:val="24"/>
          <w:szCs w:val="24"/>
          <w:color w:val="auto"/>
        </w:rPr>
      </w:pPr>
    </w:p>
    <w:p>
      <w:pPr>
        <w:sectPr>
          <w:pgSz w:w="11900" w:h="16838" w:orient="portrait"/>
          <w:cols w:equalWidth="0" w:num="2">
            <w:col w:w="7600" w:space="300"/>
            <w:col w:w="3340"/>
          </w:cols>
          <w:pgMar w:left="320" w:top="312" w:right="339" w:bottom="1440" w:gutter="0" w:footer="0" w:header="0"/>
          <w:type w:val="continuous"/>
        </w:sectPr>
      </w:pPr>
    </w:p>
    <w:p>
      <w:pPr>
        <w:ind w:left="4320"/>
        <w:spacing w:after="0"/>
        <w:rPr>
          <w:sz w:val="20"/>
          <w:szCs w:val="20"/>
          <w:color w:val="auto"/>
        </w:rPr>
      </w:pPr>
      <w:r>
        <w:rPr>
          <w:rFonts w:ascii="Arial" w:cs="Arial" w:eastAsia="Arial" w:hAnsi="Arial"/>
          <w:sz w:val="14"/>
          <w:szCs w:val="14"/>
          <w:b w:val="1"/>
          <w:bCs w:val="1"/>
          <w:color w:val="auto"/>
        </w:rPr>
        <w:t>18706 North Creek Parkway, Suite 104</w:t>
      </w:r>
    </w:p>
    <w:p>
      <w:pPr>
        <w:spacing w:after="0" w:line="29"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Bothell, Washington 98011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(425) 620-8501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Trading</w:t>
            </w:r>
          </w:p>
        </w:tc>
        <w:tc>
          <w:tcPr>
            <w:tcW w:w="100" w:type="dxa"/>
            <w:vAlign w:val="bottom"/>
          </w:tcPr>
          <w:p>
            <w:pPr>
              <w:spacing w:after="0"/>
              <w:rPr>
                <w:sz w:val="13"/>
                <w:szCs w:val="13"/>
                <w:color w:val="auto"/>
              </w:rPr>
            </w:pPr>
          </w:p>
        </w:tc>
        <w:tc>
          <w:tcPr>
            <w:tcW w:w="4380" w:type="dxa"/>
            <w:vAlign w:val="bottom"/>
          </w:tcPr>
          <w:p>
            <w:pPr>
              <w:spacing w:after="0"/>
              <w:rPr>
                <w:sz w:val="13"/>
                <w:szCs w:val="13"/>
                <w:color w:val="auto"/>
              </w:rPr>
            </w:pPr>
          </w:p>
        </w:tc>
      </w:tr>
      <w:tr>
        <w:trPr>
          <w:trHeight w:val="17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55"/>
        </w:trPr>
        <w:tc>
          <w:tcPr>
            <w:tcW w:w="4400" w:type="dxa"/>
            <w:vAlign w:val="bottom"/>
          </w:tcPr>
          <w:p>
            <w:pPr>
              <w:jc w:val="center"/>
              <w:spacing w:after="0"/>
              <w:rPr>
                <w:sz w:val="20"/>
                <w:szCs w:val="20"/>
                <w:color w:val="auto"/>
              </w:rPr>
            </w:pPr>
            <w:r>
              <w:rPr>
                <w:rFonts w:ascii="Arial" w:cs="Arial" w:eastAsia="Arial" w:hAnsi="Arial"/>
                <w:sz w:val="13"/>
                <w:szCs w:val="13"/>
                <w:color w:val="auto"/>
              </w:rPr>
              <w:t>Common Stock, $0.0001 par value per share</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rPr>
              <w:t>ATHA</w:t>
            </w:r>
          </w:p>
        </w:tc>
        <w:tc>
          <w:tcPr>
            <w:tcW w:w="100" w:type="dxa"/>
            <w:vAlign w:val="bottom"/>
          </w:tcPr>
          <w:p>
            <w:pPr>
              <w:spacing w:after="0"/>
              <w:rPr>
                <w:sz w:val="13"/>
                <w:szCs w:val="13"/>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Stock Market LLC</w:t>
            </w:r>
          </w:p>
        </w:tc>
      </w:tr>
      <w:tr>
        <w:trPr>
          <w:trHeight w:val="162"/>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jc w:val="center"/>
              <w:spacing w:after="0"/>
              <w:rPr>
                <w:sz w:val="20"/>
                <w:szCs w:val="20"/>
                <w:color w:val="auto"/>
              </w:rPr>
            </w:pPr>
            <w:r>
              <w:rPr>
                <w:rFonts w:ascii="Arial" w:cs="Arial" w:eastAsia="Arial" w:hAnsi="Arial"/>
                <w:sz w:val="13"/>
                <w:szCs w:val="13"/>
                <w:color w:val="auto"/>
              </w:rPr>
              <w:t>(The Nasdaq Global Select Market)</w:t>
            </w:r>
          </w:p>
        </w:tc>
      </w:tr>
      <w:tr>
        <w:trPr>
          <w:trHeight w:val="229"/>
        </w:trPr>
        <w:tc>
          <w:tcPr>
            <w:tcW w:w="440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r>
    </w:tbl>
    <w:p>
      <w:pPr>
        <w:spacing w:after="0" w:line="32" w:lineRule="exact"/>
        <w:rPr>
          <w:sz w:val="24"/>
          <w:szCs w:val="24"/>
          <w:color w:val="auto"/>
        </w:rPr>
      </w:pPr>
    </w:p>
    <w:p>
      <w:pPr>
        <w:ind w:right="334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0"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4"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1" w:lineRule="exact"/>
        <w:rPr>
          <w:sz w:val="24"/>
          <w:szCs w:val="24"/>
          <w:color w:val="auto"/>
        </w:rPr>
      </w:pPr>
    </w:p>
    <w:p>
      <w:pPr>
        <w:jc w:val="both"/>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29"/>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ind w:left="298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338"/>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2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94"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54"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4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90" w:lineRule="exact"/>
        <w:rPr>
          <w:sz w:val="24"/>
          <w:szCs w:val="24"/>
          <w:color w:val="auto"/>
        </w:rPr>
      </w:pPr>
    </w:p>
    <w:p>
      <w:pPr>
        <w:jc w:val="both"/>
        <w:spacing w:after="0" w:line="245"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shares of common stock on June 30, 2022 (the last business day of the registrant’s most recently completed second fiscal quarter) as reported by The Nasdaq Stock Market LLC on such date was approximately $99.0 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20, 2023 was 37,944,190.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36" w:lineRule="exact"/>
        <w:rPr>
          <w:sz w:val="24"/>
          <w:szCs w:val="24"/>
          <w:color w:val="auto"/>
        </w:rPr>
      </w:pPr>
    </w:p>
    <w:p>
      <w:pPr>
        <w:jc w:val="both"/>
        <w:spacing w:after="0" w:line="248" w:lineRule="auto"/>
        <w:rPr>
          <w:sz w:val="20"/>
          <w:szCs w:val="20"/>
          <w:color w:val="auto"/>
        </w:rPr>
      </w:pPr>
      <w:r>
        <w:rPr>
          <w:rFonts w:ascii="Arial" w:cs="Arial" w:eastAsia="Arial" w:hAnsi="Arial"/>
          <w:sz w:val="13"/>
          <w:szCs w:val="13"/>
          <w:color w:val="auto"/>
        </w:rPr>
        <w:t>Portions of the definitive proxy statement to be delivered to stockholders in connection with the 2023 annual meeting of stockholders are incorporated by reference into Part III of this Annual Report on Form 10-K. Such proxy statement will be filed with the Securities and Exchange Commission not later than 120 days following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gridSpan w:val="10"/>
          </w:tcPr>
          <w:p>
            <w:pPr>
              <w:ind w:left="5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78"/>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83"/>
        </w:trPr>
        <w:tc>
          <w:tcPr>
            <w:tcW w:w="58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b w:val="1"/>
                <w:bCs w:val="1"/>
                <w:color w:val="0000FF"/>
                <w:w w:val="94"/>
              </w:rPr>
              <w:t>PART I</w:t>
            </w:r>
          </w:p>
        </w:tc>
        <w:tc>
          <w:tcPr>
            <w:tcW w:w="56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3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1B.</w:t>
            </w:r>
          </w:p>
        </w:tc>
        <w:tc>
          <w:tcPr>
            <w:tcW w:w="930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FF"/>
                <w:w w:val="97"/>
              </w:rPr>
              <w:t>Properties</w:t>
            </w:r>
          </w:p>
        </w:tc>
        <w:tc>
          <w:tcPr>
            <w:tcW w:w="1420" w:type="dxa"/>
            <w:vAlign w:val="bottom"/>
            <w:tcBorders>
              <w:top w:val="single" w:sz="8" w:color="0000EE"/>
            </w:tcBorders>
            <w:gridSpan w:val="8"/>
          </w:tcPr>
          <w:p>
            <w:pPr>
              <w:spacing w:after="0"/>
              <w:rPr>
                <w:sz w:val="18"/>
                <w:szCs w:val="18"/>
                <w:color w:val="auto"/>
              </w:rPr>
            </w:pPr>
          </w:p>
        </w:tc>
        <w:tc>
          <w:tcPr>
            <w:tcW w:w="70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3.</w:t>
            </w:r>
          </w:p>
        </w:tc>
        <w:tc>
          <w:tcPr>
            <w:tcW w:w="930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4.</w:t>
            </w:r>
          </w:p>
        </w:tc>
        <w:tc>
          <w:tcPr>
            <w:tcW w:w="930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39"/>
        </w:trPr>
        <w:tc>
          <w:tcPr>
            <w:tcW w:w="114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0000EE"/>
            </w:tcBorders>
            <w:gridSpan w:val="21"/>
          </w:tcPr>
          <w:p>
            <w:pPr>
              <w:spacing w:after="0"/>
              <w:rPr>
                <w:sz w:val="20"/>
                <w:szCs w:val="20"/>
                <w:color w:val="auto"/>
              </w:rPr>
            </w:pPr>
            <w:r>
              <w:rPr>
                <w:rFonts w:ascii="Arial" w:cs="Arial" w:eastAsia="Arial" w:hAnsi="Arial"/>
                <w:sz w:val="18"/>
                <w:szCs w:val="18"/>
                <w:color w:val="0000FF"/>
              </w:rPr>
              <w:t>[Reserved]</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7A.</w:t>
            </w:r>
          </w:p>
        </w:tc>
        <w:tc>
          <w:tcPr>
            <w:tcW w:w="930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EE"/>
            </w:tcBorders>
            <w:gridSpan w:val="2"/>
          </w:tcPr>
          <w:p>
            <w:pPr>
              <w:spacing w:after="0"/>
              <w:rPr>
                <w:sz w:val="18"/>
                <w:szCs w:val="18"/>
                <w:color w:val="auto"/>
              </w:rPr>
            </w:pPr>
          </w:p>
        </w:tc>
        <w:tc>
          <w:tcPr>
            <w:tcW w:w="46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w:t>
            </w:r>
          </w:p>
        </w:tc>
        <w:tc>
          <w:tcPr>
            <w:tcW w:w="930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Controls and Procedures</w:t>
            </w:r>
          </w:p>
        </w:tc>
        <w:tc>
          <w:tcPr>
            <w:tcW w:w="21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EE"/>
            </w:tcBorders>
            <w:gridSpan w:val="4"/>
          </w:tcPr>
          <w:p>
            <w:pPr>
              <w:spacing w:after="0"/>
              <w:rPr>
                <w:sz w:val="18"/>
                <w:szCs w:val="18"/>
                <w:color w:val="auto"/>
              </w:rPr>
            </w:pPr>
          </w:p>
        </w:tc>
        <w:tc>
          <w:tcPr>
            <w:tcW w:w="73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9C.</w:t>
            </w:r>
          </w:p>
        </w:tc>
        <w:tc>
          <w:tcPr>
            <w:tcW w:w="930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439"/>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FF"/>
                <w:w w:val="95"/>
              </w:rPr>
              <w:t>PART III</w:t>
            </w:r>
          </w:p>
        </w:tc>
        <w:tc>
          <w:tcPr>
            <w:tcW w:w="460" w:type="dxa"/>
            <w:vAlign w:val="bottom"/>
            <w:gridSpan w:val="2"/>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8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11.</w:t>
            </w:r>
          </w:p>
        </w:tc>
        <w:tc>
          <w:tcPr>
            <w:tcW w:w="930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12.</w:t>
            </w:r>
          </w:p>
        </w:tc>
        <w:tc>
          <w:tcPr>
            <w:tcW w:w="930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3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FF"/>
              </w:rPr>
              <w:t>Principal Accounting Fees and Services</w:t>
            </w:r>
          </w:p>
        </w:tc>
        <w:tc>
          <w:tcPr>
            <w:tcW w:w="32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439"/>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FF"/>
                <w:w w:val="95"/>
              </w:rPr>
              <w:t>PART IV</w:t>
            </w:r>
          </w:p>
        </w:tc>
        <w:tc>
          <w:tcPr>
            <w:tcW w:w="4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15.</w:t>
            </w:r>
          </w:p>
        </w:tc>
        <w:tc>
          <w:tcPr>
            <w:tcW w:w="9300" w:type="dxa"/>
            <w:vAlign w:val="bottom"/>
            <w:gridSpan w:val="22"/>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09"/>
        </w:trPr>
        <w:tc>
          <w:tcPr>
            <w:tcW w:w="1140" w:type="dxa"/>
            <w:vAlign w:val="bottom"/>
            <w:gridSpan w:val="5"/>
          </w:tcPr>
          <w:p>
            <w:pPr>
              <w:ind w:left="120"/>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FF"/>
              </w:rPr>
              <w:t>Form 10-K Summary</w:t>
            </w:r>
          </w:p>
        </w:tc>
        <w:tc>
          <w:tcPr>
            <w:tcW w:w="610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fosgonimeton may never lead to a marketable product.</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and peripheral nervous system degenerative disorders, a field that has seen very limited success in product development.</w:t>
      </w:r>
    </w:p>
    <w:p>
      <w:pPr>
        <w:spacing w:after="0" w:line="88" w:lineRule="exact"/>
        <w:rPr>
          <w:rFonts w:ascii="Arial" w:cs="Arial" w:eastAsia="Arial" w:hAnsi="Arial"/>
          <w:sz w:val="18"/>
          <w:szCs w:val="18"/>
          <w:color w:val="auto"/>
        </w:rPr>
      </w:pPr>
    </w:p>
    <w:p>
      <w:pPr>
        <w:jc w:val="both"/>
        <w:ind w:left="1020" w:hanging="503"/>
        <w:spacing w:after="0" w:line="23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99"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94"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spacing w:after="0" w:line="9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or retention of patients in clinical trials, our regulatory submissions or receipt of necessary marketing approvals could be delayed or prevented.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could significantly harm our business, results of operations and competitive position.</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ind w:left="1020" w:right="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and potential effects of the novel coronavirus disease, or COVID-19, pandemic or other disease outbreaks could adversely impact our business, including our nonclinical studies and clinical trials.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94"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96" w:lineRule="exact"/>
        <w:rPr>
          <w:rFonts w:ascii="Arial" w:cs="Arial" w:eastAsia="Arial" w:hAnsi="Arial"/>
          <w:sz w:val="18"/>
          <w:szCs w:val="18"/>
          <w:color w:val="auto"/>
        </w:rPr>
      </w:pPr>
    </w:p>
    <w:p>
      <w:pPr>
        <w:jc w:val="both"/>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p>
    <w:p>
      <w:pPr>
        <w:spacing w:after="0" w:line="94" w:lineRule="exact"/>
        <w:rPr>
          <w:rFonts w:ascii="Arial" w:cs="Arial" w:eastAsia="Arial" w:hAnsi="Arial"/>
          <w:sz w:val="18"/>
          <w:szCs w:val="18"/>
          <w:color w:val="auto"/>
        </w:rPr>
      </w:pPr>
    </w:p>
    <w:p>
      <w:pPr>
        <w:jc w:val="both"/>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which could result in substantial losses for investors.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certain of our directors and executive officers have been, and may in the future be, named as defendants in lawsuits that could result in substantial costs and divert management’s attention.</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by activist stockholders have in the past been, and may in the future be, disruptive and could cause uncertainty about the strategic direction of our business.</w:t>
      </w:r>
    </w:p>
    <w:p>
      <w:pPr>
        <w:spacing w:after="0" w:line="237"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some cases, you can identify forward-looking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97"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learnings from our ACT-AD trial and LIFT-AD independent unblinded interim efficacy and futility analysis and their ability to inform and improve future clinical development plans;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of LIFT-AD to show clinical benefits of fosgonimeton following the September 2022 protocol amendment;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or warnings in the label of any approved product candidate;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capacity and capability relating to the further development and manufacturing of our product candidates, including additional indications for which we may pursue regulatory approval;</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 Item 3 — "Legal Proceedings,” and elsewhere in this report;</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by activist stockholders, which have in the past been, and may in the future be, disruptive and could cause uncertainty about the strategic direction of our business;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02"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report, “we,” “our,” “us,” “Athira,” and “the Company” refer to Athira Pharma, Inc and its wholly-owned subsidiary.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 Athira, our scientific philosophy is rooted in the need for a healthy neuronal network to help build, restore, and maintain connections. Loss of neuronal network connections can be an underlying cause for numerous neurological diseases, which in turn may result in the loss of personal connections for people afflicted by these diseases. Our mission is to restore these neuronal networks and, in turn, personal connections by advancing bold therapies for neuronal health, thoughtfully and urgently.</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engineered to restore neuronal health and slow neurodegeneration. Our approach is designed to target the hepatocyte growth factor (HGF), and its receptor, MET neurotrophic system, or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Over time, the body’s innate ability to heal itself deteriorates due to a variety of factors associated with the normal aging process and other internal and external factors leading to various injuries and insults at the cellular and molecular level. In the case of neurodegenerative diseases, where neuronal networks may be damaged due to inflammation, oxidative stress, protein pathologies, excitotoxicity, or synaptic dysfunction, HGF/MET is often reduced, thereby limiting the body’s ability to protect and repair neurodegeneration. Hallmarks of neurodegeneration include neuronal damage, loss of network connectivity, loss of function and, ultimately, disease progression.</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Scientific evidence supporting the HGF/MET system as a naturally occurring repair mechanism is backed by over 30 years of research, which includes establishing its multimodal mechanism of action and critical role to healthy nervous system functioning. As a notable example, MET is one of the most stably expressed genes in the adult human brain and is a signature of a healthy, viable nervous system. In Alzheimer’s disease, or AD, neuronal MET expression is reduced in the brains of patients by approximately 25% and 75% in the frontal cortex and hippocampus, respectively. And although evidence supports HGF/MET as an attractive target with its multimodal mechanism of action for combating neurodegenerative diseases, it has proven a difficult drug target. There are approved and in-development gene therapy approaches to increase HGF expression beyond normal physiological levels, but these are limited primarily due to challenges with delivery. Athira has chosen a different path. Athira’s novel approach is to enhance the innate levels of HGF/MET through our proprietary small molecules.</w:t>
      </w:r>
    </w:p>
    <w:p>
      <w:pPr>
        <w:spacing w:after="0" w:line="20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developed and tested preclinically a series of potential novel small molecule drug candidates, of which two candidates are in clinical phase, that we believe show promising evidence in modulating or enhancing the HGF/MET system and its neuroprotective, neurotrophic, and anti-inflammatory effects. Our pipeline consists of both BBB permeable and peripherally restricted drug candidates for CNS, PNS and other indications. Today, our most advanced asset is fosgonimeton (formerly known as ATH-1017), which is currently being investigated in a Phase 2/3 clinical trial for mild-to-moderate AD, and a Phase 2 clinical trial for Parkinson’s disease dementia and dementia with Lewy bodies. We are also advancing potential drug candidates for neuropathic pain, amyotrophic lateral sclerosis, or ALS, and other neurodegenerative diseases. Our neuropathic pain drug candidate, ATH-1020, completed a Phase 1 single ascending dose evaluation in healthy volunteers. For ALS, we expect to complete our investigational new drug, or IND, enabling studies with ATH-1105 in 2023, and initiate a Phase 1 clinical trial in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Figure 1 below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280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Fosgonimeton (ATH-1017)</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lead candidate, fosgonimeton, is a subcutaneously administered, small molecule positive modulator of the HGF/MET system for CNS disorders.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Alzheimer’s Disease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effects of fosgonimeton in its primary target indication AD are currently being evaluated in Phase 2/3 clinical trials:</w:t>
      </w:r>
    </w:p>
    <w:p>
      <w:pPr>
        <w:spacing w:after="0" w:line="212" w:lineRule="exact"/>
        <w:rPr>
          <w:sz w:val="20"/>
          <w:szCs w:val="20"/>
          <w:color w:val="auto"/>
        </w:rPr>
      </w:pPr>
    </w:p>
    <w:p>
      <w:pPr>
        <w:jc w:val="both"/>
        <w:ind w:left="760" w:hanging="378"/>
        <w:spacing w:after="0" w:line="23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vitro studies in primary neuron cultures with fosgonimeton active metabolite, or fosgo-AM, showed enhanced synaptogenesis and neurite outgrowth, supporting the neurotrophic effects of positively modulating HGF/MET. Neurotoxic insults were applied to primary neuron cultures that typically result in neuron death. However, treatment with fosgo-AM offered neuroprotection from several different neurotoxic insults. In an animal model of cognitive deficit and dementia, treatment with fosgo-AM rescued this cognitive impairment. In a separate inflammation-induced animal model of cognitive impairment, fosgonimeton also reversed cognitive deficits. These study results were published in Neurotherapeutics in December 2022 and support the therapeutic potential of fosgonimeton to promote neuroprotective and anti-inflammatory effects and procognitive benefits in animal models of dementia.</w:t>
      </w:r>
    </w:p>
    <w:p>
      <w:pPr>
        <w:spacing w:after="0" w:line="202" w:lineRule="exact"/>
        <w:rPr>
          <w:rFonts w:ascii="Arial" w:cs="Arial" w:eastAsia="Arial" w:hAnsi="Arial"/>
          <w:sz w:val="18"/>
          <w:szCs w:val="18"/>
          <w:color w:val="auto"/>
        </w:rPr>
      </w:pPr>
    </w:p>
    <w:p>
      <w:pPr>
        <w:jc w:val="both"/>
        <w:ind w:left="760" w:hanging="378"/>
        <w:spacing w:after="0" w:line="23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Fosgonimeton was assessed in a Phase 1a/b clinical trial and was well tolerated in healthy young and elderly volunteers and AD subjects, without serious adverse events. This clinical trial recruited a total of 88 participants, including 11 with mild to moderate AD, who were randomly assigned to active and placebo groups. Findings from the Phase 1 trial provided safety data, as well as translational and supportive evidence of fosgonimeton crossing the BBB and improving brain network activity by significantly improved event-related potential, or ERP, P300 latency. P300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jc w:val="both"/>
        <w:ind w:left="760"/>
        <w:spacing w:after="0"/>
        <w:rPr>
          <w:sz w:val="20"/>
          <w:szCs w:val="20"/>
          <w:color w:val="auto"/>
        </w:rPr>
      </w:pPr>
      <w:r>
        <w:rPr>
          <w:rFonts w:ascii="Arial" w:cs="Arial" w:eastAsia="Arial" w:hAnsi="Arial"/>
          <w:sz w:val="18"/>
          <w:szCs w:val="18"/>
          <w:color w:val="auto"/>
        </w:rPr>
        <w:t>latency is a functional measure that is highly correlated with cognition; however, we have not yet established a connection between these ERP P300 latency results and improved cognition. Trial results were published in the Journal of Alzheimer’s Disease in April 2022, and helped inform the study design of our exploratory Phase 2 ACT-AD and Phase 2/3 LIFT-AD trials.</w:t>
      </w:r>
    </w:p>
    <w:p>
      <w:pPr>
        <w:spacing w:after="0" w:line="203" w:lineRule="exact"/>
        <w:rPr>
          <w:sz w:val="20"/>
          <w:szCs w:val="20"/>
          <w:color w:val="auto"/>
        </w:rPr>
      </w:pPr>
    </w:p>
    <w:p>
      <w:pPr>
        <w:jc w:val="both"/>
        <w:ind w:left="760" w:hanging="378"/>
        <w:spacing w:after="0" w:line="23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endpoint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treatment-related serious adverse events or deaths observed.</w:t>
      </w:r>
    </w:p>
    <w:p>
      <w:pPr>
        <w:spacing w:after="0" w:line="204" w:lineRule="exact"/>
        <w:rPr>
          <w:rFonts w:ascii="Arial" w:cs="Arial" w:eastAsia="Arial" w:hAnsi="Arial"/>
          <w:sz w:val="18"/>
          <w:szCs w:val="18"/>
          <w:color w:val="auto"/>
        </w:rPr>
      </w:pPr>
    </w:p>
    <w:p>
      <w:pPr>
        <w:jc w:val="both"/>
        <w:ind w:left="760" w:hanging="378"/>
        <w:spacing w:after="0" w:line="23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LIFT-AD,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Global Statistical Test, or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 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We are targeting to complete enrollment in mid-2023 and report topline data in early 2024.</w:t>
      </w:r>
    </w:p>
    <w:p>
      <w:pPr>
        <w:spacing w:after="0" w:line="204" w:lineRule="exact"/>
        <w:rPr>
          <w:rFonts w:ascii="Arial" w:cs="Arial" w:eastAsia="Arial" w:hAnsi="Arial"/>
          <w:sz w:val="18"/>
          <w:szCs w:val="18"/>
          <w:color w:val="auto"/>
        </w:rPr>
      </w:pPr>
    </w:p>
    <w:p>
      <w:pPr>
        <w:jc w:val="both"/>
        <w:ind w:left="760" w:hanging="378"/>
        <w:spacing w:after="0" w:line="23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2021, we announced that we are enrolling participants into a 26-week open-label extension study* for our LIFT-AD and ACT-AD clinical trials, which will allow us to collect up to a total of one year of safety data with fosgonimeton. In May 2022, we announced that we extended the 26-week open-label extension study for our LIFT-AD and ACT-AD clinical trials for an additional 12 months, enabling eligible participants who have completed either trial, and elect to participate in the ongoing open label extension, to now receive up to 18 months of open-label treatment with fosgonimeton.</w:t>
      </w:r>
    </w:p>
    <w:p>
      <w:pPr>
        <w:spacing w:after="0" w:line="184" w:lineRule="exact"/>
        <w:rPr>
          <w:rFonts w:ascii="Arial" w:cs="Arial" w:eastAsia="Arial" w:hAnsi="Arial"/>
          <w:sz w:val="18"/>
          <w:szCs w:val="18"/>
          <w:color w:val="auto"/>
        </w:rPr>
      </w:pPr>
    </w:p>
    <w:p>
      <w:pPr>
        <w:jc w:val="both"/>
        <w:ind w:left="760"/>
        <w:spacing w:after="0" w:line="245" w:lineRule="auto"/>
        <w:rPr>
          <w:rFonts w:ascii="Arial" w:cs="Arial" w:eastAsia="Arial" w:hAnsi="Arial"/>
          <w:sz w:val="18"/>
          <w:szCs w:val="18"/>
          <w:color w:val="auto"/>
        </w:rPr>
      </w:pPr>
      <w:r>
        <w:rPr>
          <w:rFonts w:ascii="Arial" w:cs="Arial" w:eastAsia="Arial" w:hAnsi="Arial"/>
          <w:sz w:val="18"/>
          <w:szCs w:val="18"/>
          <w:i w:val="1"/>
          <w:iCs w:val="1"/>
          <w:color w:val="auto"/>
        </w:rPr>
        <w:t>*The ACT-AD trial and the related open-label extension for ACT-AD participants (described further below)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12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Parkinson’s-relevant cell and animal models, treatment with fosgonimeton or fosgo-AM demonstrated significant neuroprotective, neurotrophic and motor function improvements. Fosgo-AM significantly protected against neurotoxic insults and minimized PD-specific toxic protein buildup in neuron models of disease. Neurotrophic effects, with or without neurotoxic insults, were significantly improved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spacing w:after="0"/>
        <w:rPr>
          <w:sz w:val="20"/>
          <w:szCs w:val="20"/>
          <w:color w:val="auto"/>
        </w:rPr>
      </w:pPr>
      <w:r>
        <w:rPr>
          <w:rFonts w:ascii="Arial" w:cs="Arial" w:eastAsia="Arial" w:hAnsi="Arial"/>
          <w:sz w:val="18"/>
          <w:szCs w:val="18"/>
          <w:color w:val="auto"/>
        </w:rPr>
        <w:t>following fosgo-AM treatment. Cellular improvements translated to improvements in motor function in several animal models, including improved coordination and balance and strength. These data were presented at the Society for Neuroscience Annual Conference in November 2022.</w:t>
      </w:r>
    </w:p>
    <w:p>
      <w:pPr>
        <w:spacing w:after="0" w:line="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Fosgonimeton is also being assessed in an exploratory Phase 2 trial, SHAPE, for Parkinson’s disease dementia and dementia with Lewy bodies. Enrollment in the SHAPE trial was closed in October 2022 with 28 participants. Topline data from this exploratory trial are expected to be available in 2023 and will help to inform next steps in this or related disease indications.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ATH-1020</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ATH-1020 is a novel small molecule compound designed to be an orally available once-daily treatment, to enhance the HGF/MET system. We filed an Investigational New Drug (IND) application with the FDA for ATH-1020 at the end of 2021, and received notice of acceptance in January 2022. This compound was originally assessed for neuropsychiatric indications in preclinical models as presented at the American Society for Experimental Therapeutics Annual Conference in February 2022. However, upon further characterization, properties of ATH-1020 were found to be more suited for PNS and other neurodegenerative diseases.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1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preclinical models of diabetic neuropathic pain, we demonstrated significant improvements in two separate nerve pain paradigms that are prominent symptoms in people suffering from neuropathic pain. The significant improvements in nerve pain were sustained after seven days of not receiving ATH-1020, suggesting persistent and potentially disease-modifying effects. Data from these studies were presented at the Society for Neuroscience Annual Conference in November 2022. We completed the single ascending dose escalation portion of our Phase 1 trial with ATH-1020 demonstrating a favorable safety profile and which was well-tolerated in healthy volunteers. We plan to evaluate options with this compound and will consider its advancement in relation to other opportunities and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ATH-1105</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ATH-1105 is a novel small molecule compound designed to be an orally available once-daily treatment, to enhance the HGF/MET system.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Amyotrophic Lateral Sclerosis (ALS)</w:t>
      </w:r>
    </w:p>
    <w:p>
      <w:pPr>
        <w:spacing w:after="0" w:line="12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 preclinical model of ALS, treatment with ATH-1105 significantly protected against weight loss, while improving balance, coordination and muscle strength. We additionally reported that treatment with ATH-1105 significantly improved electrophysiological measures of muscle integrity and protected against axon degeneration and demyelination. ATH-1105 treatment also significantly reduced biomarkers of inflammation and neurodegeneration. Study results were presented at the Motor Neurone Disease Association International Symposium in December 2022. Weight loss, motor deficits, inflammatory effects, loss of muscle integrity, nerve degeneration and demyelination are all classical hallmarks of ALS disease; treatment with ATH-1105 significantly improved all of these deficits in the preclinical model tested. IND-enabling studies are ongoing with a target towards completing such studies in 2023 and initiating a Phase 1 clinical trial in 2024.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Compounds</w:t>
      </w:r>
    </w:p>
    <w:p>
      <w:pPr>
        <w:spacing w:after="0" w:line="234"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In addition to the compounds described above, we have several other compounds in preclinical discovery and development for neurodegenerative diseases, including ATH-1018 and ATH-1019.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Upcoming Pipeline Milestones</w:t>
      </w:r>
    </w:p>
    <w:p>
      <w:pPr>
        <w:spacing w:after="0" w:line="234" w:lineRule="exact"/>
        <w:rPr>
          <w:sz w:val="20"/>
          <w:szCs w:val="20"/>
          <w:color w:val="auto"/>
        </w:rPr>
      </w:pPr>
    </w:p>
    <w:p>
      <w:pPr>
        <w:jc w:val="both"/>
        <w:ind w:left="1020" w:hanging="503"/>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AD, we anticipate completing enrollment of our Phase 2/3 LIFT-AD trial for mild-to-moderate AD by mid-2023 and reporting on topline data in early 2024. We also have an ongoing open label extension, or OLEX, trial for completers of ACT-AD and LIFT-AD. As of year-end 2022, greater than 85% of participants who had completed either trial have been enrolled in the OLEX trial. As with any voluntary clinical trial, participant dropout in the OLEX has also been observed.</w:t>
      </w:r>
    </w:p>
    <w:p>
      <w:pPr>
        <w:spacing w:after="0" w:line="20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Parkinson’s disease dementia and dementia with Lewy bodies, topline data from the exploratory Phase 2 trial are expected to be available in 2023 and will help to inform next steps in this or related disease indications.</w:t>
      </w:r>
    </w:p>
    <w:p>
      <w:pPr>
        <w:spacing w:after="0" w:line="196" w:lineRule="exact"/>
        <w:rPr>
          <w:rFonts w:ascii="Arial" w:cs="Arial" w:eastAsia="Arial" w:hAnsi="Arial"/>
          <w:sz w:val="18"/>
          <w:szCs w:val="18"/>
          <w:color w:val="auto"/>
        </w:rPr>
      </w:pPr>
    </w:p>
    <w:p>
      <w:pPr>
        <w:jc w:val="both"/>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ALS, treatment with ATH-1105 demonstrated consistent improvements across measures of motor function, nerve function, and neurodegeneration in a mouse model of ALS. We plan to initiate first-in-human studies of this promising product candidate as a treatment for ALS in 2024.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strategic imperative and responsibility to people with neurological diseases is to advance our pipeline of small molecule drug candidates designed to target and enhance this naturally occurring repair mechanism to help build, restore, and maintain healthy neuronal connections. The multimodal mechanism of action of the HGF/MET system has the potential to address complex multifactorial neurological diseases. We are encouraged by the scientific evidence we have generated thus far and will continue adding to the scientific foundation behind this neuroprotective and reparative approach with the potential to transform the treatment paradigm and provide meaningful therapeutic options for AD, PD, ALS, neuropathic pain, and beyond, where limited effective options exist today. Key aspects of our business strategy to achieve these goals are to:</w:t>
      </w:r>
    </w:p>
    <w:p>
      <w:pPr>
        <w:spacing w:after="0" w:line="185" w:lineRule="exact"/>
        <w:rPr>
          <w:sz w:val="20"/>
          <w:szCs w:val="20"/>
          <w:color w:val="auto"/>
        </w:rPr>
      </w:pPr>
    </w:p>
    <w:p>
      <w:pPr>
        <w:jc w:val="both"/>
        <w:ind w:left="1020" w:hanging="503"/>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Advance fosgonimeton through clinical development for mild-to-moderate AD. </w:t>
      </w:r>
      <w:r>
        <w:rPr>
          <w:rFonts w:ascii="Arial" w:cs="Arial" w:eastAsia="Arial" w:hAnsi="Arial"/>
          <w:sz w:val="18"/>
          <w:szCs w:val="18"/>
          <w:color w:val="auto"/>
        </w:rPr>
        <w:t>We believe fosgonimeton has the potential to</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improve cognition and function to help improve the lives of the millions of people suffering from AD who currently have limited therapeutic options. We initiated both the exploratory Phase 2 ACT-AD trial and the ongoing Phase 2/3 LIFT-AD trial in 2020 and have applied learnings from the completed ACT-AD trial to help inform our LIFT-AD trial design. The topline results for our ACT-AD trial were announced in June 2022 and are discussed in further detail in the section of this Annual Report on Form 10-K titled “Business—Our Pipeline.” While the primary and secondary endpoints were not achieved, encouraging results from our post hoc analyses of a subgroup in the ACT-AD trial informed our decision to proactively amend LIFT-AD to focus on participants not on background AChEIs and the independent unblinded interim analysis further supported our decision. We anticipate completing recruitment in LIFT-AD by mid-2023 and reporting topline data in early 2024.</w:t>
      </w:r>
    </w:p>
    <w:p>
      <w:pPr>
        <w:spacing w:after="0" w:line="191"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Expand the development of fosgonimeton to maximize opportunities in other neurodegenerative diseases. </w:t>
      </w:r>
      <w:r>
        <w:rPr>
          <w:rFonts w:ascii="Arial" w:cs="Arial" w:eastAsia="Arial" w:hAnsi="Arial"/>
          <w:sz w:val="18"/>
          <w:szCs w:val="18"/>
          <w:color w:val="auto"/>
        </w:rPr>
        <w:t>We are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fosgonimeton as a treatment for mild-to-moderate AD, but over time we aim to expand development to cover more stages of AD. Beyond AD, we believe that fosgonimeton can ultimately address a broader neurodegenerative disease population. To begin this expansion, we initiated an exploratory Phase 2 clinical trial for PDD and DLB at the end of 2021, dosing the first participant in the first quarter of 2022 and completing enrollment with 28 participants in 2022. With the compelling preclinical data recently presented at Society for Neuroscience Annual Conference in November 2022 on the broader potential of fosgonimeton to improve motor function in Parkinson’s disease, we will seek to evaluate trial designs that will further explore fosgonimeton’s therapeutic potential in this complex disease. Topline data from this exploratory trial are expected to be available in 2023 and will help to inform next steps in this or related disease indications.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both"/>
        <w:ind w:left="1020" w:hanging="503"/>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Advance innovative research to expand and develop our ATH pipeline of small molecule drug candidates. </w:t>
      </w:r>
      <w:r>
        <w:rPr>
          <w:rFonts w:ascii="Arial" w:cs="Arial" w:eastAsia="Arial" w:hAnsi="Arial"/>
          <w:sz w:val="18"/>
          <w:szCs w:val="18"/>
          <w:color w:val="auto"/>
        </w:rPr>
        <w:t>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drug candidates that show both strong pharmacokinetics and pharmacodynamics, or PK/PD, translation and early predictive clinical data. We plan to continue growing our discovery organization across neurological disorders in general, but with a near-term focus on neurodegenerative diseases, by building upon the strong foundational knowledge of our ATH positive modulators and enhancing the multimodal mechanism of action through the HGF/MET system. It is our goal to advance our pipeline of ATH positive modulators, designed to enhance the body’s naturally occurring repair mechanism, HGF/MET. With several drug candidates in development, we will prioritize development to potentially address a wide range of clinical applications ranging from CNS and PNS diseases to other indications. One such candidate is ATH-1105, currently in IND-enabling studies for ALS.</w:t>
      </w:r>
    </w:p>
    <w:p>
      <w:pPr>
        <w:spacing w:after="0" w:line="191" w:lineRule="exact"/>
        <w:rPr>
          <w:rFonts w:ascii="Arial" w:cs="Arial" w:eastAsia="Arial" w:hAnsi="Arial"/>
          <w:sz w:val="18"/>
          <w:szCs w:val="18"/>
          <w:color w:val="auto"/>
        </w:rPr>
      </w:pPr>
    </w:p>
    <w:p>
      <w:pPr>
        <w:jc w:val="both"/>
        <w:ind w:left="1020" w:hanging="503"/>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Optimize the value of fosgonimeton and other positive modulators of the HGF/MET system in major markets. </w:t>
      </w:r>
      <w:r>
        <w:rPr>
          <w:rFonts w:ascii="Arial" w:cs="Arial" w:eastAsia="Arial" w:hAnsi="Arial"/>
          <w:sz w:val="18"/>
          <w:szCs w:val="18"/>
          <w:color w:val="auto"/>
        </w:rPr>
        <w:t>We own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fosgonimeton as well as our pipeline of proprietary small molecule candidates. We plan to develop and pursue approval of fosgonimeton and other future candidates across major markets. Where appropriate, we may use strategic collaborations or partnerships to accelerate development and maximize the commercial potential of our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Mechanism of Disease</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Causes of neurodegenerative diseases are not fully understood as these diseases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HGF/MET system.</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Scientific evidence supporting the HGF/MET system as a naturally occurring repair mechanism is backed by over 30 years of research. As a notable example, MET is one of the most stably expressed genes in the adult human brain and is a signature of a healthy, viable nervous system, In AD, neuronal MET expression is reduced in the brains of participants by approximately 25% and 75% in the frontal cortex and hippocampus, respectively. And although evidence supporting HGF/MET as an attractive target with a multimodal mechanism of action for neurodegenerative diseases exists, it has not been an easily druggable target. There are approved and in-development gene therapy approaches to increase HGF expression beyond normal physiological levels, but these are limited as potentially viable treatment options for neurological disorders due to more invasive delivery requirements, such as intrathecal or intravenous, or locally restricted to the periphery, such as via intramuscular routes of administration.</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To date, drug developers have been deploying approaches that typically address only a single factor of the cascade of pathologies that lead to neurodegeneration, yet translating early successful results to meaningful clinical benefit has been mixed if not elusive. We believe that to address such complex and multifactorial diseases requires a novel multimodal approach, such as targeting the HGF/MET system through non-invasive or minimally invasive HGF-dependent small molecules that enhance innate levels of HGF/MET activation to protect and repair neuronal networks.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Mechanism of Action</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developed a pipeline of small molecule positive modulators designed to enhance the HGF/MET system and promote its neuroprotective, neurotrophic and anti-inflammatory effects, including protection of neurons from a variety of insults. Our potential novel small molecules are designed to cross the blood-brain barrier for CNS disorders or remain in the periphery for PNS and other indications, and mechanistically provide a series of multimodal effects that support its therapeutic promise to: reduce inflammation, promote regeneration, provide neuroprotection, and, ultimately, slow disease progression.</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Figure 2 below shows the hypothesized mechanism of action of ATH positive modulators and the cellular disease state where diseased neurons produce a biomarker of neurodegeneration, neurofilament light chain, or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neurotropic pathways, reduced neuron degeneration and NfL production occurs while the treated glia show reduced activation and production of proinflammatory cytokines, thereby ATH positive modulators are reducing neurodegeneration and inhibiting neuroinflammation through HGF/MET.</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 Hypothesized Mechanism of Action of ATH Positive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3103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ATH positive modulators interact with HGF/MET, neurotrophic and neuroprotective pathways are activated downstream, including the activation of the extracellular-signal regulated kinase, or ERK and protein kinase B, or AKT pathways, which play critical roles in protecting neurons from damage and death, including from oxidative stress, excitotoxicity, and apoptosis. Figure 3 below shows cell culture data demonstrating one of the key mechanisms of action of ATH positive modulators is through activation of ERK and AKT via MET activation.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Figure 3. Enhancement of HGF/MET by Fosgonimeton Active Metabolite Activates ERK and AKT Signaling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1783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One-way ANOVA with Tukey’s multiple comparisons.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 p&lt;0.01; *** p&lt;0.001 vs. HGF only.</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6A6A6"/>
        </w:rPr>
        <w:t>AKT, protein kinase B; ERK, extracellular-signal regulated kinase; Fosgo-AM, fosgonimeton active metabolite; GSK3b, glycogen synthase kinase-3 beta; HGF, hepatocyte growth factor.</w:t>
      </w:r>
    </w:p>
    <w:p>
      <w:pPr>
        <w:spacing w:after="0" w:line="29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Positively modulating HGF/MET promotes its multimodal effects, which we believe can potentially address the complex pathology in neurodegenerative diseases. These positive multimodal effects taken together may lead to improvement in function. Figure 4 below illustrates the protect and repair therapeutic potential of enhancing the HGF/MET system.</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4. ATH Compounds are Designed to Protect and Repair Neuronal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137795</wp:posOffset>
            </wp:positionV>
            <wp:extent cx="4928870" cy="3223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887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Preclinical Evidence</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Fosgonimeton is also being assessed in multiple preclinical studies, including in vitro assays and several animal models of neurodegenerative diseases, including AD and PD.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 Positive Modulator, Fosgonimeton, for AD and PD</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Several preclinical studies support the therapeutic potential of our drug candidates through positively modulating HGF/MET, which leads to significant enhancement of downstream pathways that promote its multimodal effects. Studies in cultured hippocampal primary neuron cultures with the active metabolite of fosgonimeton (fosgo-AM) showed enhanced synaptogenesis and neurite outgrowth, supporting the neurotrophic effects of fosgonimeton (Figure 5).</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5. Neurotrophic Effects of ATH Positive Modulator, Fosgo-AM in Hippocampal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8890</wp:posOffset>
            </wp:positionV>
            <wp:extent cx="5340350" cy="2031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0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6A6A6"/>
        </w:rPr>
        <w:t>Synaptogenesis assay immunostained with Synaptobrevin II; Neurite outgrowth cultures immunostained for β-tubulin III.</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 1-way ANOVA with Dunnett posttest for synaptic count; Unpaired t-test for neurite outgrowth *p&lt;0.05; ****p&lt;0.0001 vs.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Control. Scale bar = 20 µm.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Fosgo-AM, fosgonimeton active metabolite; HGF, hepatocyte growth factor.</w:t>
      </w:r>
    </w:p>
    <w:p>
      <w:pPr>
        <w:spacing w:after="0" w:line="31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To demonstrate potential for neuroprotection, neurotoxic insults were applied to primary neuron cultures that typically result in neuron death. However, treatment with fosgo-AM, across all concentrations tested, offered neuroprotection from several different insults including neurotoxicity, excitotoxicity, neuroinflammation and oxidative stress (Figure 6).</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Figure 6. Neuroprotection by Fosgo-AM across Several Neurotoxic Insults in Primary Cortical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137795</wp:posOffset>
            </wp:positionV>
            <wp:extent cx="4834890" cy="3540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3489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Data are presented as mean + SEM. Statistical differences were determined by one-way ANOVA followed by Tukey's multiple comparison post-test. *p&lt;0.05; **p&lt;0.01;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***p&lt;0.001 compared with insult control.</w:t>
      </w:r>
    </w:p>
    <w:p>
      <w:pPr>
        <w:spacing w:after="0" w:line="219" w:lineRule="auto"/>
        <w:rPr>
          <w:sz w:val="20"/>
          <w:szCs w:val="20"/>
          <w:color w:val="auto"/>
        </w:rPr>
      </w:pPr>
      <w:r>
        <w:rPr>
          <w:rFonts w:ascii="Arial" w:cs="Arial" w:eastAsia="Arial" w:hAnsi="Arial"/>
          <w:sz w:val="14"/>
          <w:szCs w:val="14"/>
          <w:color w:val="auto"/>
        </w:rPr>
        <w:t>Fosgo-AM, fosgonimeton active metabolite; H</w:t>
      </w:r>
      <w:r>
        <w:rPr>
          <w:rFonts w:ascii="Arial" w:cs="Arial" w:eastAsia="Arial" w:hAnsi="Arial"/>
          <w:sz w:val="19"/>
          <w:szCs w:val="19"/>
          <w:color w:val="auto"/>
          <w:vertAlign w:val="subscript"/>
        </w:rPr>
        <w:t>2</w:t>
      </w:r>
      <w:r>
        <w:rPr>
          <w:rFonts w:ascii="Arial" w:cs="Arial" w:eastAsia="Arial" w:hAnsi="Arial"/>
          <w:sz w:val="14"/>
          <w:szCs w:val="14"/>
          <w:color w:val="auto"/>
        </w:rPr>
        <w:t>O</w:t>
      </w:r>
      <w:r>
        <w:rPr>
          <w:rFonts w:ascii="Arial" w:cs="Arial" w:eastAsia="Arial" w:hAnsi="Arial"/>
          <w:sz w:val="19"/>
          <w:szCs w:val="19"/>
          <w:color w:val="auto"/>
          <w:vertAlign w:val="subscript"/>
        </w:rPr>
        <w:t>2</w:t>
      </w:r>
      <w:r>
        <w:rPr>
          <w:rFonts w:ascii="Arial" w:cs="Arial" w:eastAsia="Arial" w:hAnsi="Arial"/>
          <w:sz w:val="14"/>
          <w:szCs w:val="14"/>
          <w:color w:val="auto"/>
        </w:rPr>
        <w:t>, hydrogen peroxide; LPS, lipopolysaccharide; MPP+, methyl-4-phenylpryidinium.</w:t>
      </w:r>
    </w:p>
    <w:p>
      <w:pPr>
        <w:spacing w:after="0" w:line="32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Aggregated amyloid-β or Aβ, proteins are hallmarks of AD and are neurotoxic. In a neuronal cell model, applied Aβ leads to neurotoxicity and activation of phosphorylated Tau, or pTau proteins. Treatment with fosgo-AM significantly reduced pTau protein pathology and protected neurons from degeneration induced by Aβ (Figure 7). In images below, green represents neuronal marker, microtubule-associated protein 2, or MAP-2, and red represents pTau staining. The left most image shows cortical neurons not exposed to Aβ toxin where MAP-2 positive neurons are healthy and abundant. In Aβ-toxic conditions, treatment with fosgo-AM significantly rescued the number of healthy cortical neurons and reduced pTau toxic protein pathologies, as shown in the right most image, compared to the middle image also under Aβ-toxic conditions but treated with vehicle only. Quantified effects of reduced toxic Aβ- induced neuron death and Tau phosphorylation are shown in the bar charts.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jc w:val="both"/>
        <w:ind w:firstLine="509"/>
        <w:spacing w:after="0" w:line="267" w:lineRule="auto"/>
        <w:rPr>
          <w:sz w:val="20"/>
          <w:szCs w:val="20"/>
          <w:color w:val="auto"/>
        </w:rPr>
      </w:pPr>
      <w:r>
        <w:rPr>
          <w:rFonts w:ascii="Arial" w:cs="Arial" w:eastAsia="Arial" w:hAnsi="Arial"/>
          <w:sz w:val="18"/>
          <w:szCs w:val="18"/>
          <w:i w:val="1"/>
          <w:iCs w:val="1"/>
          <w:color w:val="auto"/>
        </w:rPr>
        <w:t>Figure 7. Fosgo-AM Reduces Protein Pathology Associated with AD and Protects against Amyloid-β-induced Neurodegeneration in Primary Cortical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-22860</wp:posOffset>
            </wp:positionV>
            <wp:extent cx="5349240" cy="2151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Aβ assay: One-way ANOVA with Dunnett’s posttest. ***p&lt;0.001 versus Aβ Control. Scale bar: 100 µm.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Aβ, amyloid beta; AT100, hyperphospho-tau antibody; fosgo-AM, fosgonimeton active metabolite; MAP-2, microtubule-associated protein-2.</w:t>
      </w:r>
    </w:p>
    <w:p>
      <w:pPr>
        <w:spacing w:after="0" w:line="31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an inflammation-induced animal model of cognitive impairment using lipopolysaccharide, or LPS, fosgonimeton significantly improved diverse biomarkers of inflammation: interleukin-1β, or IL-1β; interleukin-6, or IL-6; and tumor necrosis factor-α, or TNF-α (Figure 8).</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8. Treatment with Fosgo-AM Improves Biomarkers of Inflammation in an LPS-animal Model of Cognitive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219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Dunnett’s test. *p&lt;0.05; **p&lt;0.01; ***p&lt;0.001 vs. LPS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Fosgo-AM, fosgonimeton active metabolite; IL-1β, interleukin 1 beta; IL-6, interleukin 6; LPS, lipopolysaccharide; TNF-α, tumor necrosis factor alpha.</w:t>
      </w:r>
    </w:p>
    <w:p>
      <w:pPr>
        <w:spacing w:after="0" w:line="3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LPS-induced animal model of cognitive impairment, fosgonimeton also significantly reversed cognitive deficits (Figure 9). Treatment with fosgo-AM also rescued cognitive impairment in a second animal model of cognitive deficit and dementia. These study results were published in Neurotherapeutics in December 2022 and support the therapeutic potential of fosgonimeton promoting neuroprotective and anti-inflammatory effects and procognitive benefits in animal models of dementia.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i w:val="1"/>
          <w:iCs w:val="1"/>
          <w:color w:val="auto"/>
        </w:rPr>
        <w:t>Figure 9. Fosgonimeton Reverses Cognitive Deficits Caused by 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137795</wp:posOffset>
            </wp:positionV>
            <wp:extent cx="4311650" cy="3960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165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Statistics applied: One-way ANOVA with Dunnett’s multiple comparisons.</w:t>
      </w:r>
    </w:p>
    <w:p>
      <w:pPr>
        <w:spacing w:after="0" w:line="1" w:lineRule="exact"/>
        <w:rPr>
          <w:sz w:val="20"/>
          <w:szCs w:val="20"/>
          <w:color w:val="auto"/>
        </w:rPr>
      </w:pPr>
    </w:p>
    <w:p>
      <w:pPr>
        <w:ind w:right="8480" w:firstLine="8"/>
        <w:spacing w:after="0" w:line="258" w:lineRule="auto"/>
        <w:tabs>
          <w:tab w:leader="none" w:pos="208" w:val="left"/>
        </w:tabs>
        <w:numPr>
          <w:ilvl w:val="0"/>
          <w:numId w:val="12"/>
        </w:numPr>
        <w:rPr>
          <w:rFonts w:ascii="Arial" w:cs="Arial" w:eastAsia="Arial" w:hAnsi="Arial"/>
          <w:sz w:val="14"/>
          <w:szCs w:val="14"/>
          <w:color w:val="A6A6A6"/>
        </w:rPr>
      </w:pPr>
      <w:r>
        <w:rPr>
          <w:rFonts w:ascii="Arial" w:cs="Arial" w:eastAsia="Arial" w:hAnsi="Arial"/>
          <w:sz w:val="14"/>
          <w:szCs w:val="14"/>
          <w:color w:val="A6A6A6"/>
        </w:rPr>
        <w:t>p&lt;0.001; **** p&lt;0.0001 vs. LPS Control. LPS, lipopolysaccharide.</w:t>
      </w:r>
    </w:p>
    <w:p>
      <w:pPr>
        <w:spacing w:after="0" w:line="29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PD-relevant cell and animal models, treatment with fosgonimeton or fosgo-AM demonstrated significant neuroprotective, neurotrophic and motor function improvements. Data supporting these findings were presented at the Society for Neuroscience Annual Conference in November 2022.</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Fosgo-AM significantly protected against neurotoxic insults and minimized PD-specific toxic protein buildup in neuron models of disease. Figure 10 below shows results from cell models of PD exposed to the neurotoxin rotenone. TH+ staining in green identifies dopaminergic neurons, the affected neurons in PD, and α-synuclein staining in red identifies toxic proteins of PD pathology. The left most image shows cultures not exposed to rotenone toxin where TH+ dopaminergic neurons are healthy and abundant with robust processes. In rotenone-toxic conditions, treatment with fosgo-AM significantly rescued the number of healthy dopaminergic neurons and reduced toxic α-synuclein aggregation, as shown in the right most image, compared to the middle image showing cultures exposed to rotenone but treated with vehicle only. Quantified effects of reduced rotenone-induced dopaminergic neuron death and α-synuclein aggregation are shown in the bar charts.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jc w:val="both"/>
        <w:ind w:right="20" w:firstLine="509"/>
        <w:spacing w:after="0" w:line="267" w:lineRule="auto"/>
        <w:rPr>
          <w:sz w:val="20"/>
          <w:szCs w:val="20"/>
          <w:color w:val="auto"/>
        </w:rPr>
      </w:pPr>
      <w:r>
        <w:rPr>
          <w:rFonts w:ascii="Arial" w:cs="Arial" w:eastAsia="Arial" w:hAnsi="Arial"/>
          <w:sz w:val="18"/>
          <w:szCs w:val="18"/>
          <w:i w:val="1"/>
          <w:iCs w:val="1"/>
          <w:color w:val="auto"/>
        </w:rPr>
        <w:t>Figure 10. Fosgo-AM Reduces α-synuclein Aggregation and Protects Neurons from Degeneration Induced by the Neurotoxin Rotenone in Primary Mesencephalic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-22860</wp:posOffset>
            </wp:positionV>
            <wp:extent cx="5349240" cy="2048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Fisher least significant difference test. ***p&lt;0.001 versus Rotenone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α-syn; alpha synuclein; fosgo-AM, fosgonimeton active metabolite; TH, tyrosine hydroxylase.</w:t>
      </w:r>
    </w:p>
    <w:p>
      <w:pPr>
        <w:spacing w:after="0" w:line="3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Cellular improvements translated to improvements in motor function in several experimental paradigms, including improved coordination and balance and strength. Figure 11 below are two examples of improved motor function in the grip strength and rotarod tests where treatment with fosgonimeton rescues grip strength and balance and coordination deficits in a 6-hydroxydopamine, or 6-OHDA, animal model of PD.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11. Fosgonimeton Rescues Grip Strength and Balance and Coordination Deficits in an Animal Model of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451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Statistics applied: 2-way ANOVA with Dunnett test. Statistical significance indicated with * represent sham control versus disease control;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represent fosgonimeton versus disease control. For all symbols: *p&lt;0.05; **p&lt;0.01; ***p&lt;0.001; ****p&lt;0.0001 versus disease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6-OHDA, 6-hydroxydopamine.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ATH Positive Modulator, ATH-1020, for Neuropathic Pain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jc w:val="both"/>
        <w:ind w:firstLine="509"/>
        <w:spacing w:after="0" w:line="238" w:lineRule="auto"/>
        <w:rPr>
          <w:sz w:val="20"/>
          <w:szCs w:val="20"/>
          <w:color w:val="auto"/>
        </w:rPr>
      </w:pPr>
      <w:r>
        <w:rPr>
          <w:rFonts w:ascii="Arial" w:cs="Arial" w:eastAsia="Arial" w:hAnsi="Arial"/>
          <w:sz w:val="18"/>
          <w:szCs w:val="18"/>
          <w:color w:val="auto"/>
        </w:rPr>
        <w:t>ATH-1020 is an oral small molecule drug candidate being assessed as a potential treatment for neuropathic pain. Enhancing HGF/MET signaling promotes neuroprotective, neurotrophic, and anti-inflammatory effects, and as neuropathic pain disorders, including diabetic neuropathy, have components of oxidative stress, nerve damage, and inflammation, positive modulation of the HGF/MET pathway may provide therapeutic benefit in these disease areas. Data below were presented at the Society for Neuroscience Annual Conference in November 2022.</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animal models of diabetic neuropathy, or DNP, hypersensitivity to mechanical and thermal pain are commonly experienced, which are also representative of symptoms in people with neuropathic pain. Shown in Figure 12 below, treatment with ATH-1020 significantly reduced pain behaviors over the testing period compared to DNP controls alone, shown in the red bars. Normal controls shown in grey; pregabalin, a positive control as an approved therapy for neuropathic pain, shown in green, and treatment with ATH-1020 shown in blue.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12. Reduced Mechanical and Thermal Pain Behaviors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8890</wp:posOffset>
            </wp:positionV>
            <wp:extent cx="5134610" cy="17487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461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****p&lt;0.0001 using one-way ANOVA with Dunnett test vs DNP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31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Persistence of reduced pain behaviors following ATH-1020 treatment were assessed after a short-term (23-hour) or a long-term (7-day) washout period. Study results demonstrated that even after short- and long-term washout periods, where no drug is present, the effects of ATH-1020 reduction of pain behaviors remained persistent, suggesting a potential disease modifying effect (Figure 13).</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13. Persistent Pain Reduction after 7-day Washout Following ATH-1020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8890</wp:posOffset>
            </wp:positionV>
            <wp:extent cx="5109210" cy="1671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921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means + SEM. *p&lt;0.05; **p&lt;0.01; ****p&lt;0.0001 using one-way ANOVA with Dunnett test vs DNP control.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ANOVA, analysis of variance; AUC, area under the curve; DNP, diabetic neuropathic pain; PWL, paw withdrawal latency; PWT, paw withdrawal threshold.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ATH Positive Modulator, ATH-1105, for ALS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ATH-1105 is an oral small molecule drug candidate being assessed as a potential treatment for ALS. In a spinal motor neuron model, ATH-1105 significantly protected against neuron death by excitotoxicity with glutamate, while reducing proteotoxic TAR DNA-binding protein 43, or TDP-43, protein aggregates. Figure 14 summarizes the data with images of spinal motor neurons in green, MAP-2, and cytoplasmic TDP-43 protein in red. In the control image on the left with no excitotoxic insult (glutamate), there’s little overlap of healthy MAP-2 neurons with TDP-43. When glutamate is applied to the motor neuron cultures, there’s an overall reduction in the number of neurons and increased TDP-43 in the nucleus as shown by overlapping red-green staining in the middle image. When cell cultures were treated with ATH-1105, the effect of toxic impact on overall number of motor neurons and overlapping red-green staining with toxic TDP-43 proteins in the nucleus was significantly reduced, as seen in the right most image and as quantified in the bar charts.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14. ATH-1105 is Neuroprotective Against Excitotoxic Insult and Reduces Toxic TDP-43 Proteinopathy in Spinal Motor Neurons.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151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Statistics applied: 1-way ANOVA with Fisher least significant difference test. *p&lt;0.05; **p&lt;0.01; ***p&lt;0.001 versus Glutamate Control. Scale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bar: 100 µm.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MAP-2, microtubule-associated protein-2; TDP-43, TAR DNA-binding protein 43.</w:t>
      </w:r>
    </w:p>
    <w:p>
      <w:pPr>
        <w:spacing w:after="0" w:line="3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Using an ALS animal model, treatment with ATH-1105 significantly preserved body weight compared to ALS disease control animals treated with vehicle only. Data from wild-type, or WT, healthy control animals are shown in gray and ALS disease control animals in red. Animals treated with ATH-1105, shown in blue, are indistinguishable from the healthy controls. These animals continue to gain body weight, which may suggest overall improved health (Figure 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i w:val="1"/>
          <w:iCs w:val="1"/>
          <w:color w:val="auto"/>
        </w:rPr>
        <w:t>Figure 15. Treatment with ATH-1105 Significantly Protects Against Loss of Body Weight in Animal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137795</wp:posOffset>
            </wp:positionV>
            <wp:extent cx="3154680" cy="2503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546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Statistical significance was determined by 2-way ANOVA with the Dunnett test versus ALS + vehicle. **p&lt;0.01; ***p&lt;0.001.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TDP-43, TAR DNA-binding protein 43; WT, wild-type.</w:t>
      </w:r>
    </w:p>
    <w:p>
      <w:pPr>
        <w:spacing w:after="0" w:line="31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Biomarkers of inflammation and neurodegeneration were also assessed and were significantly reduced following treatment with ATH-1105 in animal model of ALS (Figure 16). These results support the anti-inflammatory and neuroprotective effects by enhancing HGF/MET through ATH-1105. In this animal model and in ALS in humans, inflammation plays a significant role in disease pathology. In ALS disease control animals, significant increases in TNF-alpha and IL-6, which are pro-inflammatory cytokines, were observed compared to WT healthy control animals. However, when ALS animals were treated with ATH-1105 significant reductions in both TNF-alpha and IL-6 were observed, demonstrating anti-inflammatory effects. Consistent with the neuroprotective effects from cell models, a significant reduction in NfL (marker of neurodegeneration) in ALS animals treated with ATH-1105 was observed, which is indicative of neuroprotection.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16. ATH-1105 Improves Biomarkers of Inflammation and Neurodegeneration in an ALS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1568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Statistical significance was determined by 2-way ANOVA with the Dunnett test versus ALS + vehicle. ****p&lt;0.0001.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IL-6, interleukin 6; NfL, neurofilament light chain; TDP-43, TAR DNA-binding protein 43; TNF-α, tumor necrosis factor alpha; WT, wild-type.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both"/>
        <w:ind w:firstLine="509"/>
        <w:spacing w:after="0" w:line="236" w:lineRule="auto"/>
        <w:rPr>
          <w:sz w:val="20"/>
          <w:szCs w:val="20"/>
          <w:color w:val="auto"/>
        </w:rPr>
      </w:pPr>
      <w:r>
        <w:rPr>
          <w:rFonts w:ascii="Arial" w:cs="Arial" w:eastAsia="Arial" w:hAnsi="Arial"/>
          <w:sz w:val="18"/>
          <w:szCs w:val="18"/>
          <w:color w:val="auto"/>
        </w:rPr>
        <w:t>Treatment with ATH -1105 in animal model of ALS protects against axon degeneration and demyelination as observed from histological examination of the sciatic nerve. Figure 17 below includes cross section images of the sciatic nerve where healthy large diameter axons surrounded by a healthy myelin sheath are seen in the left image of nerves from WT healthy control animals. In the sciatic nerve image from ALS disease control animals in the middle, a marked reduction in axon size occurs –degenerating axons are noted by the black arrows and examples of demyelination by the red stars. In contrast, when ALS animals are treated with ATH-1105, sciatic nerve integrity is preserved with a healthy population of large diameter axons and normal levels of myelin. Graphs below the images are quantified data showing a significant rescue of the number of axons and increase in overall average axonal diameters or preservation of large diameter motor neurons in ALS animals treated with ATH-1105 compared to ALS disease control animals. Myelin g-ratio informs relative thickness of the myelin versus axon diameter; in the bar chart below, treatment with ATH-1105 significantly improved this measure compared to ALS disease control animals, suggestive of normalized sciatic nerve myelination.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17. Treatment with ATH-1105 Protected Against Axon Degeneration and Demyelination in Animal Model of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245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6A6A6"/>
        </w:rPr>
        <w:t>Graphical representation of the number of axons (per 100 µm2), axonal diameter (in micrometers), and mean of myelin g-ratio, defined as the ratio of the inner axonal diameter to the total axonal diameter, following 2 months of treatment. Data presented as mean + SEM. Statistical significance was determined by 1-way ANOVA with the Dunnett test versus ALS + vehicle. ****p&lt;0.0001.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TDP-43, TAR DNA-binding protein 43; WT, wild-type.</w:t>
      </w:r>
    </w:p>
    <w:p>
      <w:pPr>
        <w:spacing w:after="0" w:line="3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analyses of electrophysiological and behavioral assessments indicated the protection of the motor neurons with ATH-1105 translated to improved nerve and motor function (Figure 18). Compound muscle action potential, or CMAP, and nerve conduction velocity, or NCV, are two electrophysiological measures of sciatic nerve function. Treatment with ATH-1105 in animal model of ALS demonstrated consistent and significant improvements of nerve function compared ALS disease control animals.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Two examples of motor function improvements are shown by the balance beam and grip test, assessments of balance and coordination, and strength. ALS disease animals showed significant motor impairments compared to WT healthy control animals. ATH-1105 treatment in animal model of ALS led to significant improvements in both the balance beam and grip tests compared to the vehicle treated ALS disease animals, demonstrating improved motor function. Other motor behaviors assessing balance, coordination and muscle strength were rotarod and Kondziela screen test. Across all motor function measures, significant improvements were seen in ALS disease animals treated with ATH-1105 compared to ALS disease control animals.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color w:val="auto"/>
        </w:rPr>
        <w:t>Figure 18. Treatment with ATH-1105 Improves Nerve and Motor Function in ALS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05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6A6A6"/>
        </w:rPr>
        <w:t>Data presented as mean ± SEM. Statistical significance was determined by 2-way ANOVA with the Dunnett test versus ALS + vehicle. *p&lt;0.05; **p&lt;0.01; ***p&lt;0.001;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****p&lt;0.0001.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6A6A6"/>
        </w:rPr>
        <w:t>ALS, amyotrophic lateral sclerosis; CMAP, compound muscle action potential; NCV, nerve conduction velocity; TDP-43, TAR DNA-binding protein 43; WT, wild-type.</w:t>
      </w:r>
    </w:p>
    <w:p>
      <w:pPr>
        <w:spacing w:after="0" w:line="31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Study results were presented at the Motor Neuron Disease Association Annual Conference in December 2022. Weight loss, motor deficits, inflammatory effects, loss of muscle integrity, nerve degeneration and demyelination are all classical hallmarks of disease in people with ALS; treatment with ATH-1105 significantly improved all of these deficits preclinically. IND-enabling studies are ongoing with a target towards completing such studies in 2023 and initiating a Phase 1 clinical trial in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Clinical Trial</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IND for fosgonimeton in AD was submitted in September 2017. Since then, we have completed our Phase 1 clinical trial, which enrolled a total of 88 participants, including 48 healthy young male participants (mean age = 33.4 ± 6.3), 29 healthy elderly participants (mean age = 63.8 ± 4.0; 14 male, 15 female), and 11 AD participants (mean age = 69.2 ± 7.1; 5 male, 6 female, median [range] MMSE = 20 [5–29]) was completed in 2019. In both the single ascending dose, or SAD and multiple ascending dose, or MAD parts of the trial, fosgonimeton was well tolerated, without serious adverse events. All participants were randomly assigned to active and control groups. Findings from the Phase 1 trial provided safety data, as well as translational and supportive evidence in the form of qEEG measures to evaluate effects of fosgonimeton on brain activity in study participants. Results from qEEG measures demonstrated fosgonimeton crossing the BBB and improving brain network activity by significantly improved event-related potential or ERP, P300 latency, a measure of working memory processing speed, over 8-days. Trial results were published in the Journal of Alzheimer’s Disease in April 2022, and helped inform the study design of our exploratory Phase 2 ACT-AD and Phase 2/3 LIFT-AD trials.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Phase 2 ACT-AD Trial*</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ACT-AD was a randomized, double-blind, placebo-controlled, parallel-group 26-week trial evaluating fosgonimeton in participants with mild-to-moderate Alzheimer’s disease. The trial enrolled 77 participants in the United States and Australia (age 55 to 85 years, Mini-Mental State Exam (MMSE) score of 14-24 and Clinical Dementia Rating, or CDR, scale global score of 1 or 2). Participants were allowed to continue receiving background acetylcholinesterase inhibitors, or AChEIs; 60% remained on stable doses of AChEIs and 40% were not receiving AChEIs during the study. Participants were randomized 1:1:1 to receive placebo or fosgonimeton at either 40 mg/day or 70 mg/day. The primary endpoint for ACT-AD was ERP P300 latency, a measure of working memory processing speed, measured by change from baseline averaged over Weeks 12, 16, 20, and 26. Secondary endpoints included correlation of change from baseline in ERP P300 latency with a composite score of cognition and executive memory defined by the Alzheimer's Disease Assessment Scale-Cognitive Subscale, or ADAS-Cog11, and the Controlled Oral Word Association Test, or COWAT; various composite scores of clinical assessments as measured by the GST, Alzheimer’s Disease Cooperative Study-Clinical Global Impression of Change, or ADCS-CGIC, a measure of global clinical change; and Alzheimer’s Disease Cooperative Study-Activities of Daily Living, 23-item version, or ADCS-ADL23, a measure of functional change as well as measures of caregiver burden, quality of life, resource utilization, and psychiatric symptoms. Plasma samples were also bio banked for future analysis. Safety data were evaluated throughout.</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ACT-AD was completed in 2022; topline data was reported in June 2022, later presented at the Alzheimer’s Association International Conference in August 2022, and in early 2023 was finalized. The recently finalized data show some numerical differences from the previously reported preliminary topline data, which we had reported were not statistically significant (n.s.). As reported previously, we did not meet the primary endpoint of a statistically significant change in ERP P300 latency by protocoled analysis nor did we meet the secondary endpoints. However, the data showed a numerical improvement in the functional measure of ADCS-ADL23, which evaluates participants’ activities of daily living as assessed by their caregivers, compared to placebo at 26 weeks (41% or +1.7 points improvement, n.s.). Although not statistically significant, a post hoc analysis of results from ACT-AD in a pre-specified subgroup suggested positive effects on measures of working memory processing speed and cognition, plus improvements in plasma biomarkers of neurodegeneration, inflammation and AD-specific protein pathologies in participants taking fosgonimeton alone without background AChEIs. All data and analyses presented are from pooled 40mg and 70mg of fosgonimeton. During the ACT-AD trial, fosgonimeton, at either dose, was generally well tolerated with a favorable safety profile, and there were no treatment related serious adverse events or deaths observed.</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the recently finalized post hoc analysis, in participants treated with fosgonimeton alone, a potentially beneficial change in ERP P300 latency (-28 milliseconds, n.s.), as well as cognitive improvement, as measured by ADAS-Cog11 (74% or -3.0 points, n.s.), compared with placebo at 26 weeks was observed (Figure 19).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jc w:val="both"/>
        <w:ind w:firstLine="509"/>
        <w:spacing w:after="0" w:line="267" w:lineRule="auto"/>
        <w:rPr>
          <w:sz w:val="20"/>
          <w:szCs w:val="20"/>
          <w:color w:val="auto"/>
        </w:rPr>
      </w:pPr>
      <w:r>
        <w:rPr>
          <w:rFonts w:ascii="Arial" w:cs="Arial" w:eastAsia="Arial" w:hAnsi="Arial"/>
          <w:sz w:val="18"/>
          <w:szCs w:val="18"/>
          <w:i w:val="1"/>
          <w:iCs w:val="1"/>
          <w:color w:val="auto"/>
        </w:rPr>
        <w:t>Figure 19. Treatment with Fosgonimeton Results in Consistent Directional Improvements in Working Memory Processing Speed and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-22860</wp:posOffset>
            </wp:positionV>
            <wp:extent cx="5349240" cy="20059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Data from ACT-AD were additionally analyzed post hoc for effects across plasma biomarkers in participants treated with fosgonimeton without background AChEIs. In concert with the multimodal mechanism of action, targeting the HGF/MET system with fosgonimeton resulted in directional improvements across fluid biomarkers of inflammation and AD-specific protein pathologies, and a statistically significant improvement in neurodegeneration, all of which are pending further analysis and clinical investigation in our ongoing Phase 2/3 LIFT-AD clinical trial.</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Figure 20 below shows that treatment with fosgonimeton appears to improve neuroinflammation in mild-to-moderate AD as measured by glial fibrillary acidic protein, or GFAP, and chitinase-3-like protein 1, or YKL-40. The observed nominal GFAP improvement and statistical trend in YKL-40 improvement, plus the magnitude of decrease below baseline for those on active treatment is encouraging in this continuously progressive condition and indicates the translation of the anti-inflammatory effects of fosgonimeton.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Figure 20. Treatment with Fosgonimeton Appears to Improve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137795</wp:posOffset>
            </wp:positionV>
            <wp:extent cx="5023485" cy="212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2348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Treatment with fosgonimeton additionally resulted in a statistical trend and directional improvements in plasma biomarkers of AD-specific protein pathologies, Aβ and pTau, respectively. The changes observed, as shown in Figure 21, continue to support the relevance of targeting the HGF/MET system and its relevance to AD, with a potentially disease-modifying effect by impacting these protein pathologies.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21. Treatment with Fosgonimeton Induces Directional Improvements in Protein Hallmarks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137795</wp:posOffset>
            </wp:positionV>
            <wp:extent cx="5186045" cy="2237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Supportive of the potentially neuroprotective mechanism of action of HGF/MET, treatment with fosgonimeton showed a statistically significant improvement in NfL (an objective marker of neurodegeneration) levels, even to the extent of improvement below baseline (Figure 22). This decrease of NfL below baseline levels (-6.49 pg/mL, p=0.0241), is suggestive of repair in this continuously progressive condition.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i w:val="1"/>
          <w:iCs w:val="1"/>
          <w:color w:val="auto"/>
        </w:rPr>
        <w:t>Figure 22. Treatment with Fosgonimeton Shows Neuroprotective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137795</wp:posOffset>
            </wp:positionV>
            <wp:extent cx="3077210" cy="257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772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With the potential of fosgonimeton to be both neuroprotective and anti-inflammatory for AD, we assessed the relevance or predictive value of these biomarkers potentially translating to clinical effects. A correlation analysis of NfL and GFAP with the GST, a composite endpoint of cognition (ADAS-Cog11), and function (ADCS-ADL23), and the primary endpoint of our ongoing Phase 2/3 LIFT-AD trial was performed. In Figure 23, scatterplots from the full ACT-AD trial population are shown with the change from baseline, or CFB, in the GST on the Y axis and on the X axis, CFB in NfL on the left and GFAP on the right, respectively. From this analysis, we showed the statistically significant correlation between clinical and plasma biomarker improvements, and despite the limited trial size, these data support the interpretation of the clinical results.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23. Decreases in Disease-State Biomarkers Significantly Correlate with Improvements in Cognitive and Functional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8890</wp:posOffset>
            </wp:positionV>
            <wp:extent cx="5349240" cy="237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consistent clinical effects and plasma biomarker data from this exploratory Phase 2 ACT-AD trial clinical effects and plasma biomarkers continue to support the multimodal mechanism of action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enhancing the HGF/MET system through fosgonimeton and suggests that fosgonimeton may have potential benefit for Alzheimer’s patients.</w:t>
      </w:r>
    </w:p>
    <w:p>
      <w:pPr>
        <w:spacing w:after="0" w:line="3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*The ACT-AD trial and the related open-label extension for ACT-AD participants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2/3 LIFT-AD Trial</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LIFT-AD is a randomized, double-blind, placebo-controlled, parallel-group 26-week Phase 2/3 clinical trial with fosgonimeton for the treatment of mild-to-moderate AD. In September 2020, we began site initiation and patient screening. The primary endpoint for LIFT-AD will be measured by the GST, which is a composite score of cognition (ADAS-Cog11) and function (ADCS-ADL23). Guided by the results from the completed exploratory Phase 2 ACT-AD trial, in September 2022, we proactively amended LIFT-AD to focus on participants not on background AChEIs. Though going forward we are focusing on LIFT-AD recruitment of participants without background AChEIs, an unblinded adjudication of drug safety was performed by the drug safety monitoring board, which resulted in no serious adverse findings to date for both participants on or off background AChEIs.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 independent data monitoring committee, or DMC, consisting of one neurologist and two biostatisticians, performed an unblinded efficacy and futility interim analysis using a 2011 published method by Mehta and Pocock. This adaptive method enables a sample-size re-estimation based on actual observed interim data based on our co-key secondary endpoints, ADAS-Cog11 and ADCS-ADL23, which these two endpoints inform our primary endpoint, GST.</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Pre-specified constraints were protocolled in the interim statistical analysis plan, or SAP, which consisted of a sample size range with a maximum enrollment limit, and a minimum target power. The formal efficacy analysis was then based on approximately 100 completers at week 26 (end of the double-blind treatment period) without background AChEIs. The primary analysis used was a mixed model for repeated measures, or MMRM, to compare the change from baseline in the GST between fosgonimeton treatment and placebo. Two potential outcomes were also pre-specified: 1) to stop the study for futility or 2) to continue the enrollment within the pre-specified range to achieve an adequate target power for the primary endpoint.</w:t>
      </w:r>
    </w:p>
    <w:p>
      <w:pPr>
        <w:spacing w:after="0" w:line="205"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Following this interim analysis, the DMC recommended to “continue LIFT-AD study” and also determined that, with the additional enrollment of fewer than 150 participants for a total enrollment of less than 300 participants without background AChEIs, the study will be well-powered for the primary endpoint given the preliminary effect size observed.</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Figure 24 below shows the pre-specified decision framework and potential outcomes for the primary GST composite endpoint of cognition (ADAS-Cog11) and function (ADCS-ADL23). The shaded area in grey was pre-determined as the futility zone where the recommended sample size would exceed Athira's pre-specified maximum and shaded in green are the GST combinations resulting in a recommendation from the DMC to continue the study.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9" w:name="page30"/>
    <w:bookmarkEnd w:id="29"/>
    <w:p>
      <w:pPr>
        <w:jc w:val="both"/>
        <w:ind w:firstLine="509"/>
        <w:spacing w:after="0" w:line="267" w:lineRule="auto"/>
        <w:rPr>
          <w:sz w:val="20"/>
          <w:szCs w:val="20"/>
          <w:color w:val="auto"/>
        </w:rPr>
      </w:pPr>
      <w:r>
        <w:rPr>
          <w:rFonts w:ascii="Arial" w:cs="Arial" w:eastAsia="Arial" w:hAnsi="Arial"/>
          <w:sz w:val="18"/>
          <w:szCs w:val="18"/>
          <w:i w:val="1"/>
          <w:iCs w:val="1"/>
          <w:color w:val="auto"/>
        </w:rPr>
        <w:t>Figure 24. Independent Data Monitoring Committee Recommends to Continue LIFT-AD after Unblinded Interim Analysis Using a Published Methodology and Pre-Specified Decision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-22860</wp:posOffset>
            </wp:positionV>
            <wp:extent cx="5254625" cy="1954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546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8"/>
          <w:szCs w:val="18"/>
          <w:color w:val="auto"/>
        </w:rPr>
        <w:t>The results from the DMC unblinded analysis give us confidence in a potentially positive outcome for LIFT-AD. Stringent evaluation criteria were applied based on validated and clinically meaningful cognitive and functional outcomes, which support the potential clinical benefits and underscores the rationale for continued development of fosgonimeton. LIFT-AD trial is ongoing and with anticipated enrollment completion by mid-2023 and reporting topline data in early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Label Extension Trial</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July 2021, we announced that we are enrolling patients into an optional 26-week open-label extension, or OLEX, trial for our LIFT-AD and ACT-AD clinical trials. In May 2022, we announced a further extension of the 26-week OLEX for our LIFT-AD and ACT-AD clinical trials for an additional 12 months, enabling eligible participants who have completed either trial, and elect to participate in the ongoing OLEX, to now receive up to 18 months of open-label treatment with fosgonimeton, which will allow us to collect up to a total of two years of safety data with fosgonimeton. As of year-end 2022, greater than 85 percent of patients who have completed either study have elected to participate in the OLEX study.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Exploratory Phase 2 SHAPE Trial</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Fosgonimeton is also being assessed in a randomized, double-blind, placebo-controlled, parallel group exploratory Phase 2 clinical trial, SHAPE, for Parkinson’s disease dementia and dementia with Lewy bodies. We enrolled a total of 28 participants and plan to evaluate the learnings from trial results to help determine next steps for this program. With the compelling preclinical data presented at Society for Neuroscience Annual Conference in November 2022 on the broader potential of fosgonimeton to improve motor function in Parkinson’s disease, we will seek to evaluate trial designs that will further explore fosgonimeton’s therapeutic potential in this complex disease. Topline data from this exploratory trial are expected to be available in 2023 and will help to inform next steps in this or related disease indications.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 with ATH-1020 in Healthy Volunteers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ATH-1020 is an oral small molecule drug candidate for neuropathic pain that is being assessed in an ongoing Phase 1 trial that completed the single-ascending dose escalation phase. ATH-1020 demonstrated a favorable safety profile and was well-tolerated in healthy volunteers. We plan to evaluate options with this drug candidate for neuropathic pain and other neurodegenerative diseases.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Market Opportunity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believe fosgonimeton has the potential as a viable treatment option across all stages of AD, but is initially being developed for mild -to-moderate stage of disease. Stages of this progressive disorder start with mild cognitive impairment, or MCI, mild AD, moderate AD, and finally severe AD. The AD dementia market, as last reported in 2022, consists of approximately 6.5 million Americans age 65 and older and is projected to reach nearly 13 million by 2050 in the U.S. alone. Worldwide, as many as 55 million people are estimated to have Alzheimer’s and other dementias, and this number is projected to grow to nearly 140 million by 2050. Alzheimer’s disease may account for an approximate 60-70% of all diagnosed dementia cases, however, with the continued innovation of diagnostic approaches coupled with better understanding of the disease pathology, diagnosis of AD and overall cases could continue to grow.</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shown in Figure 25 below, our initial focus is on mild-to-moderate AD as this stage has been identified where disease may progress rapidly and currently available therapies are few with only modest effects. Currently 81% of all diagnosed cases of AD are mild-to-moderate, and with many new therapies under development targeting earlier stages in AD, this is a highly underserved population with a high unmet need. Fosgonimeton is initially being developed for mild-to-moderate AD, but as we continue to advance fosgonimeton, and with our multimodal mechanism of action, we believe we will have the opportunity to address all stages of AD as well as expand into other dementias.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Figure 25. Significant Opportunity for Fosgonimeton in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8890</wp:posOffset>
            </wp:positionV>
            <wp:extent cx="5340350" cy="2031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next potential target indications include PD, ALS and neuropathic pain. Parkinson’s disease is the second most common neurodegenerative disease after AD with a prevalence of nearly one million people and more than 10 million people in the United States and worldwide living with PD, respectively. Growth projections of United States cases of PD are expected to reach 1.2 million in the United States by 2030.</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ALS, an estimated approximately 75,000 people are affected globally and approximately 40% of those cases are in the US. Currently, there are only three approved drugs that are specifically indicated for the treatment of ALS, of which none target neurotrophic factor systems with a multimodal mechanism of action with the potential to offer neuroprotective, anti-inflammatory and potentially disease modifying effects.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Fosgonimeton is initially being developed as a multimodal neuroprotective, neurotrophic and anti-inflammatory therapy for AD. For the initial target patient population of mild-to-moderate AD patients, our commercialization strategy of fosgonimeton will consider the following key elements:</w:t>
      </w:r>
    </w:p>
    <w:p>
      <w:pPr>
        <w:spacing w:after="0" w:line="95"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first-line therapy;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add-on therapy for patients on existing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therapeutic option for patients who are not suitable for acetylcholinesterase inhibitors, or AChEIs;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therapeutic option for patients who have stopped AChEIs due to loss of effect or side effects.</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initially target launching fosgonimeton in the US with plans to expand into the European Union, or EU, and Asian markets as part of our global strategy. Beyond our regional launch plans, and because of our multimodal mechanism of action, we also expect to advance fosgonimeton beyond the mild-to-moderate AD stage into both earlier and later stages of disease.</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aim to demonstrate the unique short- and long-term value provided by fosgonimeton by linking the core symptoms of dementia (cognition and behavioral and psychological symptoms of dementia) to both improved outcomes and reduced costs and the benefits of fosgonimeton through increased compliance rates in our initial indications.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anticipate exploring two distribution strategies for fosgonimeton,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a robust fosgonimeton clinical supply chain to ensure sufficient supply for our LIFT-AD Phase 2/3 clinical trial in AD and the open-label extension of our LIFT-AD and ACT-AD clinical trials. We believe the synthesis of fosgonimeton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Fosgonimeton is purified as a stable solid and then released to additional CDMOs for formulation and packaging into final drug product for use in clinical testing.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2" w:name="page33"/>
    <w:bookmarkEnd w:id="32"/>
    <w:p>
      <w:pPr>
        <w:jc w:val="both"/>
        <w:ind w:firstLine="509"/>
        <w:spacing w:after="0" w:line="238"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fosgonimeton. The syringes utilize materials and components that are readily available commercially. The fosgonimeton drug product has shown extended stability (at least two years) in the proposed prefilled syringe supporting use of the product under refrigerated conditions as well as short-term dispensation and at-home storage in ambient conditions. Room temperature short-term storage allows patients to avoid cumbersome storage requirements and reduces overall burden.</w:t>
      </w:r>
    </w:p>
    <w:p>
      <w:pPr>
        <w:spacing w:after="0" w:line="202"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9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potentially justifies investment in internal manufacturing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late clinical-stage biopharmaceutical company developing small molecules to restore neuronal health and slow neurodegeneration, with our most advanced product candidate focused on the treatment of AD,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fosgonimeton as a novel small molecule therapeutic that positively modulates the HGF/MET neurotrophic system, we must consider companies as competitors who are developing other novel approaches, including those that target other neurotrophic systems to address AD and other neurological diseases. Additionally, because fosgonimeton is being advanced as a once daily liquid formulation for subcutaneous delivery, we must also consider as competitors companies developing AD therapies as subcutaneous or other routes of administration, including oral formulations, and dosing frequency.</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fosgonimeton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ind w:firstLine="509"/>
        <w:spacing w:after="0" w:line="236" w:lineRule="auto"/>
        <w:rPr>
          <w:sz w:val="20"/>
          <w:szCs w:val="20"/>
          <w:color w:val="auto"/>
        </w:rPr>
      </w:pPr>
      <w:r>
        <w:rPr>
          <w:rFonts w:ascii="Arial" w:cs="Arial" w:eastAsia="Arial" w:hAnsi="Arial"/>
          <w:sz w:val="18"/>
          <w:szCs w:val="18"/>
          <w:color w:val="auto"/>
        </w:rPr>
        <w:t>The Alzheimer’s market is experiencing a significant transformation where innovation and drug approvals have been limited for nearly 20 years. With the recent approval of two new monoclonal antibody therapies since 2021 (Biogen’s Aduhelm and Biogen/Eisai’s Leqembi) and the increased attention on novel approaches to AD, we are focused on strategically positioning ourselves in the evolving landscape to maximize our competitive advantage. 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fosgonimeton, but also our novel pipeline of therapeutics targeting the multimodal HGF/MET system with a focus on overall neuronal health. In particular, the following summarizes certain categories of our potential competition.</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direct competitors can potentially be viewed through two different lenses – stage of disease and mechanism of action, or MOA. While the AD space has just recently seen two new approvals specifically addressing earlier stages of disease, MCI and mild AD, limited options exist for the mild-to-moderate disease stage. Companies developing therapies for mild-to-moderate AD, such as AB Bioscience, Annovis Bio, Biomed Industries, BioVie, or Cassava Sciences, may emerge as direct competitors if they are quicker to market, demonstrate superior clinical effects, are safe and offer treatment options to our same initial target patient population.</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Monoclonal antibody therapies have been the focus of drug developers over the past decades, and though the two recent approvals of Aduhelm and Leqembi provide options for those in early AD, more novel approaches and treatment options are needed. Through the MOA lens, companies developing non-amyloid, non-tau, or NANT, therapies may be direct competitors as well. Companies developing NANT therapies include those targeting other neurotrophic systems such as Pharmatrophix, anti-inflammation such as AB Sciences, translational inhibitors such as Annovis Bio, and several other assets with single or multiple target approaches like Cassava or Alzecure.</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Specific to targeting HGF/MET however, we are not aware of any direct competitors currently targeting the HGF/MET system for neurological conditions. We are aware of several companies developing HGF/MET-directed therapies for other disease indications, including ANG-3777, an HGF mimetic, developed by Angion for the treatment of kidney injury; KP-100, a recombinant HGF protein, developed by Kringle Pharma for acute spinal cord injury and ALS; and Collategene developed by Mitsubishi Tanabe and AnGes as a gene therapy for the treatment of critical limb ischemia. Although ANG-3777 was reported to not have reached primary endpoints for their Phase 2 and 3 trials in 2021, the scientific basis remains unchanged and the company is evaluating next steps for the program. KP-100 is currently in Phase 3 studies for acute spinal cord injury and Phase 2 studies for ALS. Collategene was launched in Japan in the third quarter of 2019. In addition, we are aware of VM-202, a regenerative plasmid DNA therapy candidate in Phase 3 development by Helixmith for the treatment of diabetic peripheral neuropathy.</w:t>
      </w:r>
    </w:p>
    <w:p>
      <w:pPr>
        <w:spacing w:after="0" w:line="20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Fosgonimeton has the potential to offer neuroprotective and anti-inflammatory effects by targeting the HGF/MET system. Our preclinical and clinical data have demonstrated this multimodal approach may have positive benefits across several biological and clinical measures. While several potential direct competitors may exist, we have not yet identified any competitive asset that has demonstrated consistent and congruent positive effects offering neuroprotection, anti-inflammation, reducing disease-specific protein pathologies, neurotrophic, and functional benefits. AD is a complex multifactorial disease, and we view our opportunity with fosgonimeton as potentially complementary to several approaches, including the recently approved monoclonal antibody therapies.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ind w:firstLine="509"/>
        <w:spacing w:after="0" w:line="236" w:lineRule="auto"/>
        <w:rPr>
          <w:sz w:val="20"/>
          <w:szCs w:val="20"/>
          <w:color w:val="auto"/>
        </w:rPr>
      </w:pPr>
      <w:r>
        <w:rPr>
          <w:rFonts w:ascii="Arial" w:cs="Arial" w:eastAsia="Arial" w:hAnsi="Arial"/>
          <w:sz w:val="18"/>
          <w:szCs w:val="18"/>
          <w:color w:val="auto"/>
        </w:rPr>
        <w:t>As of December 31, 2022, our patent portfolio includes our exclusively owned intellectual property, including one issued U.S. patent, twelve pending U.S. patent applications, three issued patents in jurisdictions outside of the United States (not including European country validations), ten pending patent applications in jurisdictions outside of the United States, and four pending international patent applications filed under the Patent Cooperation Treaty. The patents and patent applications issued and pending outside the United States are counterparts to the foregoing U.S. patents and patent applications and are generally held in Europe, Canada, Japan, Australia, Hong Kong, India, China, Argentina and Taiwan. Our owned patents and patent applications have claims directed to fosgonimeton and our other small molecule therapeutic candidates, including ATH-1020 and ATH-1105, as compositions of matter and methods of use thereof. Our patent portfolio also includes eight issued U.S. patents and nine patents issued in jurisdictions outside of the United States (not including European country validations) that are exclusively licensed to us by Washington State University. Our in-licensed patents include, among others, claims directed to dihexa, the active metabolite of fosgonimeton, and its use.</w:t>
      </w:r>
    </w:p>
    <w:p>
      <w:pPr>
        <w:spacing w:after="0" w:line="20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Our in-licensed issued patents will expire on dates ranging from 2023 to 2035, exclusive of any patent term adjustment or patent term extension. Our owned issued patents will expire in 2037, exclusive of any patent term adjustment or patent term extension. If patents are issued on our owned pending non-provisional patent applications, the resulting patents are projected to expire on dates ranging from 2037 to 2042, exclusive of any patent term adjustment or patent term extension.</w:t>
      </w:r>
    </w:p>
    <w:p>
      <w:pPr>
        <w:spacing w:after="0" w:line="21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seek trademark protection in the United States and in certain other jurisdictions where available and when we deem appropriate. Our trademark portfolio currently consists of two pending trademark applications in the United States, two issued trademark registrations in Australia, two issued trademark registrations in the United Kingdom, and two issued trademark registrations in the European Union.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Washington State University License Agreement</w:t>
      </w:r>
    </w:p>
    <w:p>
      <w:pPr>
        <w:spacing w:after="0" w:line="1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party to an amended and restated exclusive license agreement with sublicensing terms with Washington State University, or WSU, that we entered into in 2015. Under this agreement, we have an exclusive license to make, use, sell, and offer for sale products covered by certain licensed patents, including dihexa, the chemical compound into which fosgonimeton metabolizes following administration. One of these licensed patents is jointly owned by WSU and Pacific Northwest Biotechnology, Inc. We do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spacing w:after="0" w:line="246" w:lineRule="auto"/>
        <w:rPr>
          <w:sz w:val="20"/>
          <w:szCs w:val="20"/>
          <w:color w:val="auto"/>
        </w:rPr>
      </w:pPr>
      <w:r>
        <w:rPr>
          <w:rFonts w:ascii="Arial" w:cs="Arial" w:eastAsia="Arial" w:hAnsi="Arial"/>
          <w:sz w:val="18"/>
          <w:szCs w:val="18"/>
          <w:color w:val="auto"/>
        </w:rPr>
        <w:t>not expect Pacific Northwest Biotechnology, Inc.’s joint ownership to materially affect our license of such patent or the development of any of our product candidates to which the patent relates.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020" w:hanging="503"/>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report,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December 2020, we accepted a grant from the National Institute on Aging, or NIA, of the National Institutes of Health, or NIH, to support our ACT-AD Phase 2 clinical trial for fosgonimeton (then-named ATH-1017), our lead therapeutic candidate being developed for the treatment of individuals with mild-to-moderate Alzheimer’s disease. Under the terms of the agreement and approval received from the NIH, we may receive up to an aggregate of $ 15.2 million, subject to the availability of funds and satisfactory progress of the research. Post award, we received approval from NIA to use these grant funds to support our open label extension of the ACT-AD trial. As this grant involves federally funded research, per the Bayh-Dole Act, we are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report titled “Risk Factors— Risks Relating to Our Intellectual Property—Intellectual property discovered or developed through government funded programs may be subject to federal regulations such as “march-in” rights,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6" w:name="page37"/>
    <w:bookmarkEnd w:id="36"/>
    <w:p>
      <w:pPr>
        <w:jc w:val="both"/>
        <w:ind w:right="20"/>
        <w:spacing w:after="0" w:line="246" w:lineRule="auto"/>
        <w:rPr>
          <w:sz w:val="20"/>
          <w:szCs w:val="20"/>
          <w:color w:val="auto"/>
        </w:rPr>
      </w:pPr>
      <w:r>
        <w:rPr>
          <w:rFonts w:ascii="Arial" w:cs="Arial" w:eastAsia="Arial" w:hAnsi="Arial"/>
          <w:sz w:val="18"/>
          <w:szCs w:val="18"/>
          <w:color w:val="auto"/>
        </w:rPr>
        <w:t>certain reporting requirements and a preference for U.S.-based companies. Compliance with such regulations may limit our exclusive rights and limit our ability to contract with non-U.S. manufacturers.”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0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94"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97"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7" w:name="page38"/>
    <w:bookmarkEnd w:id="37"/>
    <w:p>
      <w:pPr>
        <w:jc w:val="both"/>
        <w:spacing w:after="0"/>
        <w:rPr>
          <w:sz w:val="20"/>
          <w:szCs w:val="20"/>
          <w:color w:val="auto"/>
        </w:rPr>
      </w:pPr>
      <w:r>
        <w:rPr>
          <w:rFonts w:ascii="Arial" w:cs="Arial" w:eastAsia="Arial" w:hAnsi="Arial"/>
          <w:sz w:val="18"/>
          <w:szCs w:val="18"/>
          <w:color w:val="auto"/>
        </w:rPr>
        <w:t xml:space="preserve">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86" w:lineRule="exact"/>
        <w:rPr>
          <w:sz w:val="20"/>
          <w:szCs w:val="20"/>
          <w:color w:val="auto"/>
        </w:rPr>
      </w:pPr>
    </w:p>
    <w:p>
      <w:pPr>
        <w:jc w:val="both"/>
        <w:ind w:left="1020" w:hanging="503"/>
        <w:spacing w:after="0" w:line="24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product candidate is initially introduced into healthy human subjects or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6" w:lineRule="exact"/>
        <w:rPr>
          <w:rFonts w:ascii="Arial" w:cs="Arial" w:eastAsia="Arial" w:hAnsi="Arial"/>
          <w:sz w:val="18"/>
          <w:szCs w:val="18"/>
          <w:color w:val="auto"/>
        </w:rPr>
      </w:pPr>
    </w:p>
    <w:p>
      <w:pPr>
        <w:jc w:val="both"/>
        <w:ind w:left="1020" w:hanging="503"/>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2" w:lineRule="exact"/>
        <w:rPr>
          <w:rFonts w:ascii="Arial" w:cs="Arial" w:eastAsia="Arial" w:hAnsi="Arial"/>
          <w:sz w:val="18"/>
          <w:szCs w:val="18"/>
          <w:color w:val="auto"/>
        </w:rPr>
      </w:pPr>
    </w:p>
    <w:p>
      <w:pPr>
        <w:jc w:val="both"/>
        <w:ind w:left="1020" w:hanging="503"/>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38" w:lineRule="auto"/>
        <w:rPr>
          <w:sz w:val="20"/>
          <w:szCs w:val="20"/>
          <w:color w:val="auto"/>
        </w:rPr>
      </w:pPr>
      <w:r>
        <w:rPr>
          <w:rFonts w:ascii="Arial" w:cs="Arial" w:eastAsia="Arial" w:hAnsi="Arial"/>
          <w:sz w:val="18"/>
          <w:szCs w:val="18"/>
          <w:color w:val="auto"/>
        </w:rPr>
        <w:t>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207"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18"/>
          <w:szCs w:val="18"/>
          <w:color w:val="auto"/>
        </w:rPr>
        <w:t>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spacing w:after="0" w:line="238" w:lineRule="auto"/>
        <w:rPr>
          <w:sz w:val="20"/>
          <w:szCs w:val="20"/>
          <w:color w:val="auto"/>
        </w:rPr>
      </w:pPr>
      <w:r>
        <w:rPr>
          <w:rFonts w:ascii="Arial" w:cs="Arial" w:eastAsia="Arial" w:hAnsi="Arial"/>
          <w:sz w:val="18"/>
          <w:szCs w:val="18"/>
          <w:color w:val="auto"/>
        </w:rPr>
        <w:t>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spacing w:after="0" w:line="246" w:lineRule="auto"/>
        <w:rPr>
          <w:sz w:val="20"/>
          <w:szCs w:val="20"/>
          <w:color w:val="auto"/>
        </w:rPr>
      </w:pPr>
      <w:r>
        <w:rPr>
          <w:rFonts w:ascii="Arial" w:cs="Arial" w:eastAsia="Arial" w:hAnsi="Arial"/>
          <w:sz w:val="18"/>
          <w:szCs w:val="18"/>
          <w:color w:val="auto"/>
        </w:rPr>
        <w:t>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102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holds on post-approval or Phase IV clinical studies, if applicable;</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8"/>
          <w:szCs w:val="18"/>
          <w:color w:val="auto"/>
        </w:rPr>
        <w:t>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Catalyst Pharms., Inc. v. Becerra</w:t>
      </w:r>
      <w:r>
        <w:rPr>
          <w:rFonts w:ascii="Arial" w:cs="Arial" w:eastAsia="Arial" w:hAnsi="Arial"/>
          <w:sz w:val="18"/>
          <w:szCs w:val="18"/>
          <w:color w:val="auto"/>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Arial" w:cs="Arial" w:eastAsia="Arial" w:hAnsi="Arial"/>
          <w:sz w:val="18"/>
          <w:szCs w:val="18"/>
          <w:i w:val="1"/>
          <w:iCs w:val="1"/>
          <w:color w:val="auto"/>
        </w:rPr>
        <w:t>Catalyst</w:t>
      </w:r>
      <w:r>
        <w:rPr>
          <w:rFonts w:ascii="Arial" w:cs="Arial" w:eastAsia="Arial" w:hAnsi="Arial"/>
          <w:sz w:val="18"/>
          <w:szCs w:val="18"/>
          <w:color w:val="auto"/>
        </w:rPr>
        <w:t xml:space="preserve">, the FDA intends to continue to apply its longstanding interpretation of the regulations to matters outside of the scope of the </w:t>
      </w:r>
      <w:r>
        <w:rPr>
          <w:rFonts w:ascii="Arial" w:cs="Arial" w:eastAsia="Arial" w:hAnsi="Arial"/>
          <w:sz w:val="18"/>
          <w:szCs w:val="18"/>
          <w:i w:val="1"/>
          <w:iCs w:val="1"/>
          <w:color w:val="auto"/>
        </w:rPr>
        <w:t>Catalyst</w:t>
      </w:r>
      <w:r>
        <w:rPr>
          <w:rFonts w:ascii="Arial" w:cs="Arial" w:eastAsia="Arial" w:hAnsi="Arial"/>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3" w:name="page44"/>
    <w:bookmarkEnd w:id="43"/>
    <w:p>
      <w:pPr>
        <w:jc w:val="both"/>
        <w:ind w:right="20"/>
        <w:spacing w:after="0" w:line="246" w:lineRule="auto"/>
        <w:rPr>
          <w:sz w:val="20"/>
          <w:szCs w:val="20"/>
          <w:color w:val="auto"/>
        </w:rPr>
      </w:pPr>
      <w:r>
        <w:rPr>
          <w:rFonts w:ascii="Arial" w:cs="Arial" w:eastAsia="Arial" w:hAnsi="Arial"/>
          <w:sz w:val="18"/>
          <w:szCs w:val="18"/>
          <w:color w:val="auto"/>
        </w:rPr>
        <w:t>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payors’ reimbursement policies will not adversely affect the ability for manufacturers to sell products profitably.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Biden administration will impact the ACA, our business, financial condition and results of operations.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2031 with the exception of a temporary suspension implemented under various COVID-19 relief legislation from May 1, 2020 through March 31, 2022, unless additional congressional action is taken. Under current legislation, the actual reduction in Medicare payments can vary from 1% in 2022 to up to 4% in the final fiscal year of this sequester.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jc w:val="both"/>
        <w:spacing w:after="0" w:line="237" w:lineRule="auto"/>
        <w:rPr>
          <w:sz w:val="20"/>
          <w:szCs w:val="20"/>
          <w:color w:val="auto"/>
        </w:rPr>
      </w:pPr>
      <w:r>
        <w:rPr>
          <w:rFonts w:ascii="Arial" w:cs="Arial" w:eastAsia="Arial" w:hAnsi="Arial"/>
          <w:sz w:val="18"/>
          <w:szCs w:val="18"/>
          <w:color w:val="auto"/>
        </w:rPr>
        <w:t>if their drug prices increase faster than inflation, and redesigning Medicare Part D to reduce out-of-pocket prescription drug costs for beneficiaries, among other changes. The impact of these legislative, executive, and administrative actions and any future healthcare measures and agency rules implemented by the Biden administration on us and the pharmaceutical industry as a whole is unclear.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It is possible that additional governmental action may be taken to address the COVID-19 pandemic. Furthermore, there has been increased interest by third party payors and governmental authorities in reference to pricing systems and publication of discounts and list prices. The implementation of cost containment measures or other healthcare reforms may prevent us from being able to generate revenue, attain profitability or commercialize our product candidates.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2022, we had 64 employees, 63 of whom were full-time and 39 of whom were engaged in research and development activities. Twenty-three of our employees hold Ph.D. or M.D. degrees. None of our employees is represented by a labor union or covered under a collective bargaining agreement. We consider our relationship with our employees to be good.</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(425) 620-8501. Our website is www.athira.com. Information contained in, or that can be accessed through, our website is not a part of, and is not incorporated into, this report, and the inclusion of our website address in this report is an inactive textual reference only.</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Annual Report on Form 10-K</w:t>
      </w:r>
      <w:r>
        <w:rPr>
          <w:rFonts w:ascii="Arial" w:cs="Arial" w:eastAsia="Arial" w:hAnsi="Arial"/>
          <w:sz w:val="18"/>
          <w:szCs w:val="18"/>
          <w:color w:val="231F20"/>
        </w:rPr>
        <w:t>, including the “Management’s Discussion and Analysis of Financial Condition and Results of Operations” section</w:t>
      </w:r>
      <w:r>
        <w:rPr>
          <w:rFonts w:ascii="Arial" w:cs="Arial" w:eastAsia="Arial" w:hAnsi="Arial"/>
          <w:sz w:val="18"/>
          <w:szCs w:val="18"/>
          <w:i w:val="1"/>
          <w:iCs w:val="1"/>
          <w:color w:val="231F20"/>
        </w:rPr>
        <w:t xml:space="preserve">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7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fosgonimeton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1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line="246" w:lineRule="auto"/>
        <w:rPr>
          <w:sz w:val="20"/>
          <w:szCs w:val="20"/>
          <w:color w:val="auto"/>
        </w:rPr>
      </w:pPr>
      <w:r>
        <w:rPr>
          <w:rFonts w:ascii="Arial" w:cs="Arial" w:eastAsia="Arial" w:hAnsi="Arial"/>
          <w:sz w:val="18"/>
          <w:szCs w:val="18"/>
          <w:color w:val="auto"/>
        </w:rPr>
        <w:t>fosgonimeton and one or more of our other future product candidates. Our ability to generate revenue and achieve profitability depends significantly on our ability to achieve a number of objectives, including:</w:t>
      </w:r>
    </w:p>
    <w:p>
      <w:pPr>
        <w:spacing w:after="0" w:line="89" w:lineRule="exact"/>
        <w:rPr>
          <w:sz w:val="20"/>
          <w:szCs w:val="20"/>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8" w:name="page49"/>
    <w:bookmarkEnd w:id="48"/>
    <w:p>
      <w:pPr>
        <w:jc w:val="both"/>
        <w:ind w:right="20"/>
        <w:spacing w:after="0" w:line="246" w:lineRule="auto"/>
        <w:rPr>
          <w:sz w:val="20"/>
          <w:szCs w:val="20"/>
          <w:color w:val="auto"/>
        </w:rPr>
      </w:pPr>
      <w:r>
        <w:rPr>
          <w:rFonts w:ascii="Arial" w:cs="Arial" w:eastAsia="Arial" w:hAnsi="Arial"/>
          <w:sz w:val="18"/>
          <w:szCs w:val="18"/>
          <w:color w:val="auto"/>
        </w:rPr>
        <w:t>before implementation, which could delay our clinical trials and product candidate development, and could require additional clinical trials, including bridging studies, to demonstrate consistent and continued safety and efficacy.</w:t>
      </w:r>
    </w:p>
    <w:p>
      <w:pPr>
        <w:spacing w:after="0" w:line="2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development of fosgonimeton may never lead to a marketable product.</w:t>
      </w:r>
    </w:p>
    <w:p>
      <w:pPr>
        <w:spacing w:after="0" w:line="2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trial were not met by protocoled analysis. While we are continuing with the LIFT-AD study, we may not succeed in demonstrating safety and efficacy of fosgonimeton in our LIFT-AD trial or in other clinical trials.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fosgonimeton as a small molecule aimed at restoring neuronal health creates significant challenges for us,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spacing w:after="0" w:line="22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product candidates.</w:t>
      </w:r>
    </w:p>
    <w:p>
      <w:pPr>
        <w:spacing w:after="0" w:line="21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fosgonimeton, which is under development to treat AD, Parkinson’s Disease Dementia, or PDD, and Dementia with Lewy Bodies, or DLB. Our product candidates target an endogenous brain growth factor which is expected to protect and repair neuronal networks, which we believe could ultimately result in improvements in clinical outcomes and disease-relevant biomarkers. The therapeutic promise of brain growth factors in neurodegenerative diseases had been hampered in earlier therapies by the lack of efficient and non-invasive delivery to the brain. Our small molecule product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18"/>
          <w:szCs w:val="18"/>
          <w:color w:val="auto"/>
        </w:rPr>
        <w:t>candidates are designed to penetrate the blood brain barrier and enhance the activity of a brain growth factor, but we cannot be certain of the safety and efficacy of our product candidates in applicable patients or that our clinical trials will provide sufficient evidence that our design approach results in the intended therapeutic effect.</w:t>
      </w:r>
    </w:p>
    <w:p>
      <w:pPr>
        <w:spacing w:after="0" w:line="23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the results of our nonclinical and clinical studies to date, we believe fosgonimeton has the potential to rapidly improve cognition, function and restore the lives of patients suffering from AD. However, these ideas and this approach are novel, and we currently have limited data based on our Phase 1a/b and Phase 2 clinical trials to date.</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primary and all secondary endpoints of our Phase 2 ACT-AD clinical trial were not met by protocoled analysis. A subsequent post hoc analysis of the data in a pre-specified subgroup from patients on fosgonimeton without background therapy, or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Following an unblinded interim efficacy and futility analysis, an independent data monitoring committee recommended continuation of the LIFT-AD study of fosgonimeton in patients with mild-to-moderate AD. The committee also determined that, with the additional enrollment of fewer than 150 patients for a total enrollment of less than 300 patients without background therapy (AChEIs), the study will be well powered for the primary endpoint given the preliminary effect size observed. There is no assurance that the amendments to our ongoing LIFT-AD trial based on our findings from the ACT-AD trial and our interim analyses will ultimately result in a successful trial. For example, our biomarker data may not translate into a statistically significant clinical benefit, FDA may not agree with our statistical plan or analyses, or the trial may not be sufficiently powered for our endpoint measures.</w:t>
      </w:r>
    </w:p>
    <w:p>
      <w:pPr>
        <w:spacing w:after="0" w:line="24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product candidates. We may ultimately discover that fosgonimeton, or any of our other small molecules, do not possess certain properties required for therapeutic effectiveness. We have limited evidence regarding the efficacy, safety and tolerability of fosgonimeton and other small molecules in our product platform. We may spend substantial funds attempting to develop these product candidates and never succeed in doing so.</w:t>
      </w:r>
    </w:p>
    <w:p>
      <w:pPr>
        <w:spacing w:after="0" w:line="21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central and peripheral nervous system degenerative disorders, a field that has seen very limited success in product development.</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focused our research and development efforts on addressing central nervous system, or CNS, and peripheral nervous system, or PNS,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0" w:name="page51"/>
    <w:bookmarkEnd w:id="50"/>
    <w:p>
      <w:pPr>
        <w:jc w:val="both"/>
        <w:spacing w:after="0" w:line="247" w:lineRule="auto"/>
        <w:rPr>
          <w:sz w:val="20"/>
          <w:szCs w:val="20"/>
          <w:color w:val="auto"/>
        </w:rPr>
      </w:pPr>
      <w:r>
        <w:rPr>
          <w:rFonts w:ascii="Arial" w:cs="Arial" w:eastAsia="Arial" w:hAnsi="Arial"/>
          <w:sz w:val="18"/>
          <w:szCs w:val="18"/>
          <w:b w:val="1"/>
          <w:bCs w:val="1"/>
          <w:i w:val="1"/>
          <w:iCs w:val="1"/>
          <w:color w:val="auto"/>
        </w:rPr>
        <w:t>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22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4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spacing w:after="0" w:line="22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 Item 3—Legal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special committee of our board of directors engaged in a review of papers co-authored by our former chief executive officer in connection with her doctoral research at Washington State University. The special committee’s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1" w:name="page52"/>
    <w:bookmarkEnd w:id="51"/>
    <w:p>
      <w:pPr>
        <w:jc w:val="both"/>
        <w:spacing w:after="0" w:line="238" w:lineRule="auto"/>
        <w:rPr>
          <w:sz w:val="20"/>
          <w:szCs w:val="20"/>
          <w:color w:val="auto"/>
        </w:rPr>
      </w:pPr>
      <w:r>
        <w:rPr>
          <w:rFonts w:ascii="Arial" w:cs="Arial" w:eastAsia="Arial" w:hAnsi="Arial"/>
          <w:sz w:val="18"/>
          <w:szCs w:val="18"/>
          <w:i w:val="1"/>
          <w:iCs w:val="1"/>
          <w:color w:val="auto"/>
        </w:rPr>
        <w:t>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r>
        <w:rPr>
          <w:rFonts w:ascii="Arial" w:cs="Arial" w:eastAsia="Arial" w:hAnsi="Arial"/>
          <w:sz w:val="18"/>
          <w:szCs w:val="18"/>
          <w:color w:val="auto"/>
        </w:rPr>
        <w:t>”. The conclusions from WSU’s investigation could have a material adverse impact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product candidates.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2" w:name="page53"/>
    <w:bookmarkEnd w:id="52"/>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21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are cooperating with the SEC with respect to the subpoena.</w:t>
      </w:r>
    </w:p>
    <w:p>
      <w:pPr>
        <w:spacing w:after="0" w:line="24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21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lead product candidate, fosgonimeton, is in clinical development for the potential treatment of AD, PDD and DLB. Our additional early product candidates, including ATH-1105 for ALS, are in preclinical development. It is impossible to predict when or if any of our product candidates will prove to be effective and safe in humans or will receive regulatory approval.</w:t>
      </w:r>
    </w:p>
    <w:p>
      <w:pPr>
        <w:spacing w:after="0" w:line="24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3" w:name="page54"/>
    <w:bookmarkEnd w:id="53"/>
    <w:p>
      <w:pPr>
        <w:jc w:val="both"/>
        <w:spacing w:after="0" w:line="235" w:lineRule="auto"/>
        <w:rPr>
          <w:sz w:val="20"/>
          <w:szCs w:val="20"/>
          <w:color w:val="auto"/>
        </w:rPr>
      </w:pPr>
      <w:r>
        <w:rPr>
          <w:rFonts w:ascii="Arial" w:cs="Arial" w:eastAsia="Arial" w:hAnsi="Arial"/>
          <w:sz w:val="18"/>
          <w:szCs w:val="18"/>
          <w:color w:val="auto"/>
        </w:rPr>
        <w:t>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which included a larger patient population, approximately 60% of which were receiving standard-of-care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acetylcholinesterase inhibitors (AChEIs), we cannot be sure that data from future trials will support our earlier findings or demonstrate the safety and effectiveness of fosgonimeton for treatment of AD to the satisfaction of the FDA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3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standard-of-care AChEIs is diminished, we may be required to seek a narrower indication or restrict our target population to those where fosgonimeton shows a greater effect, which could have a material adverse effect on our business and prospects.</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July 6, 2021, we announced the initiation of an open-label extension for the LIFT-AD and ACT-AD trials and in May 2022 we announced the extension of the open label extension for an additional 12 months. Following completion of the 26-week treatment period during the LIFT-AD or ACT-AD trials, patients may elect to continue on the open-label extension and receive treatment with fosgonimeton for up to an additional 18 months.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4" w:name="page55"/>
    <w:bookmarkEnd w:id="54"/>
    <w:p>
      <w:pPr>
        <w:jc w:val="both"/>
        <w:spacing w:after="0" w:line="238" w:lineRule="auto"/>
        <w:rPr>
          <w:sz w:val="20"/>
          <w:szCs w:val="20"/>
          <w:color w:val="auto"/>
        </w:rPr>
      </w:pPr>
      <w:r>
        <w:rPr>
          <w:rFonts w:ascii="Arial" w:cs="Arial" w:eastAsia="Arial" w:hAnsi="Arial"/>
          <w:sz w:val="18"/>
          <w:szCs w:val="18"/>
          <w:color w:val="auto"/>
        </w:rPr>
        <w:t>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2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4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18"/>
          <w:szCs w:val="18"/>
          <w:color w:val="auto"/>
        </w:rPr>
        <w:t>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2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4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48"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For example, in October 2022 we announced that an independent data monitoring committee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6" w:name="page57"/>
    <w:bookmarkEnd w:id="56"/>
    <w:p>
      <w:pPr>
        <w:jc w:val="both"/>
        <w:ind w:firstLine="515"/>
        <w:spacing w:after="0" w:line="236"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spacing w:after="0" w:line="245"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or retention of patients in clinical trials, our regulatory submissions or receipt of necessary marketing approvals could be delayed or prevented.</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ongoing clinical trials had slowed due to the effects of the COVID -19 pandemic, including governmental restrictions imposed in Australia, where certain of our clinical trial sites are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p>
    <w:p>
      <w:pPr>
        <w:spacing w:after="0" w:line="24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7" w:name="page58"/>
    <w:bookmarkEnd w:id="57"/>
    <w:p>
      <w:pPr>
        <w:jc w:val="both"/>
        <w:spacing w:after="0" w:line="238" w:lineRule="auto"/>
        <w:rPr>
          <w:sz w:val="20"/>
          <w:szCs w:val="20"/>
          <w:color w:val="auto"/>
        </w:rPr>
      </w:pPr>
      <w:r>
        <w:rPr>
          <w:rFonts w:ascii="Arial" w:cs="Arial" w:eastAsia="Arial" w:hAnsi="Arial"/>
          <w:sz w:val="18"/>
          <w:szCs w:val="18"/>
          <w:color w:val="auto"/>
        </w:rPr>
        <w:t>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For example, the FDA recently granted accelerated approval for lecanemab, a drug developed by Biogen Inc. and Eisai Co., Ltd., and Eli Lilly and Company is also developing product candidates for Alzheimer's disease.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this report.</w:t>
      </w:r>
    </w:p>
    <w:p>
      <w:pPr>
        <w:spacing w:after="0" w:line="21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26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9" w:name="page60"/>
    <w:bookmarkEnd w:id="59"/>
    <w:p>
      <w:pPr>
        <w:jc w:val="both"/>
        <w:ind w:firstLine="509"/>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have conducted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2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The continuing and potential effects of the novel coronavirus disease, or COVID-19, pandemic and other disease outbreaks could adversely impact our business, including our nonclinical studies and clinical trials.</w:t>
      </w:r>
    </w:p>
    <w:p>
      <w:pPr>
        <w:spacing w:after="0" w:line="216" w:lineRule="exact"/>
        <w:rPr>
          <w:sz w:val="20"/>
          <w:szCs w:val="20"/>
          <w:color w:val="auto"/>
        </w:rPr>
      </w:pPr>
    </w:p>
    <w:p>
      <w:pPr>
        <w:jc w:val="both"/>
        <w:ind w:firstLine="509"/>
        <w:spacing w:after="0" w:line="204" w:lineRule="exact"/>
        <w:rPr>
          <w:sz w:val="20"/>
          <w:szCs w:val="20"/>
          <w:color w:val="auto"/>
        </w:rPr>
      </w:pPr>
      <w:r>
        <w:rPr>
          <w:rFonts w:ascii="Arial" w:cs="Arial" w:eastAsia="Arial" w:hAnsi="Arial"/>
          <w:sz w:val="18"/>
          <w:szCs w:val="18"/>
          <w:color w:val="auto"/>
        </w:rPr>
        <w:t>The COVID-19 pandemic and government measures taken in response had a significant impact, both direct and indirect, on businesses and commerce, including worker shortages, supply chain disruptions, facility and production suspensions, and fluctuations in demand for certain goods and services, such as medical services and supplies.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another disease outbreak could occur, which could cause us to again close down our facilities or take other measures in response.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could continue to emerge and spread quickly throughout certain areas of the United States and elsewhere, and at this point we are unable to determine when and to what extent any such resurgence will affect our business. In addition, a number of our clinical trial sites have in the past been and could in the future be subject to restrictions related to COVID-19 that adversely affect their operations. While COVID-19-related restrictions have been eased in many of our clinical trial sites, new restrictions could in the future be imposed, whether in response to an outbreak of a new variant of COVID-19 or any similar outbreak. While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0" w:name="page61"/>
    <w:bookmarkEnd w:id="60"/>
    <w:p>
      <w:pPr>
        <w:spacing w:after="0" w:line="246" w:lineRule="auto"/>
        <w:rPr>
          <w:sz w:val="20"/>
          <w:szCs w:val="20"/>
          <w:color w:val="auto"/>
        </w:rPr>
      </w:pPr>
      <w:r>
        <w:rPr>
          <w:rFonts w:ascii="Arial" w:cs="Arial" w:eastAsia="Arial" w:hAnsi="Arial"/>
          <w:sz w:val="18"/>
          <w:szCs w:val="18"/>
          <w:color w:val="auto"/>
        </w:rPr>
        <w:t>the extent of the continuing impact of the COVID-19 pandemic on our business and financial results is uncertain, a surge in cases of COVID-19 or diseases could have a material negative impact on our business, financial condition and operating results.</w:t>
      </w:r>
    </w:p>
    <w:p>
      <w:pPr>
        <w:spacing w:after="0" w:line="22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may in the future experience disruptions that could severely impact our business, nonclinical studies and clinical trials as a result of the COVID-19 pandemic or other disease outbreaks. Such disruptions may include:</w:t>
      </w:r>
    </w:p>
    <w:p>
      <w:pPr>
        <w:spacing w:after="0" w:line="89" w:lineRule="exact"/>
        <w:rPr>
          <w:sz w:val="20"/>
          <w:szCs w:val="20"/>
          <w:color w:val="auto"/>
        </w:rPr>
      </w:pPr>
    </w:p>
    <w:p>
      <w:pPr>
        <w:jc w:val="both"/>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spacing w:after="0" w:line="94"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such diseases on cognition of the subjects enrolled in our clinical trials;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4"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some or all of our employees working remotely;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3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event of a resurgence of COVID-19 or the emergence of new disease outbreaks, we could be required to develop and implement additional clinical trial policies and procedures designed to help protect subjects from such diseases. Since March 2020, the FDA has issued various COVID-19 related guidance documents for sponsors and manufacturers, including guidance on conducting clinical trials during the pandemic, and guidance on good manufacturing practice considerations among others. Recently, President Biden announced that the administration intends to end the COVID-19 national and public health emergencies on May 11, 2023. The full impact of the termination of the public health emergencies on FDA and other regulatory policies and operations are unclear.</w:t>
      </w:r>
    </w:p>
    <w:p>
      <w:pPr>
        <w:spacing w:after="0" w:line="245"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trading prices for shares of biopharmaceutical companies have in the past been and could in the future be highly volatile as a result of the COVID-19 pandemic or other disease outbreaks, and the trading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1" w:name="page62"/>
    <w:bookmarkEnd w:id="61"/>
    <w:p>
      <w:pPr>
        <w:jc w:val="both"/>
        <w:spacing w:after="0" w:line="238" w:lineRule="auto"/>
        <w:rPr>
          <w:sz w:val="20"/>
          <w:szCs w:val="20"/>
          <w:color w:val="auto"/>
        </w:rPr>
      </w:pPr>
      <w:r>
        <w:rPr>
          <w:rFonts w:ascii="Arial" w:cs="Arial" w:eastAsia="Arial" w:hAnsi="Arial"/>
          <w:sz w:val="18"/>
          <w:szCs w:val="18"/>
          <w:color w:val="auto"/>
        </w:rPr>
        <w:t>prices for shares of our common stock could also experience high volatility. In the event of a resurgence of COVID-19 or the emergence of new disease outbreaks, we could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3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ultimate impact of a resurgence of COVID-19 or other disease outbreaks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$95.6 million and $ 54.9 million for the years ended December 31, 2022 and 2021</w:t>
      </w:r>
      <w:r>
        <w:rPr>
          <w:rFonts w:ascii="Arial" w:cs="Arial" w:eastAsia="Arial" w:hAnsi="Arial"/>
          <w:sz w:val="18"/>
          <w:szCs w:val="18"/>
          <w:color w:val="212529"/>
        </w:rPr>
        <w:t>, respectively, and an accumulated deficit of $191.5 million as of December 31, 2022.</w:t>
      </w:r>
    </w:p>
    <w:p>
      <w:pPr>
        <w:spacing w:after="0" w:line="24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jc w:val="both"/>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potentially pivotal trials with respect to fosgonimeton for the treatment of mild-to-moderate AD in addition to LIFT-AD, and further extend the open label extension of the ACT-AD and LIFT-AD trials;</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2" w:name="page63"/>
    <w:bookmarkEnd w:id="62"/>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expand our facilities and lab space;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or engage in other strategic transactions;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expenses in connection with legal proceedings, and addressing potential stockholder activism;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fosgonimeton, and develop and commercialize other and future product candidates. If we are unable to raise this funding when needed, we may be forced to delay, reduce, or eliminate our product development programs or other operations.</w:t>
      </w:r>
    </w:p>
    <w:p>
      <w:pPr>
        <w:spacing w:after="0" w:line="2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cs="Arial" w:eastAsia="Arial" w:hAnsi="Arial"/>
          <w:sz w:val="18"/>
          <w:szCs w:val="18"/>
          <w:color w:val="212529"/>
        </w:rPr>
        <w:t>obtain marketing approval for fosgonimeton or any future product candidates, we expect to incur significant commercialization expenses</w:t>
      </w:r>
      <w:r>
        <w:rPr>
          <w:rFonts w:ascii="Arial" w:cs="Arial" w:eastAsia="Arial" w:hAnsi="Arial"/>
          <w:sz w:val="18"/>
          <w:szCs w:val="18"/>
          <w:color w:val="auto"/>
        </w:rPr>
        <w:t xml:space="preserve"> </w:t>
      </w:r>
      <w:r>
        <w:rPr>
          <w:rFonts w:ascii="Arial" w:cs="Arial" w:eastAsia="Arial" w:hAnsi="Arial"/>
          <w:sz w:val="18"/>
          <w:szCs w:val="18"/>
          <w:color w:val="212529"/>
        </w:rPr>
        <w:t>related to sales, marketing, manufacturing, and distribution. Furthermore, we expect to continue to incur additional costs associated with operating as a public company.</w:t>
      </w:r>
    </w:p>
    <w:p>
      <w:pPr>
        <w:spacing w:after="0" w:line="24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December 31, 2022, we had cash, cash equivalents and investments of $ 245.2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3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89" w:lineRule="exact"/>
        <w:rPr>
          <w:sz w:val="20"/>
          <w:szCs w:val="20"/>
          <w:color w:val="auto"/>
        </w:rPr>
      </w:pPr>
    </w:p>
    <w:p>
      <w:pPr>
        <w:ind w:left="1020" w:hanging="503"/>
        <w:spacing w:after="0" w:line="24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fosgonimeton, including for potential additional indications that we are pursuing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3" w:name="page64"/>
    <w:bookmarkEnd w:id="63"/>
    <w:p>
      <w:pPr>
        <w:ind w:left="1020"/>
        <w:spacing w:after="0"/>
        <w:rPr>
          <w:sz w:val="20"/>
          <w:szCs w:val="20"/>
          <w:color w:val="auto"/>
        </w:rPr>
      </w:pPr>
      <w:r>
        <w:rPr>
          <w:rFonts w:ascii="Arial" w:cs="Arial" w:eastAsia="Arial" w:hAnsi="Arial"/>
          <w:sz w:val="18"/>
          <w:szCs w:val="18"/>
          <w:color w:val="auto"/>
        </w:rPr>
        <w:t>beyond AD, such as PDD, DLB, and a potential further extension of the open label extension of the ACT-AD and LIFT-AD trials;</w:t>
      </w:r>
    </w:p>
    <w:p>
      <w:pPr>
        <w:spacing w:after="0" w:line="104" w:lineRule="exact"/>
        <w:rPr>
          <w:sz w:val="20"/>
          <w:szCs w:val="20"/>
          <w:color w:val="auto"/>
        </w:rPr>
      </w:pPr>
    </w:p>
    <w:p>
      <w:pPr>
        <w:jc w:val="both"/>
        <w:ind w:left="1020" w:right="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fosgonimeton for AD and the potential need for additional clinical trials;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be or may in the future become involved in;</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23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Adverse events or perceptions affecting the financial services industry could adversely affect our operating results, liquidity, financial condition and prospects.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and subsequently, additional financial institutions have been placed into receivership. We did not hold cash deposits or other accounts with SVB</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4" w:name="page65"/>
    <w:bookmarkEnd w:id="64"/>
    <w:p>
      <w:pPr>
        <w:spacing w:after="0" w:line="246" w:lineRule="auto"/>
        <w:rPr>
          <w:sz w:val="20"/>
          <w:szCs w:val="20"/>
          <w:color w:val="auto"/>
        </w:rPr>
      </w:pPr>
      <w:r>
        <w:rPr>
          <w:rFonts w:ascii="Arial" w:cs="Arial" w:eastAsia="Arial" w:hAnsi="Arial"/>
          <w:sz w:val="18"/>
          <w:szCs w:val="18"/>
          <w:color w:val="auto"/>
        </w:rPr>
        <w:t>and did not, and as of the date of this report do not, otherwise have a direct business relationship with SVB or similarly situated financial institutions. However, companies that did have a business relationship with SVB faced:</w:t>
      </w:r>
    </w:p>
    <w:p>
      <w:pPr>
        <w:spacing w:after="0" w:line="89"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0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access to revolving existing credit facilities or other working capital sources or the inability to refund, roll over or extend the maturity of, or enter into new credit facilities or other working capital resources;</w:t>
      </w:r>
    </w:p>
    <w:p>
      <w:pPr>
        <w:spacing w:after="0" w:line="291"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or actual breach of obligations, including U.S. federal and state wage laws and contracts that required them to maintain letters or credit or other credit support arrangements; and</w:t>
      </w:r>
    </w:p>
    <w:p>
      <w:pPr>
        <w:spacing w:after="0" w:line="291"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cash management arrangements or delays in accessing or actual loss of funds subject to cash management arrangements.</w:t>
      </w:r>
    </w:p>
    <w:p>
      <w:pPr>
        <w:spacing w:after="0" w:line="200" w:lineRule="exact"/>
        <w:rPr>
          <w:sz w:val="20"/>
          <w:szCs w:val="20"/>
          <w:color w:val="auto"/>
        </w:rPr>
      </w:pPr>
    </w:p>
    <w:p>
      <w:pPr>
        <w:spacing w:after="0" w:line="2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spacing w:after="0" w:line="24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Concerns regarding the U.S. or international financial systems could impact the availability and cost of financing, thereby making it more difficult for us to acquire financing on acceptable terms or at all.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risks could materially impact our operating results, liquidity, financial condition and prospects.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27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212529"/>
        </w:rPr>
        <w:t>As of December 31, 2022, we had federal net operating loss carryforwards, or NOLs, to offset future taxable income of approximately $9.5 million and federal tax credit carryforwards of approximately $5.6 million, which expire over a period of 9 to 15 years. Federal NOLs of $104.4 million were generated after 2017, and therefore do not expire. At December 31, 2022, we also had state NOLs of $2.7 million, which expire over a period of 19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5" w:name="page66"/>
    <w:bookmarkEnd w:id="65"/>
    <w:p>
      <w:pPr>
        <w:jc w:val="both"/>
        <w:ind w:right="20"/>
        <w:spacing w:after="0" w:line="246" w:lineRule="auto"/>
        <w:rPr>
          <w:sz w:val="20"/>
          <w:szCs w:val="20"/>
          <w:color w:val="auto"/>
        </w:rPr>
      </w:pPr>
      <w:r>
        <w:rPr>
          <w:rFonts w:ascii="Arial" w:cs="Arial" w:eastAsia="Arial" w:hAnsi="Arial"/>
          <w:sz w:val="18"/>
          <w:szCs w:val="18"/>
          <w:color w:val="212529"/>
        </w:rPr>
        <w:t>Security Act. We have recorded a full valuation allowance related to our NOLs and other deferred tax assets due to the uncertainty of the ultimate realization of the future benefits of those assets.</w:t>
      </w:r>
    </w:p>
    <w:p>
      <w:pPr>
        <w:spacing w:after="0" w:line="2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212529"/>
        </w:rPr>
        <w:t>Changes in tax laws could have a material adverse effect on our business, cash flows, results of operations or financial condition.</w:t>
      </w:r>
    </w:p>
    <w:p>
      <w:pPr>
        <w:spacing w:after="0" w:line="21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212529"/>
        </w:rPr>
        <w:t xml:space="preserve">We </w:t>
      </w:r>
      <w:r>
        <w:rPr>
          <w:rFonts w:ascii="Arial" w:cs="Arial" w:eastAsia="Arial" w:hAnsi="Arial"/>
          <w:sz w:val="18"/>
          <w:szCs w:val="18"/>
          <w:color w:val="000000"/>
        </w:rPr>
        <w:t>are subject to the tax laws, regulations, and policies of several taxing jurisdictions. Changes in tax laws, as well as other factors,</w:t>
      </w:r>
      <w:r>
        <w:rPr>
          <w:rFonts w:ascii="Arial" w:cs="Arial" w:eastAsia="Arial" w:hAnsi="Arial"/>
          <w:sz w:val="18"/>
          <w:szCs w:val="18"/>
          <w:color w:val="212529"/>
        </w:rPr>
        <w:t xml:space="preserve"> </w:t>
      </w:r>
      <w:r>
        <w:rPr>
          <w:rFonts w:ascii="Arial" w:cs="Arial" w:eastAsia="Arial" w:hAnsi="Arial"/>
          <w:sz w:val="18"/>
          <w:szCs w:val="18"/>
          <w:color w:val="000000"/>
        </w:rPr>
        <w:t>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cs="Arial" w:eastAsia="Arial" w:hAnsi="Arial"/>
          <w:sz w:val="18"/>
          <w:szCs w:val="18"/>
          <w:color w:val="212529"/>
        </w:rPr>
        <w:t>.</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3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3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4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or regulatory approval may be delayed for reasons beyond our control.</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02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6" w:name="page67"/>
    <w:bookmarkEnd w:id="66"/>
    <w:p>
      <w:pPr>
        <w:ind w:left="1020"/>
        <w:spacing w:after="0"/>
        <w:rPr>
          <w:sz w:val="20"/>
          <w:szCs w:val="20"/>
          <w:color w:val="auto"/>
        </w:rPr>
      </w:pPr>
      <w:r>
        <w:rPr>
          <w:rFonts w:ascii="Arial" w:cs="Arial" w:eastAsia="Arial" w:hAnsi="Arial"/>
          <w:sz w:val="18"/>
          <w:szCs w:val="18"/>
          <w:color w:val="auto"/>
        </w:rPr>
        <w:t>or other characteristics that preclude our obtaining marketing approval or prevent or limit commercial use;</w:t>
      </w:r>
    </w:p>
    <w:p>
      <w:pPr>
        <w:spacing w:after="0" w:line="104" w:lineRule="exact"/>
        <w:rPr>
          <w:sz w:val="20"/>
          <w:szCs w:val="20"/>
          <w:color w:val="auto"/>
        </w:rPr>
      </w:pPr>
    </w:p>
    <w:p>
      <w:pPr>
        <w:ind w:left="10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3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36"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43" w:lineRule="exact"/>
        <w:rPr>
          <w:sz w:val="20"/>
          <w:szCs w:val="20"/>
          <w:color w:val="auto"/>
        </w:rPr>
      </w:pPr>
    </w:p>
    <w:p>
      <w:pPr>
        <w:jc w:val="both"/>
        <w:ind w:firstLine="515"/>
        <w:spacing w:after="0" w:line="238"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7" w:name="page68"/>
    <w:bookmarkEnd w:id="67"/>
    <w:p>
      <w:pPr>
        <w:jc w:val="both"/>
        <w:spacing w:after="0"/>
        <w:rPr>
          <w:sz w:val="20"/>
          <w:szCs w:val="20"/>
          <w:color w:val="auto"/>
        </w:rPr>
      </w:pPr>
      <w:r>
        <w:rPr>
          <w:rFonts w:ascii="Arial" w:cs="Arial" w:eastAsia="Arial" w:hAnsi="Arial"/>
          <w:sz w:val="18"/>
          <w:szCs w:val="18"/>
          <w:color w:val="auto"/>
        </w:rPr>
        <w:t>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43"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including, for example, by interfering with the effects of our product candidates. A pre-specified group analysis of patients in our ACT-AD clinical trial identified a potential diminished effect of the combination of standard-of-care (AChEIs) and fosgonimeton. While more clinical studies are needed to determine the safety and efficacy of fosgonimeton, to the extent standard-of-care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p>
    <w:p>
      <w:pPr>
        <w:spacing w:after="0" w:line="245"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46" w:lineRule="exact"/>
        <w:rPr>
          <w:sz w:val="20"/>
          <w:szCs w:val="20"/>
          <w:color w:val="auto"/>
        </w:rPr>
      </w:pPr>
    </w:p>
    <w:p>
      <w:pPr>
        <w:jc w:val="both"/>
        <w:ind w:firstLine="515"/>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8" w:name="page69"/>
    <w:bookmarkEnd w:id="68"/>
    <w:p>
      <w:pPr>
        <w:jc w:val="both"/>
        <w:ind w:firstLine="509"/>
        <w:spacing w:after="0" w:line="237"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1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3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7" w:lineRule="exact"/>
        <w:rPr>
          <w:sz w:val="20"/>
          <w:szCs w:val="20"/>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9" w:name="page70"/>
    <w:bookmarkEnd w:id="69"/>
    <w:p>
      <w:pPr>
        <w:jc w:val="both"/>
        <w:spacing w:after="0" w:line="238" w:lineRule="auto"/>
        <w:rPr>
          <w:sz w:val="20"/>
          <w:szCs w:val="20"/>
          <w:color w:val="auto"/>
        </w:rPr>
      </w:pPr>
      <w:r>
        <w:rPr>
          <w:rFonts w:ascii="Arial" w:cs="Arial" w:eastAsia="Arial" w:hAnsi="Arial"/>
          <w:sz w:val="18"/>
          <w:szCs w:val="18"/>
          <w:color w:val="auto"/>
        </w:rPr>
        <w:t>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2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3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45"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For example, in 2018 and 2019, the U.S. government shut down several times and certain regulatory agencies, such as the FDA and the SEC, had to furlough critical employees and stop critical activities. Separately, in response to the COVID-19 public health emergency, since March 2020 when foreign and domestic inspections facilities were largely placed on hold, the FDA has been working to resume routine surveillance, bioresearch monitoring and pre-approval inspections on a prioritized basis. In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and review timelines could be extended, including where a pre-approval inspection or an inspection of clinical sites is required and due to the ongoing COVID-19 pandemic, travel restrictions, or staffing shortages,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32" w:lineRule="exact"/>
        <w:rPr>
          <w:sz w:val="20"/>
          <w:szCs w:val="20"/>
          <w:color w:val="auto"/>
        </w:rPr>
      </w:pPr>
    </w:p>
    <w:p>
      <w:pPr>
        <w:jc w:val="both"/>
        <w:ind w:firstLine="515"/>
        <w:spacing w:after="0" w:line="253"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18"/>
          <w:szCs w:val="18"/>
          <w:b w:val="1"/>
          <w:bCs w:val="1"/>
          <w:i w:val="1"/>
          <w:iCs w:val="1"/>
          <w:color w:val="auto"/>
        </w:rPr>
        <w:t>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31"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3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a biologic, through the accelerated approval pathway, the FDA has requested the Office of the Inspector General to investigate the FDA’s review of Aduhelm leading up to its approval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Alzheimer’s disease and our clinical development programs.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37"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or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2" w:name="page73"/>
    <w:bookmarkEnd w:id="72"/>
    <w:p>
      <w:pPr>
        <w:jc w:val="both"/>
        <w:ind w:right="20"/>
        <w:spacing w:after="0"/>
        <w:rPr>
          <w:sz w:val="20"/>
          <w:szCs w:val="20"/>
          <w:color w:val="auto"/>
        </w:rPr>
      </w:pPr>
      <w:r>
        <w:rPr>
          <w:rFonts w:ascii="Arial" w:cs="Arial" w:eastAsia="Arial" w:hAnsi="Arial"/>
          <w:sz w:val="18"/>
          <w:szCs w:val="18"/>
          <w:color w:val="auto"/>
        </w:rPr>
        <w:t>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can vary from 1% in 2022 to up to 4% in the final fiscal year of this sequester.</w:t>
      </w:r>
    </w:p>
    <w:p>
      <w:pPr>
        <w:spacing w:after="0" w:line="23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3" w:name="page74"/>
    <w:bookmarkEnd w:id="73"/>
    <w:p>
      <w:pPr>
        <w:jc w:val="both"/>
        <w:ind w:firstLine="509"/>
        <w:spacing w:after="0" w:line="236" w:lineRule="auto"/>
        <w:rPr>
          <w:sz w:val="20"/>
          <w:szCs w:val="20"/>
          <w:color w:val="auto"/>
        </w:rPr>
      </w:pPr>
      <w:r>
        <w:rPr>
          <w:rFonts w:ascii="Arial" w:cs="Arial" w:eastAsia="Arial" w:hAnsi="Arial"/>
          <w:sz w:val="18"/>
          <w:szCs w:val="18"/>
          <w:color w:val="auto"/>
        </w:rPr>
        <w:t>In April 2022, CMS released a finalized national policy for coverage of aducanumab, or Aduhelm, and any future monoclonal antibodies directed against amyloid approved by the FDA with an indication for use in treating Alzheimer’s disease. According to the two-part National Coverage Determination, or NCD, Medicare will cover monoclonal antibodies that target amyloid (or plaque) for the treatment of Alzheimer’s disease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National Institutes of Health approved clinical trials. If CMS adopts similar coverage restrictions for other classes of FDA-approved drugs for the treatment of Alzheimer’s disease that encompass our product candidates, our ability to commercialize our product candidates, if approved, generate revenue and attain profitability could be negatively impacted. It is unclear how future CMS coverage decisions and policies will impact our business.</w:t>
      </w:r>
    </w:p>
    <w:p>
      <w:pPr>
        <w:spacing w:after="0" w:line="23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spacing w:after="0" w:line="9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4" w:name="page75"/>
    <w:bookmarkEnd w:id="74"/>
    <w:p>
      <w:pPr>
        <w:jc w:val="both"/>
        <w:ind w:firstLine="509"/>
        <w:spacing w:after="0" w:line="236" w:lineRule="auto"/>
        <w:rPr>
          <w:sz w:val="20"/>
          <w:szCs w:val="20"/>
          <w:color w:val="auto"/>
        </w:rPr>
      </w:pPr>
      <w:r>
        <w:rPr>
          <w:rFonts w:ascii="Arial" w:cs="Arial" w:eastAsia="Arial" w:hAnsi="Arial"/>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1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National Institutes of Health,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4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jc w:val="both"/>
        <w:ind w:left="1020" w:hanging="503"/>
        <w:spacing w:after="0" w:line="23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6"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5" w:name="page76"/>
    <w:bookmarkEnd w:id="75"/>
    <w:p>
      <w:pPr>
        <w:jc w:val="both"/>
        <w:ind w:left="503"/>
        <w:spacing w:after="0" w:line="236" w:lineRule="auto"/>
        <w:rPr>
          <w:sz w:val="20"/>
          <w:szCs w:val="20"/>
          <w:color w:val="auto"/>
        </w:rPr>
      </w:pPr>
      <w:r>
        <w:rPr>
          <w:rFonts w:ascii="Arial" w:cs="Arial" w:eastAsia="Arial" w:hAnsi="Arial"/>
          <w:sz w:val="18"/>
          <w:szCs w:val="18"/>
          <w:color w:val="auto"/>
        </w:rPr>
        <w:t>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spacing w:after="0" w:line="96" w:lineRule="exact"/>
        <w:rPr>
          <w:sz w:val="20"/>
          <w:szCs w:val="20"/>
          <w:color w:val="auto"/>
        </w:rPr>
      </w:pPr>
    </w:p>
    <w:p>
      <w:pPr>
        <w:jc w:val="both"/>
        <w:ind w:left="503" w:hanging="503"/>
        <w:spacing w:after="0" w:line="236" w:lineRule="auto"/>
        <w:tabs>
          <w:tab w:leader="none" w:pos="5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9"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9" w:lineRule="exact"/>
        <w:rPr>
          <w:rFonts w:ascii="Arial" w:cs="Arial" w:eastAsia="Arial" w:hAnsi="Arial"/>
          <w:sz w:val="18"/>
          <w:szCs w:val="18"/>
          <w:color w:val="auto"/>
        </w:rPr>
      </w:pPr>
    </w:p>
    <w:p>
      <w:pPr>
        <w:jc w:val="both"/>
        <w:ind w:left="503" w:hanging="503"/>
        <w:spacing w:after="0" w:line="237" w:lineRule="auto"/>
        <w:tabs>
          <w:tab w:leader="none" w:pos="5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94"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w:t>
      </w:r>
    </w:p>
    <w:p>
      <w:pPr>
        <w:spacing w:after="0" w:line="20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76" w:name="page77"/>
    <w:bookmarkEnd w:id="76"/>
    <w:p>
      <w:pPr>
        <w:jc w:val="both"/>
        <w:ind w:left="1020"/>
        <w:spacing w:after="0" w:line="237" w:lineRule="auto"/>
        <w:rPr>
          <w:sz w:val="20"/>
          <w:szCs w:val="20"/>
          <w:color w:val="auto"/>
        </w:rPr>
      </w:pPr>
      <w:r>
        <w:rPr>
          <w:rFonts w:ascii="Arial" w:cs="Arial" w:eastAsia="Arial" w:hAnsi="Arial"/>
          <w:sz w:val="18"/>
          <w:szCs w:val="18"/>
          <w:color w:val="auto"/>
        </w:rPr>
        <w:t>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1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3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7" w:name="page78"/>
    <w:bookmarkEnd w:id="77"/>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5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1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CMOs, and strategic partners to conduct and support our nonclinical studies and clinical trials under agreements with us.</w:t>
      </w:r>
    </w:p>
    <w:p>
      <w:pPr>
        <w:spacing w:after="0" w:line="23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8" w:name="page79"/>
    <w:bookmarkEnd w:id="78"/>
    <w:p>
      <w:pPr>
        <w:jc w:val="both"/>
        <w:spacing w:after="0" w:line="235" w:lineRule="auto"/>
        <w:rPr>
          <w:sz w:val="20"/>
          <w:szCs w:val="20"/>
          <w:color w:val="auto"/>
        </w:rPr>
      </w:pPr>
      <w:r>
        <w:rPr>
          <w:rFonts w:ascii="Arial" w:cs="Arial" w:eastAsia="Arial" w:hAnsi="Arial"/>
          <w:sz w:val="18"/>
          <w:szCs w:val="18"/>
          <w:color w:val="auto"/>
        </w:rPr>
        <w:t>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4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2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2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and sometimes involve long lead times from order to receipt of the materials.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9" w:name="page80"/>
    <w:bookmarkEnd w:id="79"/>
    <w:p>
      <w:pPr>
        <w:jc w:val="both"/>
        <w:spacing w:after="0"/>
        <w:rPr>
          <w:sz w:val="20"/>
          <w:szCs w:val="20"/>
          <w:color w:val="auto"/>
        </w:rPr>
      </w:pPr>
      <w:r>
        <w:rPr>
          <w:rFonts w:ascii="Arial" w:cs="Arial" w:eastAsia="Arial" w:hAnsi="Arial"/>
          <w:sz w:val="18"/>
          <w:szCs w:val="18"/>
          <w:color w:val="auto"/>
        </w:rPr>
        <w:t>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5" w:lineRule="exact"/>
        <w:rPr>
          <w:sz w:val="20"/>
          <w:szCs w:val="20"/>
          <w:color w:val="auto"/>
        </w:rPr>
      </w:pPr>
    </w:p>
    <w:p>
      <w:pPr>
        <w:jc w:val="both"/>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5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3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0" w:name="page81"/>
    <w:bookmarkEnd w:id="80"/>
    <w:p>
      <w:pPr>
        <w:jc w:val="both"/>
        <w:spacing w:after="0" w:line="236" w:lineRule="auto"/>
        <w:rPr>
          <w:sz w:val="20"/>
          <w:szCs w:val="20"/>
          <w:color w:val="auto"/>
        </w:rPr>
      </w:pPr>
      <w:r>
        <w:rPr>
          <w:rFonts w:ascii="Arial" w:cs="Arial" w:eastAsia="Arial" w:hAnsi="Arial"/>
          <w:sz w:val="18"/>
          <w:szCs w:val="18"/>
          <w:color w:val="auto"/>
        </w:rPr>
        <w:t>are subject to inspections by the FDA and comparable foreign regulatory authorities to confirm compliance with applicable regulatory requirements. Any failure to follow cGMP or other regulatory requirements or delay, interruption or other issues that arise in the manufacture, fill -finish,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1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1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4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engaged in a 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papers co-authored by our former chief executive officer in connection with her doctoral research at Washington State University. The special committee’s findings included that (1) our former chief executive officer altered images in her 2011 doctoral dissertation and at least four research papers that she co-authored while a graduate student at Washington State University, and published from 2011 to 2014, (2) that we cited challenged research papers in certain communications and applications, and (3) that WSU’s dihexa patent, exclusively licensed to us, incorporated certain of these altered images. Washington State University has undertaken a review of claims of potential research misconduct involving our former chief executive officer’s doctoral research 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1" w:name="page82"/>
    <w:bookmarkEnd w:id="81"/>
    <w:p>
      <w:pPr>
        <w:jc w:val="both"/>
        <w:ind w:right="20"/>
        <w:spacing w:after="0" w:line="267" w:lineRule="auto"/>
        <w:rPr>
          <w:sz w:val="20"/>
          <w:szCs w:val="20"/>
          <w:color w:val="auto"/>
        </w:rPr>
      </w:pPr>
      <w:r>
        <w:rPr>
          <w:rFonts w:ascii="Arial" w:cs="Arial" w:eastAsia="Arial" w:hAnsi="Arial"/>
          <w:sz w:val="18"/>
          <w:szCs w:val="18"/>
          <w:i w:val="1"/>
          <w:iCs w:val="1"/>
          <w:color w:val="auto"/>
        </w:rPr>
        <w:t>Washington State University. We cannot predict when WSU’s investigation will be completed or what conclusions WSU will reach</w:t>
      </w:r>
      <w:r>
        <w:rPr>
          <w:rFonts w:ascii="Arial" w:cs="Arial" w:eastAsia="Arial" w:hAnsi="Arial"/>
          <w:sz w:val="18"/>
          <w:szCs w:val="18"/>
          <w:color w:val="auto"/>
        </w:rPr>
        <w:t>,” may</w:t>
      </w:r>
      <w:r>
        <w:rPr>
          <w:rFonts w:ascii="Arial" w:cs="Arial" w:eastAsia="Arial" w:hAnsi="Arial"/>
          <w:sz w:val="18"/>
          <w:szCs w:val="18"/>
          <w:i w:val="1"/>
          <w:iCs w:val="1"/>
          <w:color w:val="auto"/>
        </w:rPr>
        <w:t xml:space="preserve"> </w:t>
      </w:r>
      <w:r>
        <w:rPr>
          <w:rFonts w:ascii="Arial" w:cs="Arial" w:eastAsia="Arial" w:hAnsi="Arial"/>
          <w:sz w:val="18"/>
          <w:szCs w:val="18"/>
          <w:color w:val="auto"/>
        </w:rPr>
        <w:t>discourage potential counterparties from entering into relationships with us.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43"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jc w:val="both"/>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3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82" w:name="page83"/>
    <w:bookmarkEnd w:id="82"/>
    <w:p>
      <w:pPr>
        <w:jc w:val="both"/>
        <w:ind w:right="20"/>
        <w:spacing w:after="0" w:line="246" w:lineRule="auto"/>
        <w:rPr>
          <w:sz w:val="20"/>
          <w:szCs w:val="20"/>
          <w:color w:val="auto"/>
        </w:rPr>
      </w:pPr>
      <w:r>
        <w:rPr>
          <w:rFonts w:ascii="Arial" w:cs="Arial" w:eastAsia="Arial" w:hAnsi="Arial"/>
          <w:sz w:val="18"/>
          <w:szCs w:val="18"/>
          <w:color w:val="auto"/>
        </w:rPr>
        <w:t>product candidates in certain geographies for certain indications, which would harm our business prospects, financial condition and results of operations.</w:t>
      </w:r>
    </w:p>
    <w:p>
      <w:pPr>
        <w:spacing w:after="0" w:line="2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23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5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95"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of physician acceptance of FDA-approved therapies for AD or other target indications;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3" w:name="page84"/>
    <w:bookmarkEnd w:id="83"/>
    <w:p>
      <w:pPr>
        <w:ind w:left="1020" w:hanging="50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6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24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18"/>
          <w:szCs w:val="18"/>
          <w:color w:val="auto"/>
        </w:rPr>
        <w:t>the FDA. Additionally, the potentially addressable patient population for our product candidates may not ultimately be amenable to treatment with our product candidates. For example, pre-specified subgroup analysis based on topline data from our ACT-AD clinical trial identified a potential diminished effect of the combination of standard -of-care (AChEIs) and fosgonimeton. If such hypothesis is supported by additional research, patients receiving AChEIs could be excluded from the addressable patient population for fosgonimeton.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1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5" w:name="page86"/>
    <w:bookmarkEnd w:id="85"/>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2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4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5"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18"/>
          <w:szCs w:val="18"/>
          <w:color w:val="auto"/>
        </w:rPr>
        <w:t>candidates. Accordingly, in markets outside the United States, the reimbursement for products may be reduced compared with the United States and may be insufficient to generate commercially reasonable revenue and profits.</w:t>
      </w:r>
    </w:p>
    <w:p>
      <w:pPr>
        <w:spacing w:after="0" w:line="22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Arial" w:cs="Arial" w:eastAsia="Arial" w:hAnsi="Arial"/>
          <w:sz w:val="18"/>
          <w:szCs w:val="18"/>
          <w:color w:val="212529"/>
        </w:rPr>
        <w:t>.</w:t>
      </w:r>
    </w:p>
    <w:p>
      <w:pPr>
        <w:spacing w:after="0" w:line="2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7" w:name="page88"/>
    <w:bookmarkEnd w:id="87"/>
    <w:p>
      <w:pPr>
        <w:ind w:firstLine="509"/>
        <w:spacing w:after="0" w:line="271"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0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89" w:lineRule="exact"/>
        <w:rPr>
          <w:sz w:val="20"/>
          <w:szCs w:val="20"/>
          <w:color w:val="auto"/>
        </w:rPr>
      </w:pPr>
    </w:p>
    <w:p>
      <w:pPr>
        <w:ind w:left="1020" w:right="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 of the COVID-19 pandemic or other health epidemic on our ability to produce our product candidates and conduct clinical trials in foreign countries;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6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4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product candidates could have a material adverse effect on our financial condition and results of operations.</w:t>
      </w:r>
    </w:p>
    <w:p>
      <w:pPr>
        <w:spacing w:after="0" w:line="22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of December 31, 2022, our patent portfolio includes one issued U.S. patent, twelve pending U.S. patent applications, three issued patents in jurisdictions outside of the U.S. (not including European country validations), ten pending patent applications in jurisdictions outside of the U.S., and four pending international patent applications filed under the Patent Cooperation Treaty. Our owned patents and patent applications have claims directed to fosgonimeton and our other small molecule therapeutic candidates, including ATH-1020 and ATH-1105, as compositions of matter and methods of use thereof. The U.S. patent will expire in June 2037, absent any patent term extensions for regulatory delay. Dr. Kawas is an inventor on our company-owned patents. Our patent portfolio also includes eight issued U.S. patents and nine patents issued in jurisdictions outside of the United States (not including European country validations) that are exclusively licensed to us by WSU. The in-licensed patent portfolio includes issued U.S. patents that do not directly cover fosgonimeton as a composition of matter or pharmaceutical formulation, but instead cover the active metabolite of fosgonimeton, which is hexanoic-tyrosine-isoleucine-(6)-amino-hexanoic amide, or dihexa, and uses of dihexa. Dr. Kawas is an inventor on five of the in-licensed issued U.S. patents.</w:t>
      </w:r>
    </w:p>
    <w:p>
      <w:pPr>
        <w:spacing w:after="0" w:line="24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9" w:name="page90"/>
    <w:bookmarkEnd w:id="89"/>
    <w:p>
      <w:pPr>
        <w:jc w:val="both"/>
        <w:ind w:firstLine="509"/>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jc w:val="both"/>
        <w:ind w:left="1020" w:right="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to patent laws in the United States or in other countries may limit the ability to obtain, defend or enforce patents, or may apply retroactively to affect the terms or scope of patents;</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4" w:lineRule="exact"/>
        <w:rPr>
          <w:rFonts w:ascii="Arial" w:cs="Arial" w:eastAsia="Arial" w:hAnsi="Arial"/>
          <w:sz w:val="18"/>
          <w:szCs w:val="18"/>
          <w:color w:val="auto"/>
        </w:rPr>
      </w:pPr>
    </w:p>
    <w:p>
      <w:pPr>
        <w:jc w:val="both"/>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4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their use or which effectively prevent others from commercializing competitive product candidates.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0" w:name="page91"/>
    <w:bookmarkEnd w:id="90"/>
    <w:p>
      <w:pPr>
        <w:jc w:val="both"/>
        <w:ind w:firstLine="50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3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4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spacing w:after="0" w:line="22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and may in the future be, named as defendants in lawsuits that could result in substantial costs and divert management’s attention</w:t>
      </w:r>
      <w:r>
        <w:rPr>
          <w:rFonts w:ascii="Arial" w:cs="Arial" w:eastAsia="Arial" w:hAnsi="Arial"/>
          <w:sz w:val="18"/>
          <w:szCs w:val="18"/>
          <w:color w:val="auto"/>
        </w:rPr>
        <w:t>,” and in “Part I, Item 3—Legal Proceedings,” third parties may challenge the validity or</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Even though we own patents and patent applications covering fosgonimeton and its use, our patents and any future patents we obtain may not effectively prevent others from developing or commercializing products similar to our product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4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or WSU may in the future file one or more requests for supplemental examination of certain patents for the USPTO to reconsider the enforceability and validity of the patents (including any patents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1" w:name="page92"/>
    <w:bookmarkEnd w:id="91"/>
    <w:p>
      <w:pPr>
        <w:jc w:val="both"/>
        <w:spacing w:after="0" w:line="237" w:lineRule="auto"/>
        <w:rPr>
          <w:sz w:val="20"/>
          <w:szCs w:val="20"/>
          <w:color w:val="auto"/>
        </w:rPr>
      </w:pPr>
      <w:r>
        <w:rPr>
          <w:rFonts w:ascii="Arial" w:cs="Arial" w:eastAsia="Arial" w:hAnsi="Arial"/>
          <w:sz w:val="18"/>
          <w:szCs w:val="18"/>
          <w:color w:val="auto"/>
        </w:rPr>
        <w:t>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020" w:right="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any current or future licensors or collaborators might not have been the first to file patent applications covering certain of our or their inventions;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3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and other legal actions, both within and outside the United States, involving patent and other intellectual property rights in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2" w:name="page93"/>
    <w:bookmarkEnd w:id="92"/>
    <w:p>
      <w:pPr>
        <w:jc w:val="both"/>
        <w:spacing w:after="0" w:line="238" w:lineRule="auto"/>
        <w:rPr>
          <w:sz w:val="20"/>
          <w:szCs w:val="20"/>
          <w:color w:val="auto"/>
        </w:rPr>
      </w:pPr>
      <w:r>
        <w:rPr>
          <w:rFonts w:ascii="Arial" w:cs="Arial" w:eastAsia="Arial" w:hAnsi="Arial"/>
          <w:sz w:val="18"/>
          <w:szCs w:val="18"/>
          <w:color w:val="auto"/>
        </w:rPr>
        <w:t>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compositions, materials, formulations, methods of manufacture or methods for treatment related to the use or manufacture of our product candidates.</w:t>
      </w:r>
    </w:p>
    <w:p>
      <w:pPr>
        <w:spacing w:after="0" w:line="22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product candidates, and we cannot be certain that we were the first to file a patent application related to a product candidate, its use, or our technology. Moreover, because patent applications can take many years to issue, there may be currently-pending patent applications that may later result in issued patents that our product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spacing w:after="0" w:line="96"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publicity and could prohibit us from marketing or otherwise commercializing our product candidates and technology.</w:t>
      </w:r>
    </w:p>
    <w:p>
      <w:pPr>
        <w:spacing w:after="0" w:line="23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2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3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product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spacing w:after="0" w:line="24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18"/>
          <w:szCs w:val="18"/>
          <w:color w:val="auto"/>
        </w:rPr>
        <w:t>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2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4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a third party were to prevail on a legal assertion of invalidity 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3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4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stock to decline.</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5" w:name="page96"/>
    <w:bookmarkEnd w:id="95"/>
    <w:p>
      <w:pPr>
        <w:jc w:val="both"/>
        <w:spacing w:after="0"/>
        <w:rPr>
          <w:sz w:val="20"/>
          <w:szCs w:val="20"/>
          <w:color w:val="auto"/>
        </w:rPr>
      </w:pPr>
      <w:r>
        <w:rPr>
          <w:rFonts w:ascii="Arial" w:cs="Arial" w:eastAsia="Arial" w:hAnsi="Arial"/>
          <w:sz w:val="18"/>
          <w:szCs w:val="18"/>
          <w:color w:val="auto"/>
        </w:rPr>
        <w:t>as negative, the perceived value of our existing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2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1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their use, or our technology or (2) invent any of the inventions claimed in the patents or patent applications.</w:t>
      </w:r>
    </w:p>
    <w:p>
      <w:pPr>
        <w:spacing w:after="0" w:line="24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4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6" w:name="page97"/>
    <w:bookmarkEnd w:id="96"/>
    <w:p>
      <w:pPr>
        <w:jc w:val="both"/>
        <w:ind w:right="20"/>
        <w:spacing w:after="0" w:line="246" w:lineRule="auto"/>
        <w:rPr>
          <w:sz w:val="20"/>
          <w:szCs w:val="20"/>
          <w:color w:val="auto"/>
        </w:rPr>
      </w:pPr>
      <w:r>
        <w:rPr>
          <w:rFonts w:ascii="Arial" w:cs="Arial" w:eastAsia="Arial" w:hAnsi="Arial"/>
          <w:sz w:val="18"/>
          <w:szCs w:val="18"/>
          <w:color w:val="auto"/>
        </w:rPr>
        <w:t>the enforcement or defense of our issued patents or those of any current or future licensors, all of which could have a material adverse effect on our business, financial condition, results of operations and prospects.</w:t>
      </w:r>
    </w:p>
    <w:p>
      <w:pPr>
        <w:spacing w:after="0" w:line="2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will soon have the option, upon grant of a patent, of becoming a Unitary Patent, which will be subject to the jurisdiction of the Unitary Patent Court, or UPC. The option of a Unitary Patent will be a significant change in European patent practice. As the UPC is a new court system, there is no precedent for the court, increasing the uncertainty of any litigation in the UPC.</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3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or their use are obtained, once the patent life has expired, we may be open to competition from competitive products, including generic versions of our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7" w:name="page98"/>
    <w:bookmarkEnd w:id="97"/>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6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7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3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8" w:name="page99"/>
    <w:bookmarkEnd w:id="98"/>
    <w:p>
      <w:pPr>
        <w:jc w:val="both"/>
        <w:ind w:firstLine="509"/>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22" w:lineRule="exact"/>
        <w:rPr>
          <w:sz w:val="20"/>
          <w:szCs w:val="20"/>
          <w:color w:val="auto"/>
        </w:rPr>
      </w:pPr>
    </w:p>
    <w:p>
      <w:pPr>
        <w:jc w:val="both"/>
        <w:ind w:firstLine="515"/>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31"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2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9" w:name="page100"/>
    <w:bookmarkEnd w:id="99"/>
    <w:p>
      <w:pPr>
        <w:jc w:val="both"/>
        <w:spacing w:after="0"/>
        <w:rPr>
          <w:sz w:val="20"/>
          <w:szCs w:val="20"/>
          <w:color w:val="auto"/>
        </w:rPr>
      </w:pPr>
      <w:r>
        <w:rPr>
          <w:rFonts w:ascii="Arial" w:cs="Arial" w:eastAsia="Arial" w:hAnsi="Arial"/>
          <w:sz w:val="18"/>
          <w:szCs w:val="18"/>
          <w:color w:val="auto"/>
        </w:rPr>
        <w:t>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spacing w:after="0" w:line="24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 of third parties.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4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0" w:name="page101"/>
    <w:bookmarkEnd w:id="100"/>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2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may be subject, in part, to the terms and conditions of licenses granted to us by others.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3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4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methods of use, or future methods or product candidates resulting in either an injunction prohibiting our manufacture or future sales, or, with respect to our future sales, an obligation on our part to pay royalties or other forms of compensation to third parties, which could be significant.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1" w:name="page102"/>
    <w:bookmarkEnd w:id="101"/>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21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8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product candidates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to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6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4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27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product candidates and their use,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02" w:name="page103"/>
    <w:bookmarkEnd w:id="102"/>
    <w:p>
      <w:pPr>
        <w:jc w:val="both"/>
        <w:ind w:right="20"/>
        <w:spacing w:after="0" w:line="246" w:lineRule="auto"/>
        <w:rPr>
          <w:sz w:val="20"/>
          <w:szCs w:val="20"/>
          <w:color w:val="auto"/>
        </w:rPr>
      </w:pPr>
      <w:r>
        <w:rPr>
          <w:rFonts w:ascii="Arial" w:cs="Arial" w:eastAsia="Arial" w:hAnsi="Arial"/>
          <w:sz w:val="18"/>
          <w:szCs w:val="18"/>
          <w:color w:val="auto"/>
        </w:rPr>
        <w:t>affected or prejudiced by actions or inactions of our licensees, our licensors and their counsel that took place prior to the date upon which we assumed control over patent prosecution.</w:t>
      </w:r>
    </w:p>
    <w:p>
      <w:pPr>
        <w:spacing w:after="0" w:line="2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b w:val="1"/>
          <w:bCs w:val="1"/>
          <w:i w:val="1"/>
          <w:iCs w:val="1"/>
          <w:color w:val="auto"/>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w:t>
      </w:r>
    </w:p>
    <w:p>
      <w:pPr>
        <w:spacing w:after="0" w:line="23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received a grant from the National Institute on Aging of the National Institute on Health to support our ACT-AD clinical trial. Pursuant to the Bayh-Dole Act of 1980, or the Bayh-Dole Act, the U.S. government may have certain rights in any invention developed or reduced to practice with this funding. In addition, in the future we may discover, develop, acquire, or license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requirements were delayed for the patent family directed to methods of treating Alzheimer’s disease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U.S. government requires that, in certain circumstances,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3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3" w:name="page104"/>
    <w:bookmarkEnd w:id="103"/>
    <w:p>
      <w:pPr>
        <w:jc w:val="both"/>
        <w:spacing w:after="0" w:line="236" w:lineRule="auto"/>
        <w:rPr>
          <w:sz w:val="20"/>
          <w:szCs w:val="20"/>
          <w:color w:val="auto"/>
        </w:rPr>
      </w:pPr>
      <w:r>
        <w:rPr>
          <w:rFonts w:ascii="Arial" w:cs="Arial" w:eastAsia="Arial" w:hAnsi="Arial"/>
          <w:sz w:val="18"/>
          <w:szCs w:val="18"/>
          <w:color w:val="auto"/>
        </w:rPr>
        <w:t>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23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4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4" w:name="page105"/>
    <w:bookmarkEnd w:id="104"/>
    <w:p>
      <w:pPr>
        <w:jc w:val="both"/>
        <w:ind w:firstLine="509"/>
        <w:spacing w:after="0" w:line="235" w:lineRule="auto"/>
        <w:rPr>
          <w:sz w:val="20"/>
          <w:szCs w:val="20"/>
          <w:color w:val="auto"/>
        </w:rPr>
      </w:pPr>
      <w:r>
        <w:rPr>
          <w:rFonts w:ascii="Arial" w:cs="Arial" w:eastAsia="Arial" w:hAnsi="Arial"/>
          <w:sz w:val="18"/>
          <w:szCs w:val="18"/>
          <w:color w:val="auto"/>
        </w:rPr>
        <w:t>Despite efforts to create security barriers to the above-described threats, it is impossible for us to entirely mitigate these risks. To date, we have not experienced any material impact to our business, financial position or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Any disruption or security breach or incident resulting in a loss of, or damage to, our data or systems, or inappropriate use, disclosure or modification of personal, sensitive, confidential or proprietary information, could result in us incurring liability and in delays to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spacing w:after="0" w:line="24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a July 2020 decision by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transferring personal data across borders and may require us to review and amend our mechanisms relating to cross-border data transfer.</w:t>
      </w:r>
    </w:p>
    <w:p>
      <w:pPr>
        <w:spacing w:after="0" w:line="23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p>
    <w:p>
      <w:pPr>
        <w:spacing w:after="0" w:line="24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CRPA may increase compliance costs and potential liability with respect to other personal data we maintain about California residents. Additionally, other states, such as Virginia, Utah, Connecticut, and Colorado, have proposed or enacted laws addressing privacy and security that impose obligations similar to those of the CCPA.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spacing w:after="0" w:line="25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3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6" w:name="page107"/>
    <w:bookmarkEnd w:id="106"/>
    <w:p>
      <w:pPr>
        <w:jc w:val="both"/>
        <w:ind w:firstLine="509"/>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and may in the future be, named as defendants in lawsuits that could result in substantial costs and divert management’s attention.</w:t>
      </w:r>
    </w:p>
    <w:p>
      <w:pPr>
        <w:spacing w:after="0" w:line="21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As described elsewhere in this report in “Part I, Item 3—Legal Proceedings,” we and certain of our executive officers and directors have been named as defendants in class action lawsuits that generally allege that we and certain of our officers and directors violated Sections 10(b) or 20(a) of the Exchange Act and Rule 10b-5 promulgated thereunder by making allegedly false or misleading statements and omitted material adverse facts regarding the Company’s business. These complaints seek unspecified compensatory and punitive damages, and reasonable costs and expenses, including attorneys’ fees.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18"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b w:val="1"/>
          <w:bCs w:val="1"/>
          <w:i w:val="1"/>
          <w:iCs w:val="1"/>
          <w:color w:val="auto"/>
        </w:rPr>
        <w:t>Actions by activist stockholders have in the past been, and may in the future be, disruptive and could cause uncertainty about the strategic direction of our business.</w:t>
      </w:r>
    </w:p>
    <w:p>
      <w:pPr>
        <w:spacing w:after="0" w:line="21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as of the date of this report, our market capitalization was less than the aggregate value of our cash, cash equivalents and investments. Other similarly situated biotechnology companies have received proposals from shareholder activists to liquidate and return capital to investors.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7" w:name="page108"/>
    <w:bookmarkEnd w:id="107"/>
    <w:p>
      <w:pPr>
        <w:ind w:right="20" w:firstLine="509"/>
        <w:spacing w:after="0" w:line="246" w:lineRule="auto"/>
        <w:rPr>
          <w:sz w:val="20"/>
          <w:szCs w:val="20"/>
          <w:color w:val="auto"/>
        </w:rPr>
      </w:pPr>
      <w:r>
        <w:rPr>
          <w:rFonts w:ascii="Arial" w:cs="Arial" w:eastAsia="Arial" w:hAnsi="Arial"/>
          <w:sz w:val="18"/>
          <w:szCs w:val="18"/>
          <w:color w:val="auto"/>
        </w:rPr>
        <w:t>We strive to maintain constructive communications with our stockholders and welcome their views and opinions with the goal of enhancing value for all stockholders. However, a proxy contest or other activist behaviors could have an adverse effect on us because:</w:t>
      </w:r>
    </w:p>
    <w:p>
      <w:pPr>
        <w:spacing w:after="0" w:line="89" w:lineRule="exact"/>
        <w:rPr>
          <w:sz w:val="20"/>
          <w:szCs w:val="20"/>
          <w:color w:val="auto"/>
        </w:rPr>
      </w:pPr>
    </w:p>
    <w:p>
      <w:pPr>
        <w:jc w:val="both"/>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spacing w:after="0" w:line="94"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spacing w:after="0" w:line="96"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actions by activist stockholders may interfere with any efforts that we undertake in the future to raise capital;</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actions by activist stockholders could cause significant fluctuations in our stock price based on temporary or speculative market perceptions or other factors that do not necessarily reflect the underlying fundamentals and prospects of our business; and</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with a specific agenda as a result of a proxy contest, it may adversely affect our ability to effectively implement our business strategy and to create additional value for our stockholders.</w:t>
      </w:r>
    </w:p>
    <w:p>
      <w:pPr>
        <w:spacing w:after="0" w:line="22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for our common stock will be sustained, and, as a result, it may be difficult for you to sell your shares of our common stock.</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9"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impact of the COVID-19 pandemic or other health epidemic on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8" w:name="page109"/>
    <w:bookmarkEnd w:id="108"/>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negative press coverage;</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status of ongoing litigation and government investigations and potential commencement of additional litigation or investigations;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 including, but not limited to, under our ATM offering;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or indirect impacts on our business, our suppliers and other third parties and our clinical sites as a result of geopolitical events, including the Russia-Ukraine war;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“Part I, Item 1A—Risk Factors” section.</w:t>
      </w:r>
    </w:p>
    <w:p>
      <w:pPr>
        <w:spacing w:after="0" w:line="26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9" w:name="page110"/>
    <w:bookmarkEnd w:id="109"/>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4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Moreover, as of February 28, 2023,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2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Our directors, executive officers and significant stockholders own a substantial percentage of our common stock, which could limit your ability to affect the outcome of key transactions, including a change of control.</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directors, executive officers, significant holders of our outstanding common stock and their respective affiliates beneficially own a substantial amount of our outstanding common stock as of December 31,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0" w:name="page111"/>
    <w:bookmarkEnd w:id="110"/>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spacing w:after="0" w:line="24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process of building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4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1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6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spacing w:after="0" w:line="94" w:lineRule="exact"/>
        <w:rPr>
          <w:sz w:val="20"/>
          <w:szCs w:val="20"/>
          <w:color w:val="auto"/>
        </w:rPr>
      </w:pPr>
    </w:p>
    <w:p>
      <w:pPr>
        <w:ind w:left="1020" w:right="20" w:hanging="503"/>
        <w:spacing w:after="0" w:line="24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1" w:name="page112"/>
    <w:bookmarkEnd w:id="111"/>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4"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9"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amended and restated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2" w:name="page113"/>
    <w:bookmarkEnd w:id="112"/>
    <w:p>
      <w:pPr>
        <w:jc w:val="both"/>
        <w:ind w:right="20"/>
        <w:spacing w:after="0" w:line="246" w:lineRule="auto"/>
        <w:rPr>
          <w:sz w:val="20"/>
          <w:szCs w:val="20"/>
          <w:color w:val="auto"/>
        </w:rPr>
      </w:pPr>
      <w:r>
        <w:rPr>
          <w:rFonts w:ascii="Arial" w:cs="Arial" w:eastAsia="Arial" w:hAnsi="Arial"/>
          <w:sz w:val="18"/>
          <w:szCs w:val="18"/>
          <w:color w:val="auto"/>
        </w:rPr>
        <w:t>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6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30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6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jc w:val="both"/>
        <w:spacing w:after="0" w:line="238" w:lineRule="auto"/>
        <w:rPr>
          <w:sz w:val="20"/>
          <w:szCs w:val="20"/>
          <w:color w:val="auto"/>
        </w:rPr>
      </w:pPr>
      <w:r>
        <w:rPr>
          <w:rFonts w:ascii="Arial" w:cs="Arial" w:eastAsia="Arial" w:hAnsi="Arial"/>
          <w:sz w:val="18"/>
          <w:szCs w:val="18"/>
          <w:color w:val="auto"/>
        </w:rPr>
        <w:t>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68"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9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Increasing attention to environmental, social and governance matters may cause us to incur additional costs or expose us to additional risks.</w:t>
      </w:r>
    </w:p>
    <w:p>
      <w:pPr>
        <w:spacing w:after="0" w:line="6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 variety of stakeholder groups, including investors, governmental and nongovernmental organizations are increasing their focus and scrutiny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as ESG best practices, reporting standards and disclosure requirements continue to develop, we may incur increasing costs related to ESG monitoring and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Securities Exchange Act of 1934,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and 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 xml:space="preserve">Wang </w:t>
      </w:r>
      <w:r>
        <w:rPr>
          <w:rFonts w:ascii="Arial" w:cs="Arial" w:eastAsia="Arial" w:hAnsi="Arial"/>
          <w:sz w:val="18"/>
          <w:szCs w:val="18"/>
          <w:color w:val="auto"/>
        </w:rPr>
        <w:t>plaintiffs seek unspecified compensatory and punitive damages, and reasonable costs and expenses, including attorneys’ fees.</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our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asserts violations of Sections 11 and 15 of the Securities Act of 1933, or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plaintiff seeks unspecified compensatory damages, and reasonable costs and expenses, including attorneys’ fees.</w:t>
      </w:r>
    </w:p>
    <w:p>
      <w:pPr>
        <w:spacing w:after="0" w:line="20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0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Securities Exchange Act and SEC Rule 10b-5 and Sections 11, 12, and 15 of the Securities Act. The consolidated amended complaint is brought against us, Dr. Kawas, our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5" w:name="page116"/>
    <w:bookmarkEnd w:id="115"/>
    <w:p>
      <w:pPr>
        <w:jc w:val="both"/>
        <w:spacing w:after="0" w:line="238" w:lineRule="auto"/>
        <w:rPr>
          <w:sz w:val="20"/>
          <w:szCs w:val="20"/>
          <w:color w:val="auto"/>
        </w:rPr>
      </w:pPr>
      <w:r>
        <w:rPr>
          <w:rFonts w:ascii="Arial" w:cs="Arial" w:eastAsia="Arial" w:hAnsi="Arial"/>
          <w:sz w:val="18"/>
          <w:szCs w:val="18"/>
          <w:color w:val="auto"/>
        </w:rPr>
        <w:t>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we and Dr. Kawas filed our individual answers to the consolidated amended complaint. In mid-November 2022, the parties began conducting fact discovery. On December 19, 2022, the underwriter defendants filed a motion for entry of judgment. On February 17, 2023, the court issued an order directing the parties to provide briefing on the court’s proposed form of partial judgment.</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February 28, 2023, we reached an agreement in principle to resolve all claims in the class action lawsuit. Under the proposed settlement, we agreed to make a one-time payment of $10.0 million. As a result, we recorded a legal settlement expense of $10.0 million within operating expenses on our consolidated statements of operations and comprehensive loss in the fourth quarter of 2022 and an accrued liability of $10.0 million for this settlement on our consolidated balance sheets. The proposed settlement is subject to the parties finalizing a stipulation of settlement and preliminary and the final approval of the U.S. District Court for the Western District of Washington.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Derivative Actions</w:t>
      </w:r>
    </w:p>
    <w:p>
      <w:pPr>
        <w:spacing w:after="0" w:line="23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cs="Arial" w:eastAsia="Arial" w:hAnsi="Arial"/>
          <w:sz w:val="18"/>
          <w:szCs w:val="18"/>
          <w:i w:val="1"/>
          <w:iCs w:val="1"/>
          <w:color w:val="auto"/>
        </w:rPr>
        <w:t>Bushansky v. Kawas et al.</w:t>
      </w:r>
      <w:r>
        <w:rPr>
          <w:rFonts w:ascii="Arial" w:cs="Arial" w:eastAsia="Arial" w:hAnsi="Arial"/>
          <w:sz w:val="18"/>
          <w:szCs w:val="18"/>
          <w:color w:val="auto"/>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spacing w:after="0" w:line="20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Government Investigations</w:t>
      </w:r>
    </w:p>
    <w:p>
      <w:pPr>
        <w:spacing w:after="0" w:line="23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November 2022, we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We are cooperating with the Department of Justice with respect to the Demand.</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February 2023, the Securities and Exchange Commission, or SEC, sent us a subpoena seeking documents and information relating to, among other things, our former chief executive officer's alterations of images in certain research papers. We are cooperating with the SEC with respect to the subpoena.</w:t>
      </w:r>
    </w:p>
    <w:p>
      <w:pPr>
        <w:spacing w:after="0" w:line="203"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We cannot predict the outcome of these lawsuits or government investigations. Failure by us to obtain a favorable resolution of these actions could have a material adverse effect on our business,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common stock began trading on The Nasdaq Global Select Market under the symbol “ATHA” on September 18, 2020. Prior to that date, there was no public trading market for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March 20, 2023, there were approximately 44 holders of record of our common stock. Because many of our shares are held by brokers and other institutions on behalf of shareholders, we are unable to estimate the total number of shareholders represented by these record 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We currently intend to retain all available funds and future earnings to fund the development and growth of our business and we do not anticipate paying any cash dividends in the foreseeable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201(e)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engineered to restore neuronal health and slow neurodegeneration. Our approach is designed to target the HGF/MET system that is critical to normal brain function and may play a key role in maintaining the health and functioning of neuronal networks. We believe that by acting on the HGF/MET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HGF/MET system in either the central nervous system, or CNS, by crossing the blood brain barrier, or BBB, or the peripheral nervous system, or PNS.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lead candidate, fosgonimeton, is a subcutaneously administered, small molecule positive modulator of the HGF/MET system for</w:t>
      </w:r>
    </w:p>
    <w:p>
      <w:pPr>
        <w:spacing w:after="0"/>
        <w:rPr>
          <w:sz w:val="20"/>
          <w:szCs w:val="20"/>
          <w:color w:val="auto"/>
        </w:rPr>
      </w:pPr>
      <w:r>
        <w:rPr>
          <w:rFonts w:ascii="Arial" w:cs="Arial" w:eastAsia="Arial" w:hAnsi="Arial"/>
          <w:sz w:val="18"/>
          <w:szCs w:val="18"/>
          <w:color w:val="auto"/>
        </w:rPr>
        <w:t>CNS disorders. The effects of fosgonimeton in its primary target indication, AD, are currently being evaluated in multiple clinical trials:</w:t>
      </w:r>
    </w:p>
    <w:p>
      <w:pPr>
        <w:spacing w:after="0" w:line="212" w:lineRule="exact"/>
        <w:rPr>
          <w:sz w:val="20"/>
          <w:szCs w:val="20"/>
          <w:color w:val="auto"/>
        </w:rPr>
      </w:pPr>
    </w:p>
    <w:p>
      <w:pPr>
        <w:jc w:val="both"/>
        <w:ind w:left="760" w:hanging="378"/>
        <w:spacing w:after="0" w:line="236"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ACT-AD*, was a randomized, double-blind, placebo-controlled, parallel-group 26-week exploratory Phase 2 clinical trial in mild-to-moderate AD, with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spacing w:after="0" w:line="204" w:lineRule="exact"/>
        <w:rPr>
          <w:rFonts w:ascii="Arial" w:cs="Arial" w:eastAsia="Arial" w:hAnsi="Arial"/>
          <w:sz w:val="18"/>
          <w:szCs w:val="18"/>
          <w:color w:val="auto"/>
        </w:rPr>
      </w:pPr>
    </w:p>
    <w:p>
      <w:pPr>
        <w:jc w:val="both"/>
        <w:ind w:left="760" w:hanging="378"/>
        <w:spacing w:after="0" w:line="237"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LIFT-AD, a randomized, double-blind, placebo-controlled, parallel-group 26-week Phase 2/3 clinical trial with fosgonimeton for the treatment of mild-to-moderate AD. In September 2020, we began site initiation and patient screening for LIFT-AD. The primary endpoint for the Phase 2/3 LIFT-AD trial will be measured by the GST, which is a composite score that combines the scores from cognition (Alzheimer's Disease Assessment Scale-Cognitive Subscale or ADAS-Cog11), and function (Alzheimer’s Disease Cooperative Study-Activities of Daily Living or ADCS-ADL23). Guided by the results from the completed exploratory ACT-AD Phase 2 trial, in September 2022, we proactively amended LIFT-AD to focus on participants not on background AChEIs. In October 2022, we announced that following an unblinded interim efficacy and futility analysis, 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both"/>
        <w:ind w:left="760"/>
        <w:spacing w:after="0" w:line="238" w:lineRule="auto"/>
        <w:rPr>
          <w:sz w:val="20"/>
          <w:szCs w:val="20"/>
          <w:color w:val="auto"/>
        </w:rPr>
      </w:pPr>
      <w:r>
        <w:rPr>
          <w:rFonts w:ascii="Arial" w:cs="Arial" w:eastAsia="Arial" w:hAnsi="Arial"/>
          <w:sz w:val="18"/>
          <w:szCs w:val="18"/>
          <w:color w:val="auto"/>
        </w:rPr>
        <w:t>independent data monitoring committee recommended continuation of the LIFT-AD trial. The committee also determined that, with the additional enrollment of fewer than 150 participants for a total enrollment of less than 300 participants without background AChEIs, the amended trial will be well powered for the primary endpoint given the preliminary effect size observed. We are targeting to complete enrollment in mid-2023 and report topline data in early 2024.</w:t>
      </w:r>
    </w:p>
    <w:p>
      <w:pPr>
        <w:spacing w:after="0" w:line="205" w:lineRule="exact"/>
        <w:rPr>
          <w:sz w:val="20"/>
          <w:szCs w:val="20"/>
          <w:color w:val="auto"/>
        </w:rPr>
      </w:pPr>
    </w:p>
    <w:p>
      <w:pPr>
        <w:jc w:val="both"/>
        <w:ind w:left="760" w:hanging="378"/>
        <w:spacing w:after="0" w:line="238"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July 2021, we announced that we are enrolling participants into a 26-week open-label extension study* for our LIFT-AD and ACT-AD clinical trials, which will allow us to collect up to a total of one year of safety data with fosgonimeton. In May 2022, we announced that we extended the 26-week open-label extension study for our LIFT-AD and ACT-AD clinical trials for an additional 12 months, enabling eligible participants who have completed either trial, and elect to participate in the ongoing open label extension, to now receive up to 18 months of open-label treatment with fosgonimeton.</w:t>
      </w:r>
    </w:p>
    <w:p>
      <w:pPr>
        <w:spacing w:after="0" w:line="184"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i w:val="1"/>
          <w:iCs w:val="1"/>
          <w:color w:val="auto"/>
        </w:rPr>
        <w:t>*The ACT-AD trial and the related open-label extension for ACT-AD participants (described further below) was and are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spacing w:after="0" w:line="19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following figure illustrates the current development stage of our ATH compounds and early discovery and development programs. Our pipeline consists of both BBB permeable and peripherally restricted drug candidates for CNS, PNS and other indications. In addition, we are exploring the use of our ATH compounds in additional indications in the CNS and PNS as we aim to improve neuronal health in multiple neurodegenerative diseases. Our drug discovery efforts are focused on designing and testing new early compounds to enhance the HGF/MET system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120650</wp:posOffset>
            </wp:positionV>
            <wp:extent cx="5349240" cy="22802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18"/>
          <w:szCs w:val="18"/>
          <w:color w:val="auto"/>
        </w:rPr>
        <w:t>sufficient to achieve profitability, if ever, will depend on the successful development of one or more of our product candidates which we expect will take a number of years.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0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December 31, 2022,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$95.6 million and $54.9 million for the years ended December 30, 2022 and 2021, respectively. As of December 31, 2022, we had an accumulated deficit of $191.5 million and cash, cash equivalents and investments of $245.2 million.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380" w:right="20" w:hanging="372"/>
        <w:spacing w:after="0" w:line="246"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advance fosgonimeton and our other product candidates through preclinical studies and clinical trials, and further extend the open label extension of the ACT-AD and LIFT-AD trials;</w:t>
      </w:r>
    </w:p>
    <w:p>
      <w:pPr>
        <w:spacing w:after="0" w:line="88"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 our laboratory and office facilities;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380" w:right="20" w:hanging="372"/>
        <w:spacing w:after="0" w:line="246"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1" w:name="page122"/>
    <w:bookmarkEnd w:id="121"/>
    <w:p>
      <w:pPr>
        <w:ind w:left="380" w:hanging="372"/>
        <w:spacing w:after="0" w:line="246"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incur legal expenses associated with ongoing litigation, as further described in “Part I, Item 3—Legal Proceedings,” and elsewhere in this report.</w:t>
      </w:r>
    </w:p>
    <w:p>
      <w:pPr>
        <w:spacing w:after="0" w:line="19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and Grant Agreements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Washington State University License Agreement</w:t>
      </w:r>
    </w:p>
    <w:p>
      <w:pPr>
        <w:spacing w:after="0" w:line="1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party to an amended and restated exclusive license agreement with sublicensing terms with Washington State University, or WSU, that we entered into in 2015. Under this agreement, we have an exclusive license to make, use, sell, and offer for sale products covered by certain licensed patents, including dihexa, the chemical compound into which fosgonimeton metabolizes following administration. The term of the license continues until the earlier of the date in which no valid claim remains enforceable and the payment of royalties ceases for more than four consecutive quarters after such royalty payments begin. One of these licensed patents is jointly owned by WSU and Pacific Northwest Biotechnology, Inc. We do not expect Pacific Northwest Biotechnology, Inc.’s joint ownership to materially affect our license of such patent or the development of any of our product candidates to which the patent relates.</w:t>
      </w:r>
    </w:p>
    <w:p>
      <w:pPr>
        <w:spacing w:after="0" w:line="20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020" w:hanging="503"/>
        <w:spacing w:after="0" w:line="246"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December 2020, we accepted a grant from the NIH to support our ACT-AD Phase 2 clinical trial for fosgonimeton. Under the terms of the agreement and approval received from the NIH, we may receive up to an aggregate of $15.2 million. For additional information regarding this grant, see the section of this Annual Report on Form 10-K titled “Business—Our Collaboration and Grant Agreements.” We recognized $5.2 million and $8.8 million of income related to our NIH grant during the years ended December 31, 2022 and 2021, respectively. During the years ended December 31, 2022 and 2021, we received cash of $6.3 million and $7.6 million, respectively, in connection with the NIH grant. As of December 31, 2022 and 2021, we had incurred qualifying expenses in excess of cash received of approximately $ 1.2 million and $2.3 million, respectively, which is included in unbilled grant receivable on the consolidated balance sheets. In February 2023, we received cash of $1.2 million in connection with the unbilled grant receivable balance as of December 31, 2022. As of December 31, 2022, we had recognized aggregate grant income of $15.1 million of the total $15.2 million approved in connection with the NIH grant.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product candidates, as our product candidates advance into later stages of development, as we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spacing w:after="0" w:line="20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3" w:name="page124"/>
    <w:bookmarkEnd w:id="123"/>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further extension of the open label extension of the ACT-AD and LIFT-AD trials;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COVID-19 or other health epidemics on timelines and clinical operations, which may lead to increased costs;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2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growth of our business. Additionally, we may experience an overall increase in general and administrative expenses as a result of inflation.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Grant income consists of income related to the NIH grant and is recognized as qualifying expenses under the grant agreement are incurred. Under the terms of the agreement and approval received from the NIH, we may receive up to an aggregate of $15.2 million. As of December 31, 2022, we had recognized aggregate grant income of $15.1 million in connection with the NIH grant.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long term as we continue to expend our cash balances to fund our ongoing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180" w:type="dxa"/>
            <w:vAlign w:val="bottom"/>
            <w:gridSpan w:val="2"/>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61,464</w:t>
            </w:r>
          </w:p>
        </w:tc>
        <w:tc>
          <w:tcPr>
            <w:tcW w:w="14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42,794</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18,670</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100" w:type="dxa"/>
            <w:vAlign w:val="bottom"/>
          </w:tcPr>
          <w:p>
            <w:pPr>
              <w:ind w:left="260"/>
              <w:spacing w:after="0"/>
              <w:rPr>
                <w:sz w:val="20"/>
                <w:szCs w:val="20"/>
                <w:color w:val="auto"/>
              </w:rPr>
            </w:pPr>
            <w:r>
              <w:rPr>
                <w:rFonts w:ascii="Arial" w:cs="Arial" w:eastAsia="Arial" w:hAnsi="Arial"/>
                <w:sz w:val="18"/>
                <w:szCs w:val="18"/>
                <w:color w:val="auto"/>
              </w:rPr>
              <w:t>Legal settlement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104,016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39,994</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(104,016 )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(64,022 )</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(39,994 )</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(3,674 )</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(95,639 )</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(54,853 )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(40,786 )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-624840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-624840</wp:posOffset>
            </wp:positionV>
            <wp:extent cx="6032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-624840</wp:posOffset>
            </wp:positionV>
            <wp:extent cx="6032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Not meaningful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83"/>
        </w:trPr>
        <w:tc>
          <w:tcPr>
            <w:tcW w:w="45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Fosgonimeton (ATH-1017)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39,416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34,488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4,928</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ATH-1020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direct costs</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9,812</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Indirect costs: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Personnel-related costs, including stock-</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45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based compensation</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Facilities and other costs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61,464</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42,794</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18,670</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-753745</wp:posOffset>
            </wp:positionV>
            <wp:extent cx="6858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-753745</wp:posOffset>
            </wp:positionV>
            <wp:extent cx="6858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5969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Not meaningful</w:t>
      </w:r>
    </w:p>
    <w:p>
      <w:pPr>
        <w:spacing w:after="0" w:line="13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Research and development expenses increased by $18.7 million, from $42.8 million for the year ended December 31, 2021 to $61.5 million for the year ended December 31, 2022. The increase was driven primarily by an increase in personnel-related costs of $8.1 million due to an increase in headcount, including a $1.9 million increase in stock-based compensation expense in connection with equity grants to new hires and existing employees, an increase in expenses for fosgonimeton of $4.9 million related to continued patient enrollment and clinical site visit activity for our Phase 2 and Phase 2/3 clinical trials and the corresponding open-label extension for our Phase 2 and Phase 2/3 clinical trials, an increase in preclinical research and development expenses of $3.0 million, $1.9 million of expense associated with our ATH-1020 Phase 1 clinical trial, which commenced in the first quarter of 2022, and an increase of $0.8 million related to facilities and other indirect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General and administrative expenses increased by $11.3 million, from $ 21.2 million for the year ended December 31, 2021 to $ 32.6 million for the year ended December 31, 2022. The increase was primarily due to an increase in personnel-related costs of $6.6 million, due primarily to increases in headcount to support our continued growth, including a $4.1 million increase in stock-based compensation expense in connection with equity grants to new hires and existing employees, an increase in legal costs of $2.2 million, which includes costs related to our ongoing legal proceedings and the proxy contest in connection with our 2022 annual meeting of stockholders, an increase in business development expenses of $0.9 million, an increase in facilities expenses of $ 0.6 million, an increase in insurance and other general corporate expenses of $0.6 million, and an increase in professional services expenses of $0.5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Expense</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connection with the proposed settlement of the securities class action litigation, we recorded a legal settlement expense of $10.0 million for the year ended December 31, 2022. For more information see the section of this report titled “Legal Proceedings— Securities Class 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Grant income decreased by $3.7 million, from $8.8 million for the year ended December 31, 2021 to $5.2 million for the year ended December 31, 2022. The decrease was driven by a decrease in expenses qualifying for reimbursement under the terms of the NIH grant upon the public readout of topline data of our Phase 2 ACT-AD clinical trial in the second quarter of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Other income, net, increased by $2.9 million, from $0.3 million for the year ended December 31, 2021 to $ 3.2 million for the year ended December 31, 2022 due to higher interest income earned on our available-for-sale securities resulting from rising interest rates on debt securities, in addition to accretion of discounts on debt securities purchased below par value and held to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December 31, 2022, we have raised aggregate net cash proceeds of $407.4 million primarily from the issuance of our common stock (excluding option exercises), convertible preferred stock, common stock warrants, and convertible notes.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rPr>
              <w:t>Proceeds</w:t>
            </w:r>
          </w:p>
        </w:tc>
        <w:tc>
          <w:tcPr>
            <w:tcW w:w="10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360" w:type="dxa"/>
            <w:vAlign w:val="bottom"/>
          </w:tcPr>
          <w:p>
            <w:pPr>
              <w:jc w:val="right"/>
              <w:spacing w:after="0"/>
              <w:rPr>
                <w:sz w:val="20"/>
                <w:szCs w:val="20"/>
                <w:color w:val="auto"/>
              </w:rPr>
            </w:pPr>
            <w:r>
              <w:rPr>
                <w:rFonts w:ascii="Arial" w:cs="Arial" w:eastAsia="Arial" w:hAnsi="Arial"/>
                <w:sz w:val="18"/>
                <w:szCs w:val="18"/>
                <w:color w:val="auto"/>
              </w:rPr>
              <w:t>1,397,712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6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2022, we had $245.2 million in cash, cash equivalents and investments and have not generated positive cash flows from operations. Since our inception, we have devoted substantially all of our resources to our research and development efforts such as small molecule compound discovery,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7" w:name="page128"/>
    <w:bookmarkEnd w:id="127"/>
    <w:p>
      <w:pPr>
        <w:jc w:val="both"/>
        <w:spacing w:after="0" w:line="246" w:lineRule="auto"/>
        <w:rPr>
          <w:sz w:val="20"/>
          <w:szCs w:val="20"/>
          <w:color w:val="auto"/>
        </w:rPr>
      </w:pPr>
      <w:r>
        <w:rPr>
          <w:rFonts w:ascii="Arial" w:cs="Arial" w:eastAsia="Arial" w:hAnsi="Arial"/>
          <w:sz w:val="18"/>
          <w:szCs w:val="18"/>
          <w:color w:val="auto"/>
        </w:rPr>
        <w:t>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and Future Funding Requirements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material cash requirements include our operating leases for laboratory and office facilities. As of December 31, 2022, we had lease payment obligations of $ 2.3 million, with $0.5 million payable within 12 months. For additional information regarding our lease commitments, see Note 7 to our consolidated financial statements included elsewhere in this report. We are contingently committed to $0.9 million of potential future research and development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product candidates through clinical trials, increase our headcount to support our operations, and incur legal and other professional expenses related to our ongoing legal proceedings. We cannot predict with certainty the amount and timing of these increased expenses.</w:t>
      </w:r>
    </w:p>
    <w:p>
      <w:pPr>
        <w:spacing w:after="0" w:line="9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Based upon our current operating plan, we estimate that our $245.2 million of cash, cash equivalents and investments at December 31, 2022 will be sufficient to fund our operating expenses and capital expenditure requirements through at least the next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at-the-market, or ATM, equity offering program under which Cantor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ind w:right="20"/>
        <w:spacing w:after="0" w:line="246" w:lineRule="auto"/>
        <w:rPr>
          <w:sz w:val="20"/>
          <w:szCs w:val="20"/>
          <w:color w:val="auto"/>
        </w:rPr>
      </w:pPr>
      <w:r>
        <w:rPr>
          <w:rFonts w:ascii="Arial" w:cs="Arial" w:eastAsia="Arial" w:hAnsi="Arial"/>
          <w:sz w:val="18"/>
          <w:szCs w:val="18"/>
          <w:color w:val="auto"/>
        </w:rPr>
        <w:t>biotechnology products, we are unable to estimate the exact amount of our operating capital requirements. Our future funding requirements will depend on many factors, including, but not limited to:</w:t>
      </w:r>
    </w:p>
    <w:p>
      <w:pPr>
        <w:spacing w:after="0" w:line="89"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fosgonimeton for the treatment of mild-to-moderate AD;</w:t>
      </w:r>
    </w:p>
    <w:p>
      <w:pPr>
        <w:spacing w:after="0" w:line="117" w:lineRule="exact"/>
        <w:rPr>
          <w:rFonts w:ascii="Arial" w:cs="Arial" w:eastAsia="Arial" w:hAnsi="Arial"/>
          <w:sz w:val="18"/>
          <w:szCs w:val="18"/>
          <w:color w:val="auto"/>
        </w:rPr>
      </w:pPr>
    </w:p>
    <w:p>
      <w:pPr>
        <w:ind w:left="380" w:hanging="372"/>
        <w:spacing w:after="0" w:line="246"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8" w:lineRule="exact"/>
        <w:rPr>
          <w:rFonts w:ascii="Arial" w:cs="Arial" w:eastAsia="Arial" w:hAnsi="Arial"/>
          <w:sz w:val="18"/>
          <w:szCs w:val="18"/>
          <w:color w:val="auto"/>
        </w:rPr>
      </w:pPr>
    </w:p>
    <w:p>
      <w:pPr>
        <w:ind w:left="380" w:hanging="372"/>
        <w:spacing w:after="0" w:line="246"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88"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380" w:hanging="372"/>
        <w:spacing w:after="0" w:line="246"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380" w:hanging="372"/>
        <w:spacing w:after="0" w:line="246"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related to ongoing legal proceedings;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expanding our laboratory and office facilities; and</w:t>
      </w:r>
    </w:p>
    <w:p>
      <w:pPr>
        <w:spacing w:after="0" w:line="117" w:lineRule="exact"/>
        <w:rPr>
          <w:rFonts w:ascii="Arial" w:cs="Arial" w:eastAsia="Arial" w:hAnsi="Arial"/>
          <w:sz w:val="18"/>
          <w:szCs w:val="18"/>
          <w:color w:val="auto"/>
        </w:rPr>
      </w:pPr>
    </w:p>
    <w:p>
      <w:pPr>
        <w:ind w:left="380" w:hanging="372"/>
        <w:spacing w:after="0" w:line="246"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 or engage in other strategic transactions.</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183"/>
        </w:trPr>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(72,469 )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(43,098 )</w:t>
            </w: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(4,079 )</w:t>
            </w: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97,089</w:t>
            </w:r>
          </w:p>
        </w:tc>
        <w:tc>
          <w:tcPr>
            <w:tcW w:w="80" w:type="dxa"/>
            <w:vAlign w:val="bottom"/>
          </w:tcPr>
          <w:p>
            <w:pPr>
              <w:spacing w:after="0"/>
              <w:rPr>
                <w:sz w:val="19"/>
                <w:szCs w:val="19"/>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(14,151 )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49,912</w:t>
            </w:r>
          </w:p>
        </w:tc>
        <w:tc>
          <w:tcPr>
            <w:tcW w:w="80" w:type="dxa"/>
            <w:vAlign w:val="bottom"/>
            <w:shd w:val="clear" w:color="auto" w:fill="CFF0FC"/>
          </w:tcPr>
          <w:p>
            <w:pPr>
              <w:spacing w:after="0"/>
              <w:rPr>
                <w:sz w:val="21"/>
                <w:szCs w:val="21"/>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During the year ended December 31, 2022, net cash used in operating activities was $72.5 million. This consisted primarily of a net loss of $95.6 million, partially offset by non-cash charges of $11.2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9" w:name="page130"/>
    <w:bookmarkEnd w:id="129"/>
    <w:p>
      <w:pPr>
        <w:jc w:val="both"/>
        <w:spacing w:after="0" w:line="238" w:lineRule="auto"/>
        <w:rPr>
          <w:sz w:val="20"/>
          <w:szCs w:val="20"/>
          <w:color w:val="auto"/>
        </w:rPr>
      </w:pPr>
      <w:r>
        <w:rPr>
          <w:rFonts w:ascii="Arial" w:cs="Arial" w:eastAsia="Arial" w:hAnsi="Arial"/>
          <w:sz w:val="18"/>
          <w:szCs w:val="18"/>
          <w:color w:val="auto"/>
        </w:rPr>
        <w:t>and a decrease in our net operating assets of $11.9 million. The non-cash charges primarily consisted of stock-based compensation expense, depreciation expense, and amortization of premiums and accretion of discounts on our available-for-sale securities. The decrease in our net operating assets was primarily due to a decrease in unbilled grant receivable, an increase in accounts payable and accrued expenses, and an accrual for legal settlement expenses related to the securities class action litigation, partially offset by an increase in prepaid expenses and other current assets.</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During the year ended December 31, 2021, net cash used in operating activities was $ 43.1 million. This consisted primarily of a net loss of $54.9 million, partially offset by non-cash charges of $5.6 million and a decrease in our net operating assets of $6.2 million. The non-cash charges primarily consisted of stock-based compensation expense, depreciation expense, and amortization of premiums and accretion of discounts on our available-for-sale securities. The decrease in our net operating assets was due to an increase in accounts payable and accrued expenses and a decrease in prepaid expenses and other current assets, partially offset by an increase in unbilled grant receivable.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year ended December 31, 2022, net cash provided by investing was $57.7 million. This consisted of maturities of available-for-sale securities of $154.1 million, partially offset by purchases of available-for-sale securities of $95.3 million and property and equipment of $1.1 million.</w:t>
      </w:r>
    </w:p>
    <w:p>
      <w:pPr>
        <w:spacing w:after="0" w:line="20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year ended December 31, 2021, net cash used in investing activities was $4.1 million. This consisted primarily of purchases of available-for-sale securities of $299.2 million and purchases of property and equipment of $1.6 million, partially offset by maturities of available-for-sale securities of $278.6 million and sales of available-for-sale securities of $18.1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During the year ended December 31, 2022, net cash provided by financing activities was $0.7 million, consisting of proceeds received from exercises of stock options.</w:t>
      </w:r>
    </w:p>
    <w:p>
      <w:pPr>
        <w:spacing w:after="0" w:line="19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year ended December 31, 2021, net cash provided by financing activities was $97.1 million, primarily driven by proceeds received from our follow-on public offering, and to a lesser extent from exercises of stock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December 2020, we accepted a grant from the NIH to support our ACT-AD Phase 2 clinical trial for fosgonimeton. Under the terms of the agreement and approval received from the NIH, we may receive up to an aggregate of $15.2 million. We recognize income related to the NIH grant within the consolidated statement of operations and comprehensive loss as qualifying expenses under the grant agreement 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incurred. We record qualifying expenses incurred in excess of cash received in unbilled grant receivable on the consolidated balance sheets.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202"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71"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7" w:lineRule="exact"/>
        <w:rPr>
          <w:rFonts w:ascii="Arial" w:cs="Arial" w:eastAsia="Arial" w:hAnsi="Arial"/>
          <w:sz w:val="18"/>
          <w:szCs w:val="18"/>
          <w:color w:val="auto"/>
        </w:rPr>
      </w:pPr>
    </w:p>
    <w:p>
      <w:pPr>
        <w:ind w:left="1020" w:hanging="503"/>
        <w:spacing w:after="0" w:line="26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jc w:val="both"/>
        <w:ind w:left="1020" w:hanging="503"/>
        <w:spacing w:after="0" w:line="242"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were privately held prior to September 2020 and do not yet have sufficient trading history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8"/>
          <w:szCs w:val="18"/>
          <w:color w:val="auto"/>
        </w:rPr>
      </w:pPr>
    </w:p>
    <w:p>
      <w:pPr>
        <w:jc w:val="both"/>
        <w:ind w:left="1020" w:hanging="503"/>
        <w:spacing w:after="0" w:line="250"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8" w:lineRule="exact"/>
        <w:rPr>
          <w:rFonts w:ascii="Arial" w:cs="Arial" w:eastAsia="Arial" w:hAnsi="Arial"/>
          <w:sz w:val="18"/>
          <w:szCs w:val="18"/>
          <w:color w:val="auto"/>
        </w:rPr>
      </w:pPr>
    </w:p>
    <w:p>
      <w:pPr>
        <w:ind w:left="1020" w:hanging="503"/>
        <w:spacing w:after="0" w:line="26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7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See Note 9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outcomes change and we use significantly different assumptions or estimates, our stock-based compensation could be materially different.</w:t>
      </w:r>
    </w:p>
    <w:p>
      <w:pPr>
        <w:spacing w:after="0" w:line="2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recognize stock-based compensation expense for restricted stock units on a straight-line basis over the requisite service period and account for forfeitures as they occur. We recognize compensation expense for restricted stock unit grants subject to performance-based milestone vesting using the accelerated attribution method over the remaining service period when we determine that achievement of the milestone is probable. We evaluate when the achievement of a performance-based milestone is probable based on the relative satisfaction of the performance conditions as of the reporting date. Our stock-based compensation costs for restricted stock units are based upon the fair market value of our common stock based on its closing price as reported on the date of grant on the Nasdaq Global Select Market.</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recorded stock-based compensation expense of $10.6 million and $4.6 million for the years ended December 31, 2022 and 2021, respectively. As of December 31, 2022, there was $18.6 million of total unrecognized stock-based compensation expense related to non-vested stock options which we expect to recognize over a remaining weighted-average period of 2.68 years. As of December 31, 2022, there was $1.4 million of total unrecognized stock-based compensation expense related to non-vested restricted stock units which we expect to recognize over a remaining weighted-average period of 0.80 years. We expect to continue to grant stock options and other equity-based awards in the future, and to the extent that we do, our stock-based compensation expense recognized in future periods will likely increase.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of December 31, 2022, we had $9.5 million of federal net operating loss, or NOL, carryforwards and $5.6 million of tax credit carryforwards which expire over a period of 9 to 15 years. As of December 31, 2022, we had $104.4 million of such NOLs that do not expire. As of December 31, 2022, we also had state net operating loss carryforwards of $2.7 million, which expire over a period of 19 to 20 years.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consolidated financial statements included elsewhere in this report for additional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3" w:name="page134"/>
    <w:bookmarkEnd w:id="133"/>
    <w:p>
      <w:pPr>
        <w:jc w:val="center"/>
        <w:ind w:left="500"/>
        <w:spacing w:after="0"/>
        <w:rPr>
          <w:sz w:val="20"/>
          <w:szCs w:val="20"/>
          <w:color w:val="auto"/>
        </w:rPr>
      </w:pPr>
      <w:r>
        <w:rPr>
          <w:rFonts w:ascii="Arial" w:cs="Arial" w:eastAsia="Arial" w:hAnsi="Arial"/>
          <w:sz w:val="18"/>
          <w:szCs w:val="18"/>
          <w:b w:val="1"/>
          <w:bCs w:val="1"/>
          <w:color w:val="auto"/>
        </w:rPr>
        <w:t>Athira Pharma, Inc.</w:t>
      </w:r>
    </w:p>
    <w:p>
      <w:pPr>
        <w:spacing w:after="0" w:line="10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9"/>
              </w:rPr>
              <w:t>Report of Independent Registered Public Accounting Firm (PCAOB ID: 42)</w:t>
            </w:r>
          </w:p>
        </w:tc>
        <w:tc>
          <w:tcPr>
            <w:tcW w:w="2480" w:type="dxa"/>
            <w:vAlign w:val="bottom"/>
          </w:tcPr>
          <w:p>
            <w:pPr>
              <w:spacing w:after="0"/>
              <w:rPr>
                <w:sz w:val="17"/>
                <w:szCs w:val="17"/>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FF"/>
                <w:w w:val="99"/>
              </w:rPr>
              <w:t>Consolidated Statements of Operations and Comprehensive Loss</w:t>
            </w:r>
          </w:p>
        </w:tc>
        <w:tc>
          <w:tcPr>
            <w:tcW w:w="3180" w:type="dxa"/>
            <w:vAlign w:val="bottom"/>
            <w:gridSpan w:val="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Consolidated Statements of Stockholders' Equity</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20" w:type="dxa"/>
            <w:vAlign w:val="bottom"/>
          </w:tcPr>
          <w:p>
            <w:pPr>
              <w:spacing w:after="0"/>
              <w:rPr>
                <w:sz w:val="17"/>
                <w:szCs w:val="17"/>
                <w:color w:val="auto"/>
              </w:rPr>
            </w:pPr>
          </w:p>
        </w:tc>
        <w:tc>
          <w:tcPr>
            <w:tcW w:w="388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4540" w:type="dxa"/>
            <w:vAlign w:val="bottom"/>
            <w:gridSpan w:val="3"/>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7"/>
          </w:tcPr>
          <w:p>
            <w:pPr>
              <w:spacing w:after="0" w:line="196" w:lineRule="exact"/>
              <w:rPr>
                <w:sz w:val="20"/>
                <w:szCs w:val="20"/>
                <w:color w:val="auto"/>
              </w:rPr>
            </w:pPr>
            <w:r>
              <w:rPr>
                <w:rFonts w:ascii="Arial" w:cs="Arial" w:eastAsia="Arial" w:hAnsi="Arial"/>
                <w:sz w:val="18"/>
                <w:szCs w:val="18"/>
                <w:color w:val="0000FF"/>
              </w:rPr>
              <w:t>Notes to Consolidated Financial Statements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668"/>
        </w:trPr>
        <w:tc>
          <w:tcPr>
            <w:tcW w:w="20" w:type="dxa"/>
            <w:vAlign w:val="bottom"/>
          </w:tcPr>
          <w:p>
            <w:pPr>
              <w:spacing w:after="0"/>
              <w:rPr>
                <w:sz w:val="24"/>
                <w:szCs w:val="24"/>
                <w:color w:val="auto"/>
              </w:rPr>
            </w:pPr>
          </w:p>
        </w:tc>
        <w:tc>
          <w:tcPr>
            <w:tcW w:w="3500" w:type="dxa"/>
            <w:vAlign w:val="bottom"/>
            <w:tcBorders>
              <w:top w:val="single" w:sz="8" w:color="0000EE"/>
            </w:tcBorders>
            <w:gridSpan w:val="3"/>
          </w:tcPr>
          <w:p>
            <w:pPr>
              <w:spacing w:after="0"/>
              <w:rPr>
                <w:sz w:val="24"/>
                <w:szCs w:val="24"/>
                <w:color w:val="auto"/>
              </w:rPr>
            </w:pP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132</w:t>
            </w: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right="2260" w:firstLine="2269"/>
        <w:spacing w:after="0" w:line="45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Stockholders and the Board of Directors of Athira Pharma, Inc.:</w:t>
      </w: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6"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We have audited the accompanying consolidated balance sheets of Athira Pharma,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6"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rPr>
          <w:sz w:val="20"/>
          <w:szCs w:val="20"/>
          <w:color w:val="auto"/>
        </w:rPr>
      </w:pPr>
      <w:r>
        <w:rPr>
          <w:rFonts w:ascii="Arial" w:cs="Arial" w:eastAsia="Arial" w:hAnsi="Arial"/>
          <w:sz w:val="20"/>
          <w:szCs w:val="20"/>
          <w:color w:val="auto"/>
        </w:rPr>
        <w:t>March 23, 2023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104,378</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grant receivable</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207,533</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260,799</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63"/>
        </w:trPr>
        <w:tc>
          <w:tcPr>
            <w:tcW w:w="70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2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2,501</w:t>
            </w:r>
          </w:p>
        </w:tc>
        <w:tc>
          <w:tcPr>
            <w:tcW w:w="28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80"/>
              <w:spacing w:after="0"/>
              <w:rPr>
                <w:sz w:val="20"/>
                <w:szCs w:val="20"/>
                <w:color w:val="auto"/>
              </w:rPr>
            </w:pPr>
            <w:r>
              <w:rPr>
                <w:rFonts w:ascii="Arial" w:cs="Arial" w:eastAsia="Arial" w:hAnsi="Arial"/>
                <w:sz w:val="18"/>
                <w:szCs w:val="18"/>
                <w:color w:val="auto"/>
              </w:rPr>
              <w:t>Accrued legal settlement (Note 7)</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operating lease liability</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21,431</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r>
      <w:tr>
        <w:trPr>
          <w:trHeight w:val="230"/>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60" w:type="dxa"/>
            <w:vAlign w:val="bottom"/>
          </w:tcPr>
          <w:p>
            <w:pPr>
              <w:ind w:left="280"/>
              <w:spacing w:after="0"/>
              <w:rPr>
                <w:sz w:val="20"/>
                <w:szCs w:val="20"/>
                <w:color w:val="auto"/>
              </w:rPr>
            </w:pPr>
            <w:r>
              <w:rPr>
                <w:rFonts w:ascii="Arial" w:cs="Arial" w:eastAsia="Arial" w:hAnsi="Arial"/>
                <w:sz w:val="18"/>
                <w:szCs w:val="18"/>
                <w:color w:val="auto"/>
              </w:rPr>
              <w:t>Common stock, $0.0001 par value; 900,000,000 shares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060" w:type="dxa"/>
            <w:vAlign w:val="bottom"/>
          </w:tcPr>
          <w:p>
            <w:pPr>
              <w:ind w:left="420"/>
              <w:spacing w:after="0" w:line="202" w:lineRule="exact"/>
              <w:rPr>
                <w:sz w:val="20"/>
                <w:szCs w:val="20"/>
                <w:color w:val="auto"/>
              </w:rPr>
            </w:pPr>
            <w:r>
              <w:rPr>
                <w:rFonts w:ascii="Arial" w:cs="Arial" w:eastAsia="Arial" w:hAnsi="Arial"/>
                <w:sz w:val="18"/>
                <w:szCs w:val="18"/>
                <w:color w:val="auto"/>
              </w:rPr>
              <w:t>authorized at December 31, 2022 and December 31, 2021,</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060" w:type="dxa"/>
            <w:vAlign w:val="bottom"/>
          </w:tcPr>
          <w:p>
            <w:pPr>
              <w:ind w:left="420"/>
              <w:spacing w:after="0" w:line="202" w:lineRule="exact"/>
              <w:rPr>
                <w:sz w:val="20"/>
                <w:szCs w:val="20"/>
                <w:color w:val="auto"/>
              </w:rPr>
            </w:pPr>
            <w:r>
              <w:rPr>
                <w:rFonts w:ascii="Arial" w:cs="Arial" w:eastAsia="Arial" w:hAnsi="Arial"/>
                <w:sz w:val="18"/>
                <w:szCs w:val="18"/>
                <w:color w:val="auto"/>
              </w:rPr>
              <w:t>respectively; 37,877,387 and 37,379,077 shares issued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420"/>
              <w:spacing w:after="0" w:line="202" w:lineRule="exact"/>
              <w:rPr>
                <w:sz w:val="20"/>
                <w:szCs w:val="20"/>
                <w:color w:val="auto"/>
              </w:rPr>
            </w:pPr>
            <w:r>
              <w:rPr>
                <w:rFonts w:ascii="Arial" w:cs="Arial" w:eastAsia="Arial" w:hAnsi="Arial"/>
                <w:sz w:val="18"/>
                <w:szCs w:val="18"/>
                <w:color w:val="auto"/>
              </w:rPr>
              <w:t>and outstanding at December 31, 2022 and December 31,</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060" w:type="dxa"/>
            <w:vAlign w:val="bottom"/>
          </w:tcPr>
          <w:p>
            <w:pPr>
              <w:ind w:left="420"/>
              <w:spacing w:after="0"/>
              <w:rPr>
                <w:sz w:val="20"/>
                <w:szCs w:val="20"/>
                <w:color w:val="auto"/>
              </w:rPr>
            </w:pPr>
            <w:r>
              <w:rPr>
                <w:rFonts w:ascii="Arial" w:cs="Arial" w:eastAsia="Arial" w:hAnsi="Arial"/>
                <w:sz w:val="18"/>
                <w:szCs w:val="18"/>
                <w:color w:val="auto"/>
              </w:rPr>
              <w:t>2021, respectively</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29"/>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428,623</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417,363</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(1,956 )</w:t>
            </w:r>
          </w:p>
        </w:tc>
        <w:tc>
          <w:tcPr>
            <w:tcW w:w="6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(388 )</w:t>
            </w:r>
          </w:p>
        </w:tc>
      </w:tr>
      <w:tr>
        <w:trPr>
          <w:trHeight w:val="230"/>
        </w:trPr>
        <w:tc>
          <w:tcPr>
            <w:tcW w:w="70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(191,534 )</w:t>
            </w:r>
          </w:p>
        </w:tc>
        <w:tc>
          <w:tcPr>
            <w:tcW w:w="6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(95,895 )</w:t>
            </w:r>
          </w:p>
        </w:tc>
      </w:tr>
      <w:tr>
        <w:trPr>
          <w:trHeight w:val="223"/>
        </w:trPr>
        <w:tc>
          <w:tcPr>
            <w:tcW w:w="706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235,137</w:t>
            </w:r>
          </w:p>
        </w:tc>
        <w:tc>
          <w:tcPr>
            <w:tcW w:w="28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321,084</w:t>
            </w:r>
          </w:p>
        </w:tc>
        <w:tc>
          <w:tcPr>
            <w:tcW w:w="100" w:type="dxa"/>
            <w:vAlign w:val="bottom"/>
            <w:tcBorders>
              <w:top w:val="single" w:sz="8" w:color="CFF0FC"/>
            </w:tcBorders>
          </w:tcPr>
          <w:p>
            <w:pPr>
              <w:spacing w:after="0"/>
              <w:rPr>
                <w:sz w:val="19"/>
                <w:szCs w:val="19"/>
                <w:color w:val="auto"/>
              </w:rPr>
            </w:pPr>
          </w:p>
        </w:tc>
      </w:tr>
      <w:tr>
        <w:trPr>
          <w:trHeight w:val="263"/>
        </w:trPr>
        <w:tc>
          <w:tcPr>
            <w:tcW w:w="70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258,153</w:t>
            </w:r>
          </w:p>
        </w:tc>
        <w:tc>
          <w:tcPr>
            <w:tcW w:w="2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332,008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-2939415</wp:posOffset>
            </wp:positionV>
            <wp:extent cx="154305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3050" cy="1714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-2039620</wp:posOffset>
            </wp:positionV>
            <wp:extent cx="6858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-1739265</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-333375</wp:posOffset>
            </wp:positionV>
            <wp:extent cx="6858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6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61,464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Legal settlement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104,016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(104,016 )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(64,022 )</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income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(95,639 )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(54,853 )</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color w:val="auto"/>
              </w:rPr>
              <w:t>Unrealized loss on available-for-sale securities</w:t>
            </w:r>
          </w:p>
        </w:tc>
        <w:tc>
          <w:tcPr>
            <w:tcW w:w="3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(1,568 )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(97,207 )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(55,274 )</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20"/>
              <w:spacing w:after="0" w:line="195"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(2.53 )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176"/>
        </w:trPr>
        <w:tc>
          <w:tcPr>
            <w:tcW w:w="7680" w:type="dxa"/>
            <w:vAlign w:val="bottom"/>
          </w:tcPr>
          <w:p>
            <w:pPr>
              <w:ind w:left="180"/>
              <w:spacing w:after="0" w:line="176" w:lineRule="exact"/>
              <w:rPr>
                <w:sz w:val="20"/>
                <w:szCs w:val="20"/>
                <w:color w:val="auto"/>
              </w:rPr>
            </w:pPr>
            <w:r>
              <w:rPr>
                <w:rFonts w:ascii="Arial" w:cs="Arial" w:eastAsia="Arial" w:hAnsi="Arial"/>
                <w:sz w:val="18"/>
                <w:szCs w:val="18"/>
                <w:color w:val="auto"/>
              </w:rPr>
              <w:t>stockholders, basic and diluted</w:t>
            </w:r>
          </w:p>
        </w:tc>
        <w:tc>
          <w:tcPr>
            <w:tcW w:w="38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Weighted-average shares used in computing</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37,733,240</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36,921,172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80"/>
              <w:spacing w:after="0" w:line="176"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-1628140</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-1028065</wp:posOffset>
            </wp:positionV>
            <wp:extent cx="1251585" cy="1803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-702310</wp:posOffset>
            </wp:positionV>
            <wp:extent cx="1251585"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51585" cy="3003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0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Comprehensive</w:t>
            </w:r>
          </w:p>
        </w:tc>
        <w:tc>
          <w:tcPr>
            <w:tcW w:w="22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Accumulated  Stockholders’</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January 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32,485,784</w:t>
            </w:r>
          </w:p>
        </w:tc>
        <w:tc>
          <w:tcPr>
            <w:tcW w:w="860" w:type="dxa"/>
            <w:vAlign w:val="bottom"/>
            <w:gridSpan w:val="2"/>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w w:val="89"/>
              </w:rPr>
              <w:t>$</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(41,042 )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00"/>
              <w:spacing w:after="0"/>
              <w:rPr>
                <w:sz w:val="20"/>
                <w:szCs w:val="20"/>
                <w:color w:val="auto"/>
              </w:rPr>
            </w:pPr>
            <w:r>
              <w:rPr>
                <w:rFonts w:ascii="Arial" w:cs="Arial" w:eastAsia="Arial" w:hAnsi="Arial"/>
                <w:sz w:val="16"/>
                <w:szCs w:val="16"/>
                <w:color w:val="auto"/>
              </w:rPr>
              <w:t>Issuance of common stock upon exercise of</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340"/>
              <w:spacing w:after="0"/>
              <w:rPr>
                <w:sz w:val="20"/>
                <w:szCs w:val="20"/>
                <w:color w:val="auto"/>
              </w:rPr>
            </w:pPr>
            <w:r>
              <w:rPr>
                <w:rFonts w:ascii="Arial" w:cs="Arial" w:eastAsia="Arial" w:hAnsi="Arial"/>
                <w:sz w:val="16"/>
                <w:szCs w:val="16"/>
                <w:color w:val="auto"/>
              </w:rPr>
              <w:t>common stock options and vesting of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6"/>
                <w:szCs w:val="16"/>
                <w:color w:val="auto"/>
              </w:rPr>
              <w:t>restricted stock units</w:t>
            </w:r>
          </w:p>
        </w:tc>
        <w:tc>
          <w:tcPr>
            <w:tcW w:w="1040" w:type="dxa"/>
            <w:vAlign w:val="bottom"/>
          </w:tcPr>
          <w:p>
            <w:pPr>
              <w:jc w:val="right"/>
              <w:spacing w:after="0"/>
              <w:rPr>
                <w:sz w:val="20"/>
                <w:szCs w:val="20"/>
                <w:color w:val="auto"/>
              </w:rPr>
            </w:pPr>
            <w:r>
              <w:rPr>
                <w:rFonts w:ascii="Arial" w:cs="Arial" w:eastAsia="Arial" w:hAnsi="Arial"/>
                <w:sz w:val="16"/>
                <w:szCs w:val="16"/>
                <w:color w:val="auto"/>
              </w:rPr>
              <w:t>266,653</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under</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employee stock purchase plan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26,640</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00"/>
              <w:spacing w:after="0"/>
              <w:rPr>
                <w:sz w:val="20"/>
                <w:szCs w:val="20"/>
                <w:color w:val="auto"/>
              </w:rPr>
            </w:pPr>
            <w:r>
              <w:rPr>
                <w:rFonts w:ascii="Arial" w:cs="Arial" w:eastAsia="Arial" w:hAnsi="Arial"/>
                <w:sz w:val="16"/>
                <w:szCs w:val="16"/>
                <w:color w:val="auto"/>
              </w:rPr>
              <w:t>Proceeds from follow-on public offering, net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340"/>
              <w:spacing w:after="0"/>
              <w:rPr>
                <w:sz w:val="20"/>
                <w:szCs w:val="20"/>
                <w:color w:val="auto"/>
              </w:rPr>
            </w:pPr>
            <w:r>
              <w:rPr>
                <w:rFonts w:ascii="Arial" w:cs="Arial" w:eastAsia="Arial" w:hAnsi="Arial"/>
                <w:sz w:val="16"/>
                <w:szCs w:val="16"/>
                <w:color w:val="auto"/>
              </w:rPr>
              <w:t>of underwriters' discounts and commissions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6"/>
                <w:szCs w:val="16"/>
                <w:color w:val="auto"/>
              </w:rPr>
              <w:t>and issuance costs</w:t>
            </w:r>
          </w:p>
        </w:tc>
        <w:tc>
          <w:tcPr>
            <w:tcW w:w="1040" w:type="dxa"/>
            <w:vAlign w:val="bottom"/>
          </w:tcPr>
          <w:p>
            <w:pPr>
              <w:jc w:val="right"/>
              <w:spacing w:after="0"/>
              <w:rPr>
                <w:sz w:val="20"/>
                <w:szCs w:val="20"/>
                <w:color w:val="auto"/>
              </w:rPr>
            </w:pPr>
            <w:r>
              <w:rPr>
                <w:rFonts w:ascii="Arial" w:cs="Arial" w:eastAsia="Arial" w:hAnsi="Arial"/>
                <w:sz w:val="16"/>
                <w:szCs w:val="16"/>
                <w:color w:val="auto"/>
              </w:rPr>
              <w:t>4,600,000</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96,761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(421 )</w:t>
            </w:r>
          </w:p>
        </w:tc>
        <w:tc>
          <w:tcPr>
            <w:tcW w:w="2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(421 )</w:t>
            </w: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(54,853 )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(54,853 )</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40" w:type="dxa"/>
            <w:vAlign w:val="bottom"/>
          </w:tcPr>
          <w:p>
            <w:pPr>
              <w:jc w:val="right"/>
              <w:spacing w:after="0"/>
              <w:rPr>
                <w:sz w:val="20"/>
                <w:szCs w:val="20"/>
                <w:color w:val="auto"/>
              </w:rPr>
            </w:pPr>
            <w:r>
              <w:rPr>
                <w:rFonts w:ascii="Arial" w:cs="Arial" w:eastAsia="Arial" w:hAnsi="Arial"/>
                <w:sz w:val="16"/>
                <w:szCs w:val="16"/>
                <w:color w:val="auto"/>
              </w:rPr>
              <w:t>37,379,077</w:t>
            </w:r>
          </w:p>
        </w:tc>
        <w:tc>
          <w:tcPr>
            <w:tcW w:w="120" w:type="dxa"/>
            <w:vAlign w:val="bottom"/>
          </w:tcPr>
          <w:p>
            <w:pPr>
              <w:spacing w:after="0"/>
              <w:rPr>
                <w:sz w:val="18"/>
                <w:szCs w:val="18"/>
                <w:color w:val="auto"/>
              </w:rPr>
            </w:pP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417,363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jc w:val="right"/>
              <w:ind w:right="24"/>
              <w:spacing w:after="0"/>
              <w:rPr>
                <w:sz w:val="20"/>
                <w:szCs w:val="20"/>
                <w:color w:val="auto"/>
              </w:rPr>
            </w:pPr>
            <w:r>
              <w:rPr>
                <w:rFonts w:ascii="Arial" w:cs="Arial" w:eastAsia="Arial" w:hAnsi="Arial"/>
                <w:sz w:val="16"/>
                <w:szCs w:val="16"/>
                <w:color w:val="auto"/>
              </w:rPr>
              <w:t>(388 ) $</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(95,895 ) $</w:t>
            </w:r>
          </w:p>
        </w:tc>
        <w:tc>
          <w:tcPr>
            <w:tcW w:w="820" w:type="dxa"/>
            <w:vAlign w:val="bottom"/>
          </w:tcPr>
          <w:p>
            <w:pPr>
              <w:jc w:val="right"/>
              <w:spacing w:after="0"/>
              <w:rPr>
                <w:sz w:val="20"/>
                <w:szCs w:val="20"/>
                <w:color w:val="auto"/>
              </w:rPr>
            </w:pPr>
            <w:r>
              <w:rPr>
                <w:rFonts w:ascii="Arial" w:cs="Arial" w:eastAsia="Arial" w:hAnsi="Arial"/>
                <w:sz w:val="16"/>
                <w:szCs w:val="16"/>
                <w:color w:val="auto"/>
              </w:rPr>
              <w:t>321,084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upon exercise of</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common stock options and vesting of</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restricted stock units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419,949</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tcPr>
          <w:p>
            <w:pPr>
              <w:ind w:left="200"/>
              <w:spacing w:after="0"/>
              <w:rPr>
                <w:sz w:val="20"/>
                <w:szCs w:val="20"/>
                <w:color w:val="auto"/>
              </w:rPr>
            </w:pPr>
            <w:r>
              <w:rPr>
                <w:rFonts w:ascii="Arial" w:cs="Arial" w:eastAsia="Arial" w:hAnsi="Arial"/>
                <w:sz w:val="16"/>
                <w:szCs w:val="16"/>
                <w:color w:val="auto"/>
              </w:rPr>
              <w:t>Issuance of common stock under</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20" w:type="dxa"/>
            <w:vAlign w:val="bottom"/>
          </w:tcPr>
          <w:p>
            <w:pPr>
              <w:ind w:left="340"/>
              <w:spacing w:after="0"/>
              <w:rPr>
                <w:sz w:val="20"/>
                <w:szCs w:val="20"/>
                <w:color w:val="auto"/>
              </w:rPr>
            </w:pPr>
            <w:r>
              <w:rPr>
                <w:rFonts w:ascii="Arial" w:cs="Arial" w:eastAsia="Arial" w:hAnsi="Arial"/>
                <w:sz w:val="16"/>
                <w:szCs w:val="16"/>
                <w:color w:val="auto"/>
              </w:rPr>
              <w:t>employee stock purchase plan</w:t>
            </w:r>
          </w:p>
        </w:tc>
        <w:tc>
          <w:tcPr>
            <w:tcW w:w="1040" w:type="dxa"/>
            <w:vAlign w:val="bottom"/>
          </w:tcPr>
          <w:p>
            <w:pPr>
              <w:jc w:val="right"/>
              <w:spacing w:after="0"/>
              <w:rPr>
                <w:sz w:val="20"/>
                <w:szCs w:val="20"/>
                <w:color w:val="auto"/>
              </w:rPr>
            </w:pPr>
            <w:r>
              <w:rPr>
                <w:rFonts w:ascii="Arial" w:cs="Arial" w:eastAsia="Arial" w:hAnsi="Arial"/>
                <w:sz w:val="16"/>
                <w:szCs w:val="16"/>
                <w:color w:val="auto"/>
              </w:rPr>
              <w:t>78,361</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(1,568 )</w:t>
            </w:r>
          </w:p>
        </w:tc>
        <w:tc>
          <w:tcPr>
            <w:tcW w:w="2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(1,568 )</w:t>
            </w:r>
          </w:p>
        </w:tc>
        <w:tc>
          <w:tcPr>
            <w:tcW w:w="0" w:type="dxa"/>
            <w:vAlign w:val="bottom"/>
          </w:tcPr>
          <w:p>
            <w:pPr>
              <w:spacing w:after="0"/>
              <w:rPr>
                <w:sz w:val="1"/>
                <w:szCs w:val="1"/>
                <w:color w:val="auto"/>
              </w:rPr>
            </w:pPr>
          </w:p>
        </w:tc>
      </w:tr>
      <w:tr>
        <w:trPr>
          <w:trHeight w:val="219"/>
        </w:trPr>
        <w:tc>
          <w:tcPr>
            <w:tcW w:w="4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(95,639 )</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(95,639 )</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040" w:type="dxa"/>
            <w:vAlign w:val="bottom"/>
          </w:tcPr>
          <w:p>
            <w:pPr>
              <w:jc w:val="right"/>
              <w:spacing w:after="0"/>
              <w:rPr>
                <w:sz w:val="20"/>
                <w:szCs w:val="20"/>
                <w:color w:val="auto"/>
              </w:rPr>
            </w:pPr>
            <w:r>
              <w:rPr>
                <w:rFonts w:ascii="Arial" w:cs="Arial" w:eastAsia="Arial" w:hAnsi="Arial"/>
                <w:sz w:val="16"/>
                <w:szCs w:val="16"/>
                <w:color w:val="auto"/>
              </w:rPr>
              <w:t>37,877,387</w:t>
            </w:r>
          </w:p>
        </w:tc>
        <w:tc>
          <w:tcPr>
            <w:tcW w:w="120" w:type="dxa"/>
            <w:vAlign w:val="bottom"/>
          </w:tcPr>
          <w:p>
            <w:pPr>
              <w:spacing w:after="0"/>
              <w:rPr>
                <w:sz w:val="18"/>
                <w:szCs w:val="18"/>
                <w:color w:val="auto"/>
              </w:rPr>
            </w:pPr>
          </w:p>
        </w:tc>
        <w:tc>
          <w:tcPr>
            <w:tcW w:w="7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428,623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jc w:val="right"/>
              <w:ind w:right="24"/>
              <w:spacing w:after="0"/>
              <w:rPr>
                <w:sz w:val="20"/>
                <w:szCs w:val="20"/>
                <w:color w:val="auto"/>
              </w:rPr>
            </w:pPr>
            <w:r>
              <w:rPr>
                <w:rFonts w:ascii="Arial" w:cs="Arial" w:eastAsia="Arial" w:hAnsi="Arial"/>
                <w:sz w:val="16"/>
                <w:szCs w:val="16"/>
                <w:color w:val="auto"/>
              </w:rPr>
              <w:t>(1,956 ) $</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(191,534 ) $</w:t>
            </w:r>
          </w:p>
        </w:tc>
        <w:tc>
          <w:tcPr>
            <w:tcW w:w="820" w:type="dxa"/>
            <w:vAlign w:val="bottom"/>
          </w:tcPr>
          <w:p>
            <w:pPr>
              <w:jc w:val="right"/>
              <w:spacing w:after="0"/>
              <w:rPr>
                <w:sz w:val="20"/>
                <w:szCs w:val="20"/>
                <w:color w:val="auto"/>
              </w:rPr>
            </w:pPr>
            <w:r>
              <w:rPr>
                <w:rFonts w:ascii="Arial" w:cs="Arial" w:eastAsia="Arial" w:hAnsi="Arial"/>
                <w:sz w:val="16"/>
                <w:szCs w:val="16"/>
                <w:color w:val="auto"/>
              </w:rPr>
              <w:t>235,137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-1388110</wp:posOffset>
            </wp:positionV>
            <wp:extent cx="7683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-1388110</wp:posOffset>
            </wp:positionV>
            <wp:extent cx="7683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-1388110</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-1388110</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-1388110</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-170815</wp:posOffset>
            </wp:positionV>
            <wp:extent cx="7683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7683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6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(95,639 )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(54,853 )</w:t>
            </w:r>
          </w:p>
        </w:tc>
      </w:tr>
      <w:tr>
        <w:trPr>
          <w:trHeight w:val="229"/>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15"/>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premiums and accretion of discounts 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76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available-for-sale securities, net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(422 )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8"/>
                <w:szCs w:val="18"/>
                <w:color w:val="auto"/>
              </w:rPr>
            </w:pPr>
          </w:p>
        </w:tc>
      </w:tr>
      <w:tr>
        <w:trPr>
          <w:trHeight w:val="229"/>
        </w:trPr>
        <w:tc>
          <w:tcPr>
            <w:tcW w:w="768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Unbilled grant receivable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(1,036 )</w:t>
            </w:r>
          </w:p>
        </w:tc>
      </w:tr>
      <w:tr>
        <w:trPr>
          <w:trHeight w:val="229"/>
        </w:trPr>
        <w:tc>
          <w:tcPr>
            <w:tcW w:w="768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(1,257 )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780"/>
              <w:spacing w:after="0"/>
              <w:rPr>
                <w:sz w:val="20"/>
                <w:szCs w:val="20"/>
                <w:color w:val="auto"/>
              </w:rPr>
            </w:pPr>
            <w:r>
              <w:rPr>
                <w:rFonts w:ascii="Arial" w:cs="Arial" w:eastAsia="Arial" w:hAnsi="Arial"/>
                <w:sz w:val="18"/>
                <w:szCs w:val="18"/>
                <w:color w:val="auto"/>
              </w:rPr>
              <w:t>Accrued legal settlement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Operating lease liability</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(15 )</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10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(72,469 )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(43,098 )</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Purchases of available-for-sale securities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(95,288 )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(299,197 )</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Maturities of available-for-sale securities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278,639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Proceeds from sales of available-for-sale securities</w:t>
            </w:r>
          </w:p>
        </w:tc>
        <w:tc>
          <w:tcPr>
            <w:tcW w:w="38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18,052</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(1,141 )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(1,573 )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10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57,664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(4,079 )</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public offering, net of issuance costs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96,762</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Borders>
              <w:top w:val="single" w:sz="8" w:color="CFF0FC"/>
            </w:tcBorders>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97,089</w:t>
            </w:r>
          </w:p>
        </w:tc>
        <w:tc>
          <w:tcPr>
            <w:tcW w:w="100" w:type="dxa"/>
            <w:vAlign w:val="bottom"/>
            <w:tcBorders>
              <w:top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(14,151 )</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49,912</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110,537</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96,386</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7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Right-of-use asset obtained in exchange for new operating lease liability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-2442845</wp:posOffset>
            </wp:positionV>
            <wp:extent cx="6858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163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-1550670</wp:posOffset>
            </wp:positionV>
            <wp:extent cx="6858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-951230</wp:posOffset>
            </wp:positionV>
            <wp:extent cx="6858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-342265</wp:posOffset>
            </wp:positionV>
            <wp:extent cx="125158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51585"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additional net proceeds to the Company of approximately $12.7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 The Market Common Stock Offering</w:t>
      </w:r>
    </w:p>
    <w:p>
      <w:pPr>
        <w:spacing w:after="0" w:line="126"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In January 2023, the Company entered into a sales agreement with Cantor Fitzgerald and BTIG to sell shares of our common stock having aggregate sales proceeds of up to $75.0 million, from time to time, through an “at the market” (“ATM”) equity offering program under which Cantor and BTIG are acting as sales agents. The Company has not sold any securities pursuant to this ATM offering.</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December 31, 2022, it has raised aggregate net cash proceeds of $407.4 million primarily from the issuance of its common stock (excluding option exercises), convertible preferred stock, common stock warrants, and convertible notes. As of December 31, 2022, the Company had $245.2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0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upon the Company’s current operating plan, it estimates that its $245.2 million of cash, cash equivalents, and investments at December 31, 2022 will be sufficient to fund its operating expenses and capital expenditure requirements through at least the next 12 months following the date of the Company’s Annual Report on Form 10-K.</w:t>
      </w:r>
    </w:p>
    <w:p>
      <w:pPr>
        <w:spacing w:after="0" w:line="289" w:lineRule="exact"/>
        <w:rPr>
          <w:sz w:val="20"/>
          <w:szCs w:val="20"/>
          <w:color w:val="auto"/>
        </w:rPr>
      </w:pPr>
    </w:p>
    <w:p>
      <w:pPr>
        <w:ind w:left="520" w:right="8340" w:hanging="512"/>
        <w:spacing w:after="0" w:line="394" w:lineRule="auto"/>
        <w:tabs>
          <w:tab w:leader="none" w:pos="21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consolidated financial statements. Certain prior period amounts have been reclassified to conform to current period presentation.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factors and adjusts those estimates and assumptions when facts and circumstances dictate. Actual results could differ from those estimates.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Restricted cash consists of collateral pledged in connection with the Company's corporate credit cards. The table below reconciles the balances of cash and cash equivalents and restricted cash reported on the condensed consolidated balance sheets to the balances of cash, cash equivalents and restricted cash reported on the condensed consolidated statements of cash flows.</w:t>
      </w:r>
    </w:p>
    <w:p>
      <w:pPr>
        <w:spacing w:after="0" w:line="96"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95,966</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6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96,386</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110,537</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income or loss. Realized gains and losses on the sale of these securities are recognized in net loss.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Property and equipment consist of computer equipment, computer software, laboratory equipment, leasehold improvements and furniture and office equipment. Property and equipment are recorded at cost and depreciation is recognized using the straight-line method based on estimated useful life, generally three to five years. Leasehold improvements are amortized over the shorter of their useful life or the remaining lease term. Maintenance and repairs are charged to expense as incurred, and costs of improvements are capitalized.</w:t>
      </w:r>
    </w:p>
    <w:p>
      <w:pPr>
        <w:spacing w:after="0" w:line="205"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Company reviews long-lived assets for impairment whenever events or circumstances indicate the carrying amount of an asset group may not be recoverable. Should an impairment exist, the impairment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1" w:name="page142"/>
    <w:bookmarkEnd w:id="141"/>
    <w:p>
      <w:pPr>
        <w:jc w:val="both"/>
        <w:spacing w:after="0" w:line="238" w:lineRule="auto"/>
        <w:rPr>
          <w:sz w:val="20"/>
          <w:szCs w:val="20"/>
          <w:color w:val="auto"/>
        </w:rPr>
      </w:pPr>
      <w:r>
        <w:rPr>
          <w:rFonts w:ascii="Arial" w:cs="Arial" w:eastAsia="Arial" w:hAnsi="Arial"/>
          <w:sz w:val="18"/>
          <w:szCs w:val="18"/>
          <w:color w:val="auto"/>
        </w:rPr>
        <w:t>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 impairment losses in the years ended December 31, 2022 and 2021 as there have been no events warranting an impairment analysis.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carrying amounts of certain financial instruments, including cash, cash equivalents, restricted cash, investments, accounts payable and accrued expenses approximate their fair values due to the short-term nature of those amounts.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fosgonimeton (then-named ATH-1017), the Company’s lead therapeutic candidate being developed for the treatment of individuals with mild-to-moderate Alzheimer’s disease. Under the terms of the agreement and approval received from the NIH, the Company may receive up to an aggregate of $15.2 million. The Company recognizes income related to the NIH grant in the accompanying consolidated statements of operations and comprehensive loss as qualifying expenses under the grant agreement are incurred.</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During the years ended December 31, 2022 and 2021, the Company recognized grant income of $5.2 million and $8.8 million, respectively, in connection with the NIH grant. As of December 31, 2022 and December 31, 2021, the Company incurred qualifying expenses in excess of cash received of $1.2 million and $2.3 million, respectively, which is included in unbilled grant receivable on the consolidated balance sheets. The Company received cash of $6.3 million related to the NIH grant during the year ended December 31, 2022, compared to $7.6 million during the year ended December 31, 2021. As of December 31, 2022, we recognized aggregate grant income of $15.1 million of the total $15.2 million approved in connection with the NIH grant.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xml:space="preserve">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0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1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0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3" w:name="page144"/>
    <w:bookmarkEnd w:id="143"/>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jc w:val="both"/>
        <w:ind w:right="20" w:firstLine="509"/>
        <w:spacing w:after="0" w:line="23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 Attributable to Common Stockholders</w:t>
      </w:r>
    </w:p>
    <w:p>
      <w:pPr>
        <w:spacing w:after="0" w:line="126"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 Remeasurement Adjustments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4" w:name="page145"/>
    <w:bookmarkEnd w:id="144"/>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Credit Losses (Topic 326)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adoption of ASU 2016-13 will not have a material impact on the Company’s financial condition, results of operations, cash flows or financial statement disclosures.</w:t>
      </w:r>
    </w:p>
    <w:p>
      <w:pPr>
        <w:spacing w:after="0" w:line="20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1"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5" w:name="page146"/>
    <w:bookmarkEnd w:id="145"/>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on a recurring basis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3"/>
              <w:spacing w:after="0" w:line="156"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900" w:type="dxa"/>
            <w:vAlign w:val="bottom"/>
          </w:tcPr>
          <w:p>
            <w:pPr>
              <w:jc w:val="center"/>
              <w:ind w:right="153"/>
              <w:spacing w:after="0" w:line="156"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Pr>
          <w:p>
            <w:pPr>
              <w:jc w:val="center"/>
              <w:ind w:right="15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78,035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(168 )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(784 )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105,392</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(1,014 )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45,745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(916 )</w:t>
            </w:r>
          </w:p>
        </w:tc>
        <w:tc>
          <w:tcPr>
            <w:tcW w:w="2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ind w:left="420"/>
              <w:spacing w:after="0" w:line="203" w:lineRule="exact"/>
              <w:rPr>
                <w:sz w:val="20"/>
                <w:szCs w:val="20"/>
                <w:color w:val="auto"/>
              </w:rPr>
            </w:pPr>
            <w:r>
              <w:rPr>
                <w:rFonts w:ascii="Arial" w:cs="Arial" w:eastAsia="Arial" w:hAnsi="Arial"/>
                <w:sz w:val="18"/>
                <w:szCs w:val="18"/>
                <w:color w:val="auto"/>
              </w:rPr>
              <w:t>securities</w:t>
            </w:r>
          </w:p>
        </w:tc>
        <w:tc>
          <w:tcPr>
            <w:tcW w:w="10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 long-term investments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45,745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3"/>
              <w:spacing w:after="0" w:line="156"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900" w:type="dxa"/>
            <w:vAlign w:val="bottom"/>
          </w:tcPr>
          <w:p>
            <w:pPr>
              <w:jc w:val="center"/>
              <w:ind w:right="153"/>
              <w:spacing w:after="0" w:line="156"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Pr>
          <w:p>
            <w:pPr>
              <w:jc w:val="center"/>
              <w:ind w:right="15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Money market fund</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Total cash equivalents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96,177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government debt, municipal</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bonds, and agency 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143,323</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143,222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(20 )</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62,911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(262 )</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420"/>
              <w:spacing w:after="0" w:line="203" w:lineRule="exact"/>
              <w:rPr>
                <w:sz w:val="20"/>
                <w:szCs w:val="20"/>
                <w:color w:val="auto"/>
              </w:rPr>
            </w:pPr>
            <w:r>
              <w:rPr>
                <w:rFonts w:ascii="Arial" w:cs="Arial" w:eastAsia="Arial" w:hAnsi="Arial"/>
                <w:sz w:val="18"/>
                <w:szCs w:val="18"/>
                <w:color w:val="auto"/>
              </w:rPr>
              <w:t>securities</w:t>
            </w:r>
          </w:p>
        </w:tc>
        <w:tc>
          <w:tcPr>
            <w:tcW w:w="1080" w:type="dxa"/>
            <w:vAlign w:val="bottom"/>
          </w:tcPr>
          <w:p>
            <w:pPr>
              <w:jc w:val="center"/>
              <w:spacing w:after="0" w:line="203"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(282 )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-4739640</wp:posOffset>
            </wp:positionV>
            <wp:extent cx="6858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-4439920</wp:posOffset>
            </wp:positionV>
            <wp:extent cx="6858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-4439920</wp:posOffset>
            </wp:positionV>
            <wp:extent cx="6858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-4439920</wp:posOffset>
            </wp:positionV>
            <wp:extent cx="6858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-4114165</wp:posOffset>
            </wp:positionV>
            <wp:extent cx="6858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-3385185</wp:posOffset>
            </wp:positionV>
            <wp:extent cx="245999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59990" cy="1797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-2939415</wp:posOffset>
            </wp:positionV>
            <wp:extent cx="68580" cy="1803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-2939415</wp:posOffset>
            </wp:positionV>
            <wp:extent cx="68580" cy="1803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-2939415</wp:posOffset>
            </wp:positionV>
            <wp:extent cx="68580"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180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-2125345</wp:posOffset>
            </wp:positionV>
            <wp:extent cx="6858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-1824990</wp:posOffset>
            </wp:positionV>
            <wp:extent cx="6858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-1824990</wp:posOffset>
            </wp:positionV>
            <wp:extent cx="6858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-1824990</wp:posOffset>
            </wp:positionV>
            <wp:extent cx="68580" cy="1797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-1499235</wp:posOffset>
            </wp:positionV>
            <wp:extent cx="6858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-770890</wp:posOffset>
            </wp:positionV>
            <wp:extent cx="2459990" cy="180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59990" cy="18034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All the commercial paper, U.S. government debt, municipal bonds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Office furniture, fixtures, and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606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2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(1,368 )</w:t>
            </w: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(523 )</w:t>
            </w:r>
          </w:p>
        </w:tc>
      </w:tr>
      <w:tr>
        <w:trPr>
          <w:trHeight w:val="263"/>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4,053</w:t>
            </w:r>
          </w:p>
        </w:tc>
        <w:tc>
          <w:tcPr>
            <w:tcW w:w="2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$845,000 and $479,000 for the years ended December 31, 2022 and 2021,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3,843</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3,415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9"/>
                <w:szCs w:val="19"/>
                <w:color w:val="auto"/>
              </w:rPr>
            </w:pPr>
          </w:p>
        </w:tc>
      </w:tr>
      <w:tr>
        <w:trPr>
          <w:trHeight w:val="229"/>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8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1,346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610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8,604</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8,437</w:t>
            </w:r>
          </w:p>
        </w:tc>
        <w:tc>
          <w:tcPr>
            <w:tcW w:w="8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-179705</wp:posOffset>
            </wp:positionV>
            <wp:extent cx="60325" cy="1803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1803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is party to an amended and restated exclusive license agreement with sublicensing terms with Washington State University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spacing w:after="0" w:line="20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December 31, 2022.</w:t>
      </w:r>
    </w:p>
    <w:p>
      <w:pPr>
        <w:spacing w:after="0" w:line="19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020" w:hanging="50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2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2022, no sales of any licensed products had occurred and the Company had not incurred a royalty obligation under this agreement.</w:t>
      </w:r>
    </w:p>
    <w:p>
      <w:pPr>
        <w:spacing w:after="0" w:line="21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December 31, 2022, the Company has not entered into or incurred any liability from a sublicense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("Exchange Act")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0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initial public offering (IPO), as well as the IPO underwriters, captioned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w:t>
      </w:r>
      <w:r>
        <w:rPr>
          <w:rFonts w:ascii="Arial" w:cs="Arial" w:eastAsia="Arial" w:hAnsi="Arial"/>
          <w:sz w:val="18"/>
          <w:szCs w:val="18"/>
          <w:i w:val="1"/>
          <w:iCs w:val="1"/>
          <w:color w:val="auto"/>
        </w:rPr>
        <w:t>v. Athira Pharma, Inc., 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1933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plaintiff seeks unspecified compensatory damages, and reasonable costs and expenses, including attorneys’ fees.</w:t>
      </w:r>
    </w:p>
    <w:p>
      <w:pPr>
        <w:spacing w:after="0" w:line="20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jc w:val="both"/>
        <w:ind w:firstLine="509"/>
        <w:spacing w:after="0" w:line="246" w:lineRule="auto"/>
        <w:rPr>
          <w:sz w:val="20"/>
          <w:szCs w:val="20"/>
          <w:color w:val="auto"/>
        </w:rPr>
      </w:pPr>
      <w:r>
        <w:rPr>
          <w:rFonts w:ascii="Arial" w:cs="Arial" w:eastAsia="Arial" w:hAnsi="Arial"/>
          <w:sz w:val="18"/>
          <w:szCs w:val="18"/>
          <w:color w:val="auto"/>
        </w:rPr>
        <w:t>On August 9, 2021, the court issued an order consolidating the three cases. On October 5, 2021, the district court issued an order appointing lead plaintiffs and approved their selection of lead and liaison counsel.</w:t>
      </w:r>
    </w:p>
    <w:p>
      <w:pPr>
        <w:spacing w:after="0" w:line="19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spacing w:after="0" w:line="21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August 12, 2022, defendant Dr. Kawas 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 On December 19, 2022, the underwriter defendants filed a motion for entry of judgment. On February 17, 2023, the court issued an order directing the parties to provide briefing on the court’s proposed form of partial judgment.</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February 28, 2023, the Company reached an agreement in principle to resolve all claims in the class action lawsuit. Under the proposed settlement, the Company has agreed to make a one-time payment of $10.0 million. As a result, the Company recorded a legal settlement expense of $10.0 million in operating expenses on the accompanying consolidated statements of operations and comprehensive loss in the fourth quarter of 2022 and an accrued liability of $10.0 million on the accompanying consolidated balance sheets. The proposed settlement is subject to the parties finalizing a stipulation of settlement and preliminary and final approval of the U.S. District Court for the Western District of Washington.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Shareholder Derivative Actions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cs="Arial" w:eastAsia="Arial" w:hAnsi="Arial"/>
          <w:sz w:val="18"/>
          <w:szCs w:val="18"/>
          <w:i w:val="1"/>
          <w:iCs w:val="1"/>
          <w:color w:val="auto"/>
        </w:rPr>
        <w:t>Bushansky v. Kawas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2:22-cv-497. Plaintiff purports to bring the action derivatively on behalf of the Company, which is a nominal defendant to the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defendants, restitution, declaratory relief, and an award of costs and expenses to the derivative plaintiff, including attorneys’ fees.</w:t>
      </w:r>
    </w:p>
    <w:p>
      <w:pPr>
        <w:spacing w:after="0" w:line="2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cs="Arial" w:eastAsia="Arial" w:hAnsi="Arial"/>
          <w:sz w:val="18"/>
          <w:szCs w:val="18"/>
          <w:i w:val="1"/>
          <w:iCs w:val="1"/>
          <w:color w:val="auto"/>
        </w:rPr>
        <w:t>Houlihan v. Kawas et al</w:t>
      </w:r>
      <w:r>
        <w:rPr>
          <w:rFonts w:ascii="Arial" w:cs="Arial" w:eastAsia="Arial" w:hAnsi="Arial"/>
          <w:sz w:val="18"/>
          <w:szCs w:val="18"/>
          <w:color w:val="auto"/>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26, 2022, the court issued an order consolidating the cases and staying them until further order of the court.</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Government Investigations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November 2022, the Company received a Civil Investigative Demand from the Civil Division of the Department of Justice, or the Demand. The Demand seeks documents and information relating to our relationship with WSU, certain of our grant applications in 2016 and 2019 with the National Institutes of Health, or NIH, and our receipt of a NIH grant in 2020. The Company is cooperating with the Department of Justice with respect to the Demand.</w:t>
      </w:r>
    </w:p>
    <w:p>
      <w:pPr>
        <w:spacing w:after="0" w:line="205"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In February 2023, the Securities and Exchange Commission, or SEC, sent the Company a subpoena seeking documents and information relating to, among other things, our former chief executive officer's alterations of images in certain research papers. The Company is cooperating with the SEC with respect to the subpoena.</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cannot predict the outcome of these lawsuits or government investigations. Failure by the Company to obtain a favorable resolution of these actions could have a material adverse effect on our business, results of operations and financial condition. The Company’s chances of success on the merits are still uncertain and, other than an accrual of $10.0 million recorded for the proposed settlement of the securities class action litigation for the year ended December 31, 2022, any possible loss or range of loss cannot be reasonably estimated and as such the Company has not otherwise recorded a liability as of December 31, 2022.</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0" w:name="page151"/>
    <w:bookmarkEnd w:id="150"/>
    <w:p>
      <w:pPr>
        <w:jc w:val="both"/>
        <w:spacing w:after="0" w:line="246" w:lineRule="auto"/>
        <w:rPr>
          <w:sz w:val="20"/>
          <w:szCs w:val="20"/>
          <w:color w:val="auto"/>
        </w:rPr>
      </w:pPr>
      <w:r>
        <w:rPr>
          <w:rFonts w:ascii="Arial" w:cs="Arial" w:eastAsia="Arial" w:hAnsi="Arial"/>
          <w:sz w:val="18"/>
          <w:szCs w:val="18"/>
          <w:color w:val="auto"/>
        </w:rPr>
        <w:t>currently has directors’ and officers’ insurance coverage that reduces its exposure and enables the Company to recover a portion of any future amounts paid.</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As of December 31, 2022, the Company was not party to any finance leases.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60" w:type="dxa"/>
            <w:vAlign w:val="bottom"/>
          </w:tcPr>
          <w:p>
            <w:pPr>
              <w:spacing w:after="0"/>
              <w:rPr>
                <w:sz w:val="20"/>
                <w:szCs w:val="20"/>
                <w:color w:val="auto"/>
              </w:rPr>
            </w:pPr>
            <w:r>
              <w:rPr>
                <w:rFonts w:ascii="Arial" w:cs="Arial" w:eastAsia="Arial" w:hAnsi="Arial"/>
                <w:sz w:val="18"/>
                <w:szCs w:val="18"/>
                <w:color w:val="auto"/>
              </w:rPr>
              <w:t>Present value adjustment for minimum lease</w:t>
            </w:r>
          </w:p>
        </w:tc>
        <w:tc>
          <w:tcPr>
            <w:tcW w:w="18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03"/>
        </w:trPr>
        <w:tc>
          <w:tcPr>
            <w:tcW w:w="6360" w:type="dxa"/>
            <w:vAlign w:val="bottom"/>
          </w:tcPr>
          <w:p>
            <w:pPr>
              <w:ind w:left="160"/>
              <w:spacing w:after="0" w:line="203" w:lineRule="exact"/>
              <w:rPr>
                <w:sz w:val="20"/>
                <w:szCs w:val="20"/>
                <w:color w:val="auto"/>
              </w:rPr>
            </w:pPr>
            <w:r>
              <w:rPr>
                <w:rFonts w:ascii="Arial" w:cs="Arial" w:eastAsia="Arial" w:hAnsi="Arial"/>
                <w:sz w:val="18"/>
                <w:szCs w:val="18"/>
                <w:color w:val="auto"/>
              </w:rPr>
              <w:t>commitments</w:t>
            </w:r>
          </w:p>
        </w:tc>
        <w:tc>
          <w:tcPr>
            <w:tcW w:w="1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lease liability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2"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6340" w:type="dxa"/>
            <w:vAlign w:val="bottom"/>
          </w:tcPr>
          <w:p>
            <w:pPr>
              <w:spacing w:after="0"/>
              <w:rPr>
                <w:sz w:val="16"/>
                <w:szCs w:val="16"/>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440" w:type="dxa"/>
            <w:vAlign w:val="bottom"/>
            <w:shd w:val="clear" w:color="auto" w:fill="CFF0FC"/>
          </w:tcPr>
          <w:p>
            <w:pPr>
              <w:ind w:left="1180"/>
              <w:spacing w:after="0"/>
              <w:rPr>
                <w:sz w:val="20"/>
                <w:szCs w:val="20"/>
                <w:color w:val="auto"/>
              </w:rPr>
            </w:pPr>
            <w:r>
              <w:rPr>
                <w:rFonts w:ascii="Arial" w:cs="Arial" w:eastAsia="Arial" w:hAnsi="Arial"/>
                <w:sz w:val="18"/>
                <w:szCs w:val="18"/>
                <w:color w:val="auto"/>
                <w:w w:val="95"/>
              </w:rPr>
              <w:t>4.7</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20" w:type="dxa"/>
            <w:vAlign w:val="bottom"/>
            <w:gridSpan w:val="3"/>
          </w:tcPr>
          <w:p>
            <w:pPr>
              <w:ind w:left="1180"/>
              <w:spacing w:after="0"/>
              <w:rPr>
                <w:sz w:val="20"/>
                <w:szCs w:val="20"/>
                <w:color w:val="auto"/>
              </w:rPr>
            </w:pPr>
            <w:r>
              <w:rPr>
                <w:rFonts w:ascii="Arial" w:cs="Arial" w:eastAsia="Arial" w:hAnsi="Arial"/>
                <w:sz w:val="18"/>
                <w:szCs w:val="18"/>
                <w:color w:val="auto"/>
                <w:w w:val="91"/>
              </w:rPr>
              <w:t>8.1 %</w:t>
            </w:r>
          </w:p>
        </w:tc>
      </w:tr>
    </w:tbl>
    <w:p>
      <w:pPr>
        <w:spacing w:after="0" w:line="269"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Operating lease expense was $368,000 and $323,000 for the years ended December 31, 2022 and 2021, respectively. Separately, variable lease expense was $167,000 and $108,000 for operating leases during the years ended December 31, 2022 and 2021,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1" w:name="page152"/>
    <w:bookmarkEnd w:id="151"/>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20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4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the exercise of outstanding</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common stock options and the vesting of</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outstanding common restricted stock</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units 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4,269,861</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2,632,396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Shares available for future grant under the 2020</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60"/>
              <w:spacing w:after="0"/>
              <w:rPr>
                <w:sz w:val="20"/>
                <w:szCs w:val="20"/>
                <w:color w:val="auto"/>
              </w:rPr>
            </w:pPr>
            <w:r>
              <w:rPr>
                <w:rFonts w:ascii="Arial" w:cs="Arial" w:eastAsia="Arial" w:hAnsi="Arial"/>
                <w:sz w:val="18"/>
                <w:szCs w:val="18"/>
                <w:color w:val="auto"/>
              </w:rPr>
              <w:t>Equity Incentive Plan</w:t>
            </w:r>
          </w:p>
        </w:tc>
        <w:tc>
          <w:tcPr>
            <w:tcW w:w="1400" w:type="dxa"/>
            <w:vAlign w:val="bottom"/>
          </w:tcPr>
          <w:p>
            <w:pPr>
              <w:jc w:val="right"/>
              <w:spacing w:after="0"/>
              <w:rPr>
                <w:sz w:val="20"/>
                <w:szCs w:val="20"/>
                <w:color w:val="auto"/>
              </w:rPr>
            </w:pPr>
            <w:r>
              <w:rPr>
                <w:rFonts w:ascii="Arial" w:cs="Arial" w:eastAsia="Arial" w:hAnsi="Arial"/>
                <w:sz w:val="18"/>
                <w:szCs w:val="18"/>
                <w:color w:val="auto"/>
              </w:rPr>
              <w:t>4,253,854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916,640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621,211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Employee Stock Purchase Plan</w:t>
            </w:r>
          </w:p>
        </w:tc>
        <w:tc>
          <w:tcPr>
            <w:tcW w:w="14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9,440,355</w:t>
            </w:r>
          </w:p>
        </w:tc>
        <w:tc>
          <w:tcPr>
            <w:tcW w:w="2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7,695,922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-179070</wp:posOffset>
            </wp:positionV>
            <wp:extent cx="51435"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(1) 3,230,000 shares, (2) 5% of the number of shares of common stock issued and outstanding on the immediately preceding December 31, and (3) an amount determined by the Company’s board of directors.</w:t>
      </w:r>
    </w:p>
    <w:p>
      <w:pPr>
        <w:spacing w:after="0" w:line="27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5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Effective January 1, 2022, the Company’s 2020 Plan and ESPP reserves increased by 1,868,953 shares and 373,790 shares, respectively.</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Effective January 1, 2023, the Company’s 2020 Plan and ESPP reserves increased by 1,893,869 shares and 378,773 shares,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6"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80" w:type="dxa"/>
            <w:vAlign w:val="bottom"/>
          </w:tcPr>
          <w:p>
            <w:pPr>
              <w:spacing w:after="0"/>
              <w:rPr>
                <w:sz w:val="19"/>
                <w:szCs w:val="19"/>
                <w:color w:val="auto"/>
              </w:rPr>
            </w:pPr>
          </w:p>
        </w:tc>
      </w:tr>
      <w:tr>
        <w:trPr>
          <w:trHeight w:val="26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10,606</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1020" w:hanging="503"/>
        <w:spacing w:after="0" w:line="26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each share of common stock is based on the closing price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or other relevant determination date, as reported on The Nasdaq Global Select Market.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ind w:left="1020" w:hanging="503"/>
        <w:spacing w:after="0" w:line="267"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2" w:lineRule="exact"/>
        <w:rPr>
          <w:rFonts w:ascii="Arial" w:cs="Arial" w:eastAsia="Arial" w:hAnsi="Arial"/>
          <w:sz w:val="18"/>
          <w:szCs w:val="18"/>
          <w:color w:val="auto"/>
        </w:rPr>
      </w:pPr>
    </w:p>
    <w:p>
      <w:pPr>
        <w:jc w:val="both"/>
        <w:ind w:left="1020" w:hanging="503"/>
        <w:spacing w:after="0" w:line="242"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jc w:val="both"/>
        <w:ind w:left="1020" w:right="20" w:hanging="503"/>
        <w:spacing w:after="0" w:line="250"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1020" w:hanging="503"/>
        <w:spacing w:after="0" w:line="267"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going forward. Therefore, it used an expected dividend yield of zero.</w:t>
      </w:r>
    </w:p>
    <w:p>
      <w:pPr>
        <w:spacing w:after="0" w:line="178" w:lineRule="exact"/>
        <w:rPr>
          <w:sz w:val="20"/>
          <w:szCs w:val="20"/>
          <w:color w:val="auto"/>
        </w:rPr>
      </w:pPr>
    </w:p>
    <w:p>
      <w:pPr>
        <w:jc w:val="both"/>
        <w:ind w:right="20" w:firstLine="509"/>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520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0.99 %</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92.95 %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90.91 %</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-582295</wp:posOffset>
            </wp:positionV>
            <wp:extent cx="4989195"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grant date fair value of restricted stock units is based upon the fair market value of the Company’s common stock based on its closing price as reported on the date of grant on the Nasdaq Global Select Market.</w:t>
      </w:r>
    </w:p>
    <w:p>
      <w:pPr>
        <w:spacing w:after="0" w:line="251"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The fair value of options granted during the years ended December 31, 2022 and 2021 were $16.3 million and $14.4 million, respectively. The fair value of restricted stock units granted during the year ended December 31, 2022 and 2021 was $129,000 and $5.7 million,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year ended December 31, 2022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1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14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1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rPr>
              <w:t>for Grant</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2021</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4,442,315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2020 Plan reserve increase on January 1, 2022</w:t>
            </w:r>
          </w:p>
        </w:tc>
        <w:tc>
          <w:tcPr>
            <w:tcW w:w="1380" w:type="dxa"/>
            <w:vAlign w:val="bottom"/>
          </w:tcPr>
          <w:p>
            <w:pPr>
              <w:jc w:val="right"/>
              <w:spacing w:after="0"/>
              <w:rPr>
                <w:sz w:val="20"/>
                <w:szCs w:val="20"/>
                <w:color w:val="auto"/>
              </w:rPr>
            </w:pPr>
            <w:r>
              <w:rPr>
                <w:rFonts w:ascii="Arial" w:cs="Arial" w:eastAsia="Arial" w:hAnsi="Arial"/>
                <w:sz w:val="18"/>
                <w:szCs w:val="18"/>
                <w:color w:val="auto"/>
              </w:rPr>
              <w:t>1,868,953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Options and restricted stock units granted</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(2,242,047 )</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Options and restricted stock units forfeited,</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184,633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7"/>
                <w:szCs w:val="17"/>
                <w:color w:val="auto"/>
              </w:rPr>
            </w:pPr>
          </w:p>
        </w:tc>
        <w:tc>
          <w:tcPr>
            <w:tcW w:w="6400" w:type="dxa"/>
            <w:vAlign w:val="bottom"/>
          </w:tcPr>
          <w:p>
            <w:pPr>
              <w:ind w:left="160"/>
              <w:spacing w:after="0" w:line="203" w:lineRule="exact"/>
              <w:rPr>
                <w:sz w:val="20"/>
                <w:szCs w:val="20"/>
                <w:color w:val="auto"/>
              </w:rPr>
            </w:pPr>
            <w:r>
              <w:rPr>
                <w:rFonts w:ascii="Arial" w:cs="Arial" w:eastAsia="Arial" w:hAnsi="Arial"/>
                <w:sz w:val="18"/>
                <w:szCs w:val="18"/>
                <w:color w:val="auto"/>
              </w:rPr>
              <w:t>cancelled, or expired</w:t>
            </w:r>
          </w:p>
        </w:tc>
        <w:tc>
          <w:tcPr>
            <w:tcW w:w="1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4,253,854</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6400" w:type="dxa"/>
            <w:vAlign w:val="bottom"/>
          </w:tcPr>
          <w:p>
            <w:pPr>
              <w:ind w:left="3780"/>
              <w:spacing w:after="0"/>
              <w:rPr>
                <w:sz w:val="20"/>
                <w:szCs w:val="20"/>
                <w:color w:val="auto"/>
              </w:rPr>
            </w:pPr>
            <w:r>
              <w:rPr>
                <w:rFonts w:ascii="Arial" w:cs="Arial" w:eastAsia="Arial" w:hAnsi="Arial"/>
                <w:sz w:val="18"/>
                <w:szCs w:val="18"/>
                <w:color w:val="auto"/>
              </w:rPr>
              <w:t>151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64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ind w:left="520"/>
        <w:spacing w:after="0"/>
        <w:rPr>
          <w:sz w:val="20"/>
          <w:szCs w:val="20"/>
          <w:color w:val="auto"/>
        </w:rPr>
      </w:pPr>
      <w:r>
        <w:rPr>
          <w:rFonts w:ascii="Arial" w:cs="Arial" w:eastAsia="Arial" w:hAnsi="Arial"/>
          <w:sz w:val="18"/>
          <w:szCs w:val="18"/>
          <w:color w:val="auto"/>
        </w:rPr>
        <w:t>A summary of option activity for the year ended December 31, 2022 was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r>
      <w:tr>
        <w:trPr>
          <w:trHeight w:val="189"/>
        </w:trPr>
        <w:tc>
          <w:tcPr>
            <w:tcW w:w="4020" w:type="dxa"/>
            <w:vAlign w:val="bottom"/>
          </w:tcPr>
          <w:p>
            <w:pPr>
              <w:spacing w:after="0"/>
              <w:rPr>
                <w:sz w:val="16"/>
                <w:szCs w:val="16"/>
                <w:color w:val="auto"/>
              </w:rPr>
            </w:pP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2,270,896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2,229,797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(300,038 )</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Forfeited/expired</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(167,133 )</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4,033,522</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Expected to vest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2,731,214</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1,302,308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-367665</wp:posOffset>
            </wp:positionV>
            <wp:extent cx="68580"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total fair value of options granted that vested during the years ended December 31, 2022 and 2021 was $6.8 million and $1.4 million, respectively.</w:t>
      </w:r>
    </w:p>
    <w:p>
      <w:pPr>
        <w:spacing w:after="0" w:line="1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December 31, 2022. The aggregate intrinsic value of options exercised was $3.0 million and $3.1 million during the year ended December 31, 2022 and 2021, respectively, determined as of the date of option exercise. As of December 31, 2022, there was $18.6 million of total unrecognized compensation cost related to non-vested stock options. The Company expects to recognize this cost over a remaining weighted-average period of 2.68 years. The Company utilizes newly issued shares to satisfy option exercises.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options outstanding and exercisable consisted of the following at December 31, 2022:</w:t>
      </w:r>
    </w:p>
    <w:p>
      <w:pPr>
        <w:spacing w:after="0" w:line="38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jc w:val="right"/>
              <w:ind w:right="49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r>
      <w:tr>
        <w:trPr>
          <w:trHeight w:val="182"/>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5"/>
                <w:szCs w:val="15"/>
                <w:color w:val="auto"/>
              </w:rPr>
            </w:pPr>
          </w:p>
        </w:tc>
      </w:tr>
      <w:tr>
        <w:trPr>
          <w:trHeight w:val="229"/>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 to 3.37</w:t>
            </w:r>
          </w:p>
        </w:tc>
        <w:tc>
          <w:tcPr>
            <w:tcW w:w="3160" w:type="dxa"/>
            <w:vAlign w:val="bottom"/>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632,181</w:t>
            </w:r>
          </w:p>
        </w:tc>
        <w:tc>
          <w:tcPr>
            <w:tcW w:w="220" w:type="dxa"/>
            <w:vAlign w:val="bottom"/>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318,822</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8.93 to 19.94</w:t>
            </w:r>
          </w:p>
        </w:tc>
        <w:tc>
          <w:tcPr>
            <w:tcW w:w="1620" w:type="dxa"/>
            <w:vAlign w:val="bottom"/>
          </w:tcPr>
          <w:p>
            <w:pPr>
              <w:jc w:val="right"/>
              <w:spacing w:after="0"/>
              <w:rPr>
                <w:sz w:val="20"/>
                <w:szCs w:val="20"/>
                <w:color w:val="auto"/>
              </w:rPr>
            </w:pPr>
            <w:r>
              <w:rPr>
                <w:rFonts w:ascii="Arial" w:cs="Arial" w:eastAsia="Arial" w:hAnsi="Arial"/>
                <w:sz w:val="18"/>
                <w:szCs w:val="18"/>
                <w:color w:val="auto"/>
              </w:rPr>
              <w:t>3,025,820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870,326</w:t>
            </w:r>
          </w:p>
        </w:tc>
        <w:tc>
          <w:tcPr>
            <w:tcW w:w="80" w:type="dxa"/>
            <w:vAlign w:val="bottom"/>
          </w:tcPr>
          <w:p>
            <w:pPr>
              <w:spacing w:after="0"/>
              <w:rPr>
                <w:sz w:val="19"/>
                <w:szCs w:val="19"/>
                <w:color w:val="auto"/>
              </w:rPr>
            </w:pPr>
          </w:p>
        </w:tc>
      </w:tr>
      <w:tr>
        <w:trPr>
          <w:trHeight w:val="230"/>
        </w:trPr>
        <w:tc>
          <w:tcPr>
            <w:tcW w:w="4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20.55 to 29.41</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375,521</w:t>
            </w:r>
          </w:p>
        </w:tc>
        <w:tc>
          <w:tcPr>
            <w:tcW w:w="2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4,033,522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1,302,308</w:t>
            </w:r>
          </w:p>
        </w:tc>
        <w:tc>
          <w:tcPr>
            <w:tcW w:w="8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-179070</wp:posOffset>
            </wp:positionV>
            <wp:extent cx="51435"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3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Restricted Stock Unit Activity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A summary of RSU activity for the year ended December 31, 2022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9"/>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Equivalent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2021</w:t>
            </w:r>
          </w:p>
        </w:tc>
        <w:tc>
          <w:tcPr>
            <w:tcW w:w="3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12,250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3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(17,500 )</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Vested</w:t>
            </w:r>
          </w:p>
        </w:tc>
        <w:tc>
          <w:tcPr>
            <w:tcW w:w="19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(119,911 )</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2022</w:t>
            </w:r>
          </w:p>
        </w:tc>
        <w:tc>
          <w:tcPr>
            <w:tcW w:w="19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236,339</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629"/>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40" w:type="dxa"/>
            <w:vAlign w:val="bottom"/>
          </w:tcPr>
          <w:p>
            <w:pPr>
              <w:jc w:val="right"/>
              <w:ind w:right="1030"/>
              <w:spacing w:after="0"/>
              <w:rPr>
                <w:sz w:val="20"/>
                <w:szCs w:val="20"/>
                <w:color w:val="auto"/>
              </w:rPr>
            </w:pPr>
            <w:r>
              <w:rPr>
                <w:rFonts w:ascii="Arial" w:cs="Arial" w:eastAsia="Arial" w:hAnsi="Arial"/>
                <w:sz w:val="18"/>
                <w:szCs w:val="18"/>
                <w:color w:val="auto"/>
              </w:rPr>
              <w:t>152</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26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-505460</wp:posOffset>
            </wp:positionV>
            <wp:extent cx="51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-488315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4" w:name="page155"/>
    <w:bookmarkEnd w:id="154"/>
    <w:p>
      <w:pPr>
        <w:jc w:val="both"/>
        <w:ind w:firstLine="509"/>
        <w:spacing w:after="0" w:line="238" w:lineRule="auto"/>
        <w:rPr>
          <w:sz w:val="20"/>
          <w:szCs w:val="20"/>
          <w:color w:val="auto"/>
        </w:rPr>
      </w:pPr>
      <w:r>
        <w:rPr>
          <w:rFonts w:ascii="Arial" w:cs="Arial" w:eastAsia="Arial" w:hAnsi="Arial"/>
          <w:sz w:val="18"/>
          <w:szCs w:val="18"/>
          <w:color w:val="auto"/>
        </w:rPr>
        <w:t>The RSUs will vest upon achievement of certain clinical development milestones, subject to continued service to the Company during the vesting period. In June 2022, 119,911 RSUs vested in connection with the public readout of topline data from the Company's Phase 2 ACT-AD clinical trial. As of December 31, 2022, there was $1.4 million of total unrecognized compensation cost related to unvested RSUs. The Company expects to recognize this cost over a remaining weighted-average period of 0.80 years</w:t>
      </w:r>
      <w:r>
        <w:rPr>
          <w:rFonts w:ascii="Arial" w:cs="Arial" w:eastAsia="Arial" w:hAnsi="Arial"/>
          <w:sz w:val="18"/>
          <w:szCs w:val="18"/>
          <w:color w:val="212121"/>
        </w:rPr>
        <w: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121"/>
        </w:rPr>
        <w:t>Employee Stock Purchase Plan</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212121"/>
        </w:rPr>
        <w:t>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our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value of the ESPP options granted is determined using the Black-Scholes model and is amortized on a straight-line basis. The number of shares reserved for the ESPP automatically increases each year, beginning on January 1, 2021 by the least of (1) 646,000 shares of common stock, (2) 1% of the outstanding shares of common stock on the last day of the immediately preceding fiscal year, or (3) such number of shares determined by the board no later than the last day of the immediately preceding fiscal year. As of December 31, 2022, 916,640 shares of common stock were reserved for future grants under the ESPP. On January 1, 2023, an additional 378,773 shares of common stock became available for future grants under the ESPP. Stock-based compensation expense recognized during the years ended December 31, 2022 and 2021 associated with the ESPP was $162,000 and $164,000, respectively.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2022, the Company issued 78,361 shares of common stock to service providers under the</w:t>
      </w:r>
    </w:p>
    <w:p>
      <w:pPr>
        <w:spacing w:after="0"/>
        <w:rPr>
          <w:sz w:val="20"/>
          <w:szCs w:val="20"/>
          <w:color w:val="auto"/>
        </w:rPr>
      </w:pPr>
      <w:r>
        <w:rPr>
          <w:rFonts w:ascii="Arial" w:cs="Arial" w:eastAsia="Arial" w:hAnsi="Arial"/>
          <w:sz w:val="18"/>
          <w:szCs w:val="18"/>
          <w:color w:val="auto"/>
        </w:rPr>
        <w:t>ESPP.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10. 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did not record a provision (benefit) for income taxes for the years ended December 31, 2022 and 2021. Net loss is attributable to the following tax jurisdictions (in thousands):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5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(95,778 )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(54,963 )</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r>
      <w:tr>
        <w:trPr>
          <w:trHeight w:val="243"/>
        </w:trPr>
        <w:tc>
          <w:tcPr>
            <w:tcW w:w="52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(95,639 )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(54,853 )</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5"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8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Federal statutory income tax rate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2960" w:type="dxa"/>
            <w:vAlign w:val="bottom"/>
            <w:gridSpan w:val="3"/>
          </w:tcPr>
          <w:p>
            <w:pPr>
              <w:jc w:val="right"/>
              <w:ind w:right="158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(0.4 )</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(1.3 )</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(0.1 )</w:t>
            </w:r>
          </w:p>
        </w:tc>
        <w:tc>
          <w:tcPr>
            <w:tcW w:w="2960" w:type="dxa"/>
            <w:vAlign w:val="bottom"/>
            <w:gridSpan w:val="3"/>
          </w:tcPr>
          <w:p>
            <w:pPr>
              <w:jc w:val="right"/>
              <w:ind w:right="168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(21.4 )</w:t>
            </w:r>
          </w:p>
        </w:tc>
        <w:tc>
          <w:tcPr>
            <w:tcW w:w="2960" w:type="dxa"/>
            <w:vAlign w:val="bottom"/>
            <w:gridSpan w:val="3"/>
          </w:tcPr>
          <w:p>
            <w:pPr>
              <w:jc w:val="right"/>
              <w:ind w:right="1680"/>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960" w:type="dxa"/>
            <w:vAlign w:val="bottom"/>
            <w:gridSpan w:val="3"/>
          </w:tcPr>
          <w:p>
            <w:pPr>
              <w:jc w:val="right"/>
              <w:ind w:right="15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80" w:type="dxa"/>
            <w:vAlign w:val="bottom"/>
            <w:vMerge w:val="restart"/>
          </w:tcPr>
          <w:p>
            <w:pPr>
              <w:ind w:left="3780"/>
              <w:spacing w:after="0"/>
              <w:rPr>
                <w:sz w:val="20"/>
                <w:szCs w:val="20"/>
                <w:color w:val="auto"/>
              </w:rPr>
            </w:pPr>
            <w:r>
              <w:rPr>
                <w:rFonts w:ascii="Arial" w:cs="Arial" w:eastAsia="Arial" w:hAnsi="Arial"/>
                <w:sz w:val="18"/>
                <w:szCs w:val="18"/>
                <w:color w:val="auto"/>
              </w:rPr>
              <w:t>153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700" w:type="dxa"/>
            <w:vAlign w:val="bottom"/>
            <w:tcBorders>
              <w:bottom w:val="single" w:sz="8" w:color="9A9A9A"/>
            </w:tcBorders>
          </w:tcPr>
          <w:p>
            <w:pPr>
              <w:spacing w:after="0"/>
              <w:rPr>
                <w:sz w:val="6"/>
                <w:szCs w:val="6"/>
                <w:color w:val="auto"/>
              </w:rPr>
            </w:pPr>
          </w:p>
        </w:tc>
        <w:tc>
          <w:tcPr>
            <w:tcW w:w="51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-1525270</wp:posOffset>
            </wp:positionV>
            <wp:extent cx="4989195"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-642620</wp:posOffset>
            </wp:positionV>
            <wp:extent cx="4989195"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98919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5" w:name="page156"/>
    <w:bookmarkEnd w:id="155"/>
    <w:p>
      <w:pPr>
        <w:ind w:left="52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212121"/>
        </w:rPr>
        <w:t>The components of the Company’s deferred tax assets and liabilities were as follows (in thousands):</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5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24,092</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19,543</w:t>
            </w:r>
          </w:p>
        </w:tc>
        <w:tc>
          <w:tcPr>
            <w:tcW w:w="80" w:type="dxa"/>
            <w:vAlign w:val="bottom"/>
          </w:tcPr>
          <w:p>
            <w:pPr>
              <w:spacing w:after="0"/>
              <w:rPr>
                <w:sz w:val="19"/>
                <w:szCs w:val="19"/>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7"/>
        </w:trPr>
        <w:tc>
          <w:tcPr>
            <w:tcW w:w="52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carryforwards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FF0FC"/>
          </w:tcPr>
          <w:p>
            <w:pPr>
              <w:spacing w:after="0"/>
              <w:rPr>
                <w:sz w:val="18"/>
                <w:szCs w:val="18"/>
                <w:color w:val="auto"/>
              </w:rPr>
            </w:pP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Capitalized research and development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44,021</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(324 )</w:t>
            </w: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(475 )</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(664 )</w:t>
            </w:r>
          </w:p>
        </w:tc>
      </w:tr>
      <w:tr>
        <w:trPr>
          <w:trHeight w:val="229"/>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(294 )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5260" w:type="dxa"/>
            <w:vAlign w:val="bottom"/>
          </w:tcPr>
          <w:p>
            <w:pPr>
              <w:ind w:left="5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(1,036 )</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(988 )</w:t>
            </w:r>
          </w:p>
        </w:tc>
      </w:tr>
      <w:tr>
        <w:trPr>
          <w:trHeight w:val="20"/>
        </w:trPr>
        <w:tc>
          <w:tcPr>
            <w:tcW w:w="5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(42,985 )</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(22,567 )</w:t>
            </w:r>
          </w:p>
        </w:tc>
      </w:tr>
      <w:tr>
        <w:trPr>
          <w:trHeight w:val="223"/>
        </w:trPr>
        <w:tc>
          <w:tcPr>
            <w:tcW w:w="526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-1079500</wp:posOffset>
            </wp:positionV>
            <wp:extent cx="51435"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-487680</wp:posOffset>
            </wp:positionV>
            <wp:extent cx="51435"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-487680</wp:posOffset>
            </wp:positionV>
            <wp:extent cx="43180"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-179070</wp:posOffset>
            </wp:positionV>
            <wp:extent cx="51435" cy="1797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212121"/>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2022, the Company has recorded a full valuation allowance on its net deferred tax assets as the Company has concluded that it is not more likely than not that such losses or credits will be utilized. The valuation allowance increased by $20.4 million and $13.5 million during 2022 and 2021, respectively.</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121"/>
        </w:rPr>
        <w:t>At December 31, 2022, the Company has federal net operating loss and tax credit carryforwards of $9.5 million and $5.6 million, respectively, which expire over a period of 9 to 15 years. Net operating loss carryforwards of $104.4 million were generated after 2017, and therefore do not expire. As of December 31, 2022, the Company also had state net operating loss carryforwards of $2.7 million, which expire over a period of 19 to 20 years.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212121"/>
        </w:rPr>
        <w:t>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We have included the impact of this provision, which results in a deferred tax asset of approximately $10.7 million as of December 31, 2022.</w:t>
      </w:r>
    </w:p>
    <w:p>
      <w:pPr>
        <w:spacing w:after="0" w:line="29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212121"/>
        </w:rPr>
        <w:t>Uncertain Tax Positions</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6" w:name="page157"/>
    <w:bookmarkEnd w:id="156"/>
    <w:p>
      <w:pPr>
        <w:jc w:val="both"/>
        <w:ind w:right="20"/>
        <w:spacing w:after="0" w:line="246" w:lineRule="auto"/>
        <w:rPr>
          <w:sz w:val="20"/>
          <w:szCs w:val="20"/>
          <w:color w:val="auto"/>
        </w:rPr>
      </w:pPr>
      <w:r>
        <w:rPr>
          <w:rFonts w:ascii="Arial" w:cs="Arial" w:eastAsia="Arial" w:hAnsi="Arial"/>
          <w:sz w:val="18"/>
          <w:szCs w:val="18"/>
          <w:color w:val="212121"/>
        </w:rPr>
        <w:t>were generated and carried forward and may make adjustments to the amount of the net operating loss or credit carryforward amount. The Company is not currently under examination in any jurisdiction.</w:t>
      </w:r>
    </w:p>
    <w:p>
      <w:pPr>
        <w:spacing w:after="0" w:line="19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121"/>
        </w:rPr>
        <w:t>A reconciliation of the beginning and ending amount of unrecognized tax benefits for uncertain tax positions were as follows (in thousands):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Reductions for tax positions taken in prior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16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taken in the current</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year</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1,406</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-179070</wp:posOffset>
            </wp:positionV>
            <wp:extent cx="51435" cy="179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121"/>
        </w:rPr>
        <w:t>If the unrecognized tax benefits for uncertain tax positions as of December 31, 2022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2022, there were no material interest and penalties on uncertain tax benefits. The Company does not anticipate any significant changes to its unrecognized tax benefits in the next 12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11. Employee Benefit Plans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12121"/>
        </w:rPr>
        <w:t>The Company has a 401(k) Plan for all of its employees. The 401(k) Plan allows eligible employees to defer, at the employee’s discretion, up to 100% of their pretax compensation up to the Internal Revenue Service annual limit. The Company made matching contributions of $354,000 during the year ended December 31, 2022. The Company did not make any matching contributions during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12. Net Loss Per Share Attributable to Common Stockholders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Units</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236,339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361,500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4,033,522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2,270,896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4,275,009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2,633,673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40" w:type="dxa"/>
            <w:vAlign w:val="bottom"/>
            <w:vMerge w:val="restart"/>
          </w:tcPr>
          <w:p>
            <w:pPr>
              <w:jc w:val="right"/>
              <w:ind w:right="610"/>
              <w:spacing w:after="0"/>
              <w:rPr>
                <w:sz w:val="20"/>
                <w:szCs w:val="20"/>
                <w:color w:val="auto"/>
              </w:rPr>
            </w:pPr>
            <w:r>
              <w:rPr>
                <w:rFonts w:ascii="Arial" w:cs="Arial" w:eastAsia="Arial" w:hAnsi="Arial"/>
                <w:sz w:val="18"/>
                <w:szCs w:val="18"/>
                <w:color w:val="auto"/>
              </w:rPr>
              <w:t>155</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-659765</wp:posOffset>
            </wp:positionV>
            <wp:extent cx="51435"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-659765</wp:posOffset>
            </wp:positionV>
            <wp:extent cx="43180"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disclosure controls and procedures are designed to ensure that information we are required to disclose in reports that we file or submit under the Securities Exchange Act of 1934, as amended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2022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2022.</w:t>
      </w:r>
    </w:p>
    <w:p>
      <w:pPr>
        <w:spacing w:after="0" w:line="9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2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12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59" w:name="page160"/>
    <w:bookmarkEnd w:id="159"/>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maintain a Code of Business Conduct and Ethics that incorporates our code of business conduct and ethics applicable to all employees, including all directors and executive officers. Our Code of Business Conduct and Ethics is published on our Investors website at https://investors.athira.com/ under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9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remaining information required by this Item 10 of Form 10-K will be included in our definitive proxy statement to be filed with the SEC within 120 days after the end of the fiscal year ended December 31, 2022 in connection with the solicitation of proxies for our 2023 Annual Meeting of Stockholders (“2023 Proxy Statement”) and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information required by this Item 11 of Form 10-K will be included in our 2023 Proxy Statement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information required by this Item 12 of Form 10-K, including with respect to our equity compensation plans, will be included in our 2023 Proxy Statement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information required by this Item 13 of Form 10-K will be included in our 2023 Proxy Statement and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information required by this Item 14 of Form 10-K will be included in our 2023 Proxy Statement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6"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4" w:lineRule="exact"/>
        <w:rPr>
          <w:sz w:val="20"/>
          <w:szCs w:val="20"/>
          <w:color w:val="auto"/>
        </w:rPr>
      </w:pPr>
    </w:p>
    <w:p>
      <w:pPr>
        <w:ind w:left="1540" w:hanging="514"/>
        <w:spacing w:after="0"/>
        <w:tabs>
          <w:tab w:leader="none" w:pos="1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financial statements;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Index to Financial Statements in Part II, Item 8 of this Annual Report on Form 10-K.</w:t>
      </w:r>
    </w:p>
    <w:p>
      <w:pPr>
        <w:spacing w:after="0" w:line="104" w:lineRule="exact"/>
        <w:rPr>
          <w:sz w:val="20"/>
          <w:szCs w:val="20"/>
          <w:color w:val="auto"/>
        </w:rPr>
      </w:pPr>
    </w:p>
    <w:p>
      <w:pPr>
        <w:ind w:left="1540" w:hanging="514"/>
        <w:spacing w:after="0"/>
        <w:tabs>
          <w:tab w:leader="none" w:pos="1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jc w:val="both"/>
        <w:ind w:left="1000" w:firstLine="509"/>
        <w:spacing w:after="0"/>
        <w:rPr>
          <w:sz w:val="20"/>
          <w:szCs w:val="20"/>
          <w:color w:val="auto"/>
        </w:rPr>
      </w:pPr>
      <w:r>
        <w:rPr>
          <w:rFonts w:ascii="Arial" w:cs="Arial" w:eastAsia="Arial" w:hAnsi="Arial"/>
          <w:sz w:val="18"/>
          <w:szCs w:val="18"/>
          <w:color w:val="auto"/>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spacing w:after="0" w:line="95" w:lineRule="exact"/>
        <w:rPr>
          <w:sz w:val="20"/>
          <w:szCs w:val="20"/>
          <w:color w:val="auto"/>
        </w:rPr>
      </w:pPr>
    </w:p>
    <w:p>
      <w:pPr>
        <w:ind w:left="1540" w:hanging="514"/>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1000" w:firstLine="509"/>
        <w:spacing w:after="0" w:line="246" w:lineRule="auto"/>
        <w:rPr>
          <w:sz w:val="20"/>
          <w:szCs w:val="20"/>
          <w:color w:val="auto"/>
        </w:rPr>
      </w:pPr>
      <w:r>
        <w:rPr>
          <w:rFonts w:ascii="Arial" w:cs="Arial" w:eastAsia="Arial" w:hAnsi="Arial"/>
          <w:sz w:val="18"/>
          <w:szCs w:val="18"/>
          <w:color w:val="auto"/>
        </w:rPr>
        <w:t>The exhibits listed in the following Index to Exhibits are filed, furnished or incorporated by reference as part of this Annual Report on Form 10-K.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542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Form</w:t>
            </w: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Exhibit</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18" w:right="339" w:bottom="1440" w:gutter="0" w:footer="0" w:header="0"/>
        </w:sectPr>
      </w:pPr>
    </w:p>
    <w:tbl>
      <w:tblPr>
        <w:tblLayout w:type="fixed"/>
        <w:tblInd w:w="160" w:type="dxa"/>
        <w:tblCellMar>
          <w:top w:w="0" w:type="dxa"/>
          <w:left w:w="0" w:type="dxa"/>
          <w:bottom w:w="0" w:type="dxa"/>
          <w:right w:w="0" w:type="dxa"/>
        </w:tblCellMar>
      </w:tblPr>
      <w:tr>
        <w:trPr>
          <w:trHeight w:val="20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3.1</w:t>
            </w:r>
          </w:p>
        </w:tc>
        <w:tc>
          <w:tcPr>
            <w:tcW w:w="5420" w:type="dxa"/>
            <w:vAlign w:val="bottom"/>
            <w:tcBorders>
              <w:bottom w:val="single" w:sz="8" w:color="0000EE"/>
            </w:tcBorders>
            <w:gridSpan w:val="7"/>
          </w:tcPr>
          <w:p>
            <w:pPr>
              <w:spacing w:after="0"/>
              <w:rPr>
                <w:rFonts w:ascii="Arial" w:cs="Arial" w:eastAsia="Arial" w:hAnsi="Arial"/>
                <w:sz w:val="18"/>
                <w:szCs w:val="18"/>
                <w:color w:val="0000FF"/>
              </w:rPr>
            </w:pPr>
            <w:hyperlink r:id="rId348">
              <w:r>
                <w:rPr>
                  <w:rFonts w:ascii="Arial" w:cs="Arial" w:eastAsia="Arial" w:hAnsi="Arial"/>
                  <w:sz w:val="18"/>
                  <w:szCs w:val="18"/>
                  <w:color w:val="0000FF"/>
                </w:rPr>
                <w:t>Amended and Restated Certificate of Incorporation of the Company</w:t>
              </w:r>
            </w:hyperlink>
          </w:p>
        </w:tc>
      </w:tr>
      <w:tr>
        <w:trPr>
          <w:trHeight w:val="331"/>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3.2</w:t>
            </w:r>
          </w:p>
        </w:tc>
        <w:tc>
          <w:tcPr>
            <w:tcW w:w="3840" w:type="dxa"/>
            <w:vAlign w:val="bottom"/>
            <w:tcBorders>
              <w:bottom w:val="single" w:sz="8" w:color="0000FF"/>
            </w:tcBorders>
            <w:gridSpan w:val="2"/>
          </w:tcPr>
          <w:p>
            <w:pPr>
              <w:spacing w:after="0"/>
              <w:rPr>
                <w:rFonts w:ascii="Arial" w:cs="Arial" w:eastAsia="Arial" w:hAnsi="Arial"/>
                <w:sz w:val="18"/>
                <w:szCs w:val="18"/>
                <w:color w:val="0000FF"/>
                <w:w w:val="99"/>
              </w:rPr>
            </w:pPr>
            <w:hyperlink r:id="rId349">
              <w:r>
                <w:rPr>
                  <w:rFonts w:ascii="Arial" w:cs="Arial" w:eastAsia="Arial" w:hAnsi="Arial"/>
                  <w:sz w:val="18"/>
                  <w:szCs w:val="18"/>
                  <w:color w:val="0000FF"/>
                  <w:w w:val="99"/>
                </w:rPr>
                <w:t>Amended and Restated Bylaws of the Company</w:t>
              </w:r>
            </w:hyperlink>
          </w:p>
        </w:tc>
        <w:tc>
          <w:tcPr>
            <w:tcW w:w="20" w:type="dxa"/>
            <w:vAlign w:val="bottom"/>
            <w:tcBorders>
              <w:bottom w:val="single" w:sz="8" w:color="0000EE"/>
            </w:tcBorders>
          </w:tcPr>
          <w:p>
            <w:pPr>
              <w:spacing w:after="0"/>
              <w:rPr>
                <w:sz w:val="24"/>
                <w:szCs w:val="24"/>
                <w:color w:val="auto"/>
              </w:rPr>
            </w:pPr>
          </w:p>
        </w:tc>
        <w:tc>
          <w:tcPr>
            <w:tcW w:w="1560" w:type="dxa"/>
            <w:vAlign w:val="bottom"/>
            <w:gridSpan w:val="4"/>
          </w:tcPr>
          <w:p>
            <w:pPr>
              <w:spacing w:after="0"/>
              <w:rPr>
                <w:sz w:val="24"/>
                <w:szCs w:val="24"/>
                <w:color w:val="auto"/>
              </w:rPr>
            </w:pPr>
          </w:p>
        </w:tc>
      </w:tr>
      <w:tr>
        <w:trPr>
          <w:trHeight w:val="331"/>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4.1</w:t>
            </w:r>
          </w:p>
        </w:tc>
        <w:tc>
          <w:tcPr>
            <w:tcW w:w="4320" w:type="dxa"/>
            <w:vAlign w:val="bottom"/>
            <w:tcBorders>
              <w:bottom w:val="single" w:sz="8" w:color="0000FF"/>
            </w:tcBorders>
            <w:gridSpan w:val="4"/>
          </w:tcPr>
          <w:p>
            <w:pPr>
              <w:spacing w:after="0"/>
              <w:rPr>
                <w:rFonts w:ascii="Arial" w:cs="Arial" w:eastAsia="Arial" w:hAnsi="Arial"/>
                <w:sz w:val="18"/>
                <w:szCs w:val="18"/>
                <w:color w:val="0000FF"/>
                <w:w w:val="99"/>
              </w:rPr>
            </w:pPr>
            <w:hyperlink r:id="rId350">
              <w:r>
                <w:rPr>
                  <w:rFonts w:ascii="Arial" w:cs="Arial" w:eastAsia="Arial" w:hAnsi="Arial"/>
                  <w:sz w:val="18"/>
                  <w:szCs w:val="18"/>
                  <w:color w:val="0000FF"/>
                  <w:w w:val="99"/>
                </w:rPr>
                <w:t>Specimen Common Stock Certificate of the Registrant</w:t>
              </w:r>
            </w:hyperlink>
          </w:p>
        </w:tc>
        <w:tc>
          <w:tcPr>
            <w:tcW w:w="20" w:type="dxa"/>
            <w:vAlign w:val="bottom"/>
            <w:tcBorders>
              <w:bottom w:val="single" w:sz="8" w:color="0000EE"/>
            </w:tcBorders>
          </w:tcPr>
          <w:p>
            <w:pPr>
              <w:spacing w:after="0"/>
              <w:rPr>
                <w:sz w:val="24"/>
                <w:szCs w:val="24"/>
                <w:color w:val="auto"/>
              </w:rPr>
            </w:pPr>
          </w:p>
        </w:tc>
        <w:tc>
          <w:tcPr>
            <w:tcW w:w="1080" w:type="dxa"/>
            <w:vAlign w:val="bottom"/>
            <w:gridSpan w:val="2"/>
          </w:tcPr>
          <w:p>
            <w:pPr>
              <w:spacing w:after="0"/>
              <w:rPr>
                <w:sz w:val="24"/>
                <w:szCs w:val="24"/>
                <w:color w:val="auto"/>
              </w:rPr>
            </w:pPr>
          </w:p>
        </w:tc>
      </w:tr>
      <w:tr>
        <w:trPr>
          <w:trHeight w:val="331"/>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4.2</w:t>
            </w:r>
          </w:p>
        </w:tc>
        <w:tc>
          <w:tcPr>
            <w:tcW w:w="5380" w:type="dxa"/>
            <w:vAlign w:val="bottom"/>
            <w:tcBorders>
              <w:bottom w:val="single" w:sz="8" w:color="0000FF"/>
            </w:tcBorders>
            <w:gridSpan w:val="6"/>
          </w:tcPr>
          <w:p>
            <w:pPr>
              <w:spacing w:after="0"/>
              <w:rPr>
                <w:rFonts w:ascii="Arial" w:cs="Arial" w:eastAsia="Arial" w:hAnsi="Arial"/>
                <w:sz w:val="18"/>
                <w:szCs w:val="18"/>
                <w:color w:val="0000FF"/>
              </w:rPr>
            </w:pPr>
            <w:hyperlink r:id="rId351">
              <w:r>
                <w:rPr>
                  <w:rFonts w:ascii="Arial" w:cs="Arial" w:eastAsia="Arial" w:hAnsi="Arial"/>
                  <w:sz w:val="18"/>
                  <w:szCs w:val="18"/>
                  <w:color w:val="0000FF"/>
                </w:rPr>
                <w:t>Investors’ Rights Agreement, dated May 29, 2020, as amended, by</w:t>
              </w:r>
            </w:hyperlink>
          </w:p>
        </w:tc>
        <w:tc>
          <w:tcPr>
            <w:tcW w:w="40" w:type="dxa"/>
            <w:vAlign w:val="bottom"/>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5380" w:type="dxa"/>
            <w:vAlign w:val="bottom"/>
            <w:tcBorders>
              <w:bottom w:val="single" w:sz="8" w:color="0000FF"/>
            </w:tcBorders>
            <w:gridSpan w:val="6"/>
          </w:tcPr>
          <w:p>
            <w:pPr>
              <w:spacing w:after="0" w:line="182" w:lineRule="exact"/>
              <w:rPr>
                <w:rFonts w:ascii="Arial" w:cs="Arial" w:eastAsia="Arial" w:hAnsi="Arial"/>
                <w:sz w:val="18"/>
                <w:szCs w:val="18"/>
                <w:color w:val="0000FF"/>
              </w:rPr>
            </w:pPr>
            <w:hyperlink r:id="rId351">
              <w:r>
                <w:rPr>
                  <w:rFonts w:ascii="Arial" w:cs="Arial" w:eastAsia="Arial" w:hAnsi="Arial"/>
                  <w:sz w:val="18"/>
                  <w:szCs w:val="18"/>
                  <w:color w:val="0000FF"/>
                </w:rPr>
                <w:t>and among the Registrant and the Investors and Key Holders party</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20" w:type="dxa"/>
            <w:vAlign w:val="bottom"/>
            <w:gridSpan w:val="7"/>
          </w:tcPr>
          <w:p>
            <w:pPr>
              <w:spacing w:after="0" w:line="182" w:lineRule="exact"/>
              <w:rPr>
                <w:rFonts w:ascii="Arial" w:cs="Arial" w:eastAsia="Arial" w:hAnsi="Arial"/>
                <w:sz w:val="18"/>
                <w:szCs w:val="18"/>
                <w:color w:val="0000FF"/>
              </w:rPr>
            </w:pPr>
            <w:hyperlink r:id="rId351">
              <w:r>
                <w:rPr>
                  <w:rFonts w:ascii="Arial" w:cs="Arial" w:eastAsia="Arial" w:hAnsi="Arial"/>
                  <w:sz w:val="18"/>
                  <w:szCs w:val="18"/>
                  <w:color w:val="0000FF"/>
                </w:rPr>
                <w:t>thereto</w:t>
              </w:r>
            </w:hyperlink>
          </w:p>
        </w:tc>
      </w:tr>
      <w:tr>
        <w:trPr>
          <w:trHeight w:val="20"/>
        </w:trPr>
        <w:tc>
          <w:tcPr>
            <w:tcW w:w="98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760" w:type="dxa"/>
            <w:vAlign w:val="bottom"/>
          </w:tcPr>
          <w:p>
            <w:pPr>
              <w:ind w:left="160"/>
              <w:spacing w:after="0"/>
              <w:rPr>
                <w:sz w:val="20"/>
                <w:szCs w:val="20"/>
                <w:color w:val="auto"/>
              </w:rPr>
            </w:pPr>
            <w:r>
              <w:rPr>
                <w:rFonts w:ascii="Arial" w:cs="Arial" w:eastAsia="Arial" w:hAnsi="Arial"/>
                <w:sz w:val="18"/>
                <w:szCs w:val="18"/>
                <w:color w:val="auto"/>
                <w:w w:val="99"/>
              </w:rPr>
              <w:t>November 12, 2020</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760" w:type="dxa"/>
            <w:vAlign w:val="bottom"/>
          </w:tcPr>
          <w:p>
            <w:pPr>
              <w:ind w:left="160"/>
              <w:spacing w:after="0"/>
              <w:rPr>
                <w:sz w:val="20"/>
                <w:szCs w:val="20"/>
                <w:color w:val="auto"/>
              </w:rPr>
            </w:pPr>
            <w:r>
              <w:rPr>
                <w:rFonts w:ascii="Arial" w:cs="Arial" w:eastAsia="Arial" w:hAnsi="Arial"/>
                <w:sz w:val="18"/>
                <w:szCs w:val="18"/>
                <w:color w:val="auto"/>
                <w:w w:val="99"/>
              </w:rPr>
              <w:t>November 18, 2022</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760" w:type="dxa"/>
            <w:vAlign w:val="bottom"/>
          </w:tcPr>
          <w:p>
            <w:pPr>
              <w:ind w:left="140"/>
              <w:spacing w:after="0"/>
              <w:rPr>
                <w:sz w:val="20"/>
                <w:szCs w:val="20"/>
                <w:color w:val="auto"/>
              </w:rPr>
            </w:pPr>
            <w:r>
              <w:rPr>
                <w:rFonts w:ascii="Arial" w:cs="Arial" w:eastAsia="Arial" w:hAnsi="Arial"/>
                <w:sz w:val="18"/>
                <w:szCs w:val="18"/>
                <w:color w:val="auto"/>
                <w:w w:val="98"/>
              </w:rPr>
              <w:t>September 14, 2020</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760" w:type="dxa"/>
            <w:vAlign w:val="bottom"/>
          </w:tcPr>
          <w:p>
            <w:pPr>
              <w:ind w:left="180"/>
              <w:spacing w:after="0"/>
              <w:rPr>
                <w:sz w:val="20"/>
                <w:szCs w:val="20"/>
                <w:color w:val="auto"/>
              </w:rPr>
            </w:pPr>
            <w:r>
              <w:rPr>
                <w:rFonts w:ascii="Arial" w:cs="Arial" w:eastAsia="Arial" w:hAnsi="Arial"/>
                <w:sz w:val="18"/>
                <w:szCs w:val="18"/>
                <w:color w:val="auto"/>
              </w:rPr>
              <w:t>September 9, 2020</w:t>
            </w:r>
          </w:p>
        </w:tc>
      </w:tr>
    </w:tbl>
    <w:p>
      <w:pPr>
        <w:spacing w:after="0" w:line="522" w:lineRule="exact"/>
        <w:rPr>
          <w:sz w:val="20"/>
          <w:szCs w:val="20"/>
          <w:color w:val="auto"/>
        </w:rPr>
      </w:pPr>
    </w:p>
    <w:p>
      <w:pPr>
        <w:sectPr>
          <w:pgSz w:w="11900" w:h="16838" w:orient="portrait"/>
          <w:cols w:equalWidth="0" w:num="2">
            <w:col w:w="6560" w:space="280"/>
            <w:col w:w="4400"/>
          </w:cols>
          <w:pgMar w:left="320" w:top="118"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80" w:type="dxa"/>
            <w:vAlign w:val="bottom"/>
          </w:tcPr>
          <w:p>
            <w:pPr>
              <w:jc w:val="right"/>
              <w:ind w:right="630"/>
              <w:spacing w:after="0"/>
              <w:rPr>
                <w:sz w:val="20"/>
                <w:szCs w:val="20"/>
                <w:color w:val="auto"/>
              </w:rPr>
            </w:pPr>
            <w:r>
              <w:rPr>
                <w:rFonts w:ascii="Arial" w:cs="Arial" w:eastAsia="Arial" w:hAnsi="Arial"/>
                <w:sz w:val="18"/>
                <w:szCs w:val="18"/>
                <w:color w:val="auto"/>
              </w:rPr>
              <w:t>4.3</w:t>
            </w:r>
          </w:p>
        </w:tc>
        <w:tc>
          <w:tcPr>
            <w:tcW w:w="22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Description of Capital Stock</w:t>
            </w:r>
          </w:p>
        </w:tc>
        <w:tc>
          <w:tcPr>
            <w:tcW w:w="20" w:type="dxa"/>
            <w:vAlign w:val="bottom"/>
            <w:tcBorders>
              <w:bottom w:val="single" w:sz="8" w:color="0000EE"/>
            </w:tcBorders>
          </w:tcPr>
          <w:p>
            <w:pPr>
              <w:spacing w:after="0"/>
              <w:rPr>
                <w:sz w:val="18"/>
                <w:szCs w:val="18"/>
                <w:color w:val="auto"/>
              </w:rPr>
            </w:pPr>
          </w:p>
        </w:tc>
        <w:tc>
          <w:tcPr>
            <w:tcW w:w="3100" w:type="dxa"/>
            <w:vAlign w:val="bottom"/>
            <w:gridSpan w:val="5"/>
          </w:tcPr>
          <w:p>
            <w:pPr>
              <w:spacing w:after="0"/>
              <w:rPr>
                <w:sz w:val="18"/>
                <w:szCs w:val="18"/>
                <w:color w:val="auto"/>
              </w:rPr>
            </w:pPr>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10.1**</w:t>
            </w:r>
          </w:p>
        </w:tc>
        <w:tc>
          <w:tcPr>
            <w:tcW w:w="5260" w:type="dxa"/>
            <w:vAlign w:val="bottom"/>
            <w:tcBorders>
              <w:bottom w:val="single" w:sz="8" w:color="0000FF"/>
            </w:tcBorders>
            <w:gridSpan w:val="12"/>
          </w:tcPr>
          <w:p>
            <w:pPr>
              <w:spacing w:after="0"/>
              <w:rPr>
                <w:rFonts w:ascii="Arial" w:cs="Arial" w:eastAsia="Arial" w:hAnsi="Arial"/>
                <w:sz w:val="18"/>
                <w:szCs w:val="18"/>
                <w:color w:val="0000FF"/>
                <w:w w:val="99"/>
              </w:rPr>
            </w:pPr>
            <w:hyperlink r:id="rId352">
              <w:r>
                <w:rPr>
                  <w:rFonts w:ascii="Arial" w:cs="Arial" w:eastAsia="Arial" w:hAnsi="Arial"/>
                  <w:sz w:val="18"/>
                  <w:szCs w:val="18"/>
                  <w:color w:val="0000FF"/>
                  <w:w w:val="99"/>
                </w:rPr>
                <w:t>Form of Director and Executive Officer Indemnification Agreement</w:t>
              </w:r>
            </w:hyperlink>
          </w:p>
        </w:tc>
        <w:tc>
          <w:tcPr>
            <w:tcW w:w="80" w:type="dxa"/>
            <w:vAlign w:val="bottom"/>
          </w:tcPr>
          <w:p>
            <w:pPr>
              <w:spacing w:after="0"/>
              <w:rPr>
                <w:sz w:val="24"/>
                <w:szCs w:val="24"/>
                <w:color w:val="auto"/>
              </w:rPr>
            </w:pPr>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10.2**</w:t>
            </w:r>
          </w:p>
        </w:tc>
        <w:tc>
          <w:tcPr>
            <w:tcW w:w="440" w:type="dxa"/>
            <w:vAlign w:val="bottom"/>
            <w:gridSpan w:val="2"/>
          </w:tcPr>
          <w:p>
            <w:pPr>
              <w:spacing w:after="0"/>
              <w:rPr>
                <w:rFonts w:ascii="Arial" w:cs="Arial" w:eastAsia="Arial" w:hAnsi="Arial"/>
                <w:sz w:val="18"/>
                <w:szCs w:val="18"/>
                <w:color w:val="0000FF"/>
              </w:rPr>
            </w:pPr>
            <w:hyperlink r:id="rId353">
              <w:r>
                <w:rPr>
                  <w:rFonts w:ascii="Arial" w:cs="Arial" w:eastAsia="Arial" w:hAnsi="Arial"/>
                  <w:sz w:val="18"/>
                  <w:szCs w:val="18"/>
                  <w:color w:val="0000FF"/>
                </w:rPr>
                <w:t>2014</w:t>
              </w:r>
            </w:hyperlink>
          </w:p>
        </w:tc>
        <w:tc>
          <w:tcPr>
            <w:tcW w:w="4900" w:type="dxa"/>
            <w:vAlign w:val="bottom"/>
            <w:gridSpan w:val="11"/>
          </w:tcPr>
          <w:p>
            <w:pPr>
              <w:ind w:left="20"/>
              <w:spacing w:after="0"/>
              <w:rPr>
                <w:rFonts w:ascii="Arial" w:cs="Arial" w:eastAsia="Arial" w:hAnsi="Arial"/>
                <w:sz w:val="18"/>
                <w:szCs w:val="18"/>
                <w:color w:val="0000FF"/>
              </w:rPr>
            </w:pPr>
            <w:hyperlink r:id="rId353">
              <w:r>
                <w:rPr>
                  <w:rFonts w:ascii="Arial" w:cs="Arial" w:eastAsia="Arial" w:hAnsi="Arial"/>
                  <w:sz w:val="18"/>
                  <w:szCs w:val="18"/>
                  <w:color w:val="0000FF"/>
                </w:rPr>
                <w:t>Equity Incentive Plan, as amended</w:t>
              </w:r>
            </w:hyperlink>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10.3**</w:t>
            </w:r>
          </w:p>
        </w:tc>
        <w:tc>
          <w:tcPr>
            <w:tcW w:w="44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r:id="rId354">
              <w:r>
                <w:rPr>
                  <w:rFonts w:ascii="Arial" w:cs="Arial" w:eastAsia="Arial" w:hAnsi="Arial"/>
                  <w:sz w:val="18"/>
                  <w:szCs w:val="18"/>
                  <w:color w:val="0000FF"/>
                </w:rPr>
                <w:t>2020</w:t>
              </w:r>
            </w:hyperlink>
          </w:p>
        </w:tc>
        <w:tc>
          <w:tcPr>
            <w:tcW w:w="170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8"/>
              </w:rPr>
            </w:pPr>
            <w:hyperlink r:id="rId354">
              <w:r>
                <w:rPr>
                  <w:rFonts w:ascii="Arial" w:cs="Arial" w:eastAsia="Arial" w:hAnsi="Arial"/>
                  <w:sz w:val="18"/>
                  <w:szCs w:val="18"/>
                  <w:color w:val="0000FF"/>
                  <w:w w:val="98"/>
                </w:rPr>
                <w:t>Equity Incentive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060" w:type="dxa"/>
            <w:vAlign w:val="bottom"/>
            <w:tcBorders>
              <w:top w:val="single" w:sz="8" w:color="0000FF"/>
            </w:tcBorders>
            <w:gridSpan w:val="3"/>
          </w:tcPr>
          <w:p>
            <w:pPr>
              <w:spacing w:after="0"/>
              <w:rPr>
                <w:sz w:val="24"/>
                <w:szCs w:val="24"/>
                <w:color w:val="auto"/>
              </w:rPr>
            </w:pPr>
          </w:p>
        </w:tc>
        <w:tc>
          <w:tcPr>
            <w:tcW w:w="2120" w:type="dxa"/>
            <w:vAlign w:val="bottom"/>
            <w:gridSpan w:val="4"/>
          </w:tcPr>
          <w:p>
            <w:pPr>
              <w:spacing w:after="0"/>
              <w:rPr>
                <w:sz w:val="24"/>
                <w:szCs w:val="24"/>
                <w:color w:val="auto"/>
              </w:rPr>
            </w:pPr>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10.4**</w:t>
            </w:r>
          </w:p>
        </w:tc>
        <w:tc>
          <w:tcPr>
            <w:tcW w:w="5340" w:type="dxa"/>
            <w:vAlign w:val="bottom"/>
            <w:gridSpan w:val="13"/>
          </w:tcPr>
          <w:p>
            <w:pPr>
              <w:spacing w:after="0"/>
              <w:rPr>
                <w:rFonts w:ascii="Arial" w:cs="Arial" w:eastAsia="Arial" w:hAnsi="Arial"/>
                <w:sz w:val="18"/>
                <w:szCs w:val="18"/>
                <w:color w:val="0000FF"/>
              </w:rPr>
            </w:pPr>
            <w:hyperlink r:id="rId355">
              <w:r>
                <w:rPr>
                  <w:rFonts w:ascii="Arial" w:cs="Arial" w:eastAsia="Arial" w:hAnsi="Arial"/>
                  <w:sz w:val="18"/>
                  <w:szCs w:val="18"/>
                  <w:color w:val="0000FF"/>
                </w:rPr>
                <w:t>Form of Stock Option Agreement under the 2020 Equity Incentive</w:t>
              </w:r>
            </w:hyperlink>
          </w:p>
        </w:tc>
      </w:tr>
      <w:tr>
        <w:trPr>
          <w:trHeight w:val="182"/>
        </w:trPr>
        <w:tc>
          <w:tcPr>
            <w:tcW w:w="1080" w:type="dxa"/>
            <w:vAlign w:val="bottom"/>
          </w:tcPr>
          <w:p>
            <w:pPr>
              <w:spacing w:after="0"/>
              <w:rPr>
                <w:sz w:val="15"/>
                <w:szCs w:val="15"/>
                <w:color w:val="auto"/>
              </w:rPr>
            </w:pPr>
          </w:p>
        </w:tc>
        <w:tc>
          <w:tcPr>
            <w:tcW w:w="4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355">
              <w:r>
                <w:rPr>
                  <w:rFonts w:ascii="Arial" w:cs="Arial" w:eastAsia="Arial" w:hAnsi="Arial"/>
                  <w:sz w:val="18"/>
                  <w:szCs w:val="18"/>
                  <w:color w:val="0000FF"/>
                </w:rPr>
                <w:t>Plan</w:t>
              </w:r>
            </w:hyperlink>
          </w:p>
        </w:tc>
        <w:tc>
          <w:tcPr>
            <w:tcW w:w="7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17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10.5**</w:t>
            </w:r>
          </w:p>
        </w:tc>
        <w:tc>
          <w:tcPr>
            <w:tcW w:w="5340" w:type="dxa"/>
            <w:vAlign w:val="bottom"/>
            <w:tcBorders>
              <w:bottom w:val="single" w:sz="8" w:color="0000FF"/>
            </w:tcBorders>
            <w:gridSpan w:val="13"/>
          </w:tcPr>
          <w:p>
            <w:pPr>
              <w:spacing w:after="0"/>
              <w:rPr>
                <w:rFonts w:ascii="Arial" w:cs="Arial" w:eastAsia="Arial" w:hAnsi="Arial"/>
                <w:sz w:val="18"/>
                <w:szCs w:val="18"/>
                <w:color w:val="0000FF"/>
              </w:rPr>
            </w:pPr>
            <w:hyperlink r:id="rId356">
              <w:r>
                <w:rPr>
                  <w:rFonts w:ascii="Arial" w:cs="Arial" w:eastAsia="Arial" w:hAnsi="Arial"/>
                  <w:sz w:val="18"/>
                  <w:szCs w:val="18"/>
                  <w:color w:val="0000FF"/>
                </w:rPr>
                <w:t>Form of Restricted Stock Award Agreement under the 2020 Equity</w:t>
              </w:r>
            </w:hyperlink>
          </w:p>
        </w:tc>
      </w:tr>
      <w:tr>
        <w:trPr>
          <w:trHeight w:val="183"/>
        </w:trPr>
        <w:tc>
          <w:tcPr>
            <w:tcW w:w="1080" w:type="dxa"/>
            <w:vAlign w:val="bottom"/>
          </w:tcPr>
          <w:p>
            <w:pPr>
              <w:spacing w:after="0"/>
              <w:rPr>
                <w:sz w:val="15"/>
                <w:szCs w:val="15"/>
                <w:color w:val="auto"/>
              </w:rPr>
            </w:pPr>
          </w:p>
        </w:tc>
        <w:tc>
          <w:tcPr>
            <w:tcW w:w="114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356">
              <w:r>
                <w:rPr>
                  <w:rFonts w:ascii="Arial" w:cs="Arial" w:eastAsia="Arial" w:hAnsi="Arial"/>
                  <w:sz w:val="18"/>
                  <w:szCs w:val="18"/>
                  <w:color w:val="0000FF"/>
                  <w:w w:val="99"/>
                </w:rPr>
                <w:t>Incentive Plan</w:t>
              </w:r>
            </w:hyperlink>
          </w:p>
        </w:tc>
        <w:tc>
          <w:tcPr>
            <w:tcW w:w="20" w:type="dxa"/>
            <w:vAlign w:val="bottom"/>
            <w:tcBorders>
              <w:bottom w:val="single" w:sz="8" w:color="0000EE"/>
            </w:tcBorders>
          </w:tcPr>
          <w:p>
            <w:pPr>
              <w:spacing w:after="0"/>
              <w:rPr>
                <w:sz w:val="15"/>
                <w:szCs w:val="15"/>
                <w:color w:val="auto"/>
              </w:rPr>
            </w:pPr>
          </w:p>
        </w:tc>
        <w:tc>
          <w:tcPr>
            <w:tcW w:w="4180" w:type="dxa"/>
            <w:vAlign w:val="bottom"/>
            <w:gridSpan w:val="9"/>
          </w:tcPr>
          <w:p>
            <w:pPr>
              <w:spacing w:after="0"/>
              <w:rPr>
                <w:sz w:val="15"/>
                <w:szCs w:val="15"/>
                <w:color w:val="auto"/>
              </w:rPr>
            </w:pPr>
          </w:p>
        </w:tc>
      </w:tr>
      <w:tr>
        <w:trPr>
          <w:trHeight w:val="331"/>
        </w:trPr>
        <w:tc>
          <w:tcPr>
            <w:tcW w:w="1080" w:type="dxa"/>
            <w:vAlign w:val="bottom"/>
          </w:tcPr>
          <w:p>
            <w:pPr>
              <w:jc w:val="right"/>
              <w:ind w:right="490"/>
              <w:spacing w:after="0"/>
              <w:rPr>
                <w:sz w:val="20"/>
                <w:szCs w:val="20"/>
                <w:color w:val="auto"/>
              </w:rPr>
            </w:pPr>
            <w:r>
              <w:rPr>
                <w:rFonts w:ascii="Arial" w:cs="Arial" w:eastAsia="Arial" w:hAnsi="Arial"/>
                <w:sz w:val="18"/>
                <w:szCs w:val="18"/>
                <w:color w:val="auto"/>
                <w:w w:val="97"/>
              </w:rPr>
              <w:t>10.6**</w:t>
            </w:r>
          </w:p>
        </w:tc>
        <w:tc>
          <w:tcPr>
            <w:tcW w:w="4980" w:type="dxa"/>
            <w:vAlign w:val="bottom"/>
            <w:tcBorders>
              <w:bottom w:val="single" w:sz="8" w:color="0000FF"/>
            </w:tcBorders>
            <w:gridSpan w:val="10"/>
          </w:tcPr>
          <w:p>
            <w:pPr>
              <w:spacing w:after="0"/>
              <w:rPr>
                <w:rFonts w:ascii="Arial" w:cs="Arial" w:eastAsia="Arial" w:hAnsi="Arial"/>
                <w:sz w:val="18"/>
                <w:szCs w:val="18"/>
                <w:color w:val="0000FF"/>
                <w:w w:val="99"/>
              </w:rPr>
            </w:pPr>
            <w:hyperlink r:id="rId357">
              <w:r>
                <w:rPr>
                  <w:rFonts w:ascii="Arial" w:cs="Arial" w:eastAsia="Arial" w:hAnsi="Arial"/>
                  <w:sz w:val="18"/>
                  <w:szCs w:val="18"/>
                  <w:color w:val="0000FF"/>
                  <w:w w:val="99"/>
                </w:rPr>
                <w:t>Form of RSU Agreement under the 2020 Equity Incentive Plan</w:t>
              </w:r>
            </w:hyperlink>
          </w:p>
        </w:tc>
        <w:tc>
          <w:tcPr>
            <w:tcW w:w="20" w:type="dxa"/>
            <w:vAlign w:val="bottom"/>
            <w:tcBorders>
              <w:bottom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S-1</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w w:val="99"/>
              </w:rPr>
              <w:t>August 26, 2020</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rPr>
              <w:t>September 9, 2020</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rPr>
              <w:t>September 9, 2020</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rPr>
              <w:t>September 9, 2020</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rPr>
              <w:t>September 9, 2020</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333-248428</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1660" w:type="dxa"/>
            <w:vAlign w:val="bottom"/>
          </w:tcPr>
          <w:p>
            <w:pPr>
              <w:jc w:val="center"/>
              <w:ind w:left="30"/>
              <w:spacing w:after="0"/>
              <w:rPr>
                <w:sz w:val="20"/>
                <w:szCs w:val="20"/>
                <w:color w:val="auto"/>
              </w:rPr>
            </w:pPr>
            <w:r>
              <w:rPr>
                <w:rFonts w:ascii="Arial" w:cs="Arial" w:eastAsia="Arial" w:hAnsi="Arial"/>
                <w:sz w:val="18"/>
                <w:szCs w:val="18"/>
                <w:color w:val="auto"/>
              </w:rPr>
              <w:t>September 9, 2020</w:t>
            </w:r>
          </w:p>
        </w:tc>
      </w:tr>
    </w:tbl>
    <w:p>
      <w:pPr>
        <w:spacing w:after="0" w:line="200" w:lineRule="exact"/>
        <w:rPr>
          <w:sz w:val="20"/>
          <w:szCs w:val="20"/>
          <w:color w:val="auto"/>
        </w:rPr>
      </w:pPr>
    </w:p>
    <w:p>
      <w:pPr>
        <w:sectPr>
          <w:pgSz w:w="11900" w:h="16838" w:orient="portrait"/>
          <w:cols w:equalWidth="0" w:num="2">
            <w:col w:w="6480" w:space="360"/>
            <w:col w:w="4400"/>
          </w:cols>
          <w:pgMar w:left="320" w:top="118" w:right="3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120" w:type="dxa"/>
            <w:vAlign w:val="bottom"/>
          </w:tcPr>
          <w:p>
            <w:pPr>
              <w:ind w:left="40"/>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5280" w:type="dxa"/>
            <w:vAlign w:val="bottom"/>
            <w:tcBorders>
              <w:bottom w:val="single" w:sz="8" w:color="0000FF"/>
            </w:tcBorders>
            <w:gridSpan w:val="29"/>
          </w:tcPr>
          <w:p>
            <w:pPr>
              <w:spacing w:after="0"/>
              <w:rPr>
                <w:rFonts w:ascii="Arial" w:cs="Arial" w:eastAsia="Arial" w:hAnsi="Arial"/>
                <w:sz w:val="18"/>
                <w:szCs w:val="18"/>
                <w:color w:val="0000FF"/>
              </w:rPr>
            </w:pPr>
            <w:hyperlink r:id="rId359">
              <w:r>
                <w:rPr>
                  <w:rFonts w:ascii="Arial" w:cs="Arial" w:eastAsia="Arial" w:hAnsi="Arial"/>
                  <w:sz w:val="18"/>
                  <w:szCs w:val="18"/>
                  <w:color w:val="0000FF"/>
                </w:rPr>
                <w:t>Amended and Restated Standard Exclusive Licensing Agreement</w:t>
              </w:r>
            </w:hyperlink>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5340" w:type="dxa"/>
            <w:vAlign w:val="bottom"/>
            <w:tcBorders>
              <w:bottom w:val="single" w:sz="8" w:color="0000FF"/>
            </w:tcBorders>
            <w:gridSpan w:val="31"/>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with Sublicensing Terms, dated October 28, 2015, by and between</w:t>
              </w:r>
            </w:hyperlink>
          </w:p>
        </w:tc>
        <w:tc>
          <w:tcPr>
            <w:tcW w:w="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5300" w:type="dxa"/>
            <w:vAlign w:val="bottom"/>
            <w:tcBorders>
              <w:bottom w:val="single" w:sz="8" w:color="0000FF"/>
            </w:tcBorders>
            <w:gridSpan w:val="30"/>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the Registrant and Washington State University, and amendments</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thereto</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10.8**</w:t>
            </w:r>
          </w:p>
        </w:tc>
        <w:tc>
          <w:tcPr>
            <w:tcW w:w="51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rPr>
              <w:t>2020 Employee Stock Purchase Plan, as amended and Form of</w:t>
            </w:r>
          </w:p>
        </w:tc>
        <w:tc>
          <w:tcPr>
            <w:tcW w:w="2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sz w:val="20"/>
                <w:szCs w:val="20"/>
                <w:color w:val="auto"/>
              </w:rPr>
            </w:pPr>
            <w:r>
              <w:rPr>
                <w:rFonts w:ascii="Arial" w:cs="Arial" w:eastAsia="Arial" w:hAnsi="Arial"/>
                <w:sz w:val="18"/>
                <w:szCs w:val="18"/>
                <w:color w:val="0000FF"/>
              </w:rPr>
              <w:t>Subscription Agreement Thereunder</w:t>
            </w:r>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4800" w:type="dxa"/>
            <w:vAlign w:val="bottom"/>
            <w:tcBorders>
              <w:bottom w:val="single" w:sz="8" w:color="0000FF"/>
            </w:tcBorders>
            <w:gridSpan w:val="24"/>
          </w:tcPr>
          <w:p>
            <w:pPr>
              <w:spacing w:after="0"/>
              <w:rPr>
                <w:rFonts w:ascii="Arial" w:cs="Arial" w:eastAsia="Arial" w:hAnsi="Arial"/>
                <w:sz w:val="18"/>
                <w:szCs w:val="18"/>
                <w:color w:val="0000FF"/>
              </w:rPr>
            </w:pPr>
            <w:hyperlink r:id="rId360">
              <w:r>
                <w:rPr>
                  <w:rFonts w:ascii="Arial" w:cs="Arial" w:eastAsia="Arial" w:hAnsi="Arial"/>
                  <w:sz w:val="18"/>
                  <w:szCs w:val="18"/>
                  <w:color w:val="0000FF"/>
                </w:rPr>
                <w:t>Lease agreement, dated July 20, 2020, by and between the</w:t>
              </w:r>
            </w:hyperlink>
          </w:p>
        </w:tc>
        <w:tc>
          <w:tcPr>
            <w:tcW w:w="54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Registrant and North Creek Parkway Center Investors, LP</w:t>
              </w:r>
            </w:hyperlink>
          </w:p>
        </w:tc>
        <w:tc>
          <w:tcPr>
            <w:tcW w:w="60" w:type="dxa"/>
            <w:vAlign w:val="bottom"/>
          </w:tcPr>
          <w:p>
            <w:pPr>
              <w:spacing w:after="0"/>
              <w:rPr>
                <w:sz w:val="15"/>
                <w:szCs w:val="15"/>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10.10**</w:t>
            </w:r>
          </w:p>
        </w:tc>
        <w:tc>
          <w:tcPr>
            <w:tcW w:w="464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Outside Director Compensation Policy, as amended</w:t>
            </w:r>
          </w:p>
        </w:tc>
        <w:tc>
          <w:tcPr>
            <w:tcW w:w="70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10.11**</w:t>
            </w:r>
          </w:p>
        </w:tc>
        <w:tc>
          <w:tcPr>
            <w:tcW w:w="31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9"/>
              </w:rPr>
            </w:pPr>
            <w:hyperlink r:id="rId361">
              <w:r>
                <w:rPr>
                  <w:rFonts w:ascii="Arial" w:cs="Arial" w:eastAsia="Arial" w:hAnsi="Arial"/>
                  <w:sz w:val="18"/>
                  <w:szCs w:val="18"/>
                  <w:color w:val="0000FF"/>
                  <w:w w:val="99"/>
                </w:rPr>
                <w:t>Executive Incentive Compensation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2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10.12**</w:t>
            </w:r>
          </w:p>
        </w:tc>
        <w:tc>
          <w:tcPr>
            <w:tcW w:w="5340" w:type="dxa"/>
            <w:vAlign w:val="bottom"/>
            <w:tcBorders>
              <w:bottom w:val="single" w:sz="8" w:color="0000FF"/>
            </w:tcBorders>
            <w:gridSpan w:val="31"/>
          </w:tcPr>
          <w:p>
            <w:pPr>
              <w:spacing w:after="0"/>
              <w:rPr>
                <w:rFonts w:ascii="Arial" w:cs="Arial" w:eastAsia="Arial" w:hAnsi="Arial"/>
                <w:sz w:val="18"/>
                <w:szCs w:val="18"/>
                <w:color w:val="0000FF"/>
              </w:rPr>
            </w:pPr>
            <w:hyperlink r:id="rId362">
              <w:r>
                <w:rPr>
                  <w:rFonts w:ascii="Arial" w:cs="Arial" w:eastAsia="Arial" w:hAnsi="Arial"/>
                  <w:sz w:val="18"/>
                  <w:szCs w:val="18"/>
                  <w:color w:val="0000FF"/>
                </w:rPr>
                <w:t>Confirmatory Employment Letter between the Registrant and Mark</w:t>
              </w:r>
            </w:hyperlink>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000" w:type="dxa"/>
            <w:vAlign w:val="bottom"/>
            <w:tcBorders>
              <w:bottom w:val="single" w:sz="8" w:color="0000FF"/>
            </w:tcBorders>
            <w:gridSpan w:val="5"/>
          </w:tcPr>
          <w:p>
            <w:pPr>
              <w:spacing w:after="0" w:line="182" w:lineRule="exact"/>
              <w:rPr>
                <w:rFonts w:ascii="Arial" w:cs="Arial" w:eastAsia="Arial" w:hAnsi="Arial"/>
                <w:sz w:val="18"/>
                <w:szCs w:val="18"/>
                <w:color w:val="0000FF"/>
                <w:w w:val="98"/>
              </w:rPr>
            </w:pPr>
            <w:hyperlink r:id="rId362">
              <w:r>
                <w:rPr>
                  <w:rFonts w:ascii="Arial" w:cs="Arial" w:eastAsia="Arial" w:hAnsi="Arial"/>
                  <w:sz w:val="18"/>
                  <w:szCs w:val="18"/>
                  <w:color w:val="0000FF"/>
                  <w:w w:val="98"/>
                </w:rPr>
                <w:t>Litton, Ph.D.</w:t>
              </w:r>
            </w:hyperlink>
          </w:p>
        </w:tc>
        <w:tc>
          <w:tcPr>
            <w:tcW w:w="20" w:type="dxa"/>
            <w:vAlign w:val="bottom"/>
            <w:tcBorders>
              <w:bottom w:val="single" w:sz="8" w:color="0000EE"/>
            </w:tcBorders>
          </w:tcPr>
          <w:p>
            <w:pPr>
              <w:spacing w:after="0"/>
              <w:rPr>
                <w:sz w:val="15"/>
                <w:szCs w:val="15"/>
                <w:color w:val="auto"/>
              </w:rPr>
            </w:pPr>
          </w:p>
        </w:tc>
        <w:tc>
          <w:tcPr>
            <w:tcW w:w="4320" w:type="dxa"/>
            <w:vAlign w:val="bottom"/>
            <w:gridSpan w:val="25"/>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10.13**</w:t>
            </w:r>
          </w:p>
        </w:tc>
        <w:tc>
          <w:tcPr>
            <w:tcW w:w="5340" w:type="dxa"/>
            <w:vAlign w:val="bottom"/>
            <w:tcBorders>
              <w:bottom w:val="single" w:sz="8" w:color="0000FF"/>
            </w:tcBorders>
            <w:gridSpan w:val="31"/>
          </w:tcPr>
          <w:p>
            <w:pPr>
              <w:spacing w:after="0"/>
              <w:rPr>
                <w:rFonts w:ascii="Arial" w:cs="Arial" w:eastAsia="Arial" w:hAnsi="Arial"/>
                <w:sz w:val="18"/>
                <w:szCs w:val="18"/>
                <w:color w:val="0000FF"/>
                <w:w w:val="99"/>
              </w:rPr>
            </w:pPr>
            <w:hyperlink r:id="rId363">
              <w:r>
                <w:rPr>
                  <w:rFonts w:ascii="Arial" w:cs="Arial" w:eastAsia="Arial" w:hAnsi="Arial"/>
                  <w:sz w:val="18"/>
                  <w:szCs w:val="18"/>
                  <w:color w:val="0000FF"/>
                  <w:w w:val="99"/>
                </w:rPr>
                <w:t>Confirmatory Employment Letter between the Registrant and Kevin</w:t>
              </w:r>
            </w:hyperlink>
          </w:p>
        </w:tc>
        <w:tc>
          <w:tcPr>
            <w:tcW w:w="60" w:type="dxa"/>
            <w:vAlign w:val="bottom"/>
            <w:tcBorders>
              <w:bottom w:val="single" w:sz="8" w:color="0000FF"/>
            </w:tcBorders>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1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363">
              <w:r>
                <w:rPr>
                  <w:rFonts w:ascii="Arial" w:cs="Arial" w:eastAsia="Arial" w:hAnsi="Arial"/>
                  <w:sz w:val="18"/>
                  <w:szCs w:val="18"/>
                  <w:color w:val="0000FF"/>
                  <w:w w:val="99"/>
                </w:rPr>
                <w:t>Church, Ph.D.</w:t>
              </w:r>
            </w:hyperlink>
          </w:p>
        </w:tc>
        <w:tc>
          <w:tcPr>
            <w:tcW w:w="20" w:type="dxa"/>
            <w:vAlign w:val="bottom"/>
            <w:tcBorders>
              <w:bottom w:val="single" w:sz="8" w:color="0000EE"/>
            </w:tcBorders>
          </w:tcPr>
          <w:p>
            <w:pPr>
              <w:spacing w:after="0"/>
              <w:rPr>
                <w:sz w:val="15"/>
                <w:szCs w:val="15"/>
                <w:color w:val="auto"/>
              </w:rPr>
            </w:pPr>
          </w:p>
        </w:tc>
        <w:tc>
          <w:tcPr>
            <w:tcW w:w="4180" w:type="dxa"/>
            <w:vAlign w:val="bottom"/>
            <w:gridSpan w:val="23"/>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10.14**</w:t>
            </w:r>
          </w:p>
        </w:tc>
        <w:tc>
          <w:tcPr>
            <w:tcW w:w="4900" w:type="dxa"/>
            <w:vAlign w:val="bottom"/>
            <w:tcBorders>
              <w:bottom w:val="single" w:sz="8" w:color="0000FF"/>
            </w:tcBorders>
            <w:gridSpan w:val="26"/>
          </w:tcPr>
          <w:p>
            <w:pPr>
              <w:spacing w:after="0"/>
              <w:rPr>
                <w:rFonts w:ascii="Arial" w:cs="Arial" w:eastAsia="Arial" w:hAnsi="Arial"/>
                <w:sz w:val="18"/>
                <w:szCs w:val="18"/>
                <w:color w:val="0000FF"/>
              </w:rPr>
            </w:pPr>
            <w:hyperlink r:id="rId364">
              <w:r>
                <w:rPr>
                  <w:rFonts w:ascii="Arial" w:cs="Arial" w:eastAsia="Arial" w:hAnsi="Arial"/>
                  <w:sz w:val="18"/>
                  <w:szCs w:val="18"/>
                  <w:color w:val="0000FF"/>
                </w:rPr>
                <w:t>Confirmatory Employment Letter between the Registrant and</w:t>
              </w:r>
            </w:hyperlink>
          </w:p>
        </w:tc>
        <w:tc>
          <w:tcPr>
            <w:tcW w:w="44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2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364">
              <w:r>
                <w:rPr>
                  <w:rFonts w:ascii="Arial" w:cs="Arial" w:eastAsia="Arial" w:hAnsi="Arial"/>
                  <w:sz w:val="18"/>
                  <w:szCs w:val="18"/>
                  <w:color w:val="0000FF"/>
                  <w:w w:val="99"/>
                </w:rPr>
                <w:t>Glenna Mileson</w:t>
              </w:r>
            </w:hyperlink>
          </w:p>
        </w:tc>
        <w:tc>
          <w:tcPr>
            <w:tcW w:w="20" w:type="dxa"/>
            <w:vAlign w:val="bottom"/>
            <w:tcBorders>
              <w:bottom w:val="single" w:sz="8" w:color="0000EE"/>
            </w:tcBorders>
          </w:tcPr>
          <w:p>
            <w:pPr>
              <w:spacing w:after="0"/>
              <w:rPr>
                <w:sz w:val="15"/>
                <w:szCs w:val="15"/>
                <w:color w:val="auto"/>
              </w:rPr>
            </w:pPr>
          </w:p>
        </w:tc>
        <w:tc>
          <w:tcPr>
            <w:tcW w:w="4060" w:type="dxa"/>
            <w:vAlign w:val="bottom"/>
            <w:gridSpan w:val="20"/>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10.15**</w:t>
            </w:r>
          </w:p>
        </w:tc>
        <w:tc>
          <w:tcPr>
            <w:tcW w:w="4700" w:type="dxa"/>
            <w:vAlign w:val="bottom"/>
            <w:tcBorders>
              <w:bottom w:val="single" w:sz="8" w:color="0000FF"/>
            </w:tcBorders>
            <w:gridSpan w:val="20"/>
          </w:tcPr>
          <w:p>
            <w:pPr>
              <w:spacing w:after="0"/>
              <w:rPr>
                <w:rFonts w:ascii="Arial" w:cs="Arial" w:eastAsia="Arial" w:hAnsi="Arial"/>
                <w:sz w:val="18"/>
                <w:szCs w:val="18"/>
                <w:color w:val="0000FF"/>
              </w:rPr>
            </w:pPr>
            <w:hyperlink r:id="rId365">
              <w:r>
                <w:rPr>
                  <w:rFonts w:ascii="Arial" w:cs="Arial" w:eastAsia="Arial" w:hAnsi="Arial"/>
                  <w:sz w:val="18"/>
                  <w:szCs w:val="18"/>
                  <w:color w:val="0000FF"/>
                </w:rPr>
                <w:t>Amended and Restated Change in Control and Severance</w:t>
              </w:r>
            </w:hyperlink>
          </w:p>
        </w:tc>
        <w:tc>
          <w:tcPr>
            <w:tcW w:w="640" w:type="dxa"/>
            <w:vAlign w:val="bottom"/>
            <w:gridSpan w:val="11"/>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65">
              <w:r>
                <w:rPr>
                  <w:rFonts w:ascii="Arial" w:cs="Arial" w:eastAsia="Arial" w:hAnsi="Arial"/>
                  <w:sz w:val="18"/>
                  <w:szCs w:val="18"/>
                  <w:color w:val="0000FF"/>
                </w:rPr>
                <w:t>Agreement between the Registrant and Mark Litton, Ph.D.</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10.16**</w:t>
            </w:r>
          </w:p>
        </w:tc>
        <w:tc>
          <w:tcPr>
            <w:tcW w:w="4740" w:type="dxa"/>
            <w:vAlign w:val="bottom"/>
            <w:tcBorders>
              <w:bottom w:val="single" w:sz="8" w:color="0000FF"/>
            </w:tcBorders>
            <w:gridSpan w:val="22"/>
          </w:tcPr>
          <w:p>
            <w:pPr>
              <w:spacing w:after="0"/>
              <w:rPr>
                <w:rFonts w:ascii="Arial" w:cs="Arial" w:eastAsia="Arial" w:hAnsi="Arial"/>
                <w:sz w:val="18"/>
                <w:szCs w:val="18"/>
                <w:color w:val="0000FF"/>
              </w:rPr>
            </w:pPr>
            <w:hyperlink r:id="rId366">
              <w:r>
                <w:rPr>
                  <w:rFonts w:ascii="Arial" w:cs="Arial" w:eastAsia="Arial" w:hAnsi="Arial"/>
                  <w:sz w:val="18"/>
                  <w:szCs w:val="18"/>
                  <w:color w:val="0000FF"/>
                </w:rPr>
                <w:t>Change in Control and Severance Agreement between the</w:t>
              </w:r>
            </w:hyperlink>
          </w:p>
        </w:tc>
        <w:tc>
          <w:tcPr>
            <w:tcW w:w="6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24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366">
              <w:r>
                <w:rPr>
                  <w:rFonts w:ascii="Arial" w:cs="Arial" w:eastAsia="Arial" w:hAnsi="Arial"/>
                  <w:sz w:val="18"/>
                  <w:szCs w:val="18"/>
                  <w:color w:val="0000FF"/>
                  <w:w w:val="99"/>
                </w:rPr>
                <w:t>Registrant and Glenna Mileson</w:t>
              </w:r>
            </w:hyperlink>
          </w:p>
        </w:tc>
        <w:tc>
          <w:tcPr>
            <w:tcW w:w="20" w:type="dxa"/>
            <w:vAlign w:val="bottom"/>
            <w:tcBorders>
              <w:bottom w:val="single" w:sz="8" w:color="0000EE"/>
            </w:tcBorders>
          </w:tcPr>
          <w:p>
            <w:pPr>
              <w:spacing w:after="0"/>
              <w:rPr>
                <w:sz w:val="15"/>
                <w:szCs w:val="15"/>
                <w:color w:val="auto"/>
              </w:rPr>
            </w:pPr>
          </w:p>
        </w:tc>
        <w:tc>
          <w:tcPr>
            <w:tcW w:w="2840" w:type="dxa"/>
            <w:vAlign w:val="bottom"/>
            <w:gridSpan w:val="18"/>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10.17**</w:t>
            </w:r>
          </w:p>
        </w:tc>
        <w:tc>
          <w:tcPr>
            <w:tcW w:w="4760" w:type="dxa"/>
            <w:vAlign w:val="bottom"/>
            <w:tcBorders>
              <w:bottom w:val="single" w:sz="8" w:color="0000FF"/>
            </w:tcBorders>
            <w:gridSpan w:val="23"/>
          </w:tcPr>
          <w:p>
            <w:pPr>
              <w:spacing w:after="0"/>
              <w:rPr>
                <w:rFonts w:ascii="Arial" w:cs="Arial" w:eastAsia="Arial" w:hAnsi="Arial"/>
                <w:sz w:val="18"/>
                <w:szCs w:val="18"/>
                <w:color w:val="0000FF"/>
              </w:rPr>
            </w:pPr>
            <w:hyperlink r:id="rId367">
              <w:r>
                <w:rPr>
                  <w:rFonts w:ascii="Arial" w:cs="Arial" w:eastAsia="Arial" w:hAnsi="Arial"/>
                  <w:sz w:val="18"/>
                  <w:szCs w:val="18"/>
                  <w:color w:val="0000FF"/>
                </w:rPr>
                <w:t>Employment Offer Letter between the Registrant and Hans</w:t>
              </w:r>
            </w:hyperlink>
          </w:p>
        </w:tc>
        <w:tc>
          <w:tcPr>
            <w:tcW w:w="580" w:type="dxa"/>
            <w:vAlign w:val="bottom"/>
            <w:gridSpan w:val="8"/>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12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367">
              <w:r>
                <w:rPr>
                  <w:rFonts w:ascii="Arial" w:cs="Arial" w:eastAsia="Arial" w:hAnsi="Arial"/>
                  <w:sz w:val="18"/>
                  <w:szCs w:val="18"/>
                  <w:color w:val="0000FF"/>
                  <w:w w:val="99"/>
                </w:rPr>
                <w:t>Moebius, Ph.D.</w:t>
              </w:r>
            </w:hyperlink>
          </w:p>
        </w:tc>
        <w:tc>
          <w:tcPr>
            <w:tcW w:w="20" w:type="dxa"/>
            <w:vAlign w:val="bottom"/>
            <w:tcBorders>
              <w:bottom w:val="single" w:sz="8" w:color="0000EE"/>
            </w:tcBorders>
          </w:tcPr>
          <w:p>
            <w:pPr>
              <w:spacing w:after="0"/>
              <w:rPr>
                <w:sz w:val="15"/>
                <w:szCs w:val="15"/>
                <w:color w:val="auto"/>
              </w:rPr>
            </w:pPr>
          </w:p>
        </w:tc>
        <w:tc>
          <w:tcPr>
            <w:tcW w:w="4080" w:type="dxa"/>
            <w:vAlign w:val="bottom"/>
            <w:gridSpan w:val="21"/>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4640" w:type="dxa"/>
            <w:vAlign w:val="bottom"/>
            <w:tcBorders>
              <w:bottom w:val="single" w:sz="8" w:color="0000FF"/>
            </w:tcBorders>
            <w:gridSpan w:val="19"/>
          </w:tcPr>
          <w:p>
            <w:pPr>
              <w:spacing w:after="0"/>
              <w:rPr>
                <w:rFonts w:ascii="Arial" w:cs="Arial" w:eastAsia="Arial" w:hAnsi="Arial"/>
                <w:sz w:val="18"/>
                <w:szCs w:val="18"/>
                <w:color w:val="0000FF"/>
              </w:rPr>
            </w:pPr>
            <w:hyperlink r:id="rId368">
              <w:r>
                <w:rPr>
                  <w:rFonts w:ascii="Arial" w:cs="Arial" w:eastAsia="Arial" w:hAnsi="Arial"/>
                  <w:sz w:val="18"/>
                  <w:szCs w:val="18"/>
                  <w:color w:val="0000FF"/>
                </w:rPr>
                <w:t>First Amendment to Employment Agreement between the</w:t>
              </w:r>
            </w:hyperlink>
          </w:p>
        </w:tc>
        <w:tc>
          <w:tcPr>
            <w:tcW w:w="70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68">
              <w:r>
                <w:rPr>
                  <w:rFonts w:ascii="Arial" w:cs="Arial" w:eastAsia="Arial" w:hAnsi="Arial"/>
                  <w:sz w:val="18"/>
                  <w:szCs w:val="18"/>
                  <w:color w:val="0000FF"/>
                </w:rPr>
                <w:t>Registrant and Hans Moebius, Ph.D.</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10.19**</w:t>
            </w:r>
          </w:p>
        </w:tc>
        <w:tc>
          <w:tcPr>
            <w:tcW w:w="4740" w:type="dxa"/>
            <w:vAlign w:val="bottom"/>
            <w:tcBorders>
              <w:bottom w:val="single" w:sz="8" w:color="0000FF"/>
            </w:tcBorders>
            <w:gridSpan w:val="22"/>
          </w:tcPr>
          <w:p>
            <w:pPr>
              <w:spacing w:after="0"/>
              <w:rPr>
                <w:rFonts w:ascii="Arial" w:cs="Arial" w:eastAsia="Arial" w:hAnsi="Arial"/>
                <w:sz w:val="18"/>
                <w:szCs w:val="18"/>
                <w:color w:val="0000FF"/>
              </w:rPr>
            </w:pPr>
            <w:hyperlink r:id="rId369">
              <w:r>
                <w:rPr>
                  <w:rFonts w:ascii="Arial" w:cs="Arial" w:eastAsia="Arial" w:hAnsi="Arial"/>
                  <w:sz w:val="18"/>
                  <w:szCs w:val="18"/>
                  <w:color w:val="0000FF"/>
                </w:rPr>
                <w:t>Change in Control and Severance Agreement between the</w:t>
              </w:r>
            </w:hyperlink>
          </w:p>
        </w:tc>
        <w:tc>
          <w:tcPr>
            <w:tcW w:w="6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69">
              <w:r>
                <w:rPr>
                  <w:rFonts w:ascii="Arial" w:cs="Arial" w:eastAsia="Arial" w:hAnsi="Arial"/>
                  <w:sz w:val="18"/>
                  <w:szCs w:val="18"/>
                  <w:color w:val="0000FF"/>
                </w:rPr>
                <w:t>Registrant and Hans Moebius, Ph.D.</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0" w:type="dxa"/>
            <w:vAlign w:val="bottom"/>
            <w:tcBorders>
              <w:left w:val="single" w:sz="8" w:color="0000EE"/>
            </w:tcBorders>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10.20**</w:t>
            </w:r>
          </w:p>
        </w:tc>
        <w:tc>
          <w:tcPr>
            <w:tcW w:w="4880" w:type="dxa"/>
            <w:vAlign w:val="bottom"/>
            <w:tcBorders>
              <w:bottom w:val="single" w:sz="8" w:color="0000FF"/>
            </w:tcBorders>
            <w:gridSpan w:val="25"/>
          </w:tcPr>
          <w:p>
            <w:pPr>
              <w:spacing w:after="0"/>
              <w:rPr>
                <w:rFonts w:ascii="Arial" w:cs="Arial" w:eastAsia="Arial" w:hAnsi="Arial"/>
                <w:sz w:val="18"/>
                <w:szCs w:val="18"/>
                <w:color w:val="0000FF"/>
              </w:rPr>
            </w:pPr>
            <w:hyperlink r:id="rId370">
              <w:r>
                <w:rPr>
                  <w:rFonts w:ascii="Arial" w:cs="Arial" w:eastAsia="Arial" w:hAnsi="Arial"/>
                  <w:sz w:val="18"/>
                  <w:szCs w:val="18"/>
                  <w:color w:val="0000FF"/>
                </w:rPr>
                <w:t>Employment Offer Letter between the Registrant and Rachel</w:t>
              </w:r>
            </w:hyperlink>
          </w:p>
        </w:tc>
        <w:tc>
          <w:tcPr>
            <w:tcW w:w="46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8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370">
              <w:r>
                <w:rPr>
                  <w:rFonts w:ascii="Arial" w:cs="Arial" w:eastAsia="Arial" w:hAnsi="Arial"/>
                  <w:sz w:val="18"/>
                  <w:szCs w:val="18"/>
                  <w:color w:val="0000FF"/>
                  <w:w w:val="98"/>
                </w:rPr>
                <w:t>Lenington</w:t>
              </w:r>
            </w:hyperlink>
          </w:p>
        </w:tc>
        <w:tc>
          <w:tcPr>
            <w:tcW w:w="20" w:type="dxa"/>
            <w:vAlign w:val="bottom"/>
            <w:tcBorders>
              <w:bottom w:val="single" w:sz="8" w:color="0000EE"/>
            </w:tcBorders>
          </w:tcPr>
          <w:p>
            <w:pPr>
              <w:spacing w:after="0"/>
              <w:rPr>
                <w:sz w:val="15"/>
                <w:szCs w:val="15"/>
                <w:color w:val="auto"/>
              </w:rPr>
            </w:pPr>
          </w:p>
        </w:tc>
        <w:tc>
          <w:tcPr>
            <w:tcW w:w="4520" w:type="dxa"/>
            <w:vAlign w:val="bottom"/>
            <w:gridSpan w:val="28"/>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4740" w:type="dxa"/>
            <w:vAlign w:val="bottom"/>
            <w:tcBorders>
              <w:bottom w:val="single" w:sz="8" w:color="0000FF"/>
            </w:tcBorders>
            <w:gridSpan w:val="22"/>
          </w:tcPr>
          <w:p>
            <w:pPr>
              <w:spacing w:after="0"/>
              <w:rPr>
                <w:rFonts w:ascii="Arial" w:cs="Arial" w:eastAsia="Arial" w:hAnsi="Arial"/>
                <w:sz w:val="18"/>
                <w:szCs w:val="18"/>
                <w:color w:val="0000FF"/>
              </w:rPr>
            </w:pPr>
            <w:hyperlink r:id="rId371">
              <w:r>
                <w:rPr>
                  <w:rFonts w:ascii="Arial" w:cs="Arial" w:eastAsia="Arial" w:hAnsi="Arial"/>
                  <w:sz w:val="18"/>
                  <w:szCs w:val="18"/>
                  <w:color w:val="0000FF"/>
                </w:rPr>
                <w:t>Change in Control and Severance Agreement between the</w:t>
              </w:r>
            </w:hyperlink>
          </w:p>
        </w:tc>
        <w:tc>
          <w:tcPr>
            <w:tcW w:w="6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71">
              <w:r>
                <w:rPr>
                  <w:rFonts w:ascii="Arial" w:cs="Arial" w:eastAsia="Arial" w:hAnsi="Arial"/>
                  <w:sz w:val="18"/>
                  <w:szCs w:val="18"/>
                  <w:color w:val="0000FF"/>
                </w:rPr>
                <w:t>Registrant and Rachel Lenington</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4720" w:type="dxa"/>
            <w:vAlign w:val="bottom"/>
            <w:tcBorders>
              <w:bottom w:val="single" w:sz="8" w:color="0000FF"/>
            </w:tcBorders>
            <w:gridSpan w:val="21"/>
          </w:tcPr>
          <w:p>
            <w:pPr>
              <w:spacing w:after="0"/>
              <w:rPr>
                <w:rFonts w:ascii="Arial" w:cs="Arial" w:eastAsia="Arial" w:hAnsi="Arial"/>
                <w:sz w:val="18"/>
                <w:szCs w:val="18"/>
                <w:color w:val="0000FF"/>
              </w:rPr>
            </w:pPr>
            <w:hyperlink r:id="rId372">
              <w:r>
                <w:rPr>
                  <w:rFonts w:ascii="Arial" w:cs="Arial" w:eastAsia="Arial" w:hAnsi="Arial"/>
                  <w:sz w:val="18"/>
                  <w:szCs w:val="18"/>
                  <w:color w:val="0000FF"/>
                </w:rPr>
                <w:t>Employment Offer Letter between the Registrant and Mark</w:t>
              </w:r>
            </w:hyperlink>
          </w:p>
        </w:tc>
        <w:tc>
          <w:tcPr>
            <w:tcW w:w="62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1120" w:type="dxa"/>
            <w:vAlign w:val="bottom"/>
          </w:tcPr>
          <w:p>
            <w:pPr>
              <w:spacing w:after="0"/>
              <w:rPr>
                <w:sz w:val="15"/>
                <w:szCs w:val="15"/>
                <w:color w:val="auto"/>
              </w:rPr>
            </w:pPr>
          </w:p>
        </w:tc>
        <w:tc>
          <w:tcPr>
            <w:tcW w:w="98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r:id="rId372">
              <w:r>
                <w:rPr>
                  <w:rFonts w:ascii="Arial" w:cs="Arial" w:eastAsia="Arial" w:hAnsi="Arial"/>
                  <w:sz w:val="18"/>
                  <w:szCs w:val="18"/>
                  <w:color w:val="0000FF"/>
                  <w:w w:val="98"/>
                </w:rPr>
                <w:t>Worthington</w:t>
              </w:r>
            </w:hyperlink>
          </w:p>
        </w:tc>
        <w:tc>
          <w:tcPr>
            <w:tcW w:w="20" w:type="dxa"/>
            <w:vAlign w:val="bottom"/>
            <w:tcBorders>
              <w:bottom w:val="single" w:sz="8" w:color="0000EE"/>
            </w:tcBorders>
          </w:tcPr>
          <w:p>
            <w:pPr>
              <w:spacing w:after="0"/>
              <w:rPr>
                <w:sz w:val="15"/>
                <w:szCs w:val="15"/>
                <w:color w:val="auto"/>
              </w:rPr>
            </w:pPr>
          </w:p>
        </w:tc>
        <w:tc>
          <w:tcPr>
            <w:tcW w:w="4340" w:type="dxa"/>
            <w:vAlign w:val="bottom"/>
            <w:gridSpan w:val="26"/>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4740" w:type="dxa"/>
            <w:vAlign w:val="bottom"/>
            <w:tcBorders>
              <w:bottom w:val="single" w:sz="8" w:color="0000FF"/>
            </w:tcBorders>
            <w:gridSpan w:val="22"/>
          </w:tcPr>
          <w:p>
            <w:pPr>
              <w:spacing w:after="0"/>
              <w:rPr>
                <w:rFonts w:ascii="Arial" w:cs="Arial" w:eastAsia="Arial" w:hAnsi="Arial"/>
                <w:sz w:val="18"/>
                <w:szCs w:val="18"/>
                <w:color w:val="0000FF"/>
              </w:rPr>
            </w:pPr>
            <w:hyperlink r:id="rId373">
              <w:r>
                <w:rPr>
                  <w:rFonts w:ascii="Arial" w:cs="Arial" w:eastAsia="Arial" w:hAnsi="Arial"/>
                  <w:sz w:val="18"/>
                  <w:szCs w:val="18"/>
                  <w:color w:val="0000FF"/>
                </w:rPr>
                <w:t>Change in Control and Severance Agreement between the</w:t>
              </w:r>
            </w:hyperlink>
          </w:p>
        </w:tc>
        <w:tc>
          <w:tcPr>
            <w:tcW w:w="6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5340" w:type="dxa"/>
            <w:vAlign w:val="bottom"/>
            <w:gridSpan w:val="31"/>
          </w:tcPr>
          <w:p>
            <w:pPr>
              <w:spacing w:after="0" w:line="182" w:lineRule="exact"/>
              <w:rPr>
                <w:rFonts w:ascii="Arial" w:cs="Arial" w:eastAsia="Arial" w:hAnsi="Arial"/>
                <w:sz w:val="18"/>
                <w:szCs w:val="18"/>
                <w:color w:val="0000FF"/>
              </w:rPr>
            </w:pPr>
            <w:hyperlink r:id="rId373">
              <w:r>
                <w:rPr>
                  <w:rFonts w:ascii="Arial" w:cs="Arial" w:eastAsia="Arial" w:hAnsi="Arial"/>
                  <w:sz w:val="18"/>
                  <w:szCs w:val="18"/>
                  <w:color w:val="0000FF"/>
                </w:rPr>
                <w:t>Registrant and Mark Worthington</w:t>
              </w:r>
            </w:hyperlink>
          </w:p>
        </w:tc>
        <w:tc>
          <w:tcPr>
            <w:tcW w:w="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11"/>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left w:val="single" w:sz="8" w:color="0000EE"/>
            </w:tcBorders>
            <w:gridSpan w:val="1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5000" w:type="dxa"/>
            <w:vAlign w:val="bottom"/>
            <w:tcBorders>
              <w:bottom w:val="single" w:sz="8" w:color="0000FF"/>
            </w:tcBorders>
            <w:gridSpan w:val="27"/>
          </w:tcPr>
          <w:p>
            <w:pPr>
              <w:spacing w:after="0"/>
              <w:rPr>
                <w:rFonts w:ascii="Arial" w:cs="Arial" w:eastAsia="Arial" w:hAnsi="Arial"/>
                <w:sz w:val="18"/>
                <w:szCs w:val="18"/>
                <w:color w:val="0000FF"/>
              </w:rPr>
            </w:pPr>
            <w:hyperlink r:id="rId374">
              <w:r>
                <w:rPr>
                  <w:rFonts w:ascii="Arial" w:cs="Arial" w:eastAsia="Arial" w:hAnsi="Arial"/>
                  <w:sz w:val="18"/>
                  <w:szCs w:val="18"/>
                  <w:color w:val="0000FF"/>
                </w:rPr>
                <w:t>First Amendment to Lease by and between the Registrant and</w:t>
              </w:r>
            </w:hyperlink>
          </w:p>
        </w:tc>
        <w:tc>
          <w:tcPr>
            <w:tcW w:w="3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2500" w:type="dxa"/>
            <w:vAlign w:val="bottom"/>
            <w:tcBorders>
              <w:bottom w:val="single" w:sz="8" w:color="0000EE"/>
            </w:tcBorders>
            <w:gridSpan w:val="13"/>
          </w:tcPr>
          <w:p>
            <w:pPr>
              <w:spacing w:after="0" w:line="182" w:lineRule="exact"/>
              <w:rPr>
                <w:rFonts w:ascii="Arial" w:cs="Arial" w:eastAsia="Arial" w:hAnsi="Arial"/>
                <w:sz w:val="18"/>
                <w:szCs w:val="18"/>
                <w:color w:val="0000FF"/>
              </w:rPr>
            </w:pPr>
            <w:hyperlink r:id="rId374">
              <w:r>
                <w:rPr>
                  <w:rFonts w:ascii="Arial" w:cs="Arial" w:eastAsia="Arial" w:hAnsi="Arial"/>
                  <w:sz w:val="18"/>
                  <w:szCs w:val="18"/>
                  <w:color w:val="0000FF"/>
                </w:rPr>
                <w:t>Nitrogen Propco 2020, L.P., as</w:t>
              </w:r>
            </w:hyperlink>
          </w:p>
        </w:tc>
        <w:tc>
          <w:tcPr>
            <w:tcW w:w="2840" w:type="dxa"/>
            <w:vAlign w:val="bottom"/>
            <w:gridSpan w:val="18"/>
          </w:tcPr>
          <w:p>
            <w:pPr>
              <w:spacing w:after="0"/>
              <w:rPr>
                <w:sz w:val="15"/>
                <w:szCs w:val="15"/>
                <w:color w:val="auto"/>
              </w:rPr>
            </w:pPr>
          </w:p>
        </w:tc>
        <w:tc>
          <w:tcPr>
            <w:tcW w:w="60" w:type="dxa"/>
            <w:vAlign w:val="bottom"/>
          </w:tcPr>
          <w:p>
            <w:pPr>
              <w:spacing w:after="0"/>
              <w:rPr>
                <w:sz w:val="15"/>
                <w:szCs w:val="15"/>
                <w:color w:val="auto"/>
              </w:rPr>
            </w:pPr>
          </w:p>
        </w:tc>
      </w:tr>
      <w:tr>
        <w:trPr>
          <w:trHeight w:val="439"/>
        </w:trPr>
        <w:tc>
          <w:tcPr>
            <w:tcW w:w="1120" w:type="dxa"/>
            <w:vAlign w:val="bottom"/>
          </w:tcPr>
          <w:p>
            <w:pPr>
              <w:spacing w:after="0"/>
              <w:rPr>
                <w:sz w:val="24"/>
                <w:szCs w:val="24"/>
                <w:color w:val="auto"/>
              </w:rPr>
            </w:pPr>
          </w:p>
        </w:tc>
        <w:tc>
          <w:tcPr>
            <w:tcW w:w="4640" w:type="dxa"/>
            <w:vAlign w:val="bottom"/>
            <w:gridSpan w:val="19"/>
          </w:tcPr>
          <w:p>
            <w:pPr>
              <w:ind w:left="4340"/>
              <w:spacing w:after="0"/>
              <w:rPr>
                <w:sz w:val="20"/>
                <w:szCs w:val="20"/>
                <w:color w:val="auto"/>
              </w:rPr>
            </w:pPr>
            <w:r>
              <w:rPr>
                <w:rFonts w:ascii="Arial" w:cs="Arial" w:eastAsia="Arial" w:hAnsi="Arial"/>
                <w:sz w:val="18"/>
                <w:szCs w:val="18"/>
                <w:color w:val="auto"/>
                <w:w w:val="86"/>
              </w:rPr>
              <w:t>160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860" w:val="left"/>
          <w:tab w:leader="none" w:pos="2160" w:val="left"/>
          <w:tab w:leader="none" w:pos="28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333-248428</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August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10.11</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904"/>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10.13</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351"/>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10.15</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554"/>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10.16</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10.17</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January 31, 2022</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10.20</w:t>
            </w:r>
          </w:p>
        </w:tc>
        <w:tc>
          <w:tcPr>
            <w:tcW w:w="1700" w:type="dxa"/>
            <w:vAlign w:val="bottom"/>
          </w:tcPr>
          <w:p>
            <w:pPr>
              <w:jc w:val="center"/>
              <w:spacing w:after="0"/>
              <w:rPr>
                <w:sz w:val="20"/>
                <w:szCs w:val="20"/>
                <w:color w:val="auto"/>
              </w:rPr>
            </w:pPr>
            <w:r>
              <w:rPr>
                <w:rFonts w:ascii="Arial" w:cs="Arial" w:eastAsia="Arial" w:hAnsi="Arial"/>
                <w:sz w:val="18"/>
                <w:szCs w:val="18"/>
                <w:color w:val="auto"/>
              </w:rPr>
              <w:t>September 9, 2020</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September 14, 2020</w:t>
            </w:r>
          </w:p>
        </w:tc>
      </w:tr>
      <w:tr>
        <w:trPr>
          <w:trHeight w:val="553"/>
        </w:trPr>
        <w:tc>
          <w:tcPr>
            <w:tcW w:w="66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rPr>
              <w:t>10.27</w:t>
            </w:r>
          </w:p>
        </w:tc>
        <w:tc>
          <w:tcPr>
            <w:tcW w:w="1700" w:type="dxa"/>
            <w:vAlign w:val="bottom"/>
          </w:tcPr>
          <w:p>
            <w:pPr>
              <w:jc w:val="center"/>
              <w:spacing w:after="0"/>
              <w:rPr>
                <w:sz w:val="20"/>
                <w:szCs w:val="20"/>
                <w:color w:val="auto"/>
              </w:rPr>
            </w:pPr>
            <w:r>
              <w:rPr>
                <w:rFonts w:ascii="Arial" w:cs="Arial" w:eastAsia="Arial" w:hAnsi="Arial"/>
                <w:sz w:val="18"/>
                <w:szCs w:val="18"/>
                <w:color w:val="auto"/>
              </w:rPr>
              <w:t>March 28, 2022</w:t>
            </w:r>
          </w:p>
        </w:tc>
      </w:tr>
      <w:tr>
        <w:trPr>
          <w:trHeight w:val="554"/>
        </w:trPr>
        <w:tc>
          <w:tcPr>
            <w:tcW w:w="660" w:type="dxa"/>
            <w:vAlign w:val="bottom"/>
          </w:tcPr>
          <w:p>
            <w:pPr>
              <w:jc w:val="center"/>
              <w:ind w:right="110"/>
              <w:spacing w:after="0"/>
              <w:rPr>
                <w:sz w:val="20"/>
                <w:szCs w:val="20"/>
                <w:color w:val="auto"/>
              </w:rPr>
            </w:pPr>
            <w:r>
              <w:rPr>
                <w:rFonts w:ascii="Arial" w:cs="Arial" w:eastAsia="Arial" w:hAnsi="Arial"/>
                <w:sz w:val="18"/>
                <w:szCs w:val="18"/>
                <w:color w:val="auto"/>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333-248428</w:t>
            </w:r>
          </w:p>
        </w:tc>
        <w:tc>
          <w:tcPr>
            <w:tcW w:w="680" w:type="dxa"/>
            <w:vAlign w:val="bottom"/>
          </w:tcPr>
          <w:p>
            <w:pPr>
              <w:jc w:val="center"/>
              <w:spacing w:after="0"/>
              <w:rPr>
                <w:sz w:val="20"/>
                <w:szCs w:val="20"/>
                <w:color w:val="auto"/>
              </w:rPr>
            </w:pPr>
            <w:r>
              <w:rPr>
                <w:rFonts w:ascii="Arial" w:cs="Arial" w:eastAsia="Arial" w:hAnsi="Arial"/>
                <w:sz w:val="18"/>
                <w:szCs w:val="18"/>
                <w:color w:val="auto"/>
              </w:rPr>
              <w:t>10.22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September 14, 2020</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August 16, 2021</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August 16, 2021</w:t>
            </w:r>
          </w:p>
        </w:tc>
      </w:tr>
      <w:tr>
        <w:trPr>
          <w:trHeight w:val="55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August 16, 2021</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August 16, 2021</w:t>
            </w:r>
          </w:p>
        </w:tc>
      </w:tr>
      <w:tr>
        <w:trPr>
          <w:trHeight w:val="55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9"/>
              </w:rPr>
              <w:t>001-39503</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August 16, 2021</w:t>
            </w:r>
          </w:p>
        </w:tc>
      </w:tr>
    </w:tbl>
    <w:p>
      <w:pPr>
        <w:sectPr>
          <w:pgSz w:w="11900" w:h="16838" w:orient="portrait"/>
          <w:cols w:equalWidth="0" w:num="2">
            <w:col w:w="6520" w:space="300"/>
            <w:col w:w="4360"/>
          </w:cols>
          <w:pgMar w:left="340" w:top="122" w:right="379" w:bottom="1440" w:gutter="0" w:footer="0" w:header="0"/>
        </w:sectPr>
      </w:pPr>
    </w:p>
    <w:bookmarkStart w:id="162" w:name="page163"/>
    <w:bookmarkEnd w:id="1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100" w:type="dxa"/>
            <w:vAlign w:val="bottom"/>
            <w:tcBorders>
              <w:bottom w:val="single" w:sz="8" w:color="0000FF"/>
            </w:tcBorders>
            <w:gridSpan w:val="17"/>
          </w:tcPr>
          <w:p>
            <w:pPr>
              <w:spacing w:after="0"/>
              <w:rPr>
                <w:rFonts w:ascii="Arial" w:cs="Arial" w:eastAsia="Arial" w:hAnsi="Arial"/>
                <w:sz w:val="18"/>
                <w:szCs w:val="18"/>
                <w:color w:val="0000FF"/>
              </w:rPr>
            </w:pPr>
            <w:hyperlink r:id="rId374">
              <w:r>
                <w:rPr>
                  <w:rFonts w:ascii="Arial" w:cs="Arial" w:eastAsia="Arial" w:hAnsi="Arial"/>
                  <w:sz w:val="18"/>
                  <w:szCs w:val="18"/>
                  <w:color w:val="0000FF"/>
                </w:rPr>
                <w:t>successor-in-interest to North Creek Parkway Center Investors,</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400" w:type="dxa"/>
            <w:vAlign w:val="bottom"/>
            <w:gridSpan w:val="26"/>
          </w:tcPr>
          <w:p>
            <w:pPr>
              <w:spacing w:after="0" w:line="182" w:lineRule="exact"/>
              <w:rPr>
                <w:rFonts w:ascii="Arial" w:cs="Arial" w:eastAsia="Arial" w:hAnsi="Arial"/>
                <w:sz w:val="18"/>
                <w:szCs w:val="18"/>
                <w:color w:val="0000FF"/>
              </w:rPr>
            </w:pPr>
            <w:hyperlink r:id="rId374">
              <w:r>
                <w:rPr>
                  <w:rFonts w:ascii="Arial" w:cs="Arial" w:eastAsia="Arial" w:hAnsi="Arial"/>
                  <w:sz w:val="18"/>
                  <w:szCs w:val="18"/>
                  <w:color w:val="0000FF"/>
                </w:rPr>
                <w:t>L.P., dated June 28,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4720" w:type="dxa"/>
            <w:vAlign w:val="bottom"/>
            <w:tcBorders>
              <w:bottom w:val="single" w:sz="8" w:color="0000FF"/>
            </w:tcBorders>
            <w:gridSpan w:val="14"/>
          </w:tcPr>
          <w:p>
            <w:pPr>
              <w:spacing w:after="0"/>
              <w:rPr>
                <w:rFonts w:ascii="Arial" w:cs="Arial" w:eastAsia="Arial" w:hAnsi="Arial"/>
                <w:sz w:val="18"/>
                <w:szCs w:val="18"/>
                <w:color w:val="0000FF"/>
              </w:rPr>
            </w:pPr>
            <w:hyperlink r:id="rId376">
              <w:r>
                <w:rPr>
                  <w:rFonts w:ascii="Arial" w:cs="Arial" w:eastAsia="Arial" w:hAnsi="Arial"/>
                  <w:sz w:val="18"/>
                  <w:szCs w:val="18"/>
                  <w:color w:val="0000FF"/>
                </w:rPr>
                <w:t>Change in Control and Severance Agreement between the</w:t>
              </w:r>
            </w:hyperlink>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400" w:type="dxa"/>
            <w:vAlign w:val="bottom"/>
            <w:gridSpan w:val="26"/>
          </w:tcPr>
          <w:p>
            <w:pPr>
              <w:spacing w:after="0" w:line="182" w:lineRule="exact"/>
              <w:rPr>
                <w:rFonts w:ascii="Arial" w:cs="Arial" w:eastAsia="Arial" w:hAnsi="Arial"/>
                <w:sz w:val="18"/>
                <w:szCs w:val="18"/>
                <w:color w:val="0000FF"/>
              </w:rPr>
            </w:pPr>
            <w:hyperlink r:id="rId376">
              <w:r>
                <w:rPr>
                  <w:rFonts w:ascii="Arial" w:cs="Arial" w:eastAsia="Arial" w:hAnsi="Arial"/>
                  <w:sz w:val="18"/>
                  <w:szCs w:val="18"/>
                  <w:color w:val="0000FF"/>
                </w:rPr>
                <w:t>Registrant and Kevin Church</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2"/>
                <w:szCs w:val="12"/>
                <w:color w:val="0000FF"/>
                <w:w w:val="88"/>
              </w:rPr>
            </w:pPr>
            <w:hyperlink r:id="rId377">
              <w:r>
                <w:rPr>
                  <w:rFonts w:ascii="Arial" w:cs="Arial" w:eastAsia="Arial" w:hAnsi="Arial"/>
                  <w:sz w:val="12"/>
                  <w:szCs w:val="12"/>
                  <w:color w:val="0000FF"/>
                  <w:w w:val="88"/>
                </w:rPr>
                <w:t>SM</w:t>
              </w:r>
            </w:hyperlink>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2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3500" w:type="dxa"/>
            <w:vAlign w:val="bottom"/>
            <w:gridSpan w:val="9"/>
            <w:vMerge w:val="restart"/>
          </w:tcPr>
          <w:p>
            <w:pPr>
              <w:spacing w:after="0"/>
              <w:rPr>
                <w:rFonts w:ascii="Arial" w:cs="Arial" w:eastAsia="Arial" w:hAnsi="Arial"/>
                <w:sz w:val="18"/>
                <w:szCs w:val="18"/>
                <w:color w:val="0000FF"/>
                <w:w w:val="99"/>
              </w:rPr>
            </w:pPr>
            <w:hyperlink r:id="rId377">
              <w:r>
                <w:rPr>
                  <w:rFonts w:ascii="Arial" w:cs="Arial" w:eastAsia="Arial" w:hAnsi="Arial"/>
                  <w:sz w:val="18"/>
                  <w:szCs w:val="18"/>
                  <w:color w:val="0000FF"/>
                  <w:w w:val="99"/>
                </w:rPr>
                <w:t>Controlled Equity Offering Sales Agreement</w:t>
              </w:r>
            </w:hyperlink>
          </w:p>
        </w:tc>
        <w:tc>
          <w:tcPr>
            <w:tcW w:w="180" w:type="dxa"/>
            <w:vAlign w:val="bottom"/>
            <w:tcBorders>
              <w:bottom w:val="single" w:sz="8" w:color="0000FF"/>
            </w:tcBorders>
            <w:gridSpan w:val="2"/>
            <w:vMerge w:val="continue"/>
          </w:tcPr>
          <w:p>
            <w:pPr>
              <w:spacing w:after="0"/>
              <w:rPr>
                <w:sz w:val="21"/>
                <w:szCs w:val="21"/>
                <w:color w:val="auto"/>
              </w:rPr>
            </w:pPr>
          </w:p>
        </w:tc>
        <w:tc>
          <w:tcPr>
            <w:tcW w:w="1500" w:type="dxa"/>
            <w:vAlign w:val="bottom"/>
            <w:gridSpan w:val="9"/>
            <w:vMerge w:val="restart"/>
          </w:tcPr>
          <w:p>
            <w:pPr>
              <w:spacing w:after="0"/>
              <w:rPr>
                <w:rFonts w:ascii="Arial" w:cs="Arial" w:eastAsia="Arial" w:hAnsi="Arial"/>
                <w:sz w:val="18"/>
                <w:szCs w:val="18"/>
                <w:color w:val="0000FF"/>
              </w:rPr>
            </w:pPr>
            <w:hyperlink r:id="rId377">
              <w:r>
                <w:rPr>
                  <w:rFonts w:ascii="Arial" w:cs="Arial" w:eastAsia="Arial" w:hAnsi="Arial"/>
                  <w:sz w:val="18"/>
                  <w:szCs w:val="18"/>
                  <w:color w:val="0000FF"/>
                </w:rPr>
                <w:t>, dated January 6,</w:t>
              </w:r>
            </w:hyperlink>
          </w:p>
        </w:tc>
        <w:tc>
          <w:tcPr>
            <w:tcW w:w="220" w:type="dxa"/>
            <w:vAlign w:val="bottom"/>
            <w:gridSpan w:val="6"/>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3500" w:type="dxa"/>
            <w:vAlign w:val="bottom"/>
            <w:tcBorders>
              <w:bottom w:val="single" w:sz="8" w:color="0000FF"/>
            </w:tcBorders>
            <w:gridSpan w:val="9"/>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tcBorders>
              <w:bottom w:val="single" w:sz="8" w:color="0000FF"/>
            </w:tcBorders>
            <w:gridSpan w:val="9"/>
            <w:vMerge w:val="continue"/>
          </w:tcPr>
          <w:p>
            <w:pPr>
              <w:spacing w:after="0"/>
              <w:rPr>
                <w:sz w:val="5"/>
                <w:szCs w:val="5"/>
                <w:color w:val="auto"/>
              </w:rPr>
            </w:pPr>
          </w:p>
        </w:tc>
        <w:tc>
          <w:tcPr>
            <w:tcW w:w="2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12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377">
              <w:r>
                <w:rPr>
                  <w:rFonts w:ascii="Arial" w:cs="Arial" w:eastAsia="Arial" w:hAnsi="Arial"/>
                  <w:sz w:val="18"/>
                  <w:szCs w:val="18"/>
                  <w:color w:val="0000FF"/>
                </w:rPr>
                <w:t>2023, among the Registrant, Cantor Fitzgerald &amp; Co. and BTIG,</w:t>
              </w:r>
            </w:hyperlink>
          </w:p>
        </w:tc>
        <w:tc>
          <w:tcPr>
            <w:tcW w:w="2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4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377">
              <w:r>
                <w:rPr>
                  <w:rFonts w:ascii="Arial" w:cs="Arial" w:eastAsia="Arial" w:hAnsi="Arial"/>
                  <w:sz w:val="18"/>
                  <w:szCs w:val="18"/>
                  <w:color w:val="0000FF"/>
                  <w:w w:val="96"/>
                </w:rPr>
                <w:t>LLC</w:t>
              </w:r>
            </w:hyperlink>
          </w:p>
        </w:tc>
        <w:tc>
          <w:tcPr>
            <w:tcW w:w="506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21.1</w:t>
            </w:r>
          </w:p>
        </w:tc>
        <w:tc>
          <w:tcPr>
            <w:tcW w:w="5400" w:type="dxa"/>
            <w:vAlign w:val="bottom"/>
            <w:gridSpan w:val="26"/>
          </w:tcPr>
          <w:p>
            <w:pPr>
              <w:spacing w:after="0"/>
              <w:rPr>
                <w:rFonts w:ascii="Arial" w:cs="Arial" w:eastAsia="Arial" w:hAnsi="Arial"/>
                <w:sz w:val="18"/>
                <w:szCs w:val="18"/>
                <w:color w:val="0000FF"/>
              </w:rPr>
            </w:pPr>
            <w:hyperlink r:id="rId378">
              <w:r>
                <w:rPr>
                  <w:rFonts w:ascii="Arial" w:cs="Arial" w:eastAsia="Arial" w:hAnsi="Arial"/>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23.1</w:t>
            </w:r>
          </w:p>
        </w:tc>
        <w:tc>
          <w:tcPr>
            <w:tcW w:w="4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24.1</w:t>
            </w:r>
          </w:p>
        </w:tc>
        <w:tc>
          <w:tcPr>
            <w:tcW w:w="43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99"/>
              </w:rPr>
              <w:t>Power of Attorney (included in signature pages hereto)</w:t>
            </w:r>
          </w:p>
        </w:tc>
        <w:tc>
          <w:tcPr>
            <w:tcW w:w="10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52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Certification of Principal Executive Officer Pursuant to Rules 13a-</w:t>
            </w:r>
          </w:p>
        </w:tc>
        <w:tc>
          <w:tcPr>
            <w:tcW w:w="20" w:type="dxa"/>
            <w:vAlign w:val="bottom"/>
            <w:tcBorders>
              <w:bottom w:val="single" w:sz="8" w:color="0000EE"/>
            </w:tcBorders>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400" w:type="dxa"/>
            <w:vAlign w:val="bottom"/>
            <w:tcBorders>
              <w:bottom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14(a) and 15d-14(a) under the Securities Exchange Act of 1934, as</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400" w:type="dxa"/>
            <w:vAlign w:val="bottom"/>
            <w:gridSpan w:val="26"/>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4"/>
              </w:rPr>
              <w:t>2002</w:t>
            </w:r>
          </w:p>
        </w:tc>
        <w:tc>
          <w:tcPr>
            <w:tcW w:w="20" w:type="dxa"/>
            <w:vAlign w:val="bottom"/>
            <w:tcBorders>
              <w:top w:val="single" w:sz="8" w:color="0000FF"/>
              <w:bottom w:val="single" w:sz="8" w:color="0000EE"/>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53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20" w:type="dxa"/>
            <w:vAlign w:val="bottom"/>
            <w:tcBorders>
              <w:bottom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to Rules 13a-14(a) and 15d-14(a) under the Securities Exchange</w:t>
            </w: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280" w:type="dxa"/>
            <w:vAlign w:val="bottom"/>
            <w:tcBorders>
              <w:bottom w:val="single" w:sz="8" w:color="0000FF"/>
            </w:tcBorders>
            <w:gridSpan w:val="23"/>
          </w:tcPr>
          <w:p>
            <w:pPr>
              <w:spacing w:after="0" w:line="182" w:lineRule="exact"/>
              <w:rPr>
                <w:sz w:val="20"/>
                <w:szCs w:val="20"/>
                <w:color w:val="auto"/>
              </w:rPr>
            </w:pPr>
            <w:r>
              <w:rPr>
                <w:rFonts w:ascii="Arial" w:cs="Arial" w:eastAsia="Arial" w:hAnsi="Arial"/>
                <w:sz w:val="18"/>
                <w:szCs w:val="18"/>
                <w:color w:val="0000FF"/>
                <w:w w:val="99"/>
              </w:rPr>
              <w:t>Act of 1934, as Adopted Pursuant to Section 302 of the Sarbanes-</w:t>
            </w:r>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400" w:type="dxa"/>
            <w:vAlign w:val="bottom"/>
            <w:gridSpan w:val="26"/>
          </w:tcPr>
          <w:p>
            <w:pPr>
              <w:spacing w:after="0" w:line="182" w:lineRule="exact"/>
              <w:rPr>
                <w:sz w:val="20"/>
                <w:szCs w:val="20"/>
                <w:color w:val="auto"/>
              </w:rPr>
            </w:pPr>
            <w:r>
              <w:rPr>
                <w:rFonts w:ascii="Arial" w:cs="Arial" w:eastAsia="Arial" w:hAnsi="Arial"/>
                <w:sz w:val="18"/>
                <w:szCs w:val="18"/>
                <w:color w:val="0000FF"/>
              </w:rPr>
              <w:t>Oxley Act of 2002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32.1*</w:t>
            </w:r>
          </w:p>
        </w:tc>
        <w:tc>
          <w:tcPr>
            <w:tcW w:w="51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rPr>
              <w:t>Certification of Principal Executive Officer Pursuant to 18 U.S.C.</w:t>
            </w:r>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58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Section 1350, as Adopted Pursuant to Section 906 of the</w:t>
            </w:r>
          </w:p>
        </w:tc>
        <w:tc>
          <w:tcPr>
            <w:tcW w:w="82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30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Sarbanes-Oxley Act of 2002</w:t>
            </w:r>
          </w:p>
        </w:tc>
        <w:tc>
          <w:tcPr>
            <w:tcW w:w="31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120" w:type="dxa"/>
            <w:vAlign w:val="bottom"/>
          </w:tcPr>
          <w:p>
            <w:pPr>
              <w:ind w:left="40"/>
              <w:spacing w:after="0"/>
              <w:rPr>
                <w:sz w:val="20"/>
                <w:szCs w:val="20"/>
                <w:color w:val="auto"/>
              </w:rPr>
            </w:pPr>
            <w:r>
              <w:rPr>
                <w:rFonts w:ascii="Arial" w:cs="Arial" w:eastAsia="Arial" w:hAnsi="Arial"/>
                <w:sz w:val="18"/>
                <w:szCs w:val="18"/>
                <w:color w:val="auto"/>
              </w:rPr>
              <w:t>32.2*</w:t>
            </w:r>
          </w:p>
        </w:tc>
        <w:tc>
          <w:tcPr>
            <w:tcW w:w="53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rPr>
              <w:t>Certification of Principal Accounting and Financial Officer Pursuant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20" w:type="dxa"/>
            <w:vAlign w:val="bottom"/>
            <w:tcBorders>
              <w:bottom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to 18 U.S.C. Section 1350, as Adopted Pursuant to Section 906 of</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256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the Sarbanes-Oxley Act of 2002</w:t>
            </w:r>
          </w:p>
        </w:tc>
        <w:tc>
          <w:tcPr>
            <w:tcW w:w="28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2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26"/>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0" w:type="dxa"/>
            <w:vAlign w:val="bottom"/>
          </w:tcPr>
          <w:p>
            <w:pPr>
              <w:spacing w:after="0"/>
              <w:rPr>
                <w:sz w:val="1"/>
                <w:szCs w:val="1"/>
                <w:color w:val="auto"/>
              </w:rPr>
            </w:pPr>
          </w:p>
        </w:tc>
      </w:tr>
      <w:tr>
        <w:trPr>
          <w:trHeight w:val="554"/>
        </w:trPr>
        <w:tc>
          <w:tcPr>
            <w:tcW w:w="1120" w:type="dxa"/>
            <w:vAlign w:val="bottom"/>
          </w:tcPr>
          <w:p>
            <w:pPr>
              <w:spacing w:after="0"/>
              <w:rPr>
                <w:sz w:val="24"/>
                <w:szCs w:val="24"/>
                <w:color w:val="auto"/>
              </w:rPr>
            </w:pPr>
          </w:p>
        </w:tc>
        <w:tc>
          <w:tcPr>
            <w:tcW w:w="4720" w:type="dxa"/>
            <w:vAlign w:val="bottom"/>
            <w:gridSpan w:val="14"/>
          </w:tcPr>
          <w:p>
            <w:pPr>
              <w:ind w:left="43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001-39503</w:t>
            </w:r>
          </w:p>
        </w:tc>
        <w:tc>
          <w:tcPr>
            <w:tcW w:w="720" w:type="dxa"/>
            <w:vAlign w:val="bottom"/>
          </w:tcPr>
          <w:p>
            <w:pPr>
              <w:jc w:val="center"/>
              <w:spacing w:after="0"/>
              <w:rPr>
                <w:sz w:val="20"/>
                <w:szCs w:val="20"/>
                <w:color w:val="auto"/>
              </w:rPr>
            </w:pPr>
            <w:r>
              <w:rPr>
                <w:rFonts w:ascii="Arial" w:cs="Arial" w:eastAsia="Arial" w:hAnsi="Arial"/>
                <w:sz w:val="18"/>
                <w:szCs w:val="18"/>
                <w:color w:val="auto"/>
              </w:rPr>
              <w:t>10.28</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rPr>
              <w:t>March 28, 2022</w:t>
            </w:r>
          </w:p>
        </w:tc>
      </w:tr>
      <w:tr>
        <w:trPr>
          <w:trHeight w:val="553"/>
        </w:trPr>
        <w:tc>
          <w:tcPr>
            <w:tcW w:w="70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001-39503</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rPr>
              <w:t>January 6, 2023</w:t>
            </w:r>
          </w:p>
        </w:tc>
      </w:tr>
      <w:tr>
        <w:trPr>
          <w:trHeight w:val="756"/>
        </w:trPr>
        <w:tc>
          <w:tcPr>
            <w:tcW w:w="700" w:type="dxa"/>
            <w:vAlign w:val="bottom"/>
          </w:tcPr>
          <w:p>
            <w:pPr>
              <w:jc w:val="center"/>
              <w:ind w:right="150"/>
              <w:spacing w:after="0"/>
              <w:rPr>
                <w:sz w:val="20"/>
                <w:szCs w:val="20"/>
                <w:color w:val="auto"/>
              </w:rPr>
            </w:pPr>
            <w:r>
              <w:rPr>
                <w:rFonts w:ascii="Arial" w:cs="Arial" w:eastAsia="Arial" w:hAnsi="Arial"/>
                <w:sz w:val="18"/>
                <w:szCs w:val="18"/>
                <w:color w:val="auto"/>
              </w:rPr>
              <w:t>S-1/A</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333-24828</w:t>
            </w: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rPr>
              <w:t>September 9, 2020</w:t>
            </w:r>
          </w:p>
        </w:tc>
      </w:tr>
    </w:tbl>
    <w:p>
      <w:pPr>
        <w:sectPr>
          <w:pgSz w:w="11900" w:h="16838" w:orient="portrait"/>
          <w:cols w:equalWidth="0" w:num="2">
            <w:col w:w="6520" w:space="300"/>
            <w:col w:w="4320"/>
          </w:cols>
          <w:pgMar w:left="340" w:top="122" w:right="419" w:bottom="1440" w:gutter="0" w:footer="0" w:header="0"/>
        </w:sectPr>
      </w:pPr>
    </w:p>
    <w:bookmarkStart w:id="163" w:name="page164"/>
    <w:bookmarkEnd w:id="163"/>
    <w:p>
      <w:pPr>
        <w:ind w:left="1140" w:right="5080" w:hanging="1128"/>
        <w:spacing w:after="0" w:line="246" w:lineRule="auto"/>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64" w:lineRule="exact"/>
        <w:rPr>
          <w:rFonts w:ascii="Arial" w:cs="Arial" w:eastAsia="Arial" w:hAnsi="Arial"/>
          <w:sz w:val="18"/>
          <w:szCs w:val="18"/>
          <w:color w:val="auto"/>
        </w:rPr>
      </w:pPr>
    </w:p>
    <w:p>
      <w:pPr>
        <w:ind w:left="320" w:hanging="509"/>
        <w:spacing w:after="0" w:line="247" w:lineRule="auto"/>
        <w:rPr>
          <w:rFonts w:ascii="Arial" w:cs="Arial" w:eastAsia="Arial" w:hAnsi="Arial"/>
          <w:sz w:val="18"/>
          <w:szCs w:val="18"/>
          <w:color w:val="auto"/>
        </w:rPr>
      </w:pPr>
      <w:r>
        <w:rPr>
          <w:rFonts w:ascii="Arial" w:cs="Arial" w:eastAsia="Arial" w:hAnsi="Arial"/>
          <w:sz w:val="19"/>
          <w:szCs w:val="19"/>
          <w:color w:val="auto"/>
          <w:vertAlign w:val="superscript"/>
        </w:rPr>
        <w:t>*</w:t>
      </w:r>
      <w:r>
        <w:rPr>
          <w:rFonts w:ascii="Arial" w:cs="Arial" w:eastAsia="Arial" w:hAnsi="Arial"/>
          <w:sz w:val="14"/>
          <w:szCs w:val="14"/>
          <w:color w:val="auto"/>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85" w:lineRule="exact"/>
        <w:rPr>
          <w:rFonts w:ascii="Arial" w:cs="Arial" w:eastAsia="Arial" w:hAnsi="Arial"/>
          <w:sz w:val="18"/>
          <w:szCs w:val="18"/>
          <w:color w:val="auto"/>
        </w:rPr>
      </w:pPr>
    </w:p>
    <w:p>
      <w:pPr>
        <w:ind w:left="320" w:hanging="312"/>
        <w:spacing w:after="0" w:line="189" w:lineRule="auto"/>
        <w:tabs>
          <w:tab w:leader="none" w:pos="320" w:val="left"/>
        </w:tabs>
        <w:numPr>
          <w:ilvl w:val="0"/>
          <w:numId w:val="71"/>
        </w:numPr>
        <w:rPr>
          <w:rFonts w:ascii="Arial" w:cs="Arial" w:eastAsia="Arial" w:hAnsi="Arial"/>
          <w:sz w:val="17"/>
          <w:szCs w:val="17"/>
          <w:color w:val="auto"/>
          <w:vertAlign w:val="superscript"/>
        </w:rPr>
      </w:pPr>
      <w:r>
        <w:rPr>
          <w:rFonts w:ascii="Arial" w:cs="Arial" w:eastAsia="Arial" w:hAnsi="Arial"/>
          <w:sz w:val="13"/>
          <w:szCs w:val="13"/>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15855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0">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5" w:lineRule="exact"/>
        <w:rPr>
          <w:sz w:val="20"/>
          <w:szCs w:val="20"/>
          <w:color w:val="auto"/>
        </w:rPr>
      </w:pPr>
    </w:p>
    <w:p>
      <w:pPr>
        <w:ind w:left="520" w:right="20" w:hanging="512"/>
        <w:spacing w:after="0" w:line="211" w:lineRule="auto"/>
        <w:tabs>
          <w:tab w:leader="none" w:pos="331"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Athira Pharma, Inc.</w:t>
      </w:r>
    </w:p>
    <w:p>
      <w:pPr>
        <w:spacing w:after="0" w:line="247" w:lineRule="exact"/>
        <w:rPr>
          <w:sz w:val="20"/>
          <w:szCs w:val="20"/>
          <w:color w:val="auto"/>
        </w:rPr>
      </w:pPr>
    </w:p>
    <w:p>
      <w:pPr>
        <w:ind w:left="20"/>
        <w:spacing w:after="0"/>
        <w:tabs>
          <w:tab w:leader="none" w:pos="5560" w:val="left"/>
          <w:tab w:leader="none" w:pos="80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3089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Mark Litton</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5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Litton and Glenna Mileson,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20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2974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Mark Litton</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Glenna Mileson</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Kelly A. Romano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Kelly A. Romano</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Joseph Edelman</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M. Fluke,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M. Fluke, Jr.</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James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2974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James A. Johnson</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Barbara Kosacz</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Michael 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Michael Panzara</w:t>
      </w:r>
    </w:p>
    <w:p>
      <w:pPr>
        <w:spacing w:after="0" w:line="14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Grant Pickering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6"/>
                <w:szCs w:val="16"/>
                <w:color w:val="auto"/>
              </w:rPr>
            </w:pPr>
          </w:p>
        </w:tc>
        <w:tc>
          <w:tcPr>
            <w:tcW w:w="23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r>
      <w:tr>
        <w:trPr>
          <w:trHeight w:val="339"/>
        </w:trPr>
        <w:tc>
          <w:tcPr>
            <w:tcW w:w="47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46"/>
        </w:trPr>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5"/>
        </w:trPr>
        <w:tc>
          <w:tcPr>
            <w:tcW w:w="4760" w:type="dxa"/>
            <w:vAlign w:val="bottom"/>
          </w:tcPr>
          <w:p>
            <w:pPr>
              <w:spacing w:after="0"/>
              <w:rPr>
                <w:sz w:val="20"/>
                <w:szCs w:val="20"/>
                <w:color w:val="auto"/>
              </w:rPr>
            </w:pPr>
            <w:r>
              <w:rPr>
                <w:rFonts w:ascii="Arial" w:cs="Arial" w:eastAsia="Arial" w:hAnsi="Arial"/>
                <w:sz w:val="18"/>
                <w:szCs w:val="18"/>
                <w:color w:val="auto"/>
              </w:rPr>
              <w:t>Chairwoman of the Board of Directors</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67"/>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r>
        <w:trPr>
          <w:trHeight w:val="580"/>
        </w:trPr>
        <w:tc>
          <w:tcPr>
            <w:tcW w:w="47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March 23, 2023</w:t>
            </w:r>
          </w:p>
        </w:tc>
      </w:tr>
    </w:tbl>
    <w:p>
      <w:pPr>
        <w:spacing w:after="0" w:line="406" w:lineRule="exact"/>
        <w:rPr>
          <w:sz w:val="20"/>
          <w:szCs w:val="20"/>
          <w:color w:val="auto"/>
        </w:rPr>
      </w:pPr>
    </w:p>
    <w:p>
      <w:pPr>
        <w:sectPr>
          <w:pgSz w:w="11900" w:h="16838" w:orient="portrait"/>
          <w:cols w:equalWidth="0" w:num="2">
            <w:col w:w="3180" w:space="720"/>
            <w:col w:w="7340"/>
          </w:cols>
          <w:pgMar w:left="320" w:top="118" w:right="339" w:bottom="1440" w:gutter="0" w:footer="0" w:header="0"/>
          <w:type w:val="continuous"/>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4.3</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DESCRIPTION OF THE REGISTRANT’S SECURITIES</w:t>
      </w:r>
    </w:p>
    <w:p>
      <w:pPr>
        <w:ind w:left="3220"/>
        <w:spacing w:after="0" w:line="235" w:lineRule="auto"/>
        <w:rPr>
          <w:sz w:val="20"/>
          <w:szCs w:val="20"/>
          <w:color w:val="auto"/>
        </w:rPr>
      </w:pPr>
      <w:r>
        <w:rPr>
          <w:rFonts w:ascii="Arial" w:cs="Arial" w:eastAsia="Arial" w:hAnsi="Arial"/>
          <w:sz w:val="20"/>
          <w:szCs w:val="20"/>
          <w:b w:val="1"/>
          <w:bCs w:val="1"/>
          <w:color w:val="auto"/>
        </w:rPr>
        <w:t>REGISTERED PURSUANT TO SECTION 12 OF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SECURITIES EXCHANGE ACT OF 1934</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of December 31, 2022, we had one class of securities, our common stock, registered under Section 12 of the Securities Exchange Act of 1934, as amended. These securities are listed on the Nasdaq Global Select Market under the symbol “ATHA.”</w:t>
      </w:r>
    </w:p>
    <w:p>
      <w:pPr>
        <w:spacing w:after="0" w:line="19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97" w:lineRule="exact"/>
        <w:rPr>
          <w:sz w:val="20"/>
          <w:szCs w:val="20"/>
          <w:color w:val="auto"/>
        </w:rPr>
      </w:pPr>
    </w:p>
    <w:p>
      <w:pPr>
        <w:ind w:right="520"/>
        <w:spacing w:after="0" w:line="207" w:lineRule="exact"/>
        <w:rPr>
          <w:sz w:val="20"/>
          <w:szCs w:val="20"/>
          <w:color w:val="auto"/>
        </w:rPr>
      </w:pPr>
      <w:r>
        <w:rPr>
          <w:rFonts w:ascii="Arial" w:cs="Arial" w:eastAsia="Arial" w:hAnsi="Arial"/>
          <w:sz w:val="18"/>
          <w:szCs w:val="18"/>
          <w:color w:val="auto"/>
        </w:rPr>
        <w:t>The following is a summary of the rights of our common stock and preferred stock. This summary is not complete. For more detailed information, please see our certificate of incorporation and bylaws, which are filed as exhibits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period ended December 31, 2022, and to the applicable provisions of Delaware and Washington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Each share of common stock held as of the applicable record date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voting power of the shares of common stock present in person or represented by proxy at the meeting of stockholders and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cast affirmatively or negatively, shall be the act of the stockholders, except as otherwise provided by law, our certificate of incorporation, our bylaws or the rules of any applicable stock exchange on which our securities are listed. The holders of a majority of the voting power of the capital stock issued and outstanding and entitled to vote, present in person or represented by proxy, shall constitute a quorum for the transaction of business at all meetings of the stockholders, unless otherwise required by law, our certificate of incorporation, our bylaws or the rules of any applicable stock exchange on which our securities are listed.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our investors’ rights agreement, as amended, certain holders of our common stock, or their transferees, have the right to require us to register the offer and sale of their shares, which we refer to as registration rights. We also register shares of common stock that we may issue under our equity compensation plans. Once we register these shares, they can be freely sold in the public market upon issuance and once vested, subject, in the case of shares held by affiliates, to volume limitations and any applicable contractual restrictions.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12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we propose to register the offer and sale of any of our securities under the Securities Act of 1933, as amended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12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our initial public offering.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w:t>
      </w:r>
    </w:p>
    <w:p>
      <w:pPr>
        <w:spacing w:after="0" w:line="289" w:lineRule="exact"/>
        <w:rPr>
          <w:sz w:val="20"/>
          <w:szCs w:val="20"/>
          <w:color w:val="auto"/>
        </w:rPr>
      </w:pPr>
    </w:p>
    <w:p>
      <w:pPr>
        <w:ind w:right="2360"/>
        <w:spacing w:after="0" w:line="372"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95" w:lineRule="exact"/>
        <w:rPr>
          <w:sz w:val="20"/>
          <w:szCs w:val="20"/>
          <w:color w:val="auto"/>
        </w:rPr>
      </w:pPr>
    </w:p>
    <w:p>
      <w:pPr>
        <w:ind w:left="1300" w:right="400" w:hanging="419"/>
        <w:spacing w:after="0" w:line="246"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31" w:lineRule="exact"/>
        <w:rPr>
          <w:rFonts w:ascii="Arial" w:cs="Arial" w:eastAsia="Arial" w:hAnsi="Arial"/>
          <w:sz w:val="18"/>
          <w:szCs w:val="18"/>
          <w:color w:val="auto"/>
        </w:rPr>
      </w:pPr>
    </w:p>
    <w:p>
      <w:pPr>
        <w:ind w:left="1300" w:right="160" w:hanging="419"/>
        <w:spacing w:after="0" w:line="255"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25" w:lineRule="exact"/>
        <w:rPr>
          <w:rFonts w:ascii="Arial" w:cs="Arial" w:eastAsia="Arial" w:hAnsi="Arial"/>
          <w:sz w:val="17"/>
          <w:szCs w:val="17"/>
          <w:color w:val="auto"/>
        </w:rPr>
      </w:pPr>
    </w:p>
    <w:p>
      <w:pPr>
        <w:jc w:val="both"/>
        <w:ind w:left="1300" w:right="320" w:hanging="419"/>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337" w:lineRule="exact"/>
        <w:rPr>
          <w:rFonts w:ascii="Arial" w:cs="Arial" w:eastAsia="Arial" w:hAnsi="Arial"/>
          <w:sz w:val="18"/>
          <w:szCs w:val="18"/>
          <w:color w:val="auto"/>
        </w:rPr>
      </w:pPr>
    </w:p>
    <w:p>
      <w:pPr>
        <w:ind w:left="1300" w:hanging="419"/>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203 defines a business combination to include:</w:t>
      </w:r>
    </w:p>
    <w:p>
      <w:pPr>
        <w:spacing w:after="0" w:line="360" w:lineRule="exact"/>
        <w:rPr>
          <w:rFonts w:ascii="Arial" w:cs="Arial" w:eastAsia="Arial" w:hAnsi="Arial"/>
          <w:sz w:val="18"/>
          <w:szCs w:val="18"/>
          <w:color w:val="auto"/>
        </w:rPr>
      </w:pPr>
    </w:p>
    <w:p>
      <w:pPr>
        <w:ind w:left="1980" w:right="460" w:hanging="396"/>
        <w:spacing w:after="0" w:line="264" w:lineRule="auto"/>
        <w:tabs>
          <w:tab w:leader="none" w:pos="1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 or any other entity if the merger or consolidation is caused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8" w:name="page169"/>
    <w:bookmarkEnd w:id="168"/>
    <w:p>
      <w:pPr>
        <w:ind w:left="1980" w:hanging="396"/>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involving the interested stockholder of</w:t>
      </w:r>
    </w:p>
    <w:p>
      <w:pPr>
        <w:ind w:left="1980"/>
        <w:spacing w:after="0"/>
        <w:rPr>
          <w:rFonts w:ascii="Arial" w:cs="Arial" w:eastAsia="Arial" w:hAnsi="Arial"/>
          <w:sz w:val="18"/>
          <w:szCs w:val="18"/>
          <w:color w:val="auto"/>
        </w:rPr>
      </w:pPr>
      <w:r>
        <w:rPr>
          <w:rFonts w:ascii="Arial" w:cs="Arial" w:eastAsia="Arial" w:hAnsi="Arial"/>
          <w:sz w:val="18"/>
          <w:szCs w:val="18"/>
          <w:color w:val="auto"/>
        </w:rPr>
        <w:t>10% or more of the assets of the corporation or any direct or indirect majority-owned subsidiary of the corporation;</w:t>
      </w:r>
    </w:p>
    <w:p>
      <w:pPr>
        <w:spacing w:after="0" w:line="346" w:lineRule="exact"/>
        <w:rPr>
          <w:rFonts w:ascii="Arial" w:cs="Arial" w:eastAsia="Arial" w:hAnsi="Arial"/>
          <w:sz w:val="18"/>
          <w:szCs w:val="18"/>
          <w:color w:val="auto"/>
        </w:rPr>
      </w:pPr>
    </w:p>
    <w:p>
      <w:pPr>
        <w:ind w:left="1980" w:right="240" w:hanging="396"/>
        <w:spacing w:after="0" w:line="246"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or any direct or indirect majority-owned subsidiary of the corporation, to the interested stockholder;</w:t>
      </w:r>
    </w:p>
    <w:p>
      <w:pPr>
        <w:spacing w:after="0" w:line="331" w:lineRule="exact"/>
        <w:rPr>
          <w:rFonts w:ascii="Arial" w:cs="Arial" w:eastAsia="Arial" w:hAnsi="Arial"/>
          <w:sz w:val="18"/>
          <w:szCs w:val="18"/>
          <w:color w:val="auto"/>
        </w:rPr>
      </w:pPr>
    </w:p>
    <w:p>
      <w:pPr>
        <w:ind w:left="1980" w:right="20" w:hanging="396"/>
        <w:spacing w:after="0" w:line="256"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336" w:lineRule="exact"/>
        <w:rPr>
          <w:rFonts w:ascii="Arial" w:cs="Arial" w:eastAsia="Arial" w:hAnsi="Arial"/>
          <w:sz w:val="18"/>
          <w:szCs w:val="18"/>
          <w:color w:val="auto"/>
        </w:rPr>
      </w:pPr>
    </w:p>
    <w:p>
      <w:pPr>
        <w:ind w:left="1980" w:hanging="396"/>
        <w:spacing w:after="0" w:line="246"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may have the effect of delaying, deferring or preventing changes in control in our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97" w:lineRule="exact"/>
        <w:rPr>
          <w:sz w:val="20"/>
          <w:szCs w:val="20"/>
          <w:color w:val="auto"/>
        </w:rPr>
      </w:pPr>
    </w:p>
    <w:p>
      <w:pPr>
        <w:ind w:left="1300" w:right="660" w:hanging="419"/>
        <w:spacing w:after="0" w:line="246"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31" w:lineRule="exact"/>
        <w:rPr>
          <w:rFonts w:ascii="Arial" w:cs="Arial" w:eastAsia="Arial" w:hAnsi="Arial"/>
          <w:sz w:val="18"/>
          <w:szCs w:val="18"/>
          <w:color w:val="auto"/>
        </w:rPr>
      </w:pPr>
    </w:p>
    <w:p>
      <w:pPr>
        <w:ind w:left="1300" w:right="200" w:hanging="419"/>
        <w:spacing w:after="0" w:line="246"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w:t>
      </w:r>
    </w:p>
    <w:p>
      <w:pPr>
        <w:spacing w:after="0" w:line="328" w:lineRule="exact"/>
        <w:rPr>
          <w:rFonts w:ascii="Arial" w:cs="Arial" w:eastAsia="Arial" w:hAnsi="Arial"/>
          <w:sz w:val="18"/>
          <w:szCs w:val="18"/>
          <w:color w:val="auto"/>
        </w:rPr>
      </w:pPr>
    </w:p>
    <w:p>
      <w:pPr>
        <w:ind w:left="1300" w:hanging="419"/>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allowing the acquiring person to receive any disproportionate benefit as a stockholder; </w:t>
      </w:r>
      <w:r>
        <w:rPr>
          <w:rFonts w:ascii="Arial" w:cs="Arial" w:eastAsia="Arial" w:hAnsi="Arial"/>
          <w:sz w:val="19"/>
          <w:szCs w:val="19"/>
          <w:color w:val="auto"/>
        </w:rPr>
        <w:t>and</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1300" w:hanging="419"/>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liquidating or dissolving the target corporation.</w:t>
      </w:r>
    </w:p>
    <w:p>
      <w:pPr>
        <w:spacing w:after="0" w:line="22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9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42" w:right="299" w:bottom="1440" w:gutter="0" w:footer="0" w:header="0"/>
        </w:sectPr>
      </w:pPr>
    </w:p>
    <w:bookmarkStart w:id="169" w:name="page170"/>
    <w:bookmarkEnd w:id="169"/>
    <w:p>
      <w:pPr>
        <w:ind w:right="280"/>
        <w:spacing w:after="0" w:line="246" w:lineRule="auto"/>
        <w:rPr>
          <w:sz w:val="20"/>
          <w:szCs w:val="20"/>
          <w:color w:val="auto"/>
        </w:rPr>
      </w:pPr>
      <w:r>
        <w:rPr>
          <w:rFonts w:ascii="Arial" w:cs="Arial" w:eastAsia="Arial" w:hAnsi="Arial"/>
          <w:sz w:val="18"/>
          <w:szCs w:val="18"/>
          <w:color w:val="auto"/>
        </w:rPr>
        <w:t>than 10% of our stockholders of record are resident in the state of Washington; (b) more than 10% of our shares are owned of record by state residents; or (c) 1,000 or more of our stockholders of record are resident in the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97" w:lineRule="exact"/>
        <w:rPr>
          <w:sz w:val="20"/>
          <w:szCs w:val="20"/>
          <w:color w:val="auto"/>
        </w:rPr>
      </w:pPr>
    </w:p>
    <w:p>
      <w:pPr>
        <w:ind w:left="1300" w:right="32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31" w:lineRule="exact"/>
        <w:rPr>
          <w:rFonts w:ascii="Arial" w:cs="Arial" w:eastAsia="Arial" w:hAnsi="Arial"/>
          <w:sz w:val="18"/>
          <w:szCs w:val="18"/>
          <w:color w:val="auto"/>
        </w:rPr>
      </w:pPr>
    </w:p>
    <w:p>
      <w:pPr>
        <w:ind w:left="1300" w:hanging="419"/>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360" w:lineRule="exact"/>
        <w:rPr>
          <w:rFonts w:ascii="Arial" w:cs="Arial" w:eastAsia="Arial" w:hAnsi="Arial"/>
          <w:sz w:val="18"/>
          <w:szCs w:val="18"/>
          <w:color w:val="auto"/>
        </w:rPr>
      </w:pPr>
    </w:p>
    <w:p>
      <w:pPr>
        <w:ind w:left="1300" w:right="8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31" w:lineRule="exact"/>
        <w:rPr>
          <w:rFonts w:ascii="Arial" w:cs="Arial" w:eastAsia="Arial" w:hAnsi="Arial"/>
          <w:sz w:val="18"/>
          <w:szCs w:val="18"/>
          <w:color w:val="auto"/>
        </w:rPr>
      </w:pPr>
    </w:p>
    <w:p>
      <w:pPr>
        <w:ind w:left="1300" w:hanging="419"/>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360" w:lineRule="exact"/>
        <w:rPr>
          <w:rFonts w:ascii="Arial" w:cs="Arial" w:eastAsia="Arial" w:hAnsi="Arial"/>
          <w:sz w:val="18"/>
          <w:szCs w:val="18"/>
          <w:color w:val="auto"/>
        </w:rPr>
      </w:pPr>
    </w:p>
    <w:p>
      <w:pPr>
        <w:ind w:left="1300" w:hanging="419"/>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300" w:right="52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31" w:lineRule="exact"/>
        <w:rPr>
          <w:rFonts w:ascii="Arial" w:cs="Arial" w:eastAsia="Arial" w:hAnsi="Arial"/>
          <w:sz w:val="18"/>
          <w:szCs w:val="18"/>
          <w:color w:val="auto"/>
        </w:rPr>
      </w:pPr>
    </w:p>
    <w:p>
      <w:pPr>
        <w:ind w:left="1300" w:right="120" w:hanging="419"/>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337" w:lineRule="exact"/>
        <w:rPr>
          <w:rFonts w:ascii="Arial" w:cs="Arial" w:eastAsia="Arial" w:hAnsi="Arial"/>
          <w:sz w:val="18"/>
          <w:szCs w:val="18"/>
          <w:color w:val="auto"/>
        </w:rPr>
      </w:pPr>
    </w:p>
    <w:p>
      <w:pPr>
        <w:ind w:left="1300" w:right="8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31" w:lineRule="exact"/>
        <w:rPr>
          <w:rFonts w:ascii="Arial" w:cs="Arial" w:eastAsia="Arial" w:hAnsi="Arial"/>
          <w:sz w:val="18"/>
          <w:szCs w:val="18"/>
          <w:color w:val="auto"/>
        </w:rPr>
      </w:pPr>
    </w:p>
    <w:p>
      <w:pPr>
        <w:ind w:left="130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31" w:lineRule="exact"/>
        <w:rPr>
          <w:rFonts w:ascii="Arial" w:cs="Arial" w:eastAsia="Arial" w:hAnsi="Arial"/>
          <w:sz w:val="18"/>
          <w:szCs w:val="18"/>
          <w:color w:val="auto"/>
        </w:rPr>
      </w:pPr>
    </w:p>
    <w:p>
      <w:pPr>
        <w:ind w:left="1300" w:hanging="419"/>
        <w:spacing w:after="0" w:line="24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55" w:right="499" w:bottom="1440" w:gutter="0" w:footer="0" w:header="0"/>
        </w:sectPr>
      </w:pPr>
    </w:p>
    <w:bookmarkStart w:id="170" w:name="page171"/>
    <w:bookmarkEnd w:id="170"/>
    <w:p>
      <w:pPr>
        <w:ind w:left="1300"/>
        <w:spacing w:after="0"/>
        <w:rPr>
          <w:sz w:val="20"/>
          <w:szCs w:val="20"/>
          <w:color w:val="auto"/>
        </w:rPr>
      </w:pPr>
      <w:r>
        <w:rPr>
          <w:rFonts w:ascii="Arial" w:cs="Arial" w:eastAsia="Arial" w:hAnsi="Arial"/>
          <w:sz w:val="18"/>
          <w:szCs w:val="18"/>
          <w:color w:val="auto"/>
        </w:rPr>
        <w:t>shares then entitled to vote generally in the election of directors, voting together as a single class; and</w:t>
      </w:r>
    </w:p>
    <w:p>
      <w:pPr>
        <w:spacing w:after="0" w:line="359" w:lineRule="exact"/>
        <w:rPr>
          <w:sz w:val="20"/>
          <w:szCs w:val="20"/>
          <w:color w:val="auto"/>
        </w:rPr>
      </w:pPr>
    </w:p>
    <w:p>
      <w:pPr>
        <w:ind w:left="1300" w:right="220" w:hanging="419"/>
        <w:spacing w:after="0" w:line="23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or our stockholders, (3) any action asserting a claim against us arising pursuant to any provision of the Delaware General Corporation Law, our certificate of incorporation and bylaws (as either may be amended from time to time), or (4) any action asserting a claim against us governed by the internal affairs doctrine; and</w:t>
      </w:r>
    </w:p>
    <w:p>
      <w:pPr>
        <w:spacing w:after="0" w:line="339" w:lineRule="exact"/>
        <w:rPr>
          <w:rFonts w:ascii="Arial" w:cs="Arial" w:eastAsia="Arial" w:hAnsi="Arial"/>
          <w:sz w:val="18"/>
          <w:szCs w:val="18"/>
          <w:color w:val="auto"/>
        </w:rPr>
      </w:pPr>
    </w:p>
    <w:p>
      <w:pPr>
        <w:ind w:left="1300" w:hanging="419"/>
        <w:spacing w:after="0" w:line="254"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spacing w:after="0" w:line="19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10.8</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ATHIRA PHARMA,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effective November 15, 2022)</w:t>
      </w:r>
    </w:p>
    <w:p>
      <w:pPr>
        <w:spacing w:after="0" w:line="206" w:lineRule="exact"/>
        <w:rPr>
          <w:sz w:val="20"/>
          <w:szCs w:val="20"/>
          <w:color w:val="auto"/>
        </w:rPr>
      </w:pPr>
    </w:p>
    <w:p>
      <w:pPr>
        <w:jc w:val="both"/>
        <w:ind w:firstLine="757"/>
        <w:spacing w:after="0" w:line="245" w:lineRule="exact"/>
        <w:tabs>
          <w:tab w:leader="none" w:pos="149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9"/>
          <w:szCs w:val="19"/>
          <w:u w:val="single" w:color="auto"/>
          <w:color w:val="auto"/>
        </w:rPr>
        <w:t>423</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Component</w:t>
      </w:r>
      <w:r>
        <w:rPr>
          <w:rFonts w:ascii="Arial" w:cs="Arial" w:eastAsia="Arial" w:hAnsi="Arial"/>
          <w:sz w:val="19"/>
          <w:szCs w:val="19"/>
          <w:color w:val="auto"/>
        </w:rPr>
        <w:t>”) and a component that is not intended to qualify as an “employee stock purchase plan” under Code Section 423 (the “</w:t>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423 Component</w:t>
      </w:r>
      <w:r>
        <w:rPr>
          <w:rFonts w:ascii="Arial" w:cs="Arial" w:eastAsia="Arial" w:hAnsi="Arial"/>
          <w:sz w:val="19"/>
          <w:szCs w:val="19"/>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 that does not qualify as an “employee stock purchase plan” under Code Section 423; an option granted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 will provide for substantially the same benefits as an option granted under the 423 Component, except that a Non</w:t>
      </w:r>
      <w:r>
        <w:rPr>
          <w:rFonts w:ascii="MS PGothic" w:cs="MS PGothic" w:eastAsia="MS PGothic" w:hAnsi="MS PGothic"/>
          <w:sz w:val="19"/>
          <w:szCs w:val="19"/>
          <w:color w:val="auto"/>
        </w:rPr>
        <w:t>‑</w:t>
      </w:r>
      <w:r>
        <w:rPr>
          <w:rFonts w:ascii="Arial" w:cs="Arial" w:eastAsia="Arial" w:hAnsi="Arial"/>
          <w:sz w:val="19"/>
          <w:szCs w:val="19"/>
          <w:color w:val="auto"/>
        </w:rPr>
        <w:t>423 Component option may include features necessary to comply with applicable non</w:t>
      </w:r>
      <w:r>
        <w:rPr>
          <w:rFonts w:ascii="MS PGothic" w:cs="MS PGothic" w:eastAsia="MS PGothic" w:hAnsi="MS PGothic"/>
          <w:sz w:val="19"/>
          <w:szCs w:val="19"/>
          <w:color w:val="auto"/>
        </w:rPr>
        <w:t>‑</w:t>
      </w:r>
      <w:r>
        <w:rPr>
          <w:rFonts w:ascii="Arial" w:cs="Arial" w:eastAsia="Arial" w:hAnsi="Arial"/>
          <w:sz w:val="19"/>
          <w:szCs w:val="19"/>
          <w:color w:val="auto"/>
        </w:rPr>
        <w:t>U.S. laws pursuant to rules, procedures or sub</w:t>
      </w:r>
      <w:r>
        <w:rPr>
          <w:rFonts w:ascii="MS PGothic" w:cs="MS PGothic" w:eastAsia="MS PGothic" w:hAnsi="MS PGothic"/>
          <w:sz w:val="19"/>
          <w:szCs w:val="19"/>
          <w:color w:val="auto"/>
        </w:rPr>
        <w:t>‑</w:t>
      </w:r>
      <w:r>
        <w:rPr>
          <w:rFonts w:ascii="Arial" w:cs="Arial" w:eastAsia="Arial" w:hAnsi="Arial"/>
          <w:sz w:val="19"/>
          <w:szCs w:val="19"/>
          <w:color w:val="auto"/>
        </w:rPr>
        <w:t>plans adopted by the Administrator. Except as otherwise provided herein or by the Administrator, the Non</w:t>
      </w:r>
      <w:r>
        <w:rPr>
          <w:rFonts w:ascii="MS PGothic" w:cs="MS PGothic" w:eastAsia="MS PGothic" w:hAnsi="MS PGothic"/>
          <w:sz w:val="19"/>
          <w:szCs w:val="19"/>
          <w:color w:val="auto"/>
        </w:rPr>
        <w:t>‑</w:t>
      </w:r>
      <w:r>
        <w:rPr>
          <w:rFonts w:ascii="Arial" w:cs="Arial" w:eastAsia="Arial" w:hAnsi="Arial"/>
          <w:sz w:val="19"/>
          <w:szCs w:val="19"/>
          <w:color w:val="auto"/>
        </w:rPr>
        <w:t>423 Component will operate and be administered in the same manner as the 423 Component.</w:t>
      </w:r>
    </w:p>
    <w:p>
      <w:pPr>
        <w:spacing w:after="0" w:line="193" w:lineRule="exact"/>
        <w:rPr>
          <w:rFonts w:ascii="Arial" w:cs="Arial" w:eastAsia="Arial" w:hAnsi="Arial"/>
          <w:sz w:val="19"/>
          <w:szCs w:val="19"/>
          <w:color w:val="auto"/>
        </w:rPr>
      </w:pPr>
    </w:p>
    <w:p>
      <w:pPr>
        <w:ind w:left="1500" w:hanging="743"/>
        <w:spacing w:after="0"/>
        <w:tabs>
          <w:tab w:leader="none" w:pos="15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tcPr>
          <w:p>
            <w:pPr>
              <w:jc w:val="right"/>
              <w:ind w:right="772"/>
              <w:spacing w:after="0"/>
              <w:rPr>
                <w:sz w:val="20"/>
                <w:szCs w:val="20"/>
                <w:color w:val="auto"/>
              </w:rPr>
            </w:pPr>
            <w:r>
              <w:rPr>
                <w:rFonts w:ascii="Arial" w:cs="Arial" w:eastAsia="Arial" w:hAnsi="Arial"/>
                <w:sz w:val="22"/>
                <w:szCs w:val="22"/>
                <w:color w:val="auto"/>
              </w:rPr>
              <w:t>2.1</w:t>
            </w:r>
          </w:p>
        </w:tc>
        <w:tc>
          <w:tcPr>
            <w:tcW w:w="8580" w:type="dxa"/>
            <w:vAlign w:val="bottom"/>
            <w:gridSpan w:val="4"/>
          </w:tcPr>
          <w:p>
            <w:pPr>
              <w:ind w:left="340"/>
              <w:spacing w:after="0"/>
              <w:rPr>
                <w:sz w:val="20"/>
                <w:szCs w:val="20"/>
                <w:color w:val="auto"/>
              </w:rPr>
            </w:pPr>
            <w:r>
              <w:rPr>
                <w:rFonts w:ascii="Arial" w:cs="Arial" w:eastAsia="Arial" w:hAnsi="Arial"/>
                <w:sz w:val="22"/>
                <w:szCs w:val="22"/>
                <w:color w:val="auto"/>
                <w:w w:val="90"/>
              </w:rPr>
              <w:t>“Administrator” means the Board or any Committee designated by the Board to administer the</w:t>
            </w:r>
          </w:p>
        </w:tc>
      </w:tr>
      <w:tr>
        <w:trPr>
          <w:trHeight w:val="274"/>
        </w:trPr>
        <w:tc>
          <w:tcPr>
            <w:tcW w:w="2660" w:type="dxa"/>
            <w:vAlign w:val="bottom"/>
          </w:tcPr>
          <w:p>
            <w:pPr>
              <w:jc w:val="right"/>
              <w:ind w:right="212"/>
              <w:spacing w:after="0"/>
              <w:rPr>
                <w:sz w:val="20"/>
                <w:szCs w:val="20"/>
                <w:color w:val="auto"/>
              </w:rPr>
            </w:pPr>
            <w:r>
              <w:rPr>
                <w:rFonts w:ascii="Arial" w:cs="Arial" w:eastAsia="Arial" w:hAnsi="Arial"/>
                <w:sz w:val="22"/>
                <w:szCs w:val="22"/>
                <w:color w:val="auto"/>
                <w:w w:val="87"/>
              </w:rPr>
              <w:t>Plan pursuant to Section 3.</w:t>
            </w:r>
          </w:p>
        </w:tc>
        <w:tc>
          <w:tcPr>
            <w:tcW w:w="440" w:type="dxa"/>
            <w:vAlign w:val="bottom"/>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6680" w:type="dxa"/>
            <w:vAlign w:val="bottom"/>
          </w:tcPr>
          <w:p>
            <w:pPr>
              <w:spacing w:after="0"/>
              <w:rPr>
                <w:sz w:val="23"/>
                <w:szCs w:val="23"/>
                <w:color w:val="auto"/>
              </w:rPr>
            </w:pPr>
          </w:p>
        </w:tc>
      </w:tr>
      <w:tr>
        <w:trPr>
          <w:trHeight w:val="408"/>
        </w:trPr>
        <w:tc>
          <w:tcPr>
            <w:tcW w:w="2660" w:type="dxa"/>
            <w:vAlign w:val="bottom"/>
          </w:tcPr>
          <w:p>
            <w:pPr>
              <w:jc w:val="right"/>
              <w:ind w:right="772"/>
              <w:spacing w:after="0"/>
              <w:rPr>
                <w:sz w:val="20"/>
                <w:szCs w:val="20"/>
                <w:color w:val="auto"/>
              </w:rPr>
            </w:pPr>
            <w:r>
              <w:rPr>
                <w:rFonts w:ascii="Arial" w:cs="Arial" w:eastAsia="Arial" w:hAnsi="Arial"/>
                <w:sz w:val="22"/>
                <w:szCs w:val="22"/>
                <w:color w:val="auto"/>
              </w:rPr>
              <w:t>2.2</w:t>
            </w:r>
          </w:p>
        </w:tc>
        <w:tc>
          <w:tcPr>
            <w:tcW w:w="8580" w:type="dxa"/>
            <w:vAlign w:val="bottom"/>
            <w:gridSpan w:val="4"/>
          </w:tcPr>
          <w:p>
            <w:pPr>
              <w:ind w:left="340"/>
              <w:spacing w:after="0"/>
              <w:rPr>
                <w:sz w:val="20"/>
                <w:szCs w:val="20"/>
                <w:color w:val="auto"/>
              </w:rPr>
            </w:pPr>
            <w:r>
              <w:rPr>
                <w:rFonts w:ascii="Arial" w:cs="Arial" w:eastAsia="Arial" w:hAnsi="Arial"/>
                <w:sz w:val="22"/>
                <w:szCs w:val="22"/>
                <w:color w:val="auto"/>
                <w:w w:val="91"/>
              </w:rPr>
              <w:t>“Applicable Laws” means the legal and regulatory requirements relating to the administration</w:t>
            </w:r>
          </w:p>
        </w:tc>
      </w:tr>
      <w:tr>
        <w:trPr>
          <w:trHeight w:val="20"/>
        </w:trPr>
        <w:tc>
          <w:tcPr>
            <w:tcW w:w="2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exact"/>
        <w:rPr>
          <w:sz w:val="20"/>
          <w:szCs w:val="20"/>
          <w:color w:val="auto"/>
        </w:rPr>
      </w:pPr>
      <w:r>
        <w:rPr>
          <w:rFonts w:ascii="Arial" w:cs="Arial" w:eastAsia="Arial" w:hAnsi="Arial"/>
          <w:sz w:val="22"/>
          <w:szCs w:val="22"/>
          <w:color w:val="auto"/>
        </w:rPr>
        <w:t>of equity</w:t>
      </w:r>
      <w:r>
        <w:rPr>
          <w:rFonts w:ascii="MS PGothic" w:cs="MS PGothic" w:eastAsia="MS PGothic" w:hAnsi="MS PGothic"/>
          <w:sz w:val="22"/>
          <w:szCs w:val="22"/>
          <w:color w:val="auto"/>
        </w:rPr>
        <w:t>‑</w:t>
      </w:r>
      <w:r>
        <w:rPr>
          <w:rFonts w:ascii="Arial" w:cs="Arial" w:eastAsia="Arial" w:hAnsi="Arial"/>
          <w:sz w:val="22"/>
          <w:szCs w:val="22"/>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22"/>
          <w:szCs w:val="22"/>
          <w:color w:val="auto"/>
        </w:rPr>
        <w:t>‑</w:t>
      </w:r>
      <w:r>
        <w:rPr>
          <w:rFonts w:ascii="Arial" w:cs="Arial" w:eastAsia="Arial" w:hAnsi="Arial"/>
          <w:sz w:val="22"/>
          <w:szCs w:val="22"/>
          <w:color w:val="auto"/>
        </w:rPr>
        <w:t>U.S. country or jurisdiction where options are, or will be, granted under the Plan.</w:t>
      </w:r>
    </w:p>
    <w:p>
      <w:pPr>
        <w:spacing w:after="0" w:line="15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2.3</w:t>
            </w:r>
          </w:p>
        </w:tc>
        <w:tc>
          <w:tcPr>
            <w:tcW w:w="8500" w:type="dxa"/>
            <w:vAlign w:val="bottom"/>
            <w:gridSpan w:val="6"/>
          </w:tcPr>
          <w:p>
            <w:pPr>
              <w:ind w:left="260"/>
              <w:spacing w:after="0"/>
              <w:rPr>
                <w:sz w:val="20"/>
                <w:szCs w:val="20"/>
                <w:color w:val="auto"/>
              </w:rPr>
            </w:pPr>
            <w:r>
              <w:rPr>
                <w:rFonts w:ascii="Arial" w:cs="Arial" w:eastAsia="Arial" w:hAnsi="Arial"/>
                <w:sz w:val="22"/>
                <w:szCs w:val="22"/>
                <w:color w:val="auto"/>
              </w:rPr>
              <w:t>“Board” means the Board of Directors of the Company.</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9"/>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2.4</w:t>
            </w:r>
          </w:p>
        </w:tc>
        <w:tc>
          <w:tcPr>
            <w:tcW w:w="8500" w:type="dxa"/>
            <w:vAlign w:val="bottom"/>
            <w:gridSpan w:val="6"/>
          </w:tcPr>
          <w:p>
            <w:pPr>
              <w:ind w:left="260"/>
              <w:spacing w:after="0"/>
              <w:rPr>
                <w:sz w:val="20"/>
                <w:szCs w:val="20"/>
                <w:color w:val="auto"/>
              </w:rPr>
            </w:pPr>
            <w:r>
              <w:rPr>
                <w:rFonts w:ascii="Arial" w:cs="Arial" w:eastAsia="Arial" w:hAnsi="Arial"/>
                <w:sz w:val="22"/>
                <w:szCs w:val="22"/>
                <w:color w:val="auto"/>
              </w:rPr>
              <w:t>“Change in Control” means the occurrence of any of the following events:</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39"/>
        </w:trPr>
        <w:tc>
          <w:tcPr>
            <w:tcW w:w="1240" w:type="dxa"/>
            <w:vAlign w:val="bottom"/>
          </w:tcPr>
          <w:p>
            <w:pPr>
              <w:jc w:val="right"/>
              <w:ind w:right="132"/>
              <w:spacing w:after="0"/>
              <w:rPr>
                <w:sz w:val="20"/>
                <w:szCs w:val="20"/>
                <w:color w:val="auto"/>
              </w:rPr>
            </w:pPr>
            <w:r>
              <w:rPr>
                <w:rFonts w:ascii="Arial" w:cs="Arial" w:eastAsia="Arial" w:hAnsi="Arial"/>
                <w:sz w:val="22"/>
                <w:szCs w:val="22"/>
                <w:color w:val="auto"/>
              </w:rPr>
              <w:t>(a)</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3"/>
          </w:tcPr>
          <w:p>
            <w:pPr>
              <w:spacing w:after="0"/>
              <w:rPr>
                <w:sz w:val="20"/>
                <w:szCs w:val="20"/>
                <w:color w:val="auto"/>
              </w:rPr>
            </w:pPr>
            <w:r>
              <w:rPr>
                <w:rFonts w:ascii="Arial" w:cs="Arial" w:eastAsia="Arial" w:hAnsi="Arial"/>
                <w:sz w:val="22"/>
                <w:szCs w:val="22"/>
                <w:color w:val="auto"/>
                <w:w w:val="94"/>
              </w:rPr>
              <w:t>Change in Ownership of the Company.  A change in the ownership of the</w:t>
            </w: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Company which occurs on the date that any one person, or more than one person acting as a group (“</w:t>
      </w:r>
      <w:r>
        <w:rPr>
          <w:rFonts w:ascii="Arial" w:cs="Arial" w:eastAsia="Arial" w:hAnsi="Arial"/>
          <w:sz w:val="22"/>
          <w:szCs w:val="22"/>
          <w:u w:val="single" w:color="auto"/>
          <w:color w:val="auto"/>
        </w:rPr>
        <w:t>Person</w:t>
      </w:r>
      <w:r>
        <w:rPr>
          <w:rFonts w:ascii="Arial" w:cs="Arial" w:eastAsia="Arial" w:hAnsi="Arial"/>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2" w:name="page173"/>
    <w:bookmarkEnd w:id="172"/>
    <w:p>
      <w:pPr>
        <w:jc w:val="both"/>
        <w:spacing w:after="0" w:line="234" w:lineRule="auto"/>
        <w:rPr>
          <w:sz w:val="20"/>
          <w:szCs w:val="20"/>
          <w:color w:val="auto"/>
        </w:rPr>
      </w:pPr>
      <w:r>
        <w:rPr>
          <w:rFonts w:ascii="Arial" w:cs="Arial" w:eastAsia="Arial" w:hAnsi="Arial"/>
          <w:sz w:val="22"/>
          <w:szCs w:val="22"/>
          <w:color w:val="auto"/>
        </w:rPr>
        <w:t>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1"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Change in Effective Control of the Company</w:t>
      </w:r>
      <w:r>
        <w:rPr>
          <w:rFonts w:ascii="Arial" w:cs="Arial" w:eastAsia="Arial" w:hAnsi="Arial"/>
          <w:sz w:val="19"/>
          <w:szCs w:val="19"/>
          <w:color w:val="auto"/>
        </w:rPr>
        <w:t>. If the Company has a class of</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Change in Ownership of a Substantial Portion of the Company’s Assets</w:t>
      </w:r>
      <w:r>
        <w:rPr>
          <w:rFonts w:ascii="Arial" w:cs="Arial" w:eastAsia="Arial" w:hAnsi="Arial"/>
          <w:sz w:val="19"/>
          <w:szCs w:val="19"/>
          <w:color w:val="auto"/>
        </w:rPr>
        <w:t>.  A</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w:t>
      </w:r>
    </w:p>
    <w:p>
      <w:pPr>
        <w:spacing w:after="0" w:line="5" w:lineRule="exact"/>
        <w:rPr>
          <w:sz w:val="20"/>
          <w:szCs w:val="20"/>
          <w:color w:val="auto"/>
        </w:rPr>
      </w:pPr>
    </w:p>
    <w:p>
      <w:pPr>
        <w:jc w:val="both"/>
        <w:ind w:firstLine="8"/>
        <w:spacing w:after="0" w:line="273" w:lineRule="auto"/>
        <w:tabs>
          <w:tab w:leader="none" w:pos="319"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5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w:t>
      </w:r>
    </w:p>
    <w:p>
      <w:pPr>
        <w:spacing w:after="0" w:line="175"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Further and for the avoidance of doubt, a transaction will not constitute a Change in Control if: (x) its sole purpose is to change the jurisdiction of the Company’s incorporation, or (y) its</w:t>
      </w: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3" w:name="page174"/>
    <w:bookmarkEnd w:id="173"/>
    <w:p>
      <w:pPr>
        <w:jc w:val="both"/>
        <w:spacing w:after="0" w:line="250" w:lineRule="auto"/>
        <w:rPr>
          <w:sz w:val="20"/>
          <w:szCs w:val="20"/>
          <w:color w:val="auto"/>
        </w:rPr>
      </w:pPr>
      <w:r>
        <w:rPr>
          <w:rFonts w:ascii="Arial" w:cs="Arial" w:eastAsia="Arial" w:hAnsi="Arial"/>
          <w:sz w:val="22"/>
          <w:szCs w:val="22"/>
          <w:color w:val="auto"/>
        </w:rPr>
        <w:t>sole purpose is to create a holding company that will be owned in substantially the same proportions by the persons who held the Company’s securities immediately before such transaction.</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5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880" w:type="dxa"/>
            <w:vAlign w:val="bottom"/>
          </w:tcPr>
          <w:p>
            <w:pPr>
              <w:jc w:val="right"/>
              <w:ind w:right="492"/>
              <w:spacing w:after="0"/>
              <w:rPr>
                <w:sz w:val="20"/>
                <w:szCs w:val="20"/>
                <w:color w:val="auto"/>
              </w:rPr>
            </w:pPr>
            <w:r>
              <w:rPr>
                <w:rFonts w:ascii="Arial" w:cs="Arial" w:eastAsia="Arial" w:hAnsi="Arial"/>
                <w:sz w:val="22"/>
                <w:szCs w:val="22"/>
                <w:color w:val="auto"/>
                <w:w w:val="84"/>
              </w:rPr>
              <w:t>2.6</w:t>
            </w:r>
          </w:p>
        </w:tc>
        <w:tc>
          <w:tcPr>
            <w:tcW w:w="8860" w:type="dxa"/>
            <w:vAlign w:val="bottom"/>
            <w:gridSpan w:val="6"/>
          </w:tcPr>
          <w:p>
            <w:pPr>
              <w:ind w:left="620"/>
              <w:spacing w:after="0"/>
              <w:rPr>
                <w:sz w:val="20"/>
                <w:szCs w:val="20"/>
                <w:color w:val="auto"/>
              </w:rPr>
            </w:pPr>
            <w:r>
              <w:rPr>
                <w:rFonts w:ascii="Arial" w:cs="Arial" w:eastAsia="Arial" w:hAnsi="Arial"/>
                <w:sz w:val="22"/>
                <w:szCs w:val="22"/>
                <w:color w:val="auto"/>
                <w:w w:val="90"/>
              </w:rPr>
              <w:t>“Committee” means a committee of the Board appointed in accordance with Section 3 hereof.</w:t>
            </w:r>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39"/>
        </w:trPr>
        <w:tc>
          <w:tcPr>
            <w:tcW w:w="880" w:type="dxa"/>
            <w:vAlign w:val="bottom"/>
          </w:tcPr>
          <w:p>
            <w:pPr>
              <w:jc w:val="right"/>
              <w:ind w:right="492"/>
              <w:spacing w:after="0"/>
              <w:rPr>
                <w:sz w:val="20"/>
                <w:szCs w:val="20"/>
                <w:color w:val="auto"/>
              </w:rPr>
            </w:pPr>
            <w:r>
              <w:rPr>
                <w:rFonts w:ascii="Arial" w:cs="Arial" w:eastAsia="Arial" w:hAnsi="Arial"/>
                <w:sz w:val="22"/>
                <w:szCs w:val="22"/>
                <w:color w:val="auto"/>
                <w:w w:val="84"/>
              </w:rPr>
              <w:t>2.7</w:t>
            </w:r>
          </w:p>
        </w:tc>
        <w:tc>
          <w:tcPr>
            <w:tcW w:w="8860" w:type="dxa"/>
            <w:vAlign w:val="bottom"/>
            <w:gridSpan w:val="6"/>
          </w:tcPr>
          <w:p>
            <w:pPr>
              <w:ind w:left="620"/>
              <w:spacing w:after="0"/>
              <w:rPr>
                <w:sz w:val="20"/>
                <w:szCs w:val="20"/>
                <w:color w:val="auto"/>
              </w:rPr>
            </w:pPr>
            <w:r>
              <w:rPr>
                <w:rFonts w:ascii="Arial" w:cs="Arial" w:eastAsia="Arial" w:hAnsi="Arial"/>
                <w:sz w:val="22"/>
                <w:szCs w:val="22"/>
                <w:color w:val="auto"/>
              </w:rPr>
              <w:t>“Common Stock” means the common stock of the Company.</w:t>
            </w:r>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39"/>
        </w:trPr>
        <w:tc>
          <w:tcPr>
            <w:tcW w:w="880" w:type="dxa"/>
            <w:vAlign w:val="bottom"/>
          </w:tcPr>
          <w:p>
            <w:pPr>
              <w:jc w:val="right"/>
              <w:ind w:right="492"/>
              <w:spacing w:after="0"/>
              <w:rPr>
                <w:sz w:val="20"/>
                <w:szCs w:val="20"/>
                <w:color w:val="auto"/>
              </w:rPr>
            </w:pPr>
            <w:r>
              <w:rPr>
                <w:rFonts w:ascii="Arial" w:cs="Arial" w:eastAsia="Arial" w:hAnsi="Arial"/>
                <w:sz w:val="22"/>
                <w:szCs w:val="22"/>
                <w:color w:val="auto"/>
                <w:w w:val="84"/>
              </w:rPr>
              <w:t>2.8</w:t>
            </w:r>
          </w:p>
        </w:tc>
        <w:tc>
          <w:tcPr>
            <w:tcW w:w="8860" w:type="dxa"/>
            <w:vAlign w:val="bottom"/>
            <w:gridSpan w:val="6"/>
          </w:tcPr>
          <w:p>
            <w:pPr>
              <w:ind w:left="620"/>
              <w:spacing w:after="0"/>
              <w:rPr>
                <w:sz w:val="20"/>
                <w:szCs w:val="20"/>
                <w:color w:val="auto"/>
              </w:rPr>
            </w:pPr>
            <w:r>
              <w:rPr>
                <w:rFonts w:ascii="Arial" w:cs="Arial" w:eastAsia="Arial" w:hAnsi="Arial"/>
                <w:sz w:val="22"/>
                <w:szCs w:val="22"/>
                <w:color w:val="auto"/>
                <w:w w:val="94"/>
              </w:rPr>
              <w:t>“Company” means Athira Pharma, Inc., a Delaware corporation, or any successor thereto.</w:t>
            </w:r>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439"/>
        </w:trPr>
        <w:tc>
          <w:tcPr>
            <w:tcW w:w="880" w:type="dxa"/>
            <w:vAlign w:val="bottom"/>
          </w:tcPr>
          <w:p>
            <w:pPr>
              <w:jc w:val="right"/>
              <w:ind w:right="492"/>
              <w:spacing w:after="0"/>
              <w:rPr>
                <w:sz w:val="20"/>
                <w:szCs w:val="20"/>
                <w:color w:val="auto"/>
              </w:rPr>
            </w:pPr>
            <w:r>
              <w:rPr>
                <w:rFonts w:ascii="Arial" w:cs="Arial" w:eastAsia="Arial" w:hAnsi="Arial"/>
                <w:sz w:val="22"/>
                <w:szCs w:val="22"/>
                <w:color w:val="auto"/>
                <w:w w:val="84"/>
              </w:rPr>
              <w:t>2.9</w:t>
            </w:r>
          </w:p>
        </w:tc>
        <w:tc>
          <w:tcPr>
            <w:tcW w:w="8860" w:type="dxa"/>
            <w:vAlign w:val="bottom"/>
            <w:gridSpan w:val="6"/>
          </w:tcPr>
          <w:p>
            <w:pPr>
              <w:ind w:left="620"/>
              <w:spacing w:after="0"/>
              <w:rPr>
                <w:sz w:val="20"/>
                <w:szCs w:val="20"/>
                <w:color w:val="auto"/>
              </w:rPr>
            </w:pPr>
            <w:r>
              <w:rPr>
                <w:rFonts w:ascii="Arial" w:cs="Arial" w:eastAsia="Arial" w:hAnsi="Arial"/>
                <w:sz w:val="22"/>
                <w:szCs w:val="22"/>
                <w:color w:val="auto"/>
                <w:w w:val="92"/>
              </w:rPr>
              <w:t>“Compensation”  means  an  Eligible  Employee’s  base  straight  time  gross  earnings,  but</w:t>
            </w:r>
          </w:p>
        </w:tc>
      </w:tr>
      <w:tr>
        <w:trPr>
          <w:trHeight w:val="20"/>
        </w:trPr>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ind w:left="1500"/>
              <w:spacing w:after="0"/>
              <w:rPr>
                <w:sz w:val="20"/>
                <w:szCs w:val="20"/>
                <w:color w:val="auto"/>
              </w:rPr>
            </w:pPr>
            <w:r>
              <w:rPr>
                <w:rFonts w:ascii="Arial" w:cs="Arial" w:eastAsia="Arial" w:hAnsi="Arial"/>
                <w:sz w:val="22"/>
                <w:szCs w:val="22"/>
                <w:color w:val="auto"/>
              </w:rPr>
              <w:t>2.10</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89"/>
              </w:rPr>
              <w:t>“Contributions” means the payroll deductions and other additional payments that the Company</w:t>
            </w:r>
          </w:p>
        </w:tc>
      </w:tr>
      <w:tr>
        <w:trPr>
          <w:trHeight w:val="20"/>
        </w:trPr>
        <w:tc>
          <w:tcPr>
            <w:tcW w:w="310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273"/>
        </w:trPr>
        <w:tc>
          <w:tcPr>
            <w:tcW w:w="11240" w:type="dxa"/>
            <w:vAlign w:val="bottom"/>
            <w:gridSpan w:val="5"/>
          </w:tcPr>
          <w:p>
            <w:pPr>
              <w:spacing w:after="0"/>
              <w:rPr>
                <w:sz w:val="20"/>
                <w:szCs w:val="20"/>
                <w:color w:val="auto"/>
              </w:rPr>
            </w:pPr>
            <w:r>
              <w:rPr>
                <w:rFonts w:ascii="Arial" w:cs="Arial" w:eastAsia="Arial" w:hAnsi="Arial"/>
                <w:sz w:val="22"/>
                <w:szCs w:val="22"/>
                <w:color w:val="auto"/>
              </w:rPr>
              <w:t>may permit to be made by a Participant to fund the exercise of options granted pursuant to the Plan.</w:t>
            </w:r>
          </w:p>
        </w:tc>
      </w:tr>
      <w:tr>
        <w:trPr>
          <w:trHeight w:val="408"/>
        </w:trPr>
        <w:tc>
          <w:tcPr>
            <w:tcW w:w="2440" w:type="dxa"/>
            <w:vAlign w:val="bottom"/>
          </w:tcPr>
          <w:p>
            <w:pPr>
              <w:ind w:left="1500"/>
              <w:spacing w:after="0"/>
              <w:rPr>
                <w:sz w:val="20"/>
                <w:szCs w:val="20"/>
                <w:color w:val="auto"/>
              </w:rPr>
            </w:pPr>
            <w:r>
              <w:rPr>
                <w:rFonts w:ascii="Arial" w:cs="Arial" w:eastAsia="Arial" w:hAnsi="Arial"/>
                <w:sz w:val="22"/>
                <w:szCs w:val="22"/>
                <w:color w:val="auto"/>
              </w:rPr>
              <w:t>2.11</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0"/>
              </w:rPr>
              <w:t>“Designated Company” means any Subsidiary that has been designated by the Administrator</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4" w:lineRule="exact"/>
        <w:rPr>
          <w:sz w:val="20"/>
          <w:szCs w:val="20"/>
          <w:color w:val="auto"/>
        </w:rPr>
      </w:pPr>
      <w:r>
        <w:rPr>
          <w:rFonts w:ascii="Arial" w:cs="Arial" w:eastAsia="Arial" w:hAnsi="Arial"/>
          <w:sz w:val="19"/>
          <w:szCs w:val="19"/>
          <w:color w:val="auto"/>
        </w:rPr>
        <w:t>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w:t>
      </w:r>
    </w:p>
    <w:p>
      <w:pPr>
        <w:spacing w:after="0" w:line="15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2.12</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rPr>
              <w:t>“Director” means a member of the Board.</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39"/>
        </w:trPr>
        <w:tc>
          <w:tcPr>
            <w:tcW w:w="940" w:type="dxa"/>
            <w:vAlign w:val="bottom"/>
          </w:tcPr>
          <w:p>
            <w:pPr>
              <w:jc w:val="right"/>
              <w:ind w:right="452"/>
              <w:spacing w:after="0"/>
              <w:rPr>
                <w:sz w:val="20"/>
                <w:szCs w:val="20"/>
                <w:color w:val="auto"/>
              </w:rPr>
            </w:pPr>
            <w:r>
              <w:rPr>
                <w:rFonts w:ascii="Arial" w:cs="Arial" w:eastAsia="Arial" w:hAnsi="Arial"/>
                <w:sz w:val="22"/>
                <w:szCs w:val="22"/>
                <w:color w:val="auto"/>
                <w:w w:val="83"/>
              </w:rPr>
              <w:t>2.13</w:t>
            </w:r>
          </w:p>
        </w:tc>
        <w:tc>
          <w:tcPr>
            <w:tcW w:w="8800" w:type="dxa"/>
            <w:vAlign w:val="bottom"/>
            <w:gridSpan w:val="4"/>
          </w:tcPr>
          <w:p>
            <w:pPr>
              <w:ind w:left="560"/>
              <w:spacing w:after="0"/>
              <w:rPr>
                <w:sz w:val="20"/>
                <w:szCs w:val="20"/>
                <w:color w:val="auto"/>
              </w:rPr>
            </w:pPr>
            <w:r>
              <w:rPr>
                <w:rFonts w:ascii="Arial" w:cs="Arial" w:eastAsia="Arial" w:hAnsi="Arial"/>
                <w:sz w:val="22"/>
                <w:szCs w:val="22"/>
                <w:color w:val="auto"/>
                <w:w w:val="91"/>
              </w:rPr>
              <w:t>“Eligible Employee” means any individual who is a common law employee providing services</w:t>
            </w: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5" w:lineRule="exact"/>
        <w:rPr>
          <w:sz w:val="20"/>
          <w:szCs w:val="20"/>
          <w:color w:val="auto"/>
        </w:rPr>
      </w:pPr>
      <w:r>
        <w:rPr>
          <w:rFonts w:ascii="Arial" w:cs="Arial" w:eastAsia="Arial" w:hAnsi="Arial"/>
          <w:sz w:val="21"/>
          <w:szCs w:val="21"/>
          <w:color w:val="auto"/>
        </w:rPr>
        <w:t>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21"/>
          <w:szCs w:val="21"/>
          <w:color w:val="auto"/>
        </w:rPr>
        <w:t>‑</w:t>
      </w:r>
      <w:r>
        <w:rPr>
          <w:rFonts w:ascii="Arial" w:cs="Arial" w:eastAsia="Arial" w:hAnsi="Arial"/>
          <w:sz w:val="21"/>
          <w:szCs w:val="21"/>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4" w:name="page175"/>
    <w:bookmarkEnd w:id="174"/>
    <w:p>
      <w:pPr>
        <w:jc w:val="both"/>
        <w:spacing w:after="0" w:line="248" w:lineRule="exact"/>
        <w:rPr>
          <w:sz w:val="20"/>
          <w:szCs w:val="20"/>
          <w:color w:val="auto"/>
        </w:rPr>
      </w:pPr>
      <w:r>
        <w:rPr>
          <w:rFonts w:ascii="Arial" w:cs="Arial" w:eastAsia="Arial" w:hAnsi="Arial"/>
          <w:sz w:val="19"/>
          <w:szCs w:val="19"/>
          <w:color w:val="auto"/>
        </w:rPr>
        <w:t>under the 423 Component, on a uniform and nondiscriminatory basis or as otherwise permitted by U.S. Treasury Regulations Section 1.423</w:t>
      </w:r>
      <w:r>
        <w:rPr>
          <w:rFonts w:ascii="MS PGothic" w:cs="MS PGothic" w:eastAsia="MS PGothic" w:hAnsi="MS PGothic"/>
          <w:sz w:val="19"/>
          <w:szCs w:val="19"/>
          <w:color w:val="auto"/>
        </w:rPr>
        <w:t>‑</w:t>
      </w:r>
      <w:r>
        <w:rPr>
          <w:rFonts w:ascii="Arial" w:cs="Arial" w:eastAsia="Arial" w:hAnsi="Arial"/>
          <w:sz w:val="19"/>
          <w:szCs w:val="19"/>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9"/>
          <w:szCs w:val="19"/>
          <w:color w:val="auto"/>
        </w:rPr>
        <w:t>‑</w:t>
      </w:r>
      <w:r>
        <w:rPr>
          <w:rFonts w:ascii="Arial" w:cs="Arial" w:eastAsia="Arial" w:hAnsi="Arial"/>
          <w:sz w:val="19"/>
          <w:szCs w:val="19"/>
          <w:color w:val="auto"/>
        </w:rPr>
        <w:t>2(e)(2)(ii). Such exclusions may be applied with respect to an Offering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 without regard to the limitations of U.S. Treasury Regulations Section 1.423</w:t>
      </w:r>
      <w:r>
        <w:rPr>
          <w:rFonts w:ascii="MS PGothic" w:cs="MS PGothic" w:eastAsia="MS PGothic" w:hAnsi="MS PGothic"/>
          <w:sz w:val="19"/>
          <w:szCs w:val="19"/>
          <w:color w:val="auto"/>
        </w:rPr>
        <w:t>‑</w:t>
      </w:r>
      <w:r>
        <w:rPr>
          <w:rFonts w:ascii="Arial" w:cs="Arial" w:eastAsia="Arial" w:hAnsi="Arial"/>
          <w:sz w:val="19"/>
          <w:szCs w:val="19"/>
          <w:color w:val="auto"/>
        </w:rPr>
        <w:t>2.</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2.14</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rPr>
              <w:t>“Employer” means the employer of the applicable Eligible Employee(s).</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2.15</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rPr>
              <w:t>“Enrollment Date” means the first Trading Day of each Offering Period.</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2.16</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w w:val="91"/>
              </w:rPr>
              <w:t>“Exchange Act” means the U.S. Securities Exchange Act of 1934, as amended, including the</w:t>
            </w:r>
          </w:p>
        </w:tc>
      </w:tr>
      <w:tr>
        <w:trPr>
          <w:trHeight w:val="20"/>
        </w:trPr>
        <w:tc>
          <w:tcPr>
            <w:tcW w:w="310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6940" w:type="dxa"/>
            <w:vAlign w:val="bottom"/>
            <w:tcBorders>
              <w:left w:val="single" w:sz="8" w:color="auto"/>
            </w:tcBorders>
            <w:gridSpan w:val="2"/>
          </w:tcPr>
          <w:p>
            <w:pPr>
              <w:spacing w:after="0" w:line="20" w:lineRule="exact"/>
              <w:rPr>
                <w:sz w:val="1"/>
                <w:szCs w:val="1"/>
                <w:color w:val="auto"/>
              </w:rPr>
            </w:pPr>
          </w:p>
        </w:tc>
      </w:tr>
      <w:tr>
        <w:trPr>
          <w:trHeight w:val="273"/>
        </w:trPr>
        <w:tc>
          <w:tcPr>
            <w:tcW w:w="11240" w:type="dxa"/>
            <w:vAlign w:val="bottom"/>
            <w:gridSpan w:val="6"/>
          </w:tcPr>
          <w:p>
            <w:pPr>
              <w:spacing w:after="0"/>
              <w:rPr>
                <w:sz w:val="20"/>
                <w:szCs w:val="20"/>
                <w:color w:val="auto"/>
              </w:rPr>
            </w:pPr>
            <w:r>
              <w:rPr>
                <w:rFonts w:ascii="Arial" w:cs="Arial" w:eastAsia="Arial" w:hAnsi="Arial"/>
                <w:sz w:val="22"/>
                <w:szCs w:val="22"/>
                <w:color w:val="auto"/>
              </w:rPr>
              <w:t>rules and regulations promulgated thereunder.</w:t>
            </w: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2.17</w:t>
            </w:r>
          </w:p>
        </w:tc>
        <w:tc>
          <w:tcPr>
            <w:tcW w:w="8800" w:type="dxa"/>
            <w:vAlign w:val="bottom"/>
            <w:gridSpan w:val="5"/>
          </w:tcPr>
          <w:p>
            <w:pPr>
              <w:ind w:left="560"/>
              <w:spacing w:after="0"/>
              <w:rPr>
                <w:sz w:val="20"/>
                <w:szCs w:val="20"/>
                <w:color w:val="auto"/>
              </w:rPr>
            </w:pPr>
            <w:r>
              <w:rPr>
                <w:rFonts w:ascii="Arial" w:cs="Arial" w:eastAsia="Arial" w:hAnsi="Arial"/>
                <w:sz w:val="22"/>
                <w:szCs w:val="22"/>
                <w:color w:val="auto"/>
                <w:w w:val="91"/>
              </w:rPr>
              <w:t>“Exercise Date” means the first Trading Day on or after May 18th and November 18</w:t>
            </w:r>
            <w:r>
              <w:rPr>
                <w:rFonts w:ascii="Arial" w:cs="Arial" w:eastAsia="Arial" w:hAnsi="Arial"/>
                <w:sz w:val="14"/>
                <w:szCs w:val="14"/>
                <w:color w:val="auto"/>
                <w:w w:val="91"/>
              </w:rPr>
              <w:t>th</w:t>
            </w:r>
            <w:r>
              <w:rPr>
                <w:rFonts w:ascii="Arial" w:cs="Arial" w:eastAsia="Arial" w:hAnsi="Arial"/>
                <w:sz w:val="22"/>
                <w:szCs w:val="22"/>
                <w:color w:val="auto"/>
                <w:w w:val="91"/>
              </w:rPr>
              <w:t xml:space="preserve"> of each</w:t>
            </w:r>
          </w:p>
        </w:tc>
      </w:tr>
      <w:tr>
        <w:trPr>
          <w:trHeight w:val="20"/>
        </w:trPr>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Offering Period, provided that the first Exercise Date under the Plan will be the first Trading Day on or after May 18, 2021.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jc w:val="right"/>
              <w:ind w:right="752"/>
              <w:spacing w:after="0"/>
              <w:rPr>
                <w:sz w:val="20"/>
                <w:szCs w:val="20"/>
                <w:color w:val="auto"/>
              </w:rPr>
            </w:pPr>
            <w:r>
              <w:rPr>
                <w:rFonts w:ascii="Arial" w:cs="Arial" w:eastAsia="Arial" w:hAnsi="Arial"/>
                <w:sz w:val="22"/>
                <w:szCs w:val="22"/>
                <w:color w:val="auto"/>
              </w:rPr>
              <w:t>2.18</w:t>
            </w:r>
          </w:p>
        </w:tc>
        <w:tc>
          <w:tcPr>
            <w:tcW w:w="8500" w:type="dxa"/>
            <w:vAlign w:val="bottom"/>
            <w:gridSpan w:val="3"/>
          </w:tcPr>
          <w:p>
            <w:pPr>
              <w:jc w:val="right"/>
              <w:spacing w:after="0"/>
              <w:rPr>
                <w:sz w:val="20"/>
                <w:szCs w:val="20"/>
                <w:color w:val="auto"/>
              </w:rPr>
            </w:pPr>
            <w:r>
              <w:rPr>
                <w:rFonts w:ascii="Arial" w:cs="Arial" w:eastAsia="Arial" w:hAnsi="Arial"/>
                <w:sz w:val="22"/>
                <w:szCs w:val="22"/>
                <w:color w:val="auto"/>
                <w:w w:val="92"/>
              </w:rPr>
              <w:t>“Fair Market Value” means, as of any date and unless the Administrator determines otherwise,</w:t>
            </w:r>
          </w:p>
        </w:tc>
      </w:tr>
      <w:tr>
        <w:trPr>
          <w:trHeight w:val="20"/>
        </w:trPr>
        <w:tc>
          <w:tcPr>
            <w:tcW w:w="3100" w:type="dxa"/>
            <w:vAlign w:val="bottom"/>
            <w:gridSpan w:val="2"/>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74"/>
        </w:trPr>
        <w:tc>
          <w:tcPr>
            <w:tcW w:w="11240" w:type="dxa"/>
            <w:vAlign w:val="bottom"/>
            <w:gridSpan w:val="4"/>
          </w:tcPr>
          <w:p>
            <w:pPr>
              <w:jc w:val="right"/>
              <w:ind w:right="6780"/>
              <w:spacing w:after="0"/>
              <w:rPr>
                <w:sz w:val="20"/>
                <w:szCs w:val="20"/>
                <w:color w:val="auto"/>
              </w:rPr>
            </w:pPr>
            <w:r>
              <w:rPr>
                <w:rFonts w:ascii="Arial" w:cs="Arial" w:eastAsia="Arial" w:hAnsi="Arial"/>
                <w:sz w:val="22"/>
                <w:szCs w:val="22"/>
                <w:color w:val="auto"/>
                <w:w w:val="89"/>
              </w:rPr>
              <w:t>the value of Common Stock determined as follows:</w:t>
            </w:r>
          </w:p>
        </w:tc>
      </w:tr>
      <w:tr>
        <w:trPr>
          <w:trHeight w:val="446"/>
        </w:trPr>
        <w:tc>
          <w:tcPr>
            <w:tcW w:w="2740" w:type="dxa"/>
            <w:vAlign w:val="bottom"/>
          </w:tcPr>
          <w:p>
            <w:pPr>
              <w:jc w:val="right"/>
              <w:ind w:right="132"/>
              <w:spacing w:after="0"/>
              <w:rPr>
                <w:sz w:val="20"/>
                <w:szCs w:val="20"/>
                <w:color w:val="auto"/>
              </w:rPr>
            </w:pPr>
            <w:r>
              <w:rPr>
                <w:rFonts w:ascii="Arial" w:cs="Arial" w:eastAsia="Arial" w:hAnsi="Arial"/>
                <w:sz w:val="22"/>
                <w:szCs w:val="22"/>
                <w:color w:val="auto"/>
              </w:rPr>
              <w:t>(a)</w:t>
            </w:r>
          </w:p>
        </w:tc>
        <w:tc>
          <w:tcPr>
            <w:tcW w:w="360" w:type="dxa"/>
            <w:vAlign w:val="bottom"/>
          </w:tcPr>
          <w:p>
            <w:pPr>
              <w:spacing w:after="0"/>
              <w:rPr>
                <w:sz w:val="24"/>
                <w:szCs w:val="24"/>
                <w:color w:val="auto"/>
              </w:rPr>
            </w:pPr>
          </w:p>
        </w:tc>
        <w:tc>
          <w:tcPr>
            <w:tcW w:w="8140" w:type="dxa"/>
            <w:vAlign w:val="bottom"/>
            <w:gridSpan w:val="2"/>
          </w:tcPr>
          <w:p>
            <w:pPr>
              <w:jc w:val="right"/>
              <w:ind w:right="20"/>
              <w:spacing w:after="0"/>
              <w:rPr>
                <w:sz w:val="20"/>
                <w:szCs w:val="20"/>
                <w:color w:val="auto"/>
              </w:rPr>
            </w:pPr>
            <w:r>
              <w:rPr>
                <w:rFonts w:ascii="Arial" w:cs="Arial" w:eastAsia="Arial" w:hAnsi="Arial"/>
                <w:sz w:val="22"/>
                <w:szCs w:val="22"/>
                <w:color w:val="auto"/>
              </w:rPr>
              <w:t>If the Common Stock is listed on any established stock exchange or a</w:t>
            </w:r>
          </w:p>
        </w:tc>
      </w:tr>
    </w:tbl>
    <w:p>
      <w:pPr>
        <w:jc w:val="both"/>
        <w:spacing w:after="0" w:line="245" w:lineRule="auto"/>
        <w:rPr>
          <w:sz w:val="20"/>
          <w:szCs w:val="20"/>
          <w:color w:val="auto"/>
        </w:rPr>
      </w:pPr>
      <w:r>
        <w:rPr>
          <w:rFonts w:ascii="Arial" w:cs="Arial" w:eastAsia="Arial" w:hAnsi="Arial"/>
          <w:sz w:val="21"/>
          <w:szCs w:val="21"/>
          <w:color w:val="auto"/>
        </w:rPr>
        <w:t xml:space="preserve">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21"/>
          <w:szCs w:val="21"/>
          <w:i w:val="1"/>
          <w:iCs w:val="1"/>
          <w:color w:val="auto"/>
        </w:rPr>
        <w:t>The Wall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Street Journal </w:t>
      </w:r>
      <w:r>
        <w:rPr>
          <w:rFonts w:ascii="Arial" w:cs="Arial" w:eastAsia="Arial" w:hAnsi="Arial"/>
          <w:sz w:val="21"/>
          <w:szCs w:val="21"/>
          <w:color w:val="auto"/>
        </w:rPr>
        <w:t>or such other source as the Administrator deems reliable;</w:t>
      </w:r>
    </w:p>
    <w:p>
      <w:pPr>
        <w:spacing w:after="0" w:line="180"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(b) If the Common Stock is regularly quoted by a recognized securities dealer but selling prices are not reported, the Fair Market Value of a share of Common Stock will be the mean between the high bid and low asked prices for the Common Stock on the day of determination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5" w:name="page176"/>
    <w:bookmarkEnd w:id="175"/>
    <w:p>
      <w:pPr>
        <w:jc w:val="both"/>
        <w:ind w:right="20"/>
        <w:spacing w:after="0" w:line="250" w:lineRule="auto"/>
        <w:rPr>
          <w:sz w:val="20"/>
          <w:szCs w:val="20"/>
          <w:color w:val="auto"/>
        </w:rPr>
      </w:pPr>
      <w:r>
        <w:rPr>
          <w:rFonts w:ascii="Arial" w:cs="Arial" w:eastAsia="Arial" w:hAnsi="Arial"/>
          <w:sz w:val="22"/>
          <w:szCs w:val="22"/>
          <w:color w:val="auto"/>
        </w:rPr>
        <w:t xml:space="preserve">(or if no bids and asks were reported on that date, as applicable, on the last Trading Day such bids and asks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75" w:lineRule="exact"/>
        <w:rPr>
          <w:sz w:val="20"/>
          <w:szCs w:val="20"/>
          <w:color w:val="auto"/>
        </w:rPr>
      </w:pPr>
    </w:p>
    <w:p>
      <w:pPr>
        <w:jc w:val="both"/>
        <w:ind w:firstLine="2246"/>
        <w:spacing w:after="0" w:line="251" w:lineRule="exact"/>
        <w:rPr>
          <w:sz w:val="20"/>
          <w:szCs w:val="20"/>
          <w:color w:val="auto"/>
        </w:rPr>
      </w:pPr>
      <w:r>
        <w:rPr>
          <w:rFonts w:ascii="Arial" w:cs="Arial" w:eastAsia="Arial" w:hAnsi="Arial"/>
          <w:sz w:val="22"/>
          <w:szCs w:val="22"/>
          <w:color w:val="auto"/>
        </w:rPr>
        <w:t>(c) For purposes of the Enrollment Date of the first Offering Period under the Plan, the Fair Market Value will be the initial price to the public as set forth in the final prospectus included within the registration statement on Form S</w:t>
      </w:r>
      <w:r>
        <w:rPr>
          <w:rFonts w:ascii="MS PGothic" w:cs="MS PGothic" w:eastAsia="MS PGothic" w:hAnsi="MS PGothic"/>
          <w:sz w:val="22"/>
          <w:szCs w:val="22"/>
          <w:color w:val="auto"/>
        </w:rPr>
        <w:t>‑</w:t>
      </w:r>
      <w:r>
        <w:rPr>
          <w:rFonts w:ascii="Arial" w:cs="Arial" w:eastAsia="Arial" w:hAnsi="Arial"/>
          <w:sz w:val="22"/>
          <w:szCs w:val="22"/>
          <w:color w:val="auto"/>
        </w:rPr>
        <w:t>1 filed with the Securities and Exchange Commission for the initial public offering of the Common Stock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or</w:t>
      </w:r>
    </w:p>
    <w:p>
      <w:pPr>
        <w:spacing w:after="0" w:line="185"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(d) In the absence of an established market for the Common Stock, the Fair Market Value will be determined in good faith by the Administrator.</w:t>
      </w:r>
    </w:p>
    <w:p>
      <w:pPr>
        <w:spacing w:after="0" w:line="175" w:lineRule="exact"/>
        <w:rPr>
          <w:sz w:val="20"/>
          <w:szCs w:val="20"/>
          <w:color w:val="auto"/>
        </w:rPr>
      </w:pPr>
    </w:p>
    <w:p>
      <w:pPr>
        <w:ind w:right="240" w:firstLine="1497"/>
        <w:spacing w:after="0"/>
        <w:rPr>
          <w:sz w:val="20"/>
          <w:szCs w:val="20"/>
          <w:color w:val="auto"/>
        </w:rPr>
      </w:pPr>
      <w:r>
        <w:rPr>
          <w:rFonts w:ascii="Arial" w:cs="Arial" w:eastAsia="Arial" w:hAnsi="Arial"/>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jc w:val="right"/>
              <w:ind w:right="552"/>
              <w:spacing w:after="0"/>
              <w:rPr>
                <w:sz w:val="20"/>
                <w:szCs w:val="20"/>
                <w:color w:val="auto"/>
              </w:rPr>
            </w:pPr>
            <w:r>
              <w:rPr>
                <w:rFonts w:ascii="Arial" w:cs="Arial" w:eastAsia="Arial" w:hAnsi="Arial"/>
                <w:sz w:val="22"/>
                <w:szCs w:val="22"/>
                <w:color w:val="auto"/>
              </w:rPr>
              <w:t>2.19</w:t>
            </w:r>
          </w:p>
        </w:tc>
        <w:tc>
          <w:tcPr>
            <w:tcW w:w="8700" w:type="dxa"/>
            <w:vAlign w:val="bottom"/>
            <w:gridSpan w:val="5"/>
          </w:tcPr>
          <w:p>
            <w:pPr>
              <w:ind w:left="460"/>
              <w:spacing w:after="0"/>
              <w:rPr>
                <w:sz w:val="20"/>
                <w:szCs w:val="20"/>
                <w:color w:val="auto"/>
              </w:rPr>
            </w:pPr>
            <w:r>
              <w:rPr>
                <w:rFonts w:ascii="Arial" w:cs="Arial" w:eastAsia="Arial" w:hAnsi="Arial"/>
                <w:sz w:val="22"/>
                <w:szCs w:val="22"/>
                <w:color w:val="auto"/>
              </w:rPr>
              <w:t>“Fiscal Year” means the fiscal year of the Company.</w:t>
            </w:r>
          </w:p>
        </w:tc>
      </w:tr>
      <w:tr>
        <w:trPr>
          <w:trHeight w:val="20"/>
        </w:trPr>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39"/>
        </w:trPr>
        <w:tc>
          <w:tcPr>
            <w:tcW w:w="2540" w:type="dxa"/>
            <w:vAlign w:val="bottom"/>
          </w:tcPr>
          <w:p>
            <w:pPr>
              <w:jc w:val="right"/>
              <w:ind w:right="552"/>
              <w:spacing w:after="0"/>
              <w:rPr>
                <w:sz w:val="20"/>
                <w:szCs w:val="20"/>
                <w:color w:val="auto"/>
              </w:rPr>
            </w:pPr>
            <w:r>
              <w:rPr>
                <w:rFonts w:ascii="Arial" w:cs="Arial" w:eastAsia="Arial" w:hAnsi="Arial"/>
                <w:sz w:val="22"/>
                <w:szCs w:val="22"/>
                <w:color w:val="auto"/>
              </w:rPr>
              <w:t>2.20</w:t>
            </w:r>
          </w:p>
        </w:tc>
        <w:tc>
          <w:tcPr>
            <w:tcW w:w="8700" w:type="dxa"/>
            <w:vAlign w:val="bottom"/>
            <w:gridSpan w:val="5"/>
          </w:tcPr>
          <w:p>
            <w:pPr>
              <w:ind w:left="460"/>
              <w:spacing w:after="0"/>
              <w:rPr>
                <w:sz w:val="20"/>
                <w:szCs w:val="20"/>
                <w:color w:val="auto"/>
              </w:rPr>
            </w:pPr>
            <w:r>
              <w:rPr>
                <w:rFonts w:ascii="Arial" w:cs="Arial" w:eastAsia="Arial" w:hAnsi="Arial"/>
                <w:sz w:val="22"/>
                <w:szCs w:val="22"/>
                <w:color w:val="auto"/>
                <w:w w:val="92"/>
              </w:rPr>
              <w:t>“New Exercise Date” means a new Exercise Date if the Administrator shortens any Offering</w:t>
            </w:r>
          </w:p>
        </w:tc>
      </w:tr>
      <w:tr>
        <w:trPr>
          <w:trHeight w:val="274"/>
        </w:trPr>
        <w:tc>
          <w:tcPr>
            <w:tcW w:w="2540" w:type="dxa"/>
            <w:vAlign w:val="bottom"/>
          </w:tcPr>
          <w:p>
            <w:pPr>
              <w:jc w:val="right"/>
              <w:ind w:right="372"/>
              <w:spacing w:after="0"/>
              <w:rPr>
                <w:sz w:val="20"/>
                <w:szCs w:val="20"/>
                <w:color w:val="auto"/>
              </w:rPr>
            </w:pPr>
            <w:r>
              <w:rPr>
                <w:rFonts w:ascii="Arial" w:cs="Arial" w:eastAsia="Arial" w:hAnsi="Arial"/>
                <w:sz w:val="22"/>
                <w:szCs w:val="22"/>
                <w:color w:val="auto"/>
                <w:w w:val="87"/>
              </w:rPr>
              <w:t>Period then in progress.</w:t>
            </w:r>
          </w:p>
        </w:tc>
        <w:tc>
          <w:tcPr>
            <w:tcW w:w="5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440" w:type="dxa"/>
            <w:vAlign w:val="bottom"/>
          </w:tcPr>
          <w:p>
            <w:pPr>
              <w:spacing w:after="0"/>
              <w:rPr>
                <w:sz w:val="23"/>
                <w:szCs w:val="23"/>
                <w:color w:val="auto"/>
              </w:rPr>
            </w:pPr>
          </w:p>
        </w:tc>
      </w:tr>
      <w:tr>
        <w:trPr>
          <w:trHeight w:val="408"/>
        </w:trPr>
        <w:tc>
          <w:tcPr>
            <w:tcW w:w="2540" w:type="dxa"/>
            <w:vAlign w:val="bottom"/>
          </w:tcPr>
          <w:p>
            <w:pPr>
              <w:jc w:val="right"/>
              <w:ind w:right="552"/>
              <w:spacing w:after="0"/>
              <w:rPr>
                <w:sz w:val="20"/>
                <w:szCs w:val="20"/>
                <w:color w:val="auto"/>
              </w:rPr>
            </w:pPr>
            <w:r>
              <w:rPr>
                <w:rFonts w:ascii="Arial" w:cs="Arial" w:eastAsia="Arial" w:hAnsi="Arial"/>
                <w:sz w:val="22"/>
                <w:szCs w:val="22"/>
                <w:color w:val="auto"/>
              </w:rPr>
              <w:t>2.21</w:t>
            </w:r>
          </w:p>
        </w:tc>
        <w:tc>
          <w:tcPr>
            <w:tcW w:w="8700" w:type="dxa"/>
            <w:vAlign w:val="bottom"/>
            <w:gridSpan w:val="5"/>
          </w:tcPr>
          <w:p>
            <w:pPr>
              <w:ind w:left="460"/>
              <w:spacing w:after="0"/>
              <w:rPr>
                <w:sz w:val="20"/>
                <w:szCs w:val="20"/>
                <w:color w:val="auto"/>
              </w:rPr>
            </w:pPr>
            <w:r>
              <w:rPr>
                <w:rFonts w:ascii="Arial" w:cs="Arial" w:eastAsia="Arial" w:hAnsi="Arial"/>
                <w:sz w:val="22"/>
                <w:szCs w:val="22"/>
                <w:color w:val="auto"/>
                <w:w w:val="98"/>
              </w:rPr>
              <w:t>“Offering” means an offer under the Plan of an option that may be exercised during an</w:t>
            </w:r>
          </w:p>
        </w:tc>
      </w:tr>
      <w:tr>
        <w:trPr>
          <w:trHeight w:val="20"/>
        </w:trPr>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8" w:lineRule="exact"/>
        <w:rPr>
          <w:sz w:val="20"/>
          <w:szCs w:val="20"/>
          <w:color w:val="auto"/>
        </w:rPr>
      </w:pPr>
      <w:r>
        <w:rPr>
          <w:rFonts w:ascii="Arial" w:cs="Arial" w:eastAsia="Arial" w:hAnsi="Arial"/>
          <w:sz w:val="22"/>
          <w:szCs w:val="22"/>
          <w:color w:val="auto"/>
        </w:rPr>
        <w:t>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22"/>
          <w:szCs w:val="22"/>
          <w:color w:val="auto"/>
        </w:rPr>
        <w:t>‑</w:t>
      </w:r>
      <w:r>
        <w:rPr>
          <w:rFonts w:ascii="Arial" w:cs="Arial" w:eastAsia="Arial" w:hAnsi="Arial"/>
          <w:sz w:val="22"/>
          <w:szCs w:val="22"/>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22"/>
          <w:szCs w:val="22"/>
          <w:color w:val="auto"/>
        </w:rPr>
        <w:t>‑</w:t>
      </w:r>
      <w:r>
        <w:rPr>
          <w:rFonts w:ascii="Arial" w:cs="Arial" w:eastAsia="Arial" w:hAnsi="Arial"/>
          <w:sz w:val="22"/>
          <w:szCs w:val="22"/>
          <w:color w:val="auto"/>
        </w:rPr>
        <w:t>2(a)(2) and (a)(3).</w:t>
      </w:r>
    </w:p>
    <w:p>
      <w:pPr>
        <w:spacing w:after="0" w:line="188"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0"/>
          <w:szCs w:val="20"/>
          <w:color w:val="auto"/>
        </w:rPr>
        <w:t>2.22 “</w:t>
      </w:r>
      <w:r>
        <w:rPr>
          <w:rFonts w:ascii="Arial" w:cs="Arial" w:eastAsia="Arial" w:hAnsi="Arial"/>
          <w:sz w:val="20"/>
          <w:szCs w:val="20"/>
          <w:u w:val="single" w:color="auto"/>
          <w:color w:val="auto"/>
        </w:rPr>
        <w:t>Offering Periods</w:t>
      </w:r>
      <w:r>
        <w:rPr>
          <w:rFonts w:ascii="Arial" w:cs="Arial" w:eastAsia="Arial" w:hAnsi="Arial"/>
          <w:sz w:val="20"/>
          <w:szCs w:val="20"/>
          <w:color w:val="auto"/>
        </w:rPr>
        <w:t>” means the consecutive periods of approximately six (6) months during which an option granted pursuant to the Plan may be exercised, commencing on the first Trading Day on or after May 18</w:t>
      </w:r>
      <w:r>
        <w:rPr>
          <w:rFonts w:ascii="Arial" w:cs="Arial" w:eastAsia="Arial" w:hAnsi="Arial"/>
          <w:sz w:val="13"/>
          <w:szCs w:val="13"/>
          <w:color w:val="auto"/>
        </w:rPr>
        <w:t>th</w:t>
      </w:r>
      <w:r>
        <w:rPr>
          <w:rFonts w:ascii="Arial" w:cs="Arial" w:eastAsia="Arial" w:hAnsi="Arial"/>
          <w:sz w:val="20"/>
          <w:szCs w:val="20"/>
          <w:color w:val="auto"/>
        </w:rPr>
        <w:t xml:space="preserve"> and November 18</w:t>
      </w:r>
      <w:r>
        <w:rPr>
          <w:rFonts w:ascii="Arial" w:cs="Arial" w:eastAsia="Arial" w:hAnsi="Arial"/>
          <w:sz w:val="13"/>
          <w:szCs w:val="13"/>
          <w:color w:val="auto"/>
        </w:rPr>
        <w:t>th</w:t>
      </w:r>
      <w:r>
        <w:rPr>
          <w:rFonts w:ascii="Arial" w:cs="Arial" w:eastAsia="Arial" w:hAnsi="Arial"/>
          <w:sz w:val="20"/>
          <w:szCs w:val="20"/>
          <w:color w:val="auto"/>
        </w:rPr>
        <w:t xml:space="preserve"> of each year and terminating on the first Trading Day on or after November 18</w:t>
      </w:r>
      <w:r>
        <w:rPr>
          <w:rFonts w:ascii="Arial" w:cs="Arial" w:eastAsia="Arial" w:hAnsi="Arial"/>
          <w:sz w:val="13"/>
          <w:szCs w:val="13"/>
          <w:color w:val="auto"/>
        </w:rPr>
        <w:t>th</w:t>
      </w:r>
      <w:r>
        <w:rPr>
          <w:rFonts w:ascii="Arial" w:cs="Arial" w:eastAsia="Arial" w:hAnsi="Arial"/>
          <w:sz w:val="20"/>
          <w:szCs w:val="20"/>
          <w:color w:val="auto"/>
        </w:rPr>
        <w:t xml:space="preserve"> and May 18</w:t>
      </w:r>
      <w:r>
        <w:rPr>
          <w:rFonts w:ascii="Arial" w:cs="Arial" w:eastAsia="Arial" w:hAnsi="Arial"/>
          <w:sz w:val="13"/>
          <w:szCs w:val="13"/>
          <w:color w:val="auto"/>
        </w:rPr>
        <w:t>th</w:t>
      </w:r>
      <w:r>
        <w:rPr>
          <w:rFonts w:ascii="Arial" w:cs="Arial" w:eastAsia="Arial" w:hAnsi="Arial"/>
          <w:sz w:val="20"/>
          <w:szCs w:val="20"/>
          <w:color w:val="auto"/>
        </w:rPr>
        <w:t>, approximately six</w:t>
      </w:r>
    </w:p>
    <w:p>
      <w:pPr>
        <w:spacing w:after="0" w:line="2" w:lineRule="exact"/>
        <w:rPr>
          <w:sz w:val="20"/>
          <w:szCs w:val="20"/>
          <w:color w:val="auto"/>
        </w:rPr>
      </w:pPr>
    </w:p>
    <w:p>
      <w:pPr>
        <w:jc w:val="both"/>
        <w:ind w:firstLine="8"/>
        <w:spacing w:after="0" w:line="233" w:lineRule="auto"/>
        <w:tabs>
          <w:tab w:leader="none" w:pos="309"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18, 2021, and provided, further, that the second Offering Period under the Plan will commence on the first Trading Day on or after May 18, 2021. The duration and timing of Offering Periods may be changed pursuant to Sections 6 and 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2.23</w:t>
            </w:r>
          </w:p>
        </w:tc>
        <w:tc>
          <w:tcPr>
            <w:tcW w:w="8800" w:type="dxa"/>
            <w:vAlign w:val="bottom"/>
            <w:gridSpan w:val="8"/>
          </w:tcPr>
          <w:p>
            <w:pPr>
              <w:ind w:left="560"/>
              <w:spacing w:after="0"/>
              <w:rPr>
                <w:sz w:val="20"/>
                <w:szCs w:val="20"/>
                <w:color w:val="auto"/>
              </w:rPr>
            </w:pPr>
            <w:r>
              <w:rPr>
                <w:rFonts w:ascii="Arial" w:cs="Arial" w:eastAsia="Arial" w:hAnsi="Arial"/>
                <w:sz w:val="22"/>
                <w:szCs w:val="22"/>
                <w:color w:val="auto"/>
                <w:w w:val="91"/>
              </w:rPr>
              <w:t>“Parent” means a “parent corporation,” whether now or hereafter existing, as defined in Code</w:t>
            </w:r>
          </w:p>
        </w:tc>
      </w:tr>
      <w:tr>
        <w:trPr>
          <w:trHeight w:val="274"/>
        </w:trPr>
        <w:tc>
          <w:tcPr>
            <w:tcW w:w="2440" w:type="dxa"/>
            <w:vAlign w:val="bottom"/>
          </w:tcPr>
          <w:p>
            <w:pPr>
              <w:jc w:val="right"/>
              <w:ind w:right="1012"/>
              <w:spacing w:after="0"/>
              <w:rPr>
                <w:sz w:val="20"/>
                <w:szCs w:val="20"/>
                <w:color w:val="auto"/>
              </w:rPr>
            </w:pPr>
            <w:r>
              <w:rPr>
                <w:rFonts w:ascii="Arial" w:cs="Arial" w:eastAsia="Arial" w:hAnsi="Arial"/>
                <w:sz w:val="22"/>
                <w:szCs w:val="22"/>
                <w:color w:val="auto"/>
                <w:w w:val="87"/>
              </w:rPr>
              <w:t>Section 424(e).</w:t>
            </w:r>
          </w:p>
        </w:tc>
        <w:tc>
          <w:tcPr>
            <w:tcW w:w="6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4920" w:type="dxa"/>
            <w:vAlign w:val="bottom"/>
          </w:tcPr>
          <w:p>
            <w:pPr>
              <w:spacing w:after="0"/>
              <w:rPr>
                <w:sz w:val="23"/>
                <w:szCs w:val="23"/>
                <w:color w:val="auto"/>
              </w:rPr>
            </w:pPr>
          </w:p>
        </w:tc>
      </w:tr>
      <w:tr>
        <w:trPr>
          <w:trHeight w:val="408"/>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2.24</w:t>
            </w:r>
          </w:p>
        </w:tc>
        <w:tc>
          <w:tcPr>
            <w:tcW w:w="8800" w:type="dxa"/>
            <w:vAlign w:val="bottom"/>
            <w:gridSpan w:val="8"/>
          </w:tcPr>
          <w:p>
            <w:pPr>
              <w:ind w:left="560"/>
              <w:spacing w:after="0"/>
              <w:rPr>
                <w:sz w:val="20"/>
                <w:szCs w:val="20"/>
                <w:color w:val="auto"/>
              </w:rPr>
            </w:pPr>
            <w:r>
              <w:rPr>
                <w:rFonts w:ascii="Arial" w:cs="Arial" w:eastAsia="Arial" w:hAnsi="Arial"/>
                <w:sz w:val="22"/>
                <w:szCs w:val="22"/>
                <w:color w:val="auto"/>
              </w:rPr>
              <w:t>“Participant” means an Eligible Employee that participates in the Plan.</w:t>
            </w:r>
          </w:p>
        </w:tc>
      </w:tr>
      <w:tr>
        <w:trPr>
          <w:trHeight w:val="20"/>
        </w:trPr>
        <w:tc>
          <w:tcPr>
            <w:tcW w:w="2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r>
      <w:tr>
        <w:trPr>
          <w:trHeight w:val="439"/>
        </w:trPr>
        <w:tc>
          <w:tcPr>
            <w:tcW w:w="2440" w:type="dxa"/>
            <w:vAlign w:val="bottom"/>
          </w:tcPr>
          <w:p>
            <w:pPr>
              <w:jc w:val="right"/>
              <w:ind w:right="452"/>
              <w:spacing w:after="0"/>
              <w:rPr>
                <w:sz w:val="20"/>
                <w:szCs w:val="20"/>
                <w:color w:val="auto"/>
              </w:rPr>
            </w:pPr>
            <w:r>
              <w:rPr>
                <w:rFonts w:ascii="Arial" w:cs="Arial" w:eastAsia="Arial" w:hAnsi="Arial"/>
                <w:sz w:val="22"/>
                <w:szCs w:val="22"/>
                <w:color w:val="auto"/>
              </w:rPr>
              <w:t>2.25</w:t>
            </w:r>
          </w:p>
        </w:tc>
        <w:tc>
          <w:tcPr>
            <w:tcW w:w="8800" w:type="dxa"/>
            <w:vAlign w:val="bottom"/>
            <w:gridSpan w:val="8"/>
          </w:tcPr>
          <w:p>
            <w:pPr>
              <w:ind w:left="560"/>
              <w:spacing w:after="0"/>
              <w:rPr>
                <w:sz w:val="20"/>
                <w:szCs w:val="20"/>
                <w:color w:val="auto"/>
              </w:rPr>
            </w:pPr>
            <w:r>
              <w:rPr>
                <w:rFonts w:ascii="Arial" w:cs="Arial" w:eastAsia="Arial" w:hAnsi="Arial"/>
                <w:sz w:val="22"/>
                <w:szCs w:val="22"/>
                <w:color w:val="auto"/>
              </w:rPr>
              <w:t>“Plan” means this Athira Pharma, Inc. 2020 Employee Stock Purchase Plan.</w:t>
            </w:r>
          </w:p>
        </w:tc>
      </w:tr>
      <w:tr>
        <w:trPr>
          <w:trHeight w:val="274"/>
        </w:trPr>
        <w:tc>
          <w:tcPr>
            <w:tcW w:w="2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Borders>
              <w:top w:val="single" w:sz="8" w:color="auto"/>
            </w:tcBorders>
            <w:gridSpan w:val="2"/>
          </w:tcPr>
          <w:p>
            <w:pPr>
              <w:spacing w:after="0"/>
              <w:rPr>
                <w:sz w:val="23"/>
                <w:szCs w:val="23"/>
                <w:color w:val="auto"/>
              </w:rPr>
            </w:pPr>
          </w:p>
        </w:tc>
        <w:tc>
          <w:tcPr>
            <w:tcW w:w="2840" w:type="dxa"/>
            <w:vAlign w:val="bottom"/>
            <w:gridSpan w:val="4"/>
          </w:tcPr>
          <w:p>
            <w:pPr>
              <w:jc w:val="right"/>
              <w:ind w:right="560"/>
              <w:spacing w:after="0"/>
              <w:rPr>
                <w:sz w:val="20"/>
                <w:szCs w:val="20"/>
                <w:color w:val="auto"/>
              </w:rPr>
            </w:pPr>
            <w:r>
              <w:rPr>
                <w:rFonts w:ascii="Arial" w:cs="Arial" w:eastAsia="Arial" w:hAnsi="Arial"/>
                <w:sz w:val="22"/>
                <w:szCs w:val="22"/>
                <w:color w:val="auto"/>
              </w:rPr>
              <w:t>-5-</w:t>
            </w:r>
          </w:p>
        </w:tc>
        <w:tc>
          <w:tcPr>
            <w:tcW w:w="4920" w:type="dxa"/>
            <w:vAlign w:val="bottom"/>
          </w:tcPr>
          <w:p>
            <w:pPr>
              <w:spacing w:after="0"/>
              <w:rPr>
                <w:sz w:val="23"/>
                <w:szCs w:val="23"/>
                <w:color w:val="auto"/>
              </w:rPr>
            </w:pPr>
          </w:p>
        </w:tc>
      </w:tr>
      <w:tr>
        <w:trPr>
          <w:trHeight w:val="105"/>
        </w:trPr>
        <w:tc>
          <w:tcPr>
            <w:tcW w:w="24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6" w:name="page177"/>
    <w:bookmarkEnd w:id="176"/>
    <w:p>
      <w:pPr>
        <w:jc w:val="both"/>
        <w:ind w:firstLine="1497"/>
        <w:spacing w:after="0" w:line="248" w:lineRule="auto"/>
        <w:rPr>
          <w:sz w:val="20"/>
          <w:szCs w:val="20"/>
          <w:color w:val="auto"/>
        </w:rPr>
      </w:pPr>
      <w:r>
        <w:rPr>
          <w:rFonts w:ascii="Arial" w:cs="Arial" w:eastAsia="Arial" w:hAnsi="Arial"/>
          <w:sz w:val="21"/>
          <w:szCs w:val="21"/>
          <w:color w:val="auto"/>
        </w:rPr>
        <w:t>2.26 “</w:t>
      </w:r>
      <w:r>
        <w:rPr>
          <w:rFonts w:ascii="Arial" w:cs="Arial" w:eastAsia="Arial" w:hAnsi="Arial"/>
          <w:sz w:val="21"/>
          <w:szCs w:val="21"/>
          <w:u w:val="single" w:color="auto"/>
          <w:color w:val="auto"/>
        </w:rPr>
        <w:t>Purchase Period</w:t>
      </w:r>
      <w:r>
        <w:rPr>
          <w:rFonts w:ascii="Arial" w:cs="Arial" w:eastAsia="Arial" w:hAnsi="Arial"/>
          <w:sz w:val="21"/>
          <w:szCs w:val="21"/>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77" w:lineRule="exact"/>
        <w:rPr>
          <w:sz w:val="20"/>
          <w:szCs w:val="20"/>
          <w:color w:val="auto"/>
        </w:rPr>
      </w:pPr>
    </w:p>
    <w:p>
      <w:pPr>
        <w:jc w:val="both"/>
        <w:ind w:firstLine="1497"/>
        <w:spacing w:after="0" w:line="249" w:lineRule="exact"/>
        <w:rPr>
          <w:sz w:val="20"/>
          <w:szCs w:val="20"/>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Purchase Price</w:t>
      </w:r>
      <w:r>
        <w:rPr>
          <w:rFonts w:ascii="Arial" w:cs="Arial" w:eastAsia="Arial" w:hAnsi="Arial"/>
          <w:sz w:val="22"/>
          <w:szCs w:val="22"/>
          <w:color w:val="auto"/>
        </w:rPr>
        <w:t>” means an amount equal to eighty</w:t>
      </w:r>
      <w:r>
        <w:rPr>
          <w:rFonts w:ascii="MS PGothic" w:cs="MS PGothic" w:eastAsia="MS PGothic" w:hAnsi="MS PGothic"/>
          <w:sz w:val="22"/>
          <w:szCs w:val="22"/>
          <w:color w:val="auto"/>
        </w:rPr>
        <w:t>‑</w:t>
      </w:r>
      <w:r>
        <w:rPr>
          <w:rFonts w:ascii="Arial" w:cs="Arial" w:eastAsia="Arial" w:hAnsi="Arial"/>
          <w:sz w:val="22"/>
          <w:szCs w:val="22"/>
          <w:color w:val="auto"/>
        </w:rPr>
        <w:t>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Registration Date</w:t>
      </w:r>
      <w:r>
        <w:rPr>
          <w:rFonts w:ascii="Arial" w:cs="Arial" w:eastAsia="Arial" w:hAnsi="Arial"/>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2.29</w:t>
            </w:r>
          </w:p>
        </w:tc>
        <w:tc>
          <w:tcPr>
            <w:tcW w:w="8720" w:type="dxa"/>
            <w:vAlign w:val="bottom"/>
            <w:gridSpan w:val="5"/>
          </w:tcPr>
          <w:p>
            <w:pPr>
              <w:ind w:left="480"/>
              <w:spacing w:after="0"/>
              <w:rPr>
                <w:sz w:val="20"/>
                <w:szCs w:val="20"/>
                <w:color w:val="auto"/>
              </w:rPr>
            </w:pPr>
            <w:r>
              <w:rPr>
                <w:rFonts w:ascii="Arial" w:cs="Arial" w:eastAsia="Arial" w:hAnsi="Arial"/>
                <w:sz w:val="22"/>
                <w:szCs w:val="22"/>
                <w:color w:val="auto"/>
                <w:w w:val="91"/>
              </w:rPr>
              <w:t>“Section 409A” means Code Section 409A and the U.S. Treasury Regulations and guidance</w:t>
            </w:r>
          </w:p>
        </w:tc>
      </w:tr>
      <w:tr>
        <w:trPr>
          <w:trHeight w:val="20"/>
        </w:trPr>
        <w:tc>
          <w:tcPr>
            <w:tcW w:w="31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73"/>
        </w:trPr>
        <w:tc>
          <w:tcPr>
            <w:tcW w:w="11240" w:type="dxa"/>
            <w:vAlign w:val="bottom"/>
            <w:gridSpan w:val="6"/>
          </w:tcPr>
          <w:p>
            <w:pPr>
              <w:spacing w:after="0"/>
              <w:rPr>
                <w:sz w:val="20"/>
                <w:szCs w:val="20"/>
                <w:color w:val="auto"/>
              </w:rPr>
            </w:pPr>
            <w:r>
              <w:rPr>
                <w:rFonts w:ascii="Arial" w:cs="Arial" w:eastAsia="Arial" w:hAnsi="Arial"/>
                <w:sz w:val="22"/>
                <w:szCs w:val="22"/>
                <w:color w:val="auto"/>
                <w:w w:val="94"/>
              </w:rPr>
              <w:t>thereunder, and any applicable state law equivalent, as each may be promulgated, amended or modified from time to time.</w:t>
            </w:r>
          </w:p>
        </w:tc>
      </w:tr>
      <w:tr>
        <w:trPr>
          <w:trHeight w:val="40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2.30</w:t>
            </w:r>
          </w:p>
        </w:tc>
        <w:tc>
          <w:tcPr>
            <w:tcW w:w="8720" w:type="dxa"/>
            <w:vAlign w:val="bottom"/>
            <w:gridSpan w:val="5"/>
          </w:tcPr>
          <w:p>
            <w:pPr>
              <w:ind w:left="480"/>
              <w:spacing w:after="0"/>
              <w:rPr>
                <w:sz w:val="20"/>
                <w:szCs w:val="20"/>
                <w:color w:val="auto"/>
              </w:rPr>
            </w:pPr>
            <w:r>
              <w:rPr>
                <w:rFonts w:ascii="Arial" w:cs="Arial" w:eastAsia="Arial" w:hAnsi="Arial"/>
                <w:sz w:val="22"/>
                <w:szCs w:val="22"/>
                <w:color w:val="auto"/>
                <w:w w:val="91"/>
              </w:rPr>
              <w:t>“Subsidiary” means a “subsidiary corporation,” whether now or hereafter existing, as defined</w:t>
            </w:r>
          </w:p>
        </w:tc>
      </w:tr>
      <w:tr>
        <w:trPr>
          <w:trHeight w:val="274"/>
        </w:trPr>
        <w:tc>
          <w:tcPr>
            <w:tcW w:w="2520" w:type="dxa"/>
            <w:vAlign w:val="bottom"/>
          </w:tcPr>
          <w:p>
            <w:pPr>
              <w:spacing w:after="0"/>
              <w:rPr>
                <w:sz w:val="20"/>
                <w:szCs w:val="20"/>
                <w:color w:val="auto"/>
              </w:rPr>
            </w:pPr>
            <w:r>
              <w:rPr>
                <w:rFonts w:ascii="Arial" w:cs="Arial" w:eastAsia="Arial" w:hAnsi="Arial"/>
                <w:sz w:val="22"/>
                <w:szCs w:val="22"/>
                <w:color w:val="auto"/>
              </w:rPr>
              <w:t>in Code Section 424(f).</w:t>
            </w:r>
          </w:p>
        </w:tc>
        <w:tc>
          <w:tcPr>
            <w:tcW w:w="58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940" w:type="dxa"/>
            <w:vAlign w:val="bottom"/>
          </w:tcPr>
          <w:p>
            <w:pPr>
              <w:spacing w:after="0"/>
              <w:rPr>
                <w:sz w:val="23"/>
                <w:szCs w:val="23"/>
                <w:color w:val="auto"/>
              </w:rPr>
            </w:pPr>
          </w:p>
        </w:tc>
      </w:tr>
      <w:tr>
        <w:trPr>
          <w:trHeight w:val="408"/>
        </w:trPr>
        <w:tc>
          <w:tcPr>
            <w:tcW w:w="2520" w:type="dxa"/>
            <w:vAlign w:val="bottom"/>
          </w:tcPr>
          <w:p>
            <w:pPr>
              <w:jc w:val="right"/>
              <w:ind w:right="532"/>
              <w:spacing w:after="0"/>
              <w:rPr>
                <w:sz w:val="20"/>
                <w:szCs w:val="20"/>
                <w:color w:val="auto"/>
              </w:rPr>
            </w:pPr>
            <w:r>
              <w:rPr>
                <w:rFonts w:ascii="Arial" w:cs="Arial" w:eastAsia="Arial" w:hAnsi="Arial"/>
                <w:sz w:val="22"/>
                <w:szCs w:val="22"/>
                <w:color w:val="auto"/>
              </w:rPr>
              <w:t>2.31</w:t>
            </w:r>
          </w:p>
        </w:tc>
        <w:tc>
          <w:tcPr>
            <w:tcW w:w="8720" w:type="dxa"/>
            <w:vAlign w:val="bottom"/>
            <w:gridSpan w:val="5"/>
          </w:tcPr>
          <w:p>
            <w:pPr>
              <w:ind w:left="480"/>
              <w:spacing w:after="0"/>
              <w:rPr>
                <w:sz w:val="20"/>
                <w:szCs w:val="20"/>
                <w:color w:val="auto"/>
              </w:rPr>
            </w:pPr>
            <w:r>
              <w:rPr>
                <w:rFonts w:ascii="Arial" w:cs="Arial" w:eastAsia="Arial" w:hAnsi="Arial"/>
                <w:sz w:val="22"/>
                <w:szCs w:val="22"/>
                <w:color w:val="auto"/>
                <w:w w:val="90"/>
              </w:rPr>
              <w:t>“Trading Day” means a day that the primary stock exchange, national market system, or other</w:t>
            </w:r>
          </w:p>
        </w:tc>
      </w:tr>
      <w:tr>
        <w:trPr>
          <w:trHeight w:val="20"/>
        </w:trPr>
        <w:tc>
          <w:tcPr>
            <w:tcW w:w="2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trading platform, as applicable, upon which the Common Stock is listed (or otherwise trades regularly, as determined by the Administrator, in its sole discretion) is open for trading.</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U.S. Treasury Regulations</w:t>
      </w:r>
      <w:r>
        <w:rPr>
          <w:rFonts w:ascii="Arial" w:cs="Arial" w:eastAsia="Arial" w:hAnsi="Arial"/>
          <w:sz w:val="22"/>
          <w:szCs w:val="22"/>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85" w:lineRule="exact"/>
        <w:rPr>
          <w:sz w:val="20"/>
          <w:szCs w:val="20"/>
          <w:color w:val="auto"/>
        </w:rPr>
      </w:pPr>
    </w:p>
    <w:p>
      <w:pPr>
        <w:ind w:left="1500" w:hanging="743"/>
        <w:spacing w:after="0"/>
        <w:tabs>
          <w:tab w:leader="none" w:pos="15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 Subject to adjustment upon changes in capitalization of the Company as provided in Section 17 hereof, the maximum number of shares of Common Stock that will be made available for sale under the Plan will be equal to 323,000 shares of Common Stock.</w:t>
      </w:r>
    </w:p>
    <w:p>
      <w:pPr>
        <w:spacing w:after="0" w:line="18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Automatic Share Reserve Increase</w:t>
      </w:r>
      <w:r>
        <w:rPr>
          <w:rFonts w:ascii="Arial" w:cs="Arial" w:eastAsia="Arial" w:hAnsi="Arial"/>
          <w:sz w:val="21"/>
          <w:szCs w:val="21"/>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646,000 shares of Common Stock, (b) one percent (1%) of the outstanding shares of Common Stock on the last day of the immediately preceding Fiscal Year, or (c) such number of Shares determined by the Board no later</w:t>
      </w: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7" w:name="page178"/>
    <w:bookmarkEnd w:id="177"/>
    <w:p>
      <w:pPr>
        <w:spacing w:after="0" w:line="250" w:lineRule="auto"/>
        <w:rPr>
          <w:sz w:val="20"/>
          <w:szCs w:val="20"/>
          <w:color w:val="auto"/>
        </w:rPr>
      </w:pPr>
      <w:r>
        <w:rPr>
          <w:rFonts w:ascii="Arial" w:cs="Arial" w:eastAsia="Arial" w:hAnsi="Arial"/>
          <w:sz w:val="22"/>
          <w:szCs w:val="22"/>
          <w:color w:val="auto"/>
        </w:rPr>
        <w:t>than the last day of the immediately preceding Fiscal Year. The shares of Common Stock may be authorized, but unissued, or reacquired Common Stock.</w:t>
      </w:r>
    </w:p>
    <w:p>
      <w:pPr>
        <w:spacing w:after="0" w:line="175" w:lineRule="exact"/>
        <w:rPr>
          <w:sz w:val="20"/>
          <w:szCs w:val="20"/>
          <w:color w:val="auto"/>
        </w:rPr>
      </w:pPr>
    </w:p>
    <w:p>
      <w:pPr>
        <w:jc w:val="both"/>
        <w:ind w:firstLine="757"/>
        <w:spacing w:after="0"/>
        <w:tabs>
          <w:tab w:leader="none" w:pos="149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Plan will be administered by the Board or a Committee appointed by the Board, which Committee will be constituted to comply with Applicable Laws. The Administrator will have full and exclusive discretionary authority to</w:t>
      </w:r>
    </w:p>
    <w:p>
      <w:pPr>
        <w:sectPr>
          <w:pgSz w:w="11900" w:h="16838" w:orient="portrait"/>
          <w:cols w:equalWidth="0" w:num="1">
            <w:col w:w="11240"/>
          </w:cols>
          <w:pgMar w:left="320" w:top="577" w:right="339" w:bottom="1440" w:gutter="0" w:footer="0" w:header="0"/>
        </w:sectPr>
      </w:pP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construe, interpret and apply the terms of the Plan,</w:t>
      </w:r>
    </w:p>
    <w:p>
      <w:pPr>
        <w:spacing w:after="0" w:line="200"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020"/>
        <w:spacing w:after="0"/>
        <w:rPr>
          <w:sz w:val="20"/>
          <w:szCs w:val="20"/>
          <w:color w:val="auto"/>
        </w:rPr>
      </w:pPr>
      <w:r>
        <w:rPr>
          <w:rFonts w:ascii="Arial" w:cs="Arial" w:eastAsia="Arial" w:hAnsi="Arial"/>
          <w:sz w:val="19"/>
          <w:szCs w:val="19"/>
          <w:color w:val="auto"/>
        </w:rPr>
        <w:t>delegate ministerial duties to any of the Company’s employees,</w:t>
      </w:r>
    </w:p>
    <w:p>
      <w:pPr>
        <w:spacing w:after="0" w:line="222"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1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designate separate Offerings under the Plan,</w:t>
      </w:r>
    </w:p>
    <w:p>
      <w:pPr>
        <w:spacing w:after="0" w:line="200"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designate Subsidiaries as participating in the 423 Component or Non</w:t>
      </w:r>
      <w:r>
        <w:rPr>
          <w:rFonts w:ascii="MS PGothic" w:cs="MS PGothic" w:eastAsia="MS PGothic" w:hAnsi="MS PGothic"/>
          <w:sz w:val="19"/>
          <w:szCs w:val="19"/>
          <w:color w:val="auto"/>
        </w:rPr>
        <w:t>‑</w:t>
      </w:r>
      <w:r>
        <w:rPr>
          <w:rFonts w:ascii="Arial" w:cs="Arial" w:eastAsia="Arial" w:hAnsi="Arial"/>
          <w:sz w:val="19"/>
          <w:szCs w:val="19"/>
          <w:color w:val="auto"/>
        </w:rPr>
        <w:t>423 Component,</w:t>
      </w:r>
    </w:p>
    <w:p>
      <w:pPr>
        <w:spacing w:after="0" w:line="222"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1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determine eligibility,</w:t>
      </w:r>
    </w:p>
    <w:p>
      <w:pPr>
        <w:spacing w:after="0" w:line="200"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adjudicate all disputed claims filed under the Plan, and</w:t>
      </w:r>
    </w:p>
    <w:p>
      <w:pPr>
        <w:spacing w:after="0" w:line="234" w:lineRule="exact"/>
        <w:rPr>
          <w:sz w:val="20"/>
          <w:szCs w:val="20"/>
          <w:color w:val="auto"/>
        </w:rPr>
      </w:pPr>
    </w:p>
    <w:p>
      <w:pPr>
        <w:sectPr>
          <w:pgSz w:w="11900" w:h="16838" w:orient="portrait"/>
          <w:cols w:equalWidth="0" w:num="2">
            <w:col w:w="3040" w:space="720"/>
            <w:col w:w="7480"/>
          </w:cols>
          <w:pgMar w:left="320" w:top="577" w:right="339" w:bottom="1440" w:gutter="0" w:footer="0" w:header="0"/>
          <w:type w:val="continuous"/>
        </w:sectPr>
      </w:pPr>
    </w:p>
    <w:p>
      <w:pPr>
        <w:spacing w:after="0" w:line="6" w:lineRule="exact"/>
        <w:rPr>
          <w:sz w:val="20"/>
          <w:szCs w:val="20"/>
          <w:color w:val="auto"/>
        </w:rPr>
      </w:pPr>
    </w:p>
    <w:p>
      <w:pPr>
        <w:ind w:left="1500"/>
        <w:spacing w:after="0"/>
        <w:tabs>
          <w:tab w:leader="none" w:pos="374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establish such procedures that it deems necessary or advisable for the administration</w:t>
      </w:r>
    </w:p>
    <w:p>
      <w:pPr>
        <w:sectPr>
          <w:pgSz w:w="11900" w:h="16838" w:orient="portrait"/>
          <w:cols w:equalWidth="0" w:num="1">
            <w:col w:w="11240"/>
          </w:cols>
          <w:pgMar w:left="320" w:top="577" w:right="339" w:bottom="1440" w:gutter="0" w:footer="0" w:header="0"/>
          <w:type w:val="continuous"/>
        </w:sectPr>
      </w:pPr>
    </w:p>
    <w:p>
      <w:pPr>
        <w:spacing w:after="0" w:line="56" w:lineRule="exact"/>
        <w:rPr>
          <w:sz w:val="20"/>
          <w:szCs w:val="20"/>
          <w:color w:val="auto"/>
        </w:rPr>
      </w:pPr>
    </w:p>
    <w:p>
      <w:pPr>
        <w:jc w:val="both"/>
        <w:spacing w:after="0" w:line="243" w:lineRule="exact"/>
        <w:rPr>
          <w:sz w:val="20"/>
          <w:szCs w:val="20"/>
          <w:color w:val="auto"/>
        </w:rPr>
      </w:pPr>
      <w:r>
        <w:rPr>
          <w:rFonts w:ascii="Arial" w:cs="Arial" w:eastAsia="Arial" w:hAnsi="Arial"/>
          <w:sz w:val="19"/>
          <w:szCs w:val="19"/>
          <w:color w:val="auto"/>
        </w:rPr>
        <w:t>of the Plan (including, without limitation, to adopt such procedures, sub</w:t>
      </w:r>
      <w:r>
        <w:rPr>
          <w:rFonts w:ascii="MS PGothic" w:cs="MS PGothic" w:eastAsia="MS PGothic" w:hAnsi="MS PGothic"/>
          <w:sz w:val="19"/>
          <w:szCs w:val="19"/>
          <w:color w:val="auto"/>
        </w:rPr>
        <w:t>‑</w:t>
      </w:r>
      <w:r>
        <w:rPr>
          <w:rFonts w:ascii="Arial" w:cs="Arial" w:eastAsia="Arial" w:hAnsi="Arial"/>
          <w:sz w:val="19"/>
          <w:szCs w:val="19"/>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9"/>
          <w:szCs w:val="19"/>
          <w:color w:val="auto"/>
        </w:rPr>
        <w:t>‑</w:t>
      </w:r>
      <w:r>
        <w:rPr>
          <w:rFonts w:ascii="Arial" w:cs="Arial" w:eastAsia="Arial" w:hAnsi="Arial"/>
          <w:sz w:val="19"/>
          <w:szCs w:val="19"/>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9"/>
          <w:szCs w:val="19"/>
          <w:color w:val="auto"/>
        </w:rPr>
        <w:t>‑</w:t>
      </w:r>
      <w:r>
        <w:rPr>
          <w:rFonts w:ascii="Arial" w:cs="Arial" w:eastAsia="Arial" w:hAnsi="Arial"/>
          <w:sz w:val="19"/>
          <w:szCs w:val="19"/>
          <w:color w:val="auto"/>
        </w:rPr>
        <w:t>plan or appendix, the provisions of this Plan will govern the operation of such sub</w:t>
      </w:r>
      <w:r>
        <w:rPr>
          <w:rFonts w:ascii="MS PGothic" w:cs="MS PGothic" w:eastAsia="MS PGothic" w:hAnsi="MS PGothic"/>
          <w:sz w:val="19"/>
          <w:szCs w:val="19"/>
          <w:color w:val="auto"/>
        </w:rPr>
        <w:t>‑</w:t>
      </w:r>
      <w:r>
        <w:rPr>
          <w:rFonts w:ascii="Arial" w:cs="Arial" w:eastAsia="Arial" w:hAnsi="Arial"/>
          <w:sz w:val="19"/>
          <w:szCs w:val="19"/>
          <w:color w:val="auto"/>
        </w:rPr>
        <w:t>plan or appendix). Unless otherwise determined by the Administrator, the Eligible Employees eligible to participate in each sub</w:t>
      </w:r>
      <w:r>
        <w:rPr>
          <w:rFonts w:ascii="MS PGothic" w:cs="MS PGothic" w:eastAsia="MS PGothic" w:hAnsi="MS PGothic"/>
          <w:sz w:val="19"/>
          <w:szCs w:val="19"/>
          <w:color w:val="auto"/>
        </w:rPr>
        <w:t>‑</w:t>
      </w:r>
      <w:r>
        <w:rPr>
          <w:rFonts w:ascii="Arial" w:cs="Arial" w:eastAsia="Arial" w:hAnsi="Arial"/>
          <w:sz w:val="19"/>
          <w:szCs w:val="19"/>
          <w:color w:val="auto"/>
        </w:rPr>
        <w:t>plan will participate in a separate Offering under the 423 Component, or if the terms would not qualify under the 423 Component, in the Non</w:t>
      </w:r>
      <w:r>
        <w:rPr>
          <w:rFonts w:ascii="MS PGothic" w:cs="MS PGothic" w:eastAsia="MS PGothic" w:hAnsi="MS PGothic"/>
          <w:sz w:val="19"/>
          <w:szCs w:val="19"/>
          <w:color w:val="auto"/>
        </w:rPr>
        <w:t>‑</w:t>
      </w:r>
      <w:r>
        <w:rPr>
          <w:rFonts w:ascii="Arial" w:cs="Arial" w:eastAsia="Arial" w:hAnsi="Arial"/>
          <w:sz w:val="19"/>
          <w:szCs w:val="19"/>
          <w:color w:val="auto"/>
        </w:rPr>
        <w:t>423 Component, in either case unless such designation would cause the 423 Component to violate the requirements of Code Section 423.</w:t>
      </w:r>
    </w:p>
    <w:p>
      <w:pPr>
        <w:spacing w:after="0" w:line="191" w:lineRule="exact"/>
        <w:rPr>
          <w:sz w:val="20"/>
          <w:szCs w:val="20"/>
          <w:color w:val="auto"/>
        </w:rPr>
      </w:pPr>
    </w:p>
    <w:p>
      <w:pPr>
        <w:jc w:val="both"/>
        <w:ind w:firstLine="1497"/>
        <w:spacing w:after="0" w:line="245" w:lineRule="exact"/>
        <w:rPr>
          <w:sz w:val="20"/>
          <w:szCs w:val="20"/>
          <w:color w:val="auto"/>
        </w:rPr>
      </w:pPr>
      <w:r>
        <w:rPr>
          <w:rFonts w:ascii="Arial" w:cs="Arial" w:eastAsia="Arial" w:hAnsi="Arial"/>
          <w:sz w:val="21"/>
          <w:szCs w:val="21"/>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21"/>
          <w:szCs w:val="21"/>
          <w:color w:val="auto"/>
        </w:rPr>
        <w:t>‑</w:t>
      </w:r>
      <w:r>
        <w:rPr>
          <w:rFonts w:ascii="Arial" w:cs="Arial" w:eastAsia="Arial" w:hAnsi="Arial"/>
          <w:sz w:val="21"/>
          <w:szCs w:val="21"/>
          <w:color w:val="auto"/>
        </w:rPr>
        <w:t>2(f), the terms of an option granted under the Plan or an Offering to citizens or residents of a non</w:t>
      </w:r>
      <w:r>
        <w:rPr>
          <w:rFonts w:ascii="MS PGothic" w:cs="MS PGothic" w:eastAsia="MS PGothic" w:hAnsi="MS PGothic"/>
          <w:sz w:val="21"/>
          <w:szCs w:val="21"/>
          <w:color w:val="auto"/>
        </w:rPr>
        <w:t>‑</w:t>
      </w:r>
      <w:r>
        <w:rPr>
          <w:rFonts w:ascii="Arial" w:cs="Arial" w:eastAsia="Arial" w:hAnsi="Arial"/>
          <w:sz w:val="21"/>
          <w:szCs w:val="21"/>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78" w:name="page179"/>
    <w:bookmarkEnd w:id="178"/>
    <w:p>
      <w:pPr>
        <w:ind w:left="1500" w:hanging="743"/>
        <w:spacing w:after="0"/>
        <w:tabs>
          <w:tab w:leader="none" w:pos="15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tcPr>
          <w:p>
            <w:pPr>
              <w:jc w:val="right"/>
              <w:ind w:right="1132"/>
              <w:spacing w:after="0"/>
              <w:rPr>
                <w:sz w:val="20"/>
                <w:szCs w:val="20"/>
                <w:color w:val="auto"/>
              </w:rPr>
            </w:pPr>
            <w:r>
              <w:rPr>
                <w:rFonts w:ascii="Arial" w:cs="Arial" w:eastAsia="Arial" w:hAnsi="Arial"/>
                <w:sz w:val="22"/>
                <w:szCs w:val="22"/>
                <w:color w:val="auto"/>
              </w:rPr>
              <w:t>5.1</w:t>
            </w:r>
          </w:p>
        </w:tc>
        <w:tc>
          <w:tcPr>
            <w:tcW w:w="1980" w:type="dxa"/>
            <w:vAlign w:val="bottom"/>
            <w:gridSpan w:val="2"/>
          </w:tcPr>
          <w:p>
            <w:pPr>
              <w:spacing w:after="0"/>
              <w:rPr>
                <w:sz w:val="20"/>
                <w:szCs w:val="20"/>
                <w:color w:val="auto"/>
              </w:rPr>
            </w:pPr>
            <w:r>
              <w:rPr>
                <w:rFonts w:ascii="Arial" w:cs="Arial" w:eastAsia="Arial" w:hAnsi="Arial"/>
                <w:sz w:val="22"/>
                <w:szCs w:val="22"/>
                <w:color w:val="auto"/>
                <w:w w:val="96"/>
              </w:rPr>
              <w:t>First Offering Period.</w:t>
            </w:r>
          </w:p>
        </w:tc>
        <w:tc>
          <w:tcPr>
            <w:tcW w:w="6240" w:type="dxa"/>
            <w:vAlign w:val="bottom"/>
            <w:gridSpan w:val="2"/>
          </w:tcPr>
          <w:p>
            <w:pPr>
              <w:jc w:val="right"/>
              <w:ind w:right="20"/>
              <w:spacing w:after="0"/>
              <w:rPr>
                <w:sz w:val="20"/>
                <w:szCs w:val="20"/>
                <w:color w:val="auto"/>
              </w:rPr>
            </w:pPr>
            <w:r>
              <w:rPr>
                <w:rFonts w:ascii="Arial" w:cs="Arial" w:eastAsia="Arial" w:hAnsi="Arial"/>
                <w:sz w:val="22"/>
                <w:szCs w:val="22"/>
                <w:color w:val="auto"/>
                <w:w w:val="95"/>
              </w:rPr>
              <w:t>Any individual who is an Eligible Employee immediately prior to the</w:t>
            </w:r>
          </w:p>
        </w:tc>
      </w:tr>
      <w:tr>
        <w:trPr>
          <w:trHeight w:val="20"/>
        </w:trPr>
        <w:tc>
          <w:tcPr>
            <w:tcW w:w="30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first Offering Period automatically will be enrolled in the first Offering Period.</w:t>
            </w:r>
          </w:p>
        </w:tc>
      </w:tr>
      <w:tr>
        <w:trPr>
          <w:trHeight w:val="408"/>
        </w:trPr>
        <w:tc>
          <w:tcPr>
            <w:tcW w:w="3020" w:type="dxa"/>
            <w:vAlign w:val="bottom"/>
          </w:tcPr>
          <w:p>
            <w:pPr>
              <w:jc w:val="right"/>
              <w:ind w:right="1132"/>
              <w:spacing w:after="0"/>
              <w:rPr>
                <w:sz w:val="20"/>
                <w:szCs w:val="20"/>
                <w:color w:val="auto"/>
              </w:rPr>
            </w:pPr>
            <w:r>
              <w:rPr>
                <w:rFonts w:ascii="Arial" w:cs="Arial" w:eastAsia="Arial" w:hAnsi="Arial"/>
                <w:sz w:val="22"/>
                <w:szCs w:val="22"/>
                <w:color w:val="auto"/>
              </w:rPr>
              <w:t>5.2</w:t>
            </w:r>
          </w:p>
        </w:tc>
        <w:tc>
          <w:tcPr>
            <w:tcW w:w="8220" w:type="dxa"/>
            <w:vAlign w:val="bottom"/>
            <w:gridSpan w:val="4"/>
          </w:tcPr>
          <w:p>
            <w:pPr>
              <w:jc w:val="right"/>
              <w:spacing w:after="0"/>
              <w:rPr>
                <w:sz w:val="20"/>
                <w:szCs w:val="20"/>
                <w:color w:val="auto"/>
              </w:rPr>
            </w:pPr>
            <w:r>
              <w:rPr>
                <w:rFonts w:ascii="Arial" w:cs="Arial" w:eastAsia="Arial" w:hAnsi="Arial"/>
                <w:sz w:val="22"/>
                <w:szCs w:val="22"/>
                <w:color w:val="auto"/>
                <w:w w:val="90"/>
              </w:rPr>
              <w:t>Subsequent Offering Periods. Any Eligible Employee on a given Enrollment Date subsequent</w:t>
            </w:r>
          </w:p>
        </w:tc>
      </w:tr>
      <w:tr>
        <w:trPr>
          <w:trHeight w:val="20"/>
        </w:trPr>
        <w:tc>
          <w:tcPr>
            <w:tcW w:w="30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2"/>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73"/>
        </w:trPr>
        <w:tc>
          <w:tcPr>
            <w:tcW w:w="11240" w:type="dxa"/>
            <w:vAlign w:val="bottom"/>
            <w:gridSpan w:val="5"/>
          </w:tcPr>
          <w:p>
            <w:pPr>
              <w:spacing w:after="0"/>
              <w:rPr>
                <w:sz w:val="20"/>
                <w:szCs w:val="20"/>
                <w:color w:val="auto"/>
              </w:rPr>
            </w:pPr>
            <w:r>
              <w:rPr>
                <w:rFonts w:ascii="Arial" w:cs="Arial" w:eastAsia="Arial" w:hAnsi="Arial"/>
                <w:sz w:val="22"/>
                <w:szCs w:val="22"/>
                <w:color w:val="auto"/>
              </w:rPr>
              <w:t>to the first Offering Period will be eligible to participate in the Plan, subject to the requirements of Section 7.</w:t>
            </w:r>
          </w:p>
        </w:tc>
      </w:tr>
      <w:tr>
        <w:trPr>
          <w:trHeight w:val="408"/>
        </w:trPr>
        <w:tc>
          <w:tcPr>
            <w:tcW w:w="3020" w:type="dxa"/>
            <w:vAlign w:val="bottom"/>
          </w:tcPr>
          <w:p>
            <w:pPr>
              <w:jc w:val="right"/>
              <w:ind w:right="1132"/>
              <w:spacing w:after="0"/>
              <w:rPr>
                <w:sz w:val="20"/>
                <w:szCs w:val="20"/>
                <w:color w:val="auto"/>
              </w:rPr>
            </w:pPr>
            <w:r>
              <w:rPr>
                <w:rFonts w:ascii="Arial" w:cs="Arial" w:eastAsia="Arial" w:hAnsi="Arial"/>
                <w:sz w:val="22"/>
                <w:szCs w:val="22"/>
                <w:color w:val="auto"/>
              </w:rPr>
              <w:t>5.3</w:t>
            </w:r>
          </w:p>
        </w:tc>
        <w:tc>
          <w:tcPr>
            <w:tcW w:w="1980" w:type="dxa"/>
            <w:vAlign w:val="bottom"/>
            <w:gridSpan w:val="2"/>
          </w:tcPr>
          <w:p>
            <w:pPr>
              <w:spacing w:after="0" w:line="253" w:lineRule="exact"/>
              <w:rPr>
                <w:sz w:val="20"/>
                <w:szCs w:val="20"/>
                <w:color w:val="auto"/>
              </w:rPr>
            </w:pPr>
            <w:r>
              <w:rPr>
                <w:rFonts w:ascii="Arial" w:cs="Arial" w:eastAsia="Arial" w:hAnsi="Arial"/>
                <w:sz w:val="22"/>
                <w:szCs w:val="22"/>
                <w:color w:val="auto"/>
                <w:w w:val="92"/>
              </w:rPr>
              <w:t>Non</w:t>
            </w:r>
            <w:r>
              <w:rPr>
                <w:rFonts w:ascii="MS PGothic" w:cs="MS PGothic" w:eastAsia="MS PGothic" w:hAnsi="MS PGothic"/>
                <w:sz w:val="22"/>
                <w:szCs w:val="22"/>
                <w:color w:val="auto"/>
                <w:w w:val="92"/>
              </w:rPr>
              <w:t>‑</w:t>
            </w:r>
            <w:r>
              <w:rPr>
                <w:rFonts w:ascii="Arial" w:cs="Arial" w:eastAsia="Arial" w:hAnsi="Arial"/>
                <w:sz w:val="22"/>
                <w:szCs w:val="22"/>
                <w:color w:val="auto"/>
                <w:w w:val="92"/>
              </w:rPr>
              <w:t>U.S. Employees.</w:t>
            </w:r>
          </w:p>
        </w:tc>
        <w:tc>
          <w:tcPr>
            <w:tcW w:w="6240" w:type="dxa"/>
            <w:vAlign w:val="bottom"/>
            <w:gridSpan w:val="2"/>
          </w:tcPr>
          <w:p>
            <w:pPr>
              <w:jc w:val="right"/>
              <w:spacing w:after="0" w:line="253" w:lineRule="exact"/>
              <w:rPr>
                <w:sz w:val="20"/>
                <w:szCs w:val="20"/>
                <w:color w:val="auto"/>
              </w:rPr>
            </w:pPr>
            <w:r>
              <w:rPr>
                <w:rFonts w:ascii="Arial" w:cs="Arial" w:eastAsia="Arial" w:hAnsi="Arial"/>
                <w:sz w:val="22"/>
                <w:szCs w:val="22"/>
                <w:color w:val="auto"/>
              </w:rPr>
              <w:t>Eligible Employees who are citizens or residents of a non</w:t>
            </w:r>
            <w:r>
              <w:rPr>
                <w:rFonts w:ascii="MS PGothic" w:cs="MS PGothic" w:eastAsia="MS PGothic" w:hAnsi="MS PGothic"/>
                <w:sz w:val="22"/>
                <w:szCs w:val="22"/>
                <w:color w:val="auto"/>
              </w:rPr>
              <w:t>‑</w:t>
            </w:r>
            <w:r>
              <w:rPr>
                <w:rFonts w:ascii="Arial" w:cs="Arial" w:eastAsia="Arial" w:hAnsi="Arial"/>
                <w:sz w:val="22"/>
                <w:szCs w:val="22"/>
                <w:color w:val="auto"/>
              </w:rPr>
              <w:t>U.S.</w:t>
            </w:r>
          </w:p>
        </w:tc>
      </w:tr>
      <w:tr>
        <w:trPr>
          <w:trHeight w:val="20"/>
        </w:trPr>
        <w:tc>
          <w:tcPr>
            <w:tcW w:w="3020" w:type="dxa"/>
            <w:vAlign w:val="bottom"/>
            <w:tcBorders>
              <w:right w:val="single" w:sz="8" w:color="auto"/>
            </w:tcBorders>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8" w:lineRule="exact"/>
        <w:rPr>
          <w:sz w:val="20"/>
          <w:szCs w:val="20"/>
          <w:color w:val="auto"/>
        </w:rPr>
      </w:pPr>
      <w:r>
        <w:rPr>
          <w:rFonts w:ascii="Arial" w:cs="Arial" w:eastAsia="Arial" w:hAnsi="Arial"/>
          <w:sz w:val="21"/>
          <w:szCs w:val="21"/>
          <w:color w:val="auto"/>
        </w:rPr>
        <w:t>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21"/>
          <w:szCs w:val="21"/>
          <w:color w:val="auto"/>
        </w:rPr>
        <w:t>‑</w:t>
      </w:r>
      <w:r>
        <w:rPr>
          <w:rFonts w:ascii="Arial" w:cs="Arial" w:eastAsia="Arial" w:hAnsi="Arial"/>
          <w:sz w:val="21"/>
          <w:szCs w:val="21"/>
          <w:color w:val="auto"/>
        </w:rPr>
        <w:t>423 Component, an Eligible Employee may be excluded from participation in the Plan or an Offering if the Administrator has determined that participation of such Eligible Employee is not advisable or practicable.</w:t>
      </w:r>
    </w:p>
    <w:p>
      <w:pPr>
        <w:spacing w:after="0" w:line="189" w:lineRule="exact"/>
        <w:rPr>
          <w:sz w:val="20"/>
          <w:szCs w:val="20"/>
          <w:color w:val="auto"/>
        </w:rPr>
      </w:pPr>
    </w:p>
    <w:p>
      <w:pPr>
        <w:jc w:val="both"/>
        <w:ind w:firstLine="1497"/>
        <w:spacing w:after="0" w:line="246" w:lineRule="exact"/>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9"/>
          <w:szCs w:val="19"/>
          <w:color w:val="auto"/>
        </w:rPr>
        <w:t>‑</w:t>
      </w:r>
      <w:r>
        <w:rPr>
          <w:rFonts w:ascii="Arial" w:cs="Arial" w:eastAsia="Arial" w:hAnsi="Arial"/>
          <w:sz w:val="19"/>
          <w:szCs w:val="19"/>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88" w:lineRule="exact"/>
        <w:rPr>
          <w:sz w:val="20"/>
          <w:szCs w:val="20"/>
          <w:color w:val="auto"/>
        </w:rPr>
      </w:pPr>
    </w:p>
    <w:p>
      <w:pPr>
        <w:jc w:val="both"/>
        <w:ind w:firstLine="757"/>
        <w:spacing w:after="0" w:line="246" w:lineRule="exact"/>
        <w:tabs>
          <w:tab w:leader="none" w:pos="1498"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Plan will be implemented by consecutive Offering Periods with a new Offering Period commencing on the first Trading Day on or after May 18</w:t>
      </w:r>
      <w:r>
        <w:rPr>
          <w:rFonts w:ascii="Arial" w:cs="Arial" w:eastAsia="Arial" w:hAnsi="Arial"/>
          <w:sz w:val="14"/>
          <w:szCs w:val="14"/>
          <w:color w:val="auto"/>
        </w:rPr>
        <w:t>th</w:t>
      </w:r>
      <w:r>
        <w:rPr>
          <w:rFonts w:ascii="Arial" w:cs="Arial" w:eastAsia="Arial" w:hAnsi="Arial"/>
          <w:sz w:val="22"/>
          <w:szCs w:val="22"/>
          <w:color w:val="auto"/>
        </w:rPr>
        <w:t xml:space="preserve"> and November 18</w:t>
      </w:r>
      <w:r>
        <w:rPr>
          <w:rFonts w:ascii="Arial" w:cs="Arial" w:eastAsia="Arial" w:hAnsi="Arial"/>
          <w:sz w:val="14"/>
          <w:szCs w:val="14"/>
          <w:color w:val="auto"/>
        </w:rPr>
        <w:t>th</w:t>
      </w:r>
      <w:r>
        <w:rPr>
          <w:rFonts w:ascii="Arial" w:cs="Arial" w:eastAsia="Arial" w:hAnsi="Arial"/>
          <w:sz w:val="22"/>
          <w:szCs w:val="22"/>
          <w:color w:val="auto"/>
        </w:rPr>
        <w:t xml:space="preserve"> each year, or on such other date as the Administrator will determine; provided, however, that the first Offering Period under the Plan will commence with the first Trading Day on or after the Registration Date and end on the first Trading Day on or after May 18, 2021, and provided, further, that the second Offering Period under the Plan will commence on the first Trading Day on or after May 18,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22"/>
          <w:szCs w:val="22"/>
          <w:color w:val="auto"/>
        </w:rPr>
        <w:t>‑</w:t>
      </w:r>
      <w:r>
        <w:rPr>
          <w:rFonts w:ascii="Arial" w:cs="Arial" w:eastAsia="Arial" w:hAnsi="Arial"/>
          <w:sz w:val="22"/>
          <w:szCs w:val="22"/>
          <w:color w:val="auto"/>
        </w:rPr>
        <w:t>seven (27) months.</w:t>
      </w:r>
    </w:p>
    <w:p>
      <w:pPr>
        <w:spacing w:after="0" w:line="192" w:lineRule="exact"/>
        <w:rPr>
          <w:rFonts w:ascii="Arial" w:cs="Arial" w:eastAsia="Arial" w:hAnsi="Arial"/>
          <w:sz w:val="22"/>
          <w:szCs w:val="22"/>
          <w:color w:val="auto"/>
        </w:rPr>
      </w:pPr>
    </w:p>
    <w:p>
      <w:pPr>
        <w:ind w:left="1500" w:hanging="743"/>
        <w:spacing w:after="0"/>
        <w:tabs>
          <w:tab w:leader="none" w:pos="15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06" w:lineRule="exact"/>
        <w:rPr>
          <w:sz w:val="20"/>
          <w:szCs w:val="20"/>
          <w:color w:val="auto"/>
        </w:rPr>
      </w:pPr>
    </w:p>
    <w:p>
      <w:pPr>
        <w:ind w:firstLine="1497"/>
        <w:spacing w:after="0" w:line="239"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First Offering Period</w:t>
      </w:r>
      <w:r>
        <w:rPr>
          <w:rFonts w:ascii="Arial" w:cs="Arial" w:eastAsia="Arial" w:hAnsi="Arial"/>
          <w:sz w:val="22"/>
          <w:szCs w:val="22"/>
          <w:color w:val="auto"/>
        </w:rPr>
        <w:t>. An Eligible Employee will be entitled to continue to participate in the first Offering Period pursuant to Section 5.1 only if such individual submits a</w:t>
      </w: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79" w:name="page180"/>
    <w:bookmarkEnd w:id="179"/>
    <w:p>
      <w:pPr>
        <w:jc w:val="both"/>
        <w:spacing w:after="0" w:line="247" w:lineRule="exact"/>
        <w:rPr>
          <w:sz w:val="20"/>
          <w:szCs w:val="20"/>
          <w:color w:val="auto"/>
        </w:rPr>
      </w:pPr>
      <w:r>
        <w:rPr>
          <w:rFonts w:ascii="Arial" w:cs="Arial" w:eastAsia="Arial" w:hAnsi="Arial"/>
          <w:sz w:val="22"/>
          <w:szCs w:val="22"/>
          <w:color w:val="auto"/>
        </w:rPr>
        <w:t xml:space="preserve">subscription agreement authorizing Contributions in a form determined by the Administrator (which may be similar to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to the Company’s designated plan administrator (a) no earlier than the effective date of the Form S</w:t>
      </w:r>
      <w:r>
        <w:rPr>
          <w:rFonts w:ascii="MS PGothic" w:cs="MS PGothic" w:eastAsia="MS PGothic" w:hAnsi="MS PGothic"/>
          <w:sz w:val="22"/>
          <w:szCs w:val="22"/>
          <w:color w:val="auto"/>
        </w:rPr>
        <w:t>‑</w:t>
      </w:r>
      <w:r>
        <w:rPr>
          <w:rFonts w:ascii="Arial" w:cs="Arial" w:eastAsia="Arial" w:hAnsi="Arial"/>
          <w:sz w:val="22"/>
          <w:szCs w:val="22"/>
          <w:color w:val="auto"/>
        </w:rPr>
        <w:t>8 registration statement with respect to the issuance of Common Stock under this Plan and (b) with respect to the first Offering Period, no later than ten (10) business days following the effective date of such Form S</w:t>
      </w:r>
      <w:r>
        <w:rPr>
          <w:rFonts w:ascii="MS PGothic" w:cs="MS PGothic" w:eastAsia="MS PGothic" w:hAnsi="MS PGothic"/>
          <w:sz w:val="22"/>
          <w:szCs w:val="22"/>
          <w:color w:val="auto"/>
        </w:rPr>
        <w:t>‑</w:t>
      </w:r>
      <w:r>
        <w:rPr>
          <w:rFonts w:ascii="Arial" w:cs="Arial" w:eastAsia="Arial" w:hAnsi="Arial"/>
          <w:sz w:val="22"/>
          <w:szCs w:val="22"/>
          <w:color w:val="auto"/>
        </w:rPr>
        <w:t>8 registration statement or such other date as the Administrator may determine (the “</w:t>
      </w:r>
      <w:r>
        <w:rPr>
          <w:rFonts w:ascii="Arial" w:cs="Arial" w:eastAsia="Arial" w:hAnsi="Arial"/>
          <w:sz w:val="22"/>
          <w:szCs w:val="22"/>
          <w:u w:val="single" w:color="auto"/>
          <w:color w:val="auto"/>
        </w:rPr>
        <w:t>Enrollment Window</w:t>
      </w:r>
      <w:r>
        <w:rPr>
          <w:rFonts w:ascii="Arial" w:cs="Arial" w:eastAsia="Arial" w:hAnsi="Arial"/>
          <w:sz w:val="22"/>
          <w:szCs w:val="22"/>
          <w:color w:val="auto"/>
        </w:rPr>
        <w:t>”). An Eligible Employee’s failure to submit the subscription agreement during the Enrollment Window will result in the automatic termination of such individual’s participation in the first Offering Period.</w:t>
      </w:r>
    </w:p>
    <w:p>
      <w:pPr>
        <w:spacing w:after="0" w:line="191"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 Eligible Employee may participate in the Plan pursuant to Section 5.2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an applicable Enrollment Date.</w:t>
      </w:r>
    </w:p>
    <w:p>
      <w:pPr>
        <w:spacing w:after="0" w:line="187" w:lineRule="exact"/>
        <w:rPr>
          <w:sz w:val="20"/>
          <w:szCs w:val="20"/>
          <w:color w:val="auto"/>
        </w:rPr>
      </w:pPr>
    </w:p>
    <w:p>
      <w:pPr>
        <w:ind w:left="1500" w:hanging="743"/>
        <w:spacing w:after="0"/>
        <w:tabs>
          <w:tab w:leader="none" w:pos="15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Contributions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8" w:lineRule="exact"/>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Contribution Amounts</w:t>
      </w:r>
      <w:r>
        <w:rPr>
          <w:rFonts w:ascii="Arial" w:cs="Arial" w:eastAsia="Arial" w:hAnsi="Arial"/>
          <w:sz w:val="22"/>
          <w:szCs w:val="22"/>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w:t>
      </w:r>
      <w:r>
        <w:rPr>
          <w:rFonts w:ascii="MS PGothic" w:cs="MS PGothic" w:eastAsia="MS PGothic" w:hAnsi="MS PGothic"/>
          <w:sz w:val="22"/>
          <w:szCs w:val="22"/>
          <w:color w:val="auto"/>
        </w:rPr>
        <w:t>‑</w:t>
      </w:r>
      <w:r>
        <w:rPr>
          <w:rFonts w:ascii="Arial" w:cs="Arial" w:eastAsia="Arial" w:hAnsi="Arial"/>
          <w:sz w:val="22"/>
          <w:szCs w:val="22"/>
          <w:color w:val="auto"/>
        </w:rPr>
        <w:t>current Purchase Period or Offering Period.</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Contribution Methods</w:t>
      </w:r>
      <w:r>
        <w:rPr>
          <w:rFonts w:ascii="Arial" w:cs="Arial" w:eastAsia="Arial" w:hAnsi="Arial"/>
          <w:sz w:val="22"/>
          <w:szCs w:val="22"/>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w:t>
      </w:r>
    </w:p>
    <w:p>
      <w:pPr>
        <w:spacing w:after="0" w:line="185" w:lineRule="exact"/>
        <w:rPr>
          <w:sz w:val="20"/>
          <w:szCs w:val="20"/>
          <w:color w:val="auto"/>
        </w:rPr>
      </w:pPr>
    </w:p>
    <w:p>
      <w:pPr>
        <w:jc w:val="both"/>
        <w:ind w:firstLine="2246"/>
        <w:spacing w:after="0" w:line="249" w:lineRule="auto"/>
        <w:rPr>
          <w:sz w:val="20"/>
          <w:szCs w:val="20"/>
          <w:color w:val="auto"/>
        </w:rPr>
      </w:pPr>
      <w:r>
        <w:rPr>
          <w:rFonts w:ascii="Arial" w:cs="Arial" w:eastAsia="Arial" w:hAnsi="Arial"/>
          <w:sz w:val="21"/>
          <w:szCs w:val="21"/>
          <w:color w:val="auto"/>
        </w:rPr>
        <w:t>(a) 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provided, however, that for the first Offering Period, payroll deductions will commence on the first pay day on or following the end of the Enrollment Window.</w:t>
      </w:r>
    </w:p>
    <w:p>
      <w:pPr>
        <w:spacing w:after="0" w:line="178"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(b) 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86"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Participant Changes to Contributions</w:t>
      </w:r>
      <w:r>
        <w:rPr>
          <w:rFonts w:ascii="Arial" w:cs="Arial" w:eastAsia="Arial" w:hAnsi="Arial"/>
          <w:sz w:val="22"/>
          <w:szCs w:val="22"/>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0" w:name="page181"/>
    <w:bookmarkEnd w:id="180"/>
    <w:p>
      <w:pPr>
        <w:jc w:val="both"/>
        <w:spacing w:after="0" w:line="279" w:lineRule="auto"/>
        <w:rPr>
          <w:sz w:val="20"/>
          <w:szCs w:val="20"/>
          <w:color w:val="auto"/>
        </w:rPr>
      </w:pPr>
      <w:r>
        <w:rPr>
          <w:rFonts w:ascii="Arial" w:cs="Arial" w:eastAsia="Arial" w:hAnsi="Arial"/>
          <w:sz w:val="19"/>
          <w:szCs w:val="19"/>
          <w:color w:val="auto"/>
        </w:rPr>
        <w:t>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50" w:lineRule="exact"/>
        <w:rPr>
          <w:sz w:val="20"/>
          <w:szCs w:val="20"/>
          <w:color w:val="auto"/>
        </w:rPr>
      </w:pPr>
    </w:p>
    <w:p>
      <w:pPr>
        <w:jc w:val="both"/>
        <w:ind w:firstLine="2246"/>
        <w:spacing w:after="0" w:line="246" w:lineRule="auto"/>
        <w:rPr>
          <w:sz w:val="20"/>
          <w:szCs w:val="20"/>
          <w:color w:val="auto"/>
        </w:rPr>
      </w:pPr>
      <w:r>
        <w:rPr>
          <w:rFonts w:ascii="Arial" w:cs="Arial" w:eastAsia="Arial" w:hAnsi="Arial"/>
          <w:sz w:val="21"/>
          <w:szCs w:val="21"/>
          <w:color w:val="auto"/>
        </w:rPr>
        <w:t>(a) 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80" w:lineRule="exact"/>
        <w:rPr>
          <w:sz w:val="20"/>
          <w:szCs w:val="20"/>
          <w:color w:val="auto"/>
        </w:rPr>
      </w:pPr>
    </w:p>
    <w:p>
      <w:pPr>
        <w:jc w:val="both"/>
        <w:ind w:firstLine="2246"/>
        <w:spacing w:after="0" w:line="238" w:lineRule="auto"/>
        <w:rPr>
          <w:sz w:val="20"/>
          <w:szCs w:val="20"/>
          <w:color w:val="auto"/>
        </w:rPr>
      </w:pPr>
      <w:r>
        <w:rPr>
          <w:rFonts w:ascii="Arial" w:cs="Arial" w:eastAsia="Arial" w:hAnsi="Arial"/>
          <w:sz w:val="22"/>
          <w:szCs w:val="22"/>
          <w:color w:val="auto"/>
        </w:rPr>
        <w:t>(b) 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85" w:lineRule="exact"/>
        <w:rPr>
          <w:sz w:val="20"/>
          <w:szCs w:val="20"/>
          <w:color w:val="auto"/>
        </w:rPr>
      </w:pPr>
    </w:p>
    <w:p>
      <w:pPr>
        <w:jc w:val="both"/>
        <w:ind w:firstLine="2246"/>
        <w:spacing w:after="0" w:line="257" w:lineRule="auto"/>
        <w:rPr>
          <w:sz w:val="20"/>
          <w:szCs w:val="20"/>
          <w:color w:val="auto"/>
        </w:rPr>
      </w:pPr>
      <w:r>
        <w:rPr>
          <w:rFonts w:ascii="Arial" w:cs="Arial" w:eastAsia="Arial" w:hAnsi="Arial"/>
          <w:sz w:val="21"/>
          <w:szCs w:val="21"/>
          <w:color w:val="auto"/>
        </w:rPr>
        <w:t>(c) Any change in Contribution rate made pursuant to this Section 8.3(c)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69"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Other Contribution Changes</w:t>
      </w:r>
      <w:r>
        <w:rPr>
          <w:rFonts w:ascii="Arial" w:cs="Arial" w:eastAsia="Arial" w:hAnsi="Arial"/>
          <w:sz w:val="22"/>
          <w:szCs w:val="22"/>
          <w:color w:val="auto"/>
        </w:rPr>
        <w:t>. Notwithstanding the foregoing, to the extent necessary to comply with Code Section 423(b)(8) and Section 5.4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5.4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91" w:lineRule="exact"/>
        <w:rPr>
          <w:sz w:val="20"/>
          <w:szCs w:val="20"/>
          <w:color w:val="auto"/>
        </w:rPr>
      </w:pPr>
    </w:p>
    <w:p>
      <w:pPr>
        <w:jc w:val="both"/>
        <w:ind w:firstLine="1497"/>
        <w:spacing w:after="0" w:line="246" w:lineRule="exact"/>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Cash Contributions</w:t>
      </w:r>
      <w:r>
        <w:rPr>
          <w:rFonts w:ascii="Arial" w:cs="Arial" w:eastAsia="Arial" w:hAnsi="Arial"/>
          <w:sz w:val="22"/>
          <w:szCs w:val="22"/>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22"/>
          <w:szCs w:val="22"/>
          <w:color w:val="auto"/>
        </w:rPr>
        <w:t>‑</w:t>
      </w:r>
      <w:r>
        <w:rPr>
          <w:rFonts w:ascii="Arial" w:cs="Arial" w:eastAsia="Arial" w:hAnsi="Arial"/>
          <w:sz w:val="22"/>
          <w:szCs w:val="22"/>
          <w:color w:val="auto"/>
        </w:rPr>
        <w:t>423 Component.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1" w:name="page182"/>
    <w:bookmarkEnd w:id="181"/>
    <w:p>
      <w:pPr>
        <w:jc w:val="both"/>
        <w:ind w:firstLine="1497"/>
        <w:spacing w:after="0" w:line="245" w:lineRule="exact"/>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Tax Withholdings</w:t>
      </w:r>
      <w:r>
        <w:rPr>
          <w:rFonts w:ascii="Arial" w:cs="Arial" w:eastAsia="Arial" w:hAnsi="Arial"/>
          <w:sz w:val="19"/>
          <w:szCs w:val="19"/>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9"/>
          <w:szCs w:val="19"/>
          <w:color w:val="auto"/>
        </w:rPr>
        <w:t>‑</w:t>
      </w:r>
      <w:r>
        <w:rPr>
          <w:rFonts w:ascii="Arial" w:cs="Arial" w:eastAsia="Arial" w:hAnsi="Arial"/>
          <w:sz w:val="19"/>
          <w:szCs w:val="19"/>
          <w:color w:val="auto"/>
        </w:rPr>
        <w:t>2(f).</w:t>
      </w:r>
    </w:p>
    <w:p>
      <w:pPr>
        <w:spacing w:after="0" w:line="193" w:lineRule="exact"/>
        <w:rPr>
          <w:sz w:val="20"/>
          <w:szCs w:val="20"/>
          <w:color w:val="auto"/>
        </w:rPr>
      </w:pPr>
    </w:p>
    <w:p>
      <w:pPr>
        <w:jc w:val="both"/>
        <w:ind w:firstLine="1497"/>
        <w:spacing w:after="0" w:line="247" w:lineRule="exact"/>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Use of Funds</w:t>
      </w:r>
      <w:r>
        <w:rPr>
          <w:rFonts w:ascii="Arial" w:cs="Arial" w:eastAsia="Arial" w:hAnsi="Arial"/>
          <w:sz w:val="22"/>
          <w:szCs w:val="22"/>
          <w:color w:val="auto"/>
        </w:rPr>
        <w:t>.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22"/>
          <w:szCs w:val="22"/>
          <w:color w:val="auto"/>
        </w:rPr>
        <w:t>‑</w:t>
      </w:r>
      <w:r>
        <w:rPr>
          <w:rFonts w:ascii="Arial" w:cs="Arial" w:eastAsia="Arial" w:hAnsi="Arial"/>
          <w:sz w:val="22"/>
          <w:szCs w:val="22"/>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22"/>
          <w:szCs w:val="22"/>
          <w:color w:val="auto"/>
        </w:rPr>
        <w:t>‑</w:t>
      </w:r>
      <w:r>
        <w:rPr>
          <w:rFonts w:ascii="Arial" w:cs="Arial" w:eastAsia="Arial" w:hAnsi="Arial"/>
          <w:sz w:val="22"/>
          <w:szCs w:val="22"/>
          <w:color w:val="auto"/>
        </w:rPr>
        <w:t>2(f). Until shares of Common Stock are issued, Participants will have only the rights of an unsecured creditor with respect to such shares.</w:t>
      </w:r>
    </w:p>
    <w:p>
      <w:pPr>
        <w:spacing w:after="0" w:line="187" w:lineRule="exact"/>
        <w:rPr>
          <w:sz w:val="20"/>
          <w:szCs w:val="20"/>
          <w:color w:val="auto"/>
        </w:rPr>
      </w:pPr>
    </w:p>
    <w:p>
      <w:pPr>
        <w:jc w:val="both"/>
        <w:ind w:firstLine="757"/>
        <w:spacing w:after="0" w:line="236" w:lineRule="auto"/>
        <w:tabs>
          <w:tab w:leader="none" w:pos="14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87"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Certain Option Limits</w:t>
      </w:r>
      <w:r>
        <w:rPr>
          <w:rFonts w:ascii="Arial" w:cs="Arial" w:eastAsia="Arial" w:hAnsi="Arial"/>
          <w:sz w:val="22"/>
          <w:szCs w:val="22"/>
          <w:color w:val="auto"/>
        </w:rPr>
        <w:t>. In no event will an Eligible Employee be permitted to purchase during each Offering Period more than 10,000 shares of Common Stock (subject to any adjustment pursuant to Section 17), and provided further that such purchase will be subject to the limitations set forth in Sections 3 and 5.4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spacing w:after="0" w:line="18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Option Receipt</w:t>
      </w:r>
      <w:r>
        <w:rPr>
          <w:rFonts w:ascii="Arial" w:cs="Arial" w:eastAsia="Arial" w:hAnsi="Arial"/>
          <w:sz w:val="21"/>
          <w:szCs w:val="21"/>
          <w:color w:val="auto"/>
        </w:rPr>
        <w:t>. The Eligible Employee may accept the grant of such option (i) with respect to the first Offering Period by submitting a properly completed subscription agreement in accordance with the requirements of Section 7 on or before the last day of the Enrollment Window, and (ii) with respect to any subsequent Offering Period under the Plan, by electing to participate in the Plan in accordance with the requirements of Section 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2" w:name="page183"/>
    <w:bookmarkEnd w:id="182"/>
    <w:p>
      <w:pPr>
        <w:jc w:val="both"/>
        <w:ind w:firstLine="1497"/>
        <w:spacing w:after="0"/>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Option Term</w:t>
      </w:r>
      <w:r>
        <w:rPr>
          <w:rFonts w:ascii="Arial" w:cs="Arial" w:eastAsia="Arial" w:hAnsi="Arial"/>
          <w:sz w:val="22"/>
          <w:szCs w:val="22"/>
          <w:color w:val="auto"/>
        </w:rPr>
        <w:t>. Exercise of the option will occur as provided in Section 10, unless the Participant’s participation has terminated pursuant to Sections 12 or 13. The option will expire on the last day of the Offering Period.</w:t>
      </w:r>
    </w:p>
    <w:p>
      <w:pPr>
        <w:spacing w:after="0" w:line="186" w:lineRule="exact"/>
        <w:rPr>
          <w:sz w:val="20"/>
          <w:szCs w:val="20"/>
          <w:color w:val="auto"/>
        </w:rPr>
      </w:pPr>
    </w:p>
    <w:p>
      <w:pPr>
        <w:ind w:left="1500" w:hanging="743"/>
        <w:spacing w:after="0"/>
        <w:tabs>
          <w:tab w:leader="none" w:pos="15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Automatic Exercise</w:t>
      </w:r>
      <w:r>
        <w:rPr>
          <w:rFonts w:ascii="Arial" w:cs="Arial" w:eastAsia="Arial" w:hAnsi="Arial"/>
          <w:sz w:val="21"/>
          <w:szCs w:val="21"/>
          <w:color w:val="auto"/>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8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Pro Rata Allocations</w:t>
      </w:r>
      <w:r>
        <w:rPr>
          <w:rFonts w:ascii="Arial" w:cs="Arial" w:eastAsia="Arial" w:hAnsi="Arial"/>
          <w:sz w:val="19"/>
          <w:szCs w:val="19"/>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64" w:lineRule="exact"/>
        <w:rPr>
          <w:sz w:val="20"/>
          <w:szCs w:val="20"/>
          <w:color w:val="auto"/>
        </w:rPr>
      </w:pPr>
    </w:p>
    <w:p>
      <w:pPr>
        <w:jc w:val="both"/>
        <w:ind w:firstLine="757"/>
        <w:spacing w:after="0" w:line="232" w:lineRule="auto"/>
        <w:tabs>
          <w:tab w:leader="none" w:pos="149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granted under the Plan until such shares have been purchased and delivered to the Participant as provided in this Section 11.</w:t>
      </w:r>
    </w:p>
    <w:p>
      <w:pPr>
        <w:spacing w:after="0" w:line="241" w:lineRule="exact"/>
        <w:rPr>
          <w:sz w:val="20"/>
          <w:szCs w:val="20"/>
          <w:color w:val="auto"/>
        </w:rPr>
      </w:pPr>
    </w:p>
    <w:p>
      <w:pPr>
        <w:ind w:left="1500" w:hanging="743"/>
        <w:spacing w:after="0"/>
        <w:tabs>
          <w:tab w:leader="none" w:pos="15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Withdrawal Procedures</w:t>
      </w:r>
      <w:r>
        <w:rPr>
          <w:rFonts w:ascii="Arial" w:cs="Arial" w:eastAsia="Arial" w:hAnsi="Arial"/>
          <w:sz w:val="19"/>
          <w:szCs w:val="19"/>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w:t>
      </w:r>
    </w:p>
    <w:tbl>
      <w:tblPr>
        <w:tblLayout w:type="fixed"/>
        <w:tblInd w:w="0" w:type="dxa"/>
        <w:tblCellMar>
          <w:top w:w="0" w:type="dxa"/>
          <w:left w:w="0" w:type="dxa"/>
          <w:bottom w:w="0" w:type="dxa"/>
          <w:right w:w="0" w:type="dxa"/>
        </w:tblCellMar>
      </w:tblPr>
      <w:tr>
        <w:trPr>
          <w:trHeight w:val="226"/>
        </w:trPr>
        <w:tc>
          <w:tcPr>
            <w:tcW w:w="2820" w:type="dxa"/>
            <w:vAlign w:val="bottom"/>
          </w:tcPr>
          <w:p>
            <w:pPr>
              <w:spacing w:after="0" w:line="226" w:lineRule="exact"/>
              <w:rPr>
                <w:sz w:val="20"/>
                <w:szCs w:val="20"/>
                <w:color w:val="auto"/>
              </w:rPr>
            </w:pPr>
            <w:r>
              <w:rPr>
                <w:rFonts w:ascii="Arial" w:cs="Arial" w:eastAsia="Arial" w:hAnsi="Arial"/>
                <w:sz w:val="22"/>
                <w:szCs w:val="22"/>
                <w:color w:val="auto"/>
                <w:w w:val="96"/>
              </w:rPr>
              <w:t>Offering Period, Contributions</w:t>
            </w:r>
          </w:p>
        </w:tc>
        <w:tc>
          <w:tcPr>
            <w:tcW w:w="8420" w:type="dxa"/>
            <w:vAlign w:val="bottom"/>
            <w:gridSpan w:val="3"/>
          </w:tcPr>
          <w:p>
            <w:pPr>
              <w:jc w:val="right"/>
              <w:spacing w:after="0" w:line="226" w:lineRule="exact"/>
              <w:rPr>
                <w:sz w:val="20"/>
                <w:szCs w:val="20"/>
                <w:color w:val="auto"/>
              </w:rPr>
            </w:pPr>
            <w:r>
              <w:rPr>
                <w:rFonts w:ascii="Arial" w:cs="Arial" w:eastAsia="Arial" w:hAnsi="Arial"/>
                <w:sz w:val="22"/>
                <w:szCs w:val="22"/>
                <w:color w:val="auto"/>
                <w:w w:val="97"/>
              </w:rPr>
              <w:t>will not resume at the beginning of the succeeding Offering Period, unless the Participant</w:t>
            </w:r>
          </w:p>
        </w:tc>
      </w:tr>
      <w:tr>
        <w:trPr>
          <w:trHeight w:val="274"/>
        </w:trPr>
        <w:tc>
          <w:tcPr>
            <w:tcW w:w="11240" w:type="dxa"/>
            <w:vAlign w:val="bottom"/>
            <w:gridSpan w:val="4"/>
          </w:tcPr>
          <w:p>
            <w:pPr>
              <w:spacing w:after="0" w:line="253" w:lineRule="exact"/>
              <w:rPr>
                <w:sz w:val="20"/>
                <w:szCs w:val="20"/>
                <w:color w:val="auto"/>
              </w:rPr>
            </w:pPr>
            <w:r>
              <w:rPr>
                <w:rFonts w:ascii="Arial" w:cs="Arial" w:eastAsia="Arial" w:hAnsi="Arial"/>
                <w:sz w:val="22"/>
                <w:szCs w:val="22"/>
                <w:color w:val="auto"/>
              </w:rPr>
              <w:t>re</w:t>
            </w:r>
            <w:r>
              <w:rPr>
                <w:rFonts w:ascii="MS PGothic" w:cs="MS PGothic" w:eastAsia="MS PGothic" w:hAnsi="MS PGothic"/>
                <w:sz w:val="22"/>
                <w:szCs w:val="22"/>
                <w:color w:val="auto"/>
              </w:rPr>
              <w:t>‑</w:t>
            </w:r>
            <w:r>
              <w:rPr>
                <w:rFonts w:ascii="Arial" w:cs="Arial" w:eastAsia="Arial" w:hAnsi="Arial"/>
                <w:sz w:val="22"/>
                <w:szCs w:val="22"/>
                <w:color w:val="auto"/>
              </w:rPr>
              <w:t>enrolls in the Plan in accordance with the provisions of Section 7.</w:t>
            </w:r>
          </w:p>
        </w:tc>
      </w:tr>
      <w:tr>
        <w:trPr>
          <w:trHeight w:val="408"/>
        </w:trPr>
        <w:tc>
          <w:tcPr>
            <w:tcW w:w="2820" w:type="dxa"/>
            <w:vAlign w:val="bottom"/>
          </w:tcPr>
          <w:p>
            <w:pPr>
              <w:jc w:val="right"/>
              <w:ind w:right="832"/>
              <w:spacing w:after="0"/>
              <w:rPr>
                <w:sz w:val="20"/>
                <w:szCs w:val="20"/>
                <w:color w:val="auto"/>
              </w:rPr>
            </w:pPr>
            <w:r>
              <w:rPr>
                <w:rFonts w:ascii="Arial" w:cs="Arial" w:eastAsia="Arial" w:hAnsi="Arial"/>
                <w:sz w:val="22"/>
                <w:szCs w:val="22"/>
                <w:color w:val="auto"/>
              </w:rPr>
              <w:t>12.2</w:t>
            </w:r>
          </w:p>
        </w:tc>
        <w:tc>
          <w:tcPr>
            <w:tcW w:w="180" w:type="dxa"/>
            <w:vAlign w:val="bottom"/>
          </w:tcPr>
          <w:p>
            <w:pPr>
              <w:spacing w:after="0"/>
              <w:rPr>
                <w:sz w:val="24"/>
                <w:szCs w:val="24"/>
                <w:color w:val="auto"/>
              </w:rPr>
            </w:pPr>
          </w:p>
        </w:tc>
        <w:tc>
          <w:tcPr>
            <w:tcW w:w="8240" w:type="dxa"/>
            <w:vAlign w:val="bottom"/>
            <w:gridSpan w:val="2"/>
          </w:tcPr>
          <w:p>
            <w:pPr>
              <w:jc w:val="right"/>
              <w:spacing w:after="0"/>
              <w:rPr>
                <w:sz w:val="20"/>
                <w:szCs w:val="20"/>
                <w:color w:val="auto"/>
              </w:rPr>
            </w:pPr>
            <w:r>
              <w:rPr>
                <w:rFonts w:ascii="Arial" w:cs="Arial" w:eastAsia="Arial" w:hAnsi="Arial"/>
                <w:sz w:val="22"/>
                <w:szCs w:val="22"/>
                <w:color w:val="auto"/>
                <w:w w:val="92"/>
              </w:rPr>
              <w:t>No Effect on Future Participation. A Participant’s withdrawal from an Offering Period will not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05" w:lineRule="exact"/>
        <w:rPr>
          <w:sz w:val="20"/>
          <w:szCs w:val="20"/>
          <w:color w:val="auto"/>
        </w:rPr>
      </w:pPr>
    </w:p>
    <w:p>
      <w:pPr>
        <w:jc w:val="both"/>
        <w:ind w:firstLine="757"/>
        <w:spacing w:after="0" w:line="245" w:lineRule="exact"/>
        <w:tabs>
          <w:tab w:leader="none" w:pos="149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9"/>
          <w:szCs w:val="19"/>
          <w:color w:val="auto"/>
        </w:rPr>
        <w:t>‑</w:t>
      </w:r>
      <w:r>
        <w:rPr>
          <w:rFonts w:ascii="Arial" w:cs="Arial" w:eastAsia="Arial" w:hAnsi="Arial"/>
          <w:sz w:val="19"/>
          <w:szCs w:val="19"/>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9"/>
          <w:szCs w:val="19"/>
          <w:color w:val="auto"/>
        </w:rPr>
        <w:t>‑</w:t>
      </w:r>
      <w:r>
        <w:rPr>
          <w:rFonts w:ascii="Arial" w:cs="Arial" w:eastAsia="Arial" w:hAnsi="Arial"/>
          <w:sz w:val="19"/>
          <w:szCs w:val="19"/>
          <w:color w:val="auto"/>
        </w:rPr>
        <w:t>423 Component to an Offering under the 423 Component or vice versa unless (and then only to the extent) such switch would not cause the 423 Component or any option thereunder to fail to comply with Code Section 423.</w:t>
      </w:r>
    </w:p>
    <w:p>
      <w:pPr>
        <w:spacing w:after="0" w:line="193" w:lineRule="exact"/>
        <w:rPr>
          <w:rFonts w:ascii="Arial" w:cs="Arial" w:eastAsia="Arial" w:hAnsi="Arial"/>
          <w:sz w:val="19"/>
          <w:szCs w:val="19"/>
          <w:color w:val="auto"/>
        </w:rPr>
      </w:pPr>
    </w:p>
    <w:p>
      <w:pPr>
        <w:jc w:val="both"/>
        <w:ind w:firstLine="757"/>
        <w:spacing w:after="0" w:line="245" w:lineRule="auto"/>
        <w:tabs>
          <w:tab w:leader="none" w:pos="1498"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w:t>
      </w: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4" w:name="page185"/>
    <w:bookmarkEnd w:id="184"/>
    <w:p>
      <w:pPr>
        <w:jc w:val="both"/>
        <w:spacing w:after="0" w:line="245" w:lineRule="auto"/>
        <w:rPr>
          <w:sz w:val="20"/>
          <w:szCs w:val="20"/>
          <w:color w:val="auto"/>
        </w:rPr>
      </w:pPr>
      <w:r>
        <w:rPr>
          <w:rFonts w:ascii="Arial" w:cs="Arial" w:eastAsia="Arial" w:hAnsi="Arial"/>
          <w:sz w:val="21"/>
          <w:szCs w:val="21"/>
          <w:color w:val="auto"/>
        </w:rPr>
        <w:t>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84" w:lineRule="exact"/>
        <w:rPr>
          <w:sz w:val="20"/>
          <w:szCs w:val="20"/>
          <w:color w:val="auto"/>
        </w:rPr>
      </w:pPr>
    </w:p>
    <w:p>
      <w:pPr>
        <w:jc w:val="both"/>
        <w:ind w:firstLine="757"/>
        <w:spacing w:after="0" w:line="282" w:lineRule="auto"/>
        <w:tabs>
          <w:tab w:leader="none" w:pos="1498"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47" w:lineRule="exact"/>
        <w:rPr>
          <w:rFonts w:ascii="Arial" w:cs="Arial" w:eastAsia="Arial" w:hAnsi="Arial"/>
          <w:sz w:val="19"/>
          <w:szCs w:val="19"/>
          <w:color w:val="auto"/>
        </w:rPr>
      </w:pPr>
    </w:p>
    <w:p>
      <w:pPr>
        <w:jc w:val="both"/>
        <w:ind w:firstLine="757"/>
        <w:spacing w:after="0" w:line="249" w:lineRule="auto"/>
        <w:tabs>
          <w:tab w:leader="none" w:pos="149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8" w:lineRule="exact"/>
        <w:rPr>
          <w:rFonts w:ascii="Arial" w:cs="Arial" w:eastAsia="Arial" w:hAnsi="Arial"/>
          <w:sz w:val="21"/>
          <w:szCs w:val="21"/>
          <w:color w:val="auto"/>
        </w:rPr>
      </w:pPr>
    </w:p>
    <w:p>
      <w:pPr>
        <w:ind w:left="1500" w:hanging="743"/>
        <w:spacing w:after="0"/>
        <w:tabs>
          <w:tab w:leader="none" w:pos="150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7" w:lineRule="exact"/>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9"/>
          <w:szCs w:val="19"/>
          <w:color w:val="auto"/>
        </w:rPr>
        <w:t>‑</w:t>
      </w:r>
      <w:r>
        <w:rPr>
          <w:rFonts w:ascii="Arial" w:cs="Arial" w:eastAsia="Arial" w:hAnsi="Arial"/>
          <w:sz w:val="19"/>
          <w:szCs w:val="19"/>
          <w:color w:val="auto"/>
        </w:rPr>
        <w:t>up, spin</w:t>
      </w:r>
      <w:r>
        <w:rPr>
          <w:rFonts w:ascii="MS PGothic" w:cs="MS PGothic" w:eastAsia="MS PGothic" w:hAnsi="MS PGothic"/>
          <w:sz w:val="19"/>
          <w:szCs w:val="19"/>
          <w:color w:val="auto"/>
        </w:rPr>
        <w:t>‑</w:t>
      </w:r>
      <w:r>
        <w:rPr>
          <w:rFonts w:ascii="Arial" w:cs="Arial" w:eastAsia="Arial" w:hAnsi="Arial"/>
          <w:sz w:val="19"/>
          <w:szCs w:val="19"/>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8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5" w:name="page186"/>
    <w:bookmarkEnd w:id="185"/>
    <w:p>
      <w:pPr>
        <w:jc w:val="both"/>
        <w:ind w:right="20"/>
        <w:spacing w:after="0" w:line="250" w:lineRule="auto"/>
        <w:rPr>
          <w:sz w:val="20"/>
          <w:szCs w:val="20"/>
          <w:color w:val="auto"/>
        </w:rPr>
      </w:pPr>
      <w:r>
        <w:rPr>
          <w:rFonts w:ascii="Arial" w:cs="Arial" w:eastAsia="Arial" w:hAnsi="Arial"/>
          <w:sz w:val="22"/>
          <w:szCs w:val="22"/>
          <w:color w:val="auto"/>
        </w:rPr>
        <w:t>be exercised automatically on the New Exercise Date, unless prior to such date the Participant has withdrawn from the Offering Period as provided in Section 12 hereof.</w:t>
      </w:r>
    </w:p>
    <w:p>
      <w:pPr>
        <w:spacing w:after="0" w:line="175"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spacing w:after="0" w:line="158" w:lineRule="exact"/>
        <w:rPr>
          <w:sz w:val="20"/>
          <w:szCs w:val="20"/>
          <w:color w:val="auto"/>
        </w:rPr>
      </w:pPr>
    </w:p>
    <w:p>
      <w:pPr>
        <w:ind w:left="1500" w:hanging="743"/>
        <w:spacing w:after="0"/>
        <w:tabs>
          <w:tab w:leader="none" w:pos="15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18.1 </w:t>
      </w:r>
      <w:r>
        <w:rPr>
          <w:rFonts w:ascii="Arial" w:cs="Arial" w:eastAsia="Arial" w:hAnsi="Arial"/>
          <w:sz w:val="21"/>
          <w:szCs w:val="21"/>
          <w:u w:val="single" w:color="auto"/>
          <w:color w:val="auto"/>
        </w:rPr>
        <w:t>Amendment, Suspension, Termination</w:t>
      </w:r>
      <w:r>
        <w:rPr>
          <w:rFonts w:ascii="Arial" w:cs="Arial" w:eastAsia="Arial" w:hAnsi="Arial"/>
          <w:sz w:val="21"/>
          <w:szCs w:val="21"/>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84"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18.2 </w:t>
      </w:r>
      <w:r>
        <w:rPr>
          <w:rFonts w:ascii="Arial" w:cs="Arial" w:eastAsia="Arial" w:hAnsi="Arial"/>
          <w:sz w:val="19"/>
          <w:szCs w:val="19"/>
          <w:u w:val="single" w:color="auto"/>
          <w:color w:val="auto"/>
        </w:rPr>
        <w:t>Certain Administrator Changes</w:t>
      </w:r>
      <w:r>
        <w:rPr>
          <w:rFonts w:ascii="Arial" w:cs="Arial" w:eastAsia="Arial" w:hAnsi="Arial"/>
          <w:sz w:val="19"/>
          <w:szCs w:val="19"/>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5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18.3 </w:t>
      </w:r>
      <w:r>
        <w:rPr>
          <w:rFonts w:ascii="Arial" w:cs="Arial" w:eastAsia="Arial" w:hAnsi="Arial"/>
          <w:sz w:val="22"/>
          <w:szCs w:val="22"/>
          <w:u w:val="single" w:color="auto"/>
          <w:color w:val="auto"/>
        </w:rPr>
        <w:t>Changes Due to Accounting Consequences</w:t>
      </w:r>
      <w:r>
        <w:rPr>
          <w:rFonts w:ascii="Arial" w:cs="Arial" w:eastAsia="Arial" w:hAnsi="Arial"/>
          <w:sz w:val="22"/>
          <w:szCs w:val="22"/>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6" w:name="page187"/>
    <w:bookmarkEnd w:id="186"/>
    <w:p>
      <w:pPr>
        <w:jc w:val="both"/>
        <w:ind w:right="20" w:firstLine="2246"/>
        <w:spacing w:after="0"/>
        <w:rPr>
          <w:sz w:val="20"/>
          <w:szCs w:val="20"/>
          <w:color w:val="auto"/>
        </w:rPr>
      </w:pPr>
      <w:r>
        <w:rPr>
          <w:rFonts w:ascii="Arial" w:cs="Arial" w:eastAsia="Arial" w:hAnsi="Arial"/>
          <w:sz w:val="22"/>
          <w:szCs w:val="22"/>
          <w:color w:val="auto"/>
        </w:rPr>
        <w:t>(a) 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86" w:lineRule="exact"/>
        <w:rPr>
          <w:sz w:val="20"/>
          <w:szCs w:val="20"/>
          <w:color w:val="auto"/>
        </w:rPr>
      </w:pPr>
    </w:p>
    <w:p>
      <w:pPr>
        <w:ind w:right="20" w:firstLine="2246"/>
        <w:spacing w:after="0" w:line="250" w:lineRule="auto"/>
        <w:rPr>
          <w:sz w:val="20"/>
          <w:szCs w:val="20"/>
          <w:color w:val="auto"/>
        </w:rPr>
      </w:pPr>
      <w:r>
        <w:rPr>
          <w:rFonts w:ascii="Arial" w:cs="Arial" w:eastAsia="Arial" w:hAnsi="Arial"/>
          <w:sz w:val="22"/>
          <w:szCs w:val="22"/>
          <w:color w:val="auto"/>
        </w:rPr>
        <w:t>(b) altering the Purchase Price for any Purchase Period or Offering Period including a Purchase Period or Offering Period underway at the time of the change in Purchase Price;</w:t>
      </w:r>
    </w:p>
    <w:p>
      <w:pPr>
        <w:spacing w:after="0" w:line="175"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(c) shortening any Purchase Period or Offering Period by setting a New Exercise Date, including a Purchase Period or Offering Period underway at the time of the Administrator action;</w:t>
      </w:r>
    </w:p>
    <w:p>
      <w:pPr>
        <w:sectPr>
          <w:pgSz w:w="11900" w:h="16838" w:orient="portrait"/>
          <w:cols w:equalWidth="0" w:num="1">
            <w:col w:w="11240"/>
          </w:cols>
          <w:pgMar w:left="320" w:top="577" w:right="339" w:bottom="1440" w:gutter="0" w:footer="0" w:header="0"/>
        </w:sectPr>
      </w:pPr>
    </w:p>
    <w:p>
      <w:pPr>
        <w:spacing w:after="0" w:line="175"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to set aside as Contributions; 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reducing the maximum percentage of Compensation a Participant may elect</w:t>
      </w:r>
    </w:p>
    <w:p>
      <w:pPr>
        <w:spacing w:after="0" w:line="461" w:lineRule="exact"/>
        <w:rPr>
          <w:sz w:val="20"/>
          <w:szCs w:val="20"/>
          <w:color w:val="auto"/>
        </w:rPr>
      </w:pPr>
    </w:p>
    <w:p>
      <w:pPr>
        <w:sectPr>
          <w:pgSz w:w="11900" w:h="16838" w:orient="portrait"/>
          <w:cols w:equalWidth="0" w:num="2">
            <w:col w:w="3780" w:space="720"/>
            <w:col w:w="6740"/>
          </w:cols>
          <w:pgMar w:left="320" w:top="577" w:right="339" w:bottom="1440" w:gutter="0" w:footer="0" w:header="0"/>
          <w:type w:val="continuous"/>
        </w:sectPr>
      </w:pPr>
    </w:p>
    <w:p>
      <w:pPr>
        <w:spacing w:after="0" w:line="2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reducing the maximum number of shares of Common Stock a Participant</w:t>
      </w:r>
    </w:p>
    <w:p>
      <w:pPr>
        <w:sectPr>
          <w:pgSz w:w="11900" w:h="16838" w:orient="portrait"/>
          <w:cols w:equalWidth="0" w:num="1">
            <w:col w:w="11240"/>
          </w:cols>
          <w:pgMar w:left="320" w:top="577"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may purchase during any Purchase Period or Offering Period.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Such modifications or amendments will not require stockholder approval or the consent of any Plan Participants.</w:t>
      </w:r>
    </w:p>
    <w:p>
      <w:pPr>
        <w:spacing w:after="0" w:line="218" w:lineRule="exact"/>
        <w:rPr>
          <w:sz w:val="20"/>
          <w:szCs w:val="20"/>
          <w:color w:val="auto"/>
        </w:rPr>
      </w:pPr>
    </w:p>
    <w:p>
      <w:pPr>
        <w:ind w:left="1500" w:hanging="743"/>
        <w:spacing w:after="0"/>
        <w:tabs>
          <w:tab w:leader="none" w:pos="150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 xml:space="preserve">19.1 </w:t>
      </w:r>
      <w:r>
        <w:rPr>
          <w:rFonts w:ascii="Arial" w:cs="Arial" w:eastAsia="Arial" w:hAnsi="Arial"/>
          <w:sz w:val="21"/>
          <w:szCs w:val="21"/>
          <w:u w:val="single" w:color="auto"/>
          <w:color w:val="auto"/>
        </w:rPr>
        <w:t>Legal Compliance</w:t>
      </w:r>
      <w:r>
        <w:rPr>
          <w:rFonts w:ascii="Arial" w:cs="Arial" w:eastAsia="Arial" w:hAnsi="Arial"/>
          <w:sz w:val="21"/>
          <w:szCs w:val="21"/>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69"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sz w:val="20"/>
          <w:szCs w:val="20"/>
          <w:color w:val="auto"/>
        </w:rPr>
      </w:pPr>
    </w:p>
    <w:p>
      <w:pPr>
        <w:jc w:val="both"/>
        <w:ind w:firstLine="757"/>
        <w:spacing w:after="0" w:line="273" w:lineRule="auto"/>
        <w:tabs>
          <w:tab w:leader="none" w:pos="149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Plan will become effective upon the later to occur of (a) its adoption by the Board or (b) the business day immediately prior to the Registration Date. It will continue in effect for a term of twenty (20) years, unless sooner terminated under Section 18, provided that Section 3.2 relating to automatic share reserve increases will operate only until the ten</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year anniversary of the earlier of the Board or stockholder approval of the Plan.</w:t>
      </w:r>
    </w:p>
    <w:p>
      <w:pPr>
        <w:spacing w:after="0" w:line="188" w:lineRule="exact"/>
        <w:rPr>
          <w:rFonts w:ascii="Arial" w:cs="Arial" w:eastAsia="Arial" w:hAnsi="Arial"/>
          <w:sz w:val="22"/>
          <w:szCs w:val="22"/>
          <w:color w:val="auto"/>
        </w:rPr>
      </w:pPr>
    </w:p>
    <w:p>
      <w:pPr>
        <w:ind w:left="1500" w:hanging="743"/>
        <w:spacing w:after="0"/>
        <w:tabs>
          <w:tab w:leader="none" w:pos="1500"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42" w:lineRule="exact"/>
        <w:rPr>
          <w:rFonts w:ascii="Arial" w:cs="Arial" w:eastAsia="Arial" w:hAnsi="Arial"/>
          <w:sz w:val="19"/>
          <w:szCs w:val="19"/>
          <w:color w:val="auto"/>
        </w:rPr>
      </w:pPr>
    </w:p>
    <w:p>
      <w:pPr>
        <w:ind w:firstLine="8"/>
        <w:spacing w:after="0" w:line="236" w:lineRule="auto"/>
        <w:tabs>
          <w:tab w:leader="none" w:pos="417" w:val="left"/>
        </w:tabs>
        <w:numPr>
          <w:ilvl w:val="0"/>
          <w:numId w:val="96"/>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86" w:lineRule="exact"/>
        <w:rPr>
          <w:rFonts w:ascii="Arial" w:cs="Arial" w:eastAsia="Arial" w:hAnsi="Arial"/>
          <w:sz w:val="22"/>
          <w:szCs w:val="22"/>
          <w:color w:val="auto"/>
        </w:rPr>
      </w:pPr>
    </w:p>
    <w:p>
      <w:pPr>
        <w:jc w:val="both"/>
        <w:ind w:firstLine="757"/>
        <w:spacing w:after="0" w:line="247" w:lineRule="exact"/>
        <w:tabs>
          <w:tab w:leader="none" w:pos="1498"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22"/>
          <w:szCs w:val="22"/>
          <w:color w:val="auto"/>
        </w:rPr>
        <w:t>‑</w:t>
      </w:r>
      <w:r>
        <w:rPr>
          <w:rFonts w:ascii="Arial" w:cs="Arial" w:eastAsia="Arial" w:hAnsi="Arial"/>
          <w:sz w:val="22"/>
          <w:szCs w:val="22"/>
          <w:color w:val="auto"/>
        </w:rPr>
        <w:t>2(f).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type w:val="continuous"/>
        </w:sectPr>
      </w:pPr>
    </w:p>
    <w:bookmarkStart w:id="187" w:name="page188"/>
    <w:bookmarkEnd w:id="187"/>
    <w:p>
      <w:pPr>
        <w:jc w:val="both"/>
        <w:ind w:firstLine="757"/>
        <w:spacing w:after="0" w:line="287" w:lineRule="auto"/>
        <w:tabs>
          <w:tab w:leader="none" w:pos="149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Effect on Employment</w:t>
      </w:r>
      <w:r>
        <w:rPr>
          <w:rFonts w:ascii="Arial" w:cs="Arial" w:eastAsia="Arial" w:hAnsi="Arial"/>
          <w:sz w:val="19"/>
          <w:szCs w:val="19"/>
          <w:color w:val="auto"/>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42" w:lineRule="exact"/>
        <w:rPr>
          <w:rFonts w:ascii="Arial" w:cs="Arial" w:eastAsia="Arial" w:hAnsi="Arial"/>
          <w:sz w:val="19"/>
          <w:szCs w:val="19"/>
          <w:color w:val="auto"/>
        </w:rPr>
      </w:pPr>
    </w:p>
    <w:p>
      <w:pPr>
        <w:jc w:val="both"/>
        <w:ind w:firstLine="757"/>
        <w:spacing w:after="0" w:line="297" w:lineRule="auto"/>
        <w:tabs>
          <w:tab w:leader="none" w:pos="149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33" w:lineRule="exact"/>
        <w:rPr>
          <w:rFonts w:ascii="Arial" w:cs="Arial" w:eastAsia="Arial" w:hAnsi="Arial"/>
          <w:sz w:val="19"/>
          <w:szCs w:val="19"/>
          <w:color w:val="auto"/>
        </w:rPr>
      </w:pPr>
    </w:p>
    <w:p>
      <w:pPr>
        <w:jc w:val="both"/>
        <w:ind w:firstLine="757"/>
        <w:spacing w:after="0"/>
        <w:tabs>
          <w:tab w:leader="none" w:pos="149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Legal Construction</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26.1 </w:t>
      </w:r>
      <w:r>
        <w:rPr>
          <w:rFonts w:ascii="Arial" w:cs="Arial" w:eastAsia="Arial" w:hAnsi="Arial"/>
          <w:sz w:val="22"/>
          <w:szCs w:val="22"/>
          <w:u w:val="single" w:color="auto"/>
          <w:color w:val="auto"/>
        </w:rPr>
        <w:t>Gender and Number</w:t>
      </w:r>
      <w:r>
        <w:rPr>
          <w:rFonts w:ascii="Arial" w:cs="Arial" w:eastAsia="Arial" w:hAnsi="Arial"/>
          <w:sz w:val="22"/>
          <w:szCs w:val="22"/>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26.2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jc w:val="right"/>
              <w:ind w:right="612"/>
              <w:spacing w:after="0"/>
              <w:rPr>
                <w:sz w:val="20"/>
                <w:szCs w:val="20"/>
                <w:color w:val="auto"/>
              </w:rPr>
            </w:pPr>
            <w:r>
              <w:rPr>
                <w:rFonts w:ascii="Arial" w:cs="Arial" w:eastAsia="Arial" w:hAnsi="Arial"/>
                <w:sz w:val="22"/>
                <w:szCs w:val="22"/>
                <w:color w:val="auto"/>
              </w:rPr>
              <w:t>26.3</w:t>
            </w:r>
          </w:p>
        </w:tc>
        <w:tc>
          <w:tcPr>
            <w:tcW w:w="400" w:type="dxa"/>
            <w:vAlign w:val="bottom"/>
          </w:tcPr>
          <w:p>
            <w:pPr>
              <w:spacing w:after="0"/>
              <w:rPr>
                <w:sz w:val="21"/>
                <w:szCs w:val="21"/>
                <w:color w:val="auto"/>
              </w:rPr>
            </w:pPr>
          </w:p>
        </w:tc>
        <w:tc>
          <w:tcPr>
            <w:tcW w:w="8240" w:type="dxa"/>
            <w:vAlign w:val="bottom"/>
            <w:gridSpan w:val="3"/>
          </w:tcPr>
          <w:p>
            <w:pPr>
              <w:spacing w:after="0"/>
              <w:rPr>
                <w:sz w:val="20"/>
                <w:szCs w:val="20"/>
                <w:color w:val="auto"/>
              </w:rPr>
            </w:pPr>
            <w:r>
              <w:rPr>
                <w:rFonts w:ascii="Arial" w:cs="Arial" w:eastAsia="Arial" w:hAnsi="Arial"/>
                <w:sz w:val="22"/>
                <w:szCs w:val="22"/>
                <w:color w:val="auto"/>
                <w:w w:val="91"/>
              </w:rPr>
              <w:t>Governing Law. The Plan will be governed by, and construed in accordance with, the laws of</w:t>
            </w:r>
          </w:p>
        </w:tc>
      </w:tr>
      <w:tr>
        <w:trPr>
          <w:trHeight w:val="20"/>
        </w:trPr>
        <w:tc>
          <w:tcPr>
            <w:tcW w:w="30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74"/>
        </w:trPr>
        <w:tc>
          <w:tcPr>
            <w:tcW w:w="11240" w:type="dxa"/>
            <w:vAlign w:val="bottom"/>
            <w:gridSpan w:val="5"/>
          </w:tcPr>
          <w:p>
            <w:pPr>
              <w:spacing w:after="0"/>
              <w:rPr>
                <w:sz w:val="20"/>
                <w:szCs w:val="20"/>
                <w:color w:val="auto"/>
              </w:rPr>
            </w:pPr>
            <w:r>
              <w:rPr>
                <w:rFonts w:ascii="Arial" w:cs="Arial" w:eastAsia="Arial" w:hAnsi="Arial"/>
                <w:sz w:val="22"/>
                <w:szCs w:val="22"/>
                <w:color w:val="auto"/>
              </w:rPr>
              <w:t>the State of Delaware, but without regard to its conflict of law provisions.</w:t>
            </w:r>
          </w:p>
        </w:tc>
      </w:tr>
      <w:tr>
        <w:trPr>
          <w:trHeight w:val="408"/>
        </w:trPr>
        <w:tc>
          <w:tcPr>
            <w:tcW w:w="2600" w:type="dxa"/>
            <w:vAlign w:val="bottom"/>
          </w:tcPr>
          <w:p>
            <w:pPr>
              <w:jc w:val="right"/>
              <w:ind w:right="612"/>
              <w:spacing w:after="0"/>
              <w:rPr>
                <w:sz w:val="20"/>
                <w:szCs w:val="20"/>
                <w:color w:val="auto"/>
              </w:rPr>
            </w:pPr>
            <w:r>
              <w:rPr>
                <w:rFonts w:ascii="Arial" w:cs="Arial" w:eastAsia="Arial" w:hAnsi="Arial"/>
                <w:sz w:val="22"/>
                <w:szCs w:val="22"/>
                <w:color w:val="auto"/>
              </w:rPr>
              <w:t>26.4</w:t>
            </w:r>
          </w:p>
        </w:tc>
        <w:tc>
          <w:tcPr>
            <w:tcW w:w="8640" w:type="dxa"/>
            <w:vAlign w:val="bottom"/>
            <w:gridSpan w:val="4"/>
          </w:tcPr>
          <w:p>
            <w:pPr>
              <w:ind w:left="400"/>
              <w:spacing w:after="0"/>
              <w:rPr>
                <w:sz w:val="20"/>
                <w:szCs w:val="20"/>
                <w:color w:val="auto"/>
              </w:rPr>
            </w:pPr>
            <w:r>
              <w:rPr>
                <w:rFonts w:ascii="Arial" w:cs="Arial" w:eastAsia="Arial" w:hAnsi="Arial"/>
                <w:sz w:val="22"/>
                <w:szCs w:val="22"/>
                <w:color w:val="auto"/>
                <w:w w:val="89"/>
              </w:rPr>
              <w:t>Headings. Headings are provided herein for convenience only, and will not serve as a basis for</w:t>
            </w:r>
          </w:p>
        </w:tc>
      </w:tr>
      <w:tr>
        <w:trPr>
          <w:trHeight w:val="274"/>
        </w:trPr>
        <w:tc>
          <w:tcPr>
            <w:tcW w:w="2600" w:type="dxa"/>
            <w:vAlign w:val="bottom"/>
          </w:tcPr>
          <w:p>
            <w:pPr>
              <w:spacing w:after="0"/>
              <w:rPr>
                <w:sz w:val="20"/>
                <w:szCs w:val="20"/>
                <w:color w:val="auto"/>
              </w:rPr>
            </w:pPr>
            <w:r>
              <w:rPr>
                <w:rFonts w:ascii="Arial" w:cs="Arial" w:eastAsia="Arial" w:hAnsi="Arial"/>
                <w:sz w:val="22"/>
                <w:szCs w:val="22"/>
                <w:color w:val="auto"/>
              </w:rPr>
              <w:t>interpretation of the Plan.</w:t>
            </w:r>
          </w:p>
        </w:tc>
        <w:tc>
          <w:tcPr>
            <w:tcW w:w="4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6880" w:type="dxa"/>
            <w:vAlign w:val="bottom"/>
          </w:tcPr>
          <w:p>
            <w:pPr>
              <w:spacing w:after="0"/>
              <w:rPr>
                <w:sz w:val="23"/>
                <w:szCs w:val="23"/>
                <w:color w:val="auto"/>
              </w:rPr>
            </w:pPr>
          </w:p>
        </w:tc>
      </w:tr>
    </w:tbl>
    <w:p>
      <w:pPr>
        <w:spacing w:after="0" w:line="185" w:lineRule="exact"/>
        <w:rPr>
          <w:sz w:val="20"/>
          <w:szCs w:val="20"/>
          <w:color w:val="auto"/>
        </w:rPr>
      </w:pPr>
    </w:p>
    <w:p>
      <w:pPr>
        <w:ind w:firstLine="757"/>
        <w:spacing w:after="0" w:line="250" w:lineRule="auto"/>
        <w:tabs>
          <w:tab w:leader="none" w:pos="149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 The terms of this Plan are intended to comply with all Applicable Laws and will be construed accordingly.</w:t>
      </w:r>
    </w:p>
    <w:p>
      <w:pPr>
        <w:spacing w:after="0" w:line="174" w:lineRule="exact"/>
        <w:rPr>
          <w:rFonts w:ascii="Arial" w:cs="Arial" w:eastAsia="Arial" w:hAnsi="Arial"/>
          <w:sz w:val="22"/>
          <w:szCs w:val="22"/>
          <w:color w:val="auto"/>
        </w:rPr>
      </w:pPr>
    </w:p>
    <w:p>
      <w:pPr>
        <w:jc w:val="both"/>
        <w:ind w:firstLine="757"/>
        <w:spacing w:after="0" w:line="245" w:lineRule="exact"/>
        <w:tabs>
          <w:tab w:leader="none" w:pos="149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Automatic Transfer to Low Price Offering Period</w:t>
      </w:r>
      <w:r>
        <w:rPr>
          <w:rFonts w:ascii="Arial" w:cs="Arial" w:eastAsia="Arial" w:hAnsi="Arial"/>
          <w:sz w:val="22"/>
          <w:szCs w:val="22"/>
          <w:color w:val="auto"/>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22"/>
          <w:szCs w:val="22"/>
          <w:color w:val="auto"/>
        </w:rPr>
        <w:t>‑</w:t>
      </w:r>
      <w:r>
        <w:rPr>
          <w:rFonts w:ascii="Arial" w:cs="Arial" w:eastAsia="Arial" w:hAnsi="Arial"/>
          <w:sz w:val="22"/>
          <w:szCs w:val="22"/>
          <w:color w:val="auto"/>
        </w:rPr>
        <w:t>enrolled in the immediately following Offering Period as of the first day thereof.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88" w:name="page189"/>
    <w:bookmarkEnd w:id="188"/>
    <w:p>
      <w:pPr>
        <w:ind w:left="3800"/>
        <w:spacing w:after="0"/>
        <w:tabs>
          <w:tab w:leader="none" w:pos="4440" w:val="left"/>
          <w:tab w:leader="none" w:pos="50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9019"/>
          </w:cols>
          <w:pgMar w:left="1440" w:top="5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10.8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AGREEMENT</w:t>
      </w:r>
    </w:p>
    <w:p>
      <w:pPr>
        <w:spacing w:after="0" w:line="21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Offering Date: 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 Rate</w:t>
      </w:r>
    </w:p>
    <w:p>
      <w:pPr>
        <w:spacing w:after="0" w:line="206" w:lineRule="exact"/>
        <w:rPr>
          <w:sz w:val="20"/>
          <w:szCs w:val="20"/>
          <w:color w:val="auto"/>
        </w:rPr>
      </w:pPr>
    </w:p>
    <w:p>
      <w:pPr>
        <w:jc w:val="both"/>
        <w:ind w:firstLine="757"/>
        <w:spacing w:after="0" w:line="238"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color w:val="auto"/>
        </w:rPr>
        <w:t>____________________ hereby elects to participate in the Athira Pharma, Inc. 2020 Employee Stock Purchase Plan (the “</w:t>
      </w:r>
      <w:r>
        <w:rPr>
          <w:rFonts w:ascii="Arial" w:cs="Arial" w:eastAsia="Arial" w:hAnsi="Arial"/>
          <w:sz w:val="22"/>
          <w:szCs w:val="22"/>
          <w:u w:val="single" w:color="auto"/>
          <w:color w:val="auto"/>
        </w:rPr>
        <w:t>Plan</w:t>
      </w:r>
      <w:r>
        <w:rPr>
          <w:rFonts w:ascii="Arial" w:cs="Arial" w:eastAsia="Arial" w:hAnsi="Arial"/>
          <w:sz w:val="22"/>
          <w:szCs w:val="22"/>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84" w:lineRule="exact"/>
        <w:rPr>
          <w:rFonts w:ascii="Arial" w:cs="Arial" w:eastAsia="Arial" w:hAnsi="Arial"/>
          <w:sz w:val="22"/>
          <w:szCs w:val="22"/>
          <w:color w:val="auto"/>
        </w:rPr>
      </w:pPr>
    </w:p>
    <w:p>
      <w:pPr>
        <w:jc w:val="both"/>
        <w:ind w:firstLine="757"/>
        <w:spacing w:after="0" w:line="279" w:lineRule="auto"/>
        <w:tabs>
          <w:tab w:leader="none" w:pos="1498"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50" w:lineRule="exact"/>
        <w:rPr>
          <w:rFonts w:ascii="Arial" w:cs="Arial" w:eastAsia="Arial" w:hAnsi="Arial"/>
          <w:sz w:val="19"/>
          <w:szCs w:val="19"/>
          <w:color w:val="auto"/>
        </w:rPr>
      </w:pPr>
    </w:p>
    <w:p>
      <w:pPr>
        <w:jc w:val="both"/>
        <w:ind w:firstLine="757"/>
        <w:spacing w:after="0" w:line="236"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87" w:lineRule="exact"/>
        <w:rPr>
          <w:rFonts w:ascii="Arial" w:cs="Arial" w:eastAsia="Arial" w:hAnsi="Arial"/>
          <w:sz w:val="22"/>
          <w:szCs w:val="22"/>
          <w:color w:val="auto"/>
        </w:rPr>
      </w:pPr>
    </w:p>
    <w:p>
      <w:pPr>
        <w:ind w:firstLine="757"/>
        <w:spacing w:after="0" w:line="250" w:lineRule="auto"/>
        <w:tabs>
          <w:tab w:leader="none" w:pos="1498" w:val="left"/>
        </w:tabs>
        <w:numPr>
          <w:ilvl w:val="0"/>
          <w:numId w:val="99"/>
        </w:numPr>
        <w:rPr>
          <w:rFonts w:ascii="Arial" w:cs="Arial" w:eastAsia="Arial" w:hAnsi="Arial"/>
          <w:sz w:val="22"/>
          <w:szCs w:val="22"/>
          <w:color w:val="auto"/>
        </w:rPr>
      </w:pPr>
      <w:r>
        <w:rPr>
          <w:rFonts w:ascii="Arial" w:cs="Arial" w:eastAsia="Arial" w:hAnsi="Arial"/>
          <w:sz w:val="22"/>
          <w:szCs w:val="22"/>
          <w:color w:val="auto"/>
        </w:rPr>
        <w:t>I have received a copy of the complete Plan and its accompanying prospectus. I understand that my participation in the Plan is in all respects subject to the terms of the Plan.</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Shares of Common Stock purchased for me under the Plan should be issued in the name(s) of _____________</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(Eligible Employee or Eligible Employee and spouse only).</w:t>
      </w:r>
    </w:p>
    <w:p>
      <w:pPr>
        <w:spacing w:after="0" w:line="188" w:lineRule="exact"/>
        <w:rPr>
          <w:rFonts w:ascii="Arial" w:cs="Arial" w:eastAsia="Arial" w:hAnsi="Arial"/>
          <w:sz w:val="19"/>
          <w:szCs w:val="19"/>
          <w:color w:val="auto"/>
        </w:rPr>
      </w:pPr>
    </w:p>
    <w:p>
      <w:pPr>
        <w:jc w:val="both"/>
        <w:ind w:firstLine="757"/>
        <w:spacing w:after="0" w:line="287" w:lineRule="auto"/>
        <w:tabs>
          <w:tab w:leader="none" w:pos="1498"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spacing w:after="0" w:line="273" w:lineRule="auto"/>
        <w:rPr>
          <w:sz w:val="20"/>
          <w:szCs w:val="20"/>
          <w:color w:val="auto"/>
        </w:rPr>
      </w:pPr>
      <w:r>
        <w:rPr>
          <w:rFonts w:ascii="Arial" w:cs="Arial" w:eastAsia="Arial" w:hAnsi="Arial"/>
          <w:sz w:val="19"/>
          <w:szCs w:val="19"/>
          <w:color w:val="auto"/>
        </w:rPr>
        <w:t xml:space="preserve">over the price that I paid for the shares. </w:t>
      </w:r>
      <w:r>
        <w:rPr>
          <w:rFonts w:ascii="Arial" w:cs="Arial" w:eastAsia="Arial" w:hAnsi="Arial"/>
          <w:sz w:val="19"/>
          <w:szCs w:val="19"/>
          <w:u w:val="single" w:color="auto"/>
          <w:color w:val="auto"/>
        </w:rPr>
        <w:t>I hereby agree to notify the Company in writing within thirty (30) days after the date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disposition of my shares and I will make adequate provision for federal, state or other tax withholding obligations, if any, which arise upon the disposition of the Common Stock</w:t>
      </w:r>
      <w:r>
        <w:rPr>
          <w:rFonts w:ascii="Arial" w:cs="Arial" w:eastAsia="Arial" w:hAnsi="Arial"/>
          <w:sz w:val="19"/>
          <w:szCs w:val="19"/>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4" w:lineRule="exact"/>
        <w:rPr>
          <w:sz w:val="20"/>
          <w:szCs w:val="20"/>
          <w:color w:val="auto"/>
        </w:rPr>
      </w:pPr>
    </w:p>
    <w:p>
      <w:pPr>
        <w:jc w:val="both"/>
        <w:ind w:firstLine="757"/>
        <w:spacing w:after="0" w:line="245" w:lineRule="exact"/>
        <w:tabs>
          <w:tab w:leader="none" w:pos="149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9"/>
          <w:szCs w:val="19"/>
          <w:u w:val="single" w:color="auto"/>
          <w:color w:val="auto"/>
        </w:rPr>
        <w:t>Tax</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Items</w:t>
      </w:r>
      <w:r>
        <w:rPr>
          <w:rFonts w:ascii="Arial" w:cs="Arial" w:eastAsia="Arial" w:hAnsi="Arial"/>
          <w:sz w:val="19"/>
          <w:szCs w:val="19"/>
          <w:color w:val="auto"/>
        </w:rPr>
        <w:t>”), the ultimate liability for all Tax</w:t>
      </w:r>
      <w:r>
        <w:rPr>
          <w:rFonts w:ascii="MS PGothic" w:cs="MS PGothic" w:eastAsia="MS PGothic" w:hAnsi="MS PGothic"/>
          <w:sz w:val="19"/>
          <w:szCs w:val="19"/>
          <w:color w:val="auto"/>
        </w:rPr>
        <w:t>‑</w:t>
      </w:r>
      <w:r>
        <w:rPr>
          <w:rFonts w:ascii="Arial" w:cs="Arial" w:eastAsia="Arial" w:hAnsi="Arial"/>
          <w:sz w:val="19"/>
          <w:szCs w:val="19"/>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9"/>
          <w:szCs w:val="19"/>
          <w:color w:val="auto"/>
        </w:rPr>
        <w:t>‑</w:t>
      </w:r>
      <w:r>
        <w:rPr>
          <w:rFonts w:ascii="Arial" w:cs="Arial" w:eastAsia="Arial" w:hAnsi="Arial"/>
          <w:sz w:val="19"/>
          <w:szCs w:val="19"/>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9"/>
          <w:szCs w:val="19"/>
          <w:color w:val="auto"/>
        </w:rPr>
        <w:t>‑</w:t>
      </w:r>
      <w:r>
        <w:rPr>
          <w:rFonts w:ascii="Arial" w:cs="Arial" w:eastAsia="Arial" w:hAnsi="Arial"/>
          <w:sz w:val="19"/>
          <w:szCs w:val="19"/>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9"/>
          <w:szCs w:val="19"/>
          <w:color w:val="auto"/>
        </w:rPr>
        <w:t>‑</w:t>
      </w:r>
      <w:r>
        <w:rPr>
          <w:rFonts w:ascii="Arial" w:cs="Arial" w:eastAsia="Arial" w:hAnsi="Arial"/>
          <w:sz w:val="19"/>
          <w:szCs w:val="19"/>
          <w:color w:val="auto"/>
        </w:rPr>
        <w:t>Related Items in more than one jurisdiction.</w:t>
      </w:r>
    </w:p>
    <w:p>
      <w:pPr>
        <w:spacing w:after="0" w:line="191" w:lineRule="exact"/>
        <w:rPr>
          <w:sz w:val="20"/>
          <w:szCs w:val="20"/>
          <w:color w:val="auto"/>
        </w:rPr>
      </w:pPr>
    </w:p>
    <w:p>
      <w:pPr>
        <w:jc w:val="both"/>
        <w:ind w:firstLine="749"/>
        <w:spacing w:after="0" w:line="244" w:lineRule="exact"/>
        <w:rPr>
          <w:sz w:val="20"/>
          <w:szCs w:val="20"/>
          <w:color w:val="auto"/>
        </w:rPr>
      </w:pPr>
      <w:r>
        <w:rPr>
          <w:rFonts w:ascii="Arial" w:cs="Arial" w:eastAsia="Arial" w:hAnsi="Arial"/>
          <w:sz w:val="19"/>
          <w:szCs w:val="19"/>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9"/>
          <w:szCs w:val="19"/>
          <w:color w:val="auto"/>
        </w:rPr>
        <w:t>‑</w:t>
      </w:r>
      <w:r>
        <w:rPr>
          <w:rFonts w:ascii="Arial" w:cs="Arial" w:eastAsia="Arial" w:hAnsi="Arial"/>
          <w:sz w:val="19"/>
          <w:szCs w:val="19"/>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9"/>
          <w:szCs w:val="19"/>
          <w:color w:val="auto"/>
        </w:rPr>
        <w:t>‑</w:t>
      </w:r>
      <w:r>
        <w:rPr>
          <w:rFonts w:ascii="Arial" w:cs="Arial" w:eastAsia="Arial" w:hAnsi="Arial"/>
          <w:sz w:val="19"/>
          <w:szCs w:val="19"/>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9"/>
          <w:szCs w:val="19"/>
          <w:color w:val="auto"/>
        </w:rPr>
        <w:t>‑</w:t>
      </w:r>
      <w:r>
        <w:rPr>
          <w:rFonts w:ascii="Arial" w:cs="Arial" w:eastAsia="Arial" w:hAnsi="Arial"/>
          <w:sz w:val="19"/>
          <w:szCs w:val="19"/>
          <w:color w:val="auto"/>
        </w:rPr>
        <w:t>Related Items by considering applicable maximum withholding rates, in which case I will receive a refund of any over</w:t>
      </w:r>
      <w:r>
        <w:rPr>
          <w:rFonts w:ascii="MS PGothic" w:cs="MS PGothic" w:eastAsia="MS PGothic" w:hAnsi="MS PGothic"/>
          <w:sz w:val="19"/>
          <w:szCs w:val="19"/>
          <w:color w:val="auto"/>
        </w:rPr>
        <w:t>‑</w:t>
      </w:r>
      <w:r>
        <w:rPr>
          <w:rFonts w:ascii="Arial" w:cs="Arial" w:eastAsia="Arial" w:hAnsi="Arial"/>
          <w:sz w:val="19"/>
          <w:szCs w:val="19"/>
          <w:color w:val="auto"/>
        </w:rPr>
        <w:t>withheld amount in cash and will have no entitlement to the Common Stock equivalent.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1" w:name="page192"/>
    <w:bookmarkEnd w:id="191"/>
    <w:p>
      <w:pPr>
        <w:jc w:val="both"/>
        <w:ind w:firstLine="749"/>
        <w:spacing w:after="0" w:line="249" w:lineRule="exact"/>
        <w:rPr>
          <w:sz w:val="20"/>
          <w:szCs w:val="20"/>
          <w:color w:val="auto"/>
        </w:rPr>
      </w:pPr>
      <w:r>
        <w:rPr>
          <w:rFonts w:ascii="Arial" w:cs="Arial" w:eastAsia="Arial" w:hAnsi="Arial"/>
          <w:sz w:val="22"/>
          <w:szCs w:val="22"/>
          <w:color w:val="auto"/>
        </w:rPr>
        <w:t>Finally, I agree to pay to the Company or the applicable Designated Company any amount of Tax</w:t>
      </w:r>
      <w:r>
        <w:rPr>
          <w:rFonts w:ascii="MS PGothic" w:cs="MS PGothic" w:eastAsia="MS PGothic" w:hAnsi="MS PGothic"/>
          <w:sz w:val="22"/>
          <w:szCs w:val="22"/>
          <w:color w:val="auto"/>
        </w:rPr>
        <w:t>‑</w:t>
      </w:r>
      <w:r>
        <w:rPr>
          <w:rFonts w:ascii="Arial" w:cs="Arial" w:eastAsia="Arial" w:hAnsi="Arial"/>
          <w:sz w:val="22"/>
          <w:szCs w:val="22"/>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22"/>
          <w:szCs w:val="22"/>
          <w:color w:val="auto"/>
        </w:rPr>
        <w:t>‑</w:t>
      </w:r>
      <w:r>
        <w:rPr>
          <w:rFonts w:ascii="Arial" w:cs="Arial" w:eastAsia="Arial" w:hAnsi="Arial"/>
          <w:sz w:val="22"/>
          <w:szCs w:val="22"/>
          <w:color w:val="auto"/>
        </w:rPr>
        <w:t>Related Items.</w:t>
      </w:r>
    </w:p>
    <w:p>
      <w:pPr>
        <w:spacing w:after="0" w:line="187" w:lineRule="exact"/>
        <w:rPr>
          <w:sz w:val="20"/>
          <w:szCs w:val="20"/>
          <w:color w:val="auto"/>
        </w:rPr>
      </w:pPr>
    </w:p>
    <w:p>
      <w:pPr>
        <w:ind w:left="1500" w:hanging="743"/>
        <w:spacing w:after="0"/>
        <w:tabs>
          <w:tab w:leader="none" w:pos="15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By electing to participate in the Plan, I acknowledge, understand and agree that:</w:t>
      </w:r>
    </w:p>
    <w:p>
      <w:pPr>
        <w:spacing w:after="0" w:line="206" w:lineRule="exact"/>
        <w:rPr>
          <w:rFonts w:ascii="Arial" w:cs="Arial" w:eastAsia="Arial" w:hAnsi="Arial"/>
          <w:sz w:val="22"/>
          <w:szCs w:val="22"/>
          <w:color w:val="auto"/>
        </w:rPr>
      </w:pPr>
    </w:p>
    <w:p>
      <w:pPr>
        <w:ind w:left="100" w:firstLine="1405"/>
        <w:spacing w:after="0" w:line="274" w:lineRule="auto"/>
        <w:tabs>
          <w:tab w:leader="none" w:pos="2915"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it may be modified, amended, suspended or terminated by the Company at any time, to the extent provided for in the Plan;</w:t>
      </w:r>
    </w:p>
    <w:p>
      <w:pPr>
        <w:spacing w:after="0" w:line="150" w:lineRule="exact"/>
        <w:rPr>
          <w:rFonts w:ascii="Arial" w:cs="Arial" w:eastAsia="Arial" w:hAnsi="Arial"/>
          <w:sz w:val="21"/>
          <w:szCs w:val="21"/>
          <w:color w:val="auto"/>
        </w:rPr>
      </w:pPr>
    </w:p>
    <w:p>
      <w:pPr>
        <w:ind w:left="2920" w:hanging="1415"/>
        <w:spacing w:after="0"/>
        <w:tabs>
          <w:tab w:leader="none" w:pos="2920"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all decisions with respect to future grants under the Plan, if applicable, will be at the sole</w:t>
      </w:r>
    </w:p>
    <w:p>
      <w:pPr>
        <w:spacing w:after="0" w:line="19"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21"/>
          <w:szCs w:val="21"/>
          <w:color w:val="auto"/>
        </w:rPr>
      </w:pPr>
    </w:p>
    <w:p>
      <w:pPr>
        <w:jc w:val="both"/>
        <w:ind w:left="100" w:firstLine="1405"/>
        <w:spacing w:after="0" w:line="297" w:lineRule="auto"/>
        <w:tabs>
          <w:tab w:leader="none" w:pos="2915"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33" w:lineRule="exact"/>
        <w:rPr>
          <w:rFonts w:ascii="Arial" w:cs="Arial" w:eastAsia="Arial" w:hAnsi="Arial"/>
          <w:sz w:val="19"/>
          <w:szCs w:val="19"/>
          <w:color w:val="auto"/>
        </w:rPr>
      </w:pPr>
    </w:p>
    <w:p>
      <w:pPr>
        <w:ind w:left="2920" w:hanging="1415"/>
        <w:spacing w:after="0"/>
        <w:tabs>
          <w:tab w:leader="none" w:pos="29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206" w:lineRule="exact"/>
        <w:rPr>
          <w:rFonts w:ascii="Arial" w:cs="Arial" w:eastAsia="Arial" w:hAnsi="Arial"/>
          <w:sz w:val="22"/>
          <w:szCs w:val="22"/>
          <w:color w:val="auto"/>
        </w:rPr>
      </w:pPr>
    </w:p>
    <w:p>
      <w:pPr>
        <w:ind w:left="100" w:firstLine="1405"/>
        <w:spacing w:after="0" w:line="250" w:lineRule="auto"/>
        <w:tabs>
          <w:tab w:leader="none" w:pos="291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options granted under the Plan and the shares of Common Stock underlying such options, and the income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left="100" w:firstLine="1405"/>
        <w:spacing w:after="0" w:line="251" w:lineRule="exact"/>
        <w:tabs>
          <w:tab w:leader="none" w:pos="291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service payments, bonuses, long</w:t>
      </w:r>
      <w:r>
        <w:rPr>
          <w:rFonts w:ascii="MS PGothic" w:cs="MS PGothic" w:eastAsia="MS PGothic" w:hAnsi="MS PGothic"/>
          <w:sz w:val="22"/>
          <w:szCs w:val="22"/>
          <w:color w:val="auto"/>
        </w:rPr>
        <w:t>‑</w:t>
      </w:r>
      <w:r>
        <w:rPr>
          <w:rFonts w:ascii="Arial" w:cs="Arial" w:eastAsia="Arial" w:hAnsi="Arial"/>
          <w:sz w:val="22"/>
          <w:szCs w:val="22"/>
          <w:color w:val="auto"/>
        </w:rPr>
        <w:t>service awards, pension or retirement benefits or similar payments;</w:t>
      </w:r>
    </w:p>
    <w:p>
      <w:pPr>
        <w:spacing w:after="0" w:line="184" w:lineRule="exact"/>
        <w:rPr>
          <w:rFonts w:ascii="Arial" w:cs="Arial" w:eastAsia="Arial" w:hAnsi="Arial"/>
          <w:sz w:val="22"/>
          <w:szCs w:val="22"/>
          <w:color w:val="auto"/>
        </w:rPr>
      </w:pPr>
    </w:p>
    <w:p>
      <w:pPr>
        <w:ind w:left="100" w:firstLine="1405"/>
        <w:spacing w:after="0" w:line="250" w:lineRule="auto"/>
        <w:tabs>
          <w:tab w:leader="none" w:pos="2915"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future value of the shares of Common Stock offered under the Plan is unknown, indeterminable and cannot be predicted with certainty;</w:t>
      </w:r>
    </w:p>
    <w:p>
      <w:pPr>
        <w:spacing w:after="0" w:line="174" w:lineRule="exact"/>
        <w:rPr>
          <w:rFonts w:ascii="Arial" w:cs="Arial" w:eastAsia="Arial" w:hAnsi="Arial"/>
          <w:sz w:val="22"/>
          <w:szCs w:val="22"/>
          <w:color w:val="auto"/>
        </w:rPr>
      </w:pPr>
    </w:p>
    <w:p>
      <w:pPr>
        <w:ind w:left="2920" w:hanging="1415"/>
        <w:spacing w:after="0"/>
        <w:tabs>
          <w:tab w:leader="none" w:pos="29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shares of Common Stock that I acquire under the Plan may increase or decrease in value,</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even below the Purchase Price;</w:t>
      </w:r>
    </w:p>
    <w:p>
      <w:pPr>
        <w:spacing w:after="0" w:line="188" w:lineRule="exact"/>
        <w:rPr>
          <w:rFonts w:ascii="Arial" w:cs="Arial" w:eastAsia="Arial" w:hAnsi="Arial"/>
          <w:sz w:val="19"/>
          <w:szCs w:val="19"/>
          <w:color w:val="auto"/>
        </w:rPr>
      </w:pPr>
    </w:p>
    <w:p>
      <w:pPr>
        <w:jc w:val="both"/>
        <w:ind w:left="100" w:firstLine="1405"/>
        <w:spacing w:after="0" w:line="244" w:lineRule="auto"/>
        <w:tabs>
          <w:tab w:leader="none" w:pos="2915" w:val="left"/>
        </w:tabs>
        <w:numPr>
          <w:ilvl w:val="1"/>
          <w:numId w:val="101"/>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w:t>
      </w: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2" w:name="page193"/>
    <w:bookmarkEnd w:id="192"/>
    <w:p>
      <w:pPr>
        <w:ind w:left="100"/>
        <w:spacing w:after="0" w:line="274" w:lineRule="auto"/>
        <w:rPr>
          <w:sz w:val="20"/>
          <w:szCs w:val="20"/>
          <w:color w:val="auto"/>
        </w:rPr>
      </w:pPr>
      <w:r>
        <w:rPr>
          <w:rFonts w:ascii="Arial" w:cs="Arial" w:eastAsia="Arial" w:hAnsi="Arial"/>
          <w:sz w:val="21"/>
          <w:szCs w:val="21"/>
          <w:color w:val="auto"/>
        </w:rPr>
        <w:t>allowed by a court of competent jurisdiction, I will be deemed irrevocably to have agreed to not to pursue such claim and agree to execute any and all documents necessary to request dismissal or withdrawal of such claim; and</w:t>
      </w:r>
    </w:p>
    <w:p>
      <w:pPr>
        <w:spacing w:after="0" w:line="151" w:lineRule="exact"/>
        <w:rPr>
          <w:sz w:val="20"/>
          <w:szCs w:val="20"/>
          <w:color w:val="auto"/>
        </w:rPr>
      </w:pPr>
    </w:p>
    <w:p>
      <w:pPr>
        <w:jc w:val="both"/>
        <w:ind w:left="100" w:firstLine="1405"/>
        <w:spacing w:after="0" w:line="245" w:lineRule="auto"/>
        <w:tabs>
          <w:tab w:leader="none" w:pos="2915"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w:t>
      </w:r>
      <w:r>
        <w:rPr>
          <w:rFonts w:ascii="Arial" w:cs="Arial" w:eastAsia="Arial" w:hAnsi="Arial"/>
          <w:sz w:val="21"/>
          <w:szCs w:val="21"/>
          <w:u w:val="single" w:color="auto"/>
          <w:color w:val="auto"/>
        </w:rPr>
        <w:t>garden</w:t>
      </w:r>
      <w:r>
        <w:rPr>
          <w:rFonts w:ascii="Arial" w:cs="Arial" w:eastAsia="Arial" w:hAnsi="Arial"/>
          <w:sz w:val="21"/>
          <w:szCs w:val="21"/>
          <w:color w:val="auto"/>
        </w:rPr>
        <w:t xml:space="preserve"> </w:t>
      </w:r>
      <w:r>
        <w:rPr>
          <w:rFonts w:ascii="Arial" w:cs="Arial" w:eastAsia="Arial" w:hAnsi="Arial"/>
          <w:sz w:val="21"/>
          <w:szCs w:val="21"/>
          <w:u w:val="single" w:color="auto"/>
          <w:color w:val="auto"/>
        </w:rPr>
        <w:t>leave</w:t>
      </w:r>
      <w:r>
        <w:rPr>
          <w:rFonts w:ascii="Arial" w:cs="Arial" w:eastAsia="Arial" w:hAnsi="Arial"/>
          <w:sz w:val="21"/>
          <w:szCs w:val="21"/>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80" w:lineRule="exact"/>
        <w:rPr>
          <w:rFonts w:ascii="Arial" w:cs="Arial" w:eastAsia="Arial" w:hAnsi="Arial"/>
          <w:sz w:val="21"/>
          <w:szCs w:val="21"/>
          <w:color w:val="auto"/>
        </w:rPr>
      </w:pPr>
    </w:p>
    <w:p>
      <w:pPr>
        <w:jc w:val="both"/>
        <w:ind w:firstLine="757"/>
        <w:spacing w:after="0" w:line="269" w:lineRule="auto"/>
        <w:tabs>
          <w:tab w:leader="none" w:pos="1498"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9"/>
          <w:szCs w:val="19"/>
          <w:i w:val="1"/>
          <w:iCs w:val="1"/>
          <w:u w:val="single" w:color="auto"/>
          <w:color w:val="auto"/>
        </w:rPr>
        <w:t>Data</w:t>
      </w:r>
      <w:r>
        <w:rPr>
          <w:rFonts w:ascii="Arial" w:cs="Arial" w:eastAsia="Arial" w:hAnsi="Arial"/>
          <w:sz w:val="19"/>
          <w:szCs w:val="19"/>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3" w:name="page194"/>
    <w:bookmarkEnd w:id="193"/>
    <w:p>
      <w:pPr>
        <w:jc w:val="both"/>
        <w:spacing w:after="0"/>
        <w:rPr>
          <w:sz w:val="20"/>
          <w:szCs w:val="20"/>
          <w:color w:val="auto"/>
        </w:rPr>
      </w:pPr>
      <w:r>
        <w:rPr>
          <w:rFonts w:ascii="Arial" w:cs="Arial" w:eastAsia="Arial" w:hAnsi="Arial"/>
          <w:sz w:val="22"/>
          <w:szCs w:val="22"/>
          <w:i w:val="1"/>
          <w:iCs w:val="1"/>
          <w:color w:val="auto"/>
        </w:rPr>
        <w:t>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8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87" w:lineRule="exact"/>
        <w:rPr>
          <w:sz w:val="20"/>
          <w:szCs w:val="20"/>
          <w:color w:val="auto"/>
        </w:rPr>
      </w:pPr>
    </w:p>
    <w:p>
      <w:pPr>
        <w:jc w:val="both"/>
        <w:ind w:firstLine="757"/>
        <w:spacing w:after="0"/>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86" w:lineRule="exact"/>
        <w:rPr>
          <w:rFonts w:ascii="Arial" w:cs="Arial" w:eastAsia="Arial" w:hAnsi="Arial"/>
          <w:sz w:val="22"/>
          <w:szCs w:val="22"/>
          <w:color w:val="auto"/>
        </w:rPr>
      </w:pPr>
    </w:p>
    <w:p>
      <w:pPr>
        <w:jc w:val="both"/>
        <w:ind w:firstLine="757"/>
        <w:spacing w:after="0"/>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86" w:lineRule="exact"/>
        <w:rPr>
          <w:rFonts w:ascii="Arial" w:cs="Arial" w:eastAsia="Arial" w:hAnsi="Arial"/>
          <w:sz w:val="22"/>
          <w:szCs w:val="22"/>
          <w:color w:val="auto"/>
        </w:rPr>
      </w:pPr>
    </w:p>
    <w:p>
      <w:pPr>
        <w:jc w:val="both"/>
        <w:ind w:firstLine="757"/>
        <w:spacing w:after="0" w:line="277" w:lineRule="auto"/>
        <w:tabs>
          <w:tab w:leader="none" w:pos="149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51" w:lineRule="exact"/>
        <w:rPr>
          <w:rFonts w:ascii="Arial" w:cs="Arial" w:eastAsia="Arial" w:hAnsi="Arial"/>
          <w:sz w:val="19"/>
          <w:szCs w:val="19"/>
          <w:color w:val="auto"/>
        </w:rPr>
      </w:pPr>
    </w:p>
    <w:p>
      <w:pPr>
        <w:ind w:firstLine="757"/>
        <w:spacing w:after="0" w:line="250" w:lineRule="auto"/>
        <w:tabs>
          <w:tab w:leader="none" w:pos="149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Employee’s Social</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Security Number</w:t>
      </w:r>
    </w:p>
    <w:p>
      <w:pPr>
        <w:spacing w:after="0" w:line="17" w:lineRule="exact"/>
        <w:rPr>
          <w:sz w:val="20"/>
          <w:szCs w:val="20"/>
          <w:color w:val="auto"/>
        </w:rPr>
      </w:pPr>
    </w:p>
    <w:p>
      <w:pPr>
        <w:ind w:left="100"/>
        <w:spacing w:after="0" w:line="253" w:lineRule="exact"/>
        <w:rPr>
          <w:sz w:val="20"/>
          <w:szCs w:val="20"/>
          <w:color w:val="auto"/>
        </w:rPr>
      </w:pPr>
      <w:r>
        <w:rPr>
          <w:rFonts w:ascii="Arial" w:cs="Arial" w:eastAsia="Arial" w:hAnsi="Arial"/>
          <w:sz w:val="22"/>
          <w:szCs w:val="22"/>
          <w:color w:val="auto"/>
        </w:rPr>
        <w:t>(for U.S.</w:t>
      </w:r>
      <w:r>
        <w:rPr>
          <w:rFonts w:ascii="MS PGothic" w:cs="MS PGothic" w:eastAsia="MS PGothic" w:hAnsi="MS PGothic"/>
          <w:sz w:val="22"/>
          <w:szCs w:val="22"/>
          <w:color w:val="auto"/>
        </w:rPr>
        <w:t>‑</w:t>
      </w:r>
      <w:r>
        <w:rPr>
          <w:rFonts w:ascii="Arial" w:cs="Arial" w:eastAsia="Arial" w:hAnsi="Arial"/>
          <w:sz w:val="22"/>
          <w:szCs w:val="22"/>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13335</wp:posOffset>
            </wp:positionV>
            <wp:extent cx="36518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Employee’s Address: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-154940</wp:posOffset>
            </wp:positionV>
            <wp:extent cx="36518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94" w:name="page195"/>
    <w:bookmarkEnd w:id="194"/>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3688715</wp:posOffset>
            </wp:positionH>
            <wp:positionV relativeFrom="page">
              <wp:posOffset>243205</wp:posOffset>
            </wp:positionV>
            <wp:extent cx="36518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page">
              <wp:posOffset>3688715</wp:posOffset>
            </wp:positionH>
            <wp:positionV relativeFrom="page">
              <wp:posOffset>560705</wp:posOffset>
            </wp:positionV>
            <wp:extent cx="36518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page">
              <wp:posOffset>3688715</wp:posOffset>
            </wp:positionH>
            <wp:positionV relativeFrom="page">
              <wp:posOffset>877570</wp:posOffset>
            </wp:positionV>
            <wp:extent cx="36518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ind w:firstLine="749"/>
        <w:spacing w:after="0" w:line="250" w:lineRule="auto"/>
        <w:rPr>
          <w:sz w:val="20"/>
          <w:szCs w:val="20"/>
          <w:color w:val="auto"/>
        </w:rPr>
      </w:pPr>
      <w:r>
        <w:rPr>
          <w:rFonts w:ascii="Arial" w:cs="Arial" w:eastAsia="Arial" w:hAnsi="Arial"/>
          <w:sz w:val="22"/>
          <w:szCs w:val="22"/>
          <w:color w:val="auto"/>
        </w:rPr>
        <w:t>I UNDERSTAND THAT THIS SUBSCRIPTION AGREEMENT WILL REMAIN IN EFFECT THROUGHOUT SUCCESSIVE OFFERING PERIODS UNLESS TERMINATED BY 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-17780</wp:posOffset>
            </wp:positionV>
            <wp:extent cx="1143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-17780</wp:posOffset>
            </wp:positionV>
            <wp:extent cx="274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10.8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WITHDRAWAL</w:t>
      </w:r>
    </w:p>
    <w:p>
      <w:pPr>
        <w:spacing w:after="0" w:line="21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The undersigned Participant in the Offering Period of the Athira Pharma, Inc. 2020 Employee Stock Purchase Plan (the “</w:t>
      </w:r>
      <w:r>
        <w:rPr>
          <w:rFonts w:ascii="Arial" w:cs="Arial" w:eastAsia="Arial" w:hAnsi="Arial"/>
          <w:sz w:val="19"/>
          <w:szCs w:val="19"/>
          <w:u w:val="single" w:color="auto"/>
          <w:color w:val="auto"/>
        </w:rPr>
        <w:t>Plan</w:t>
      </w:r>
      <w:r>
        <w:rPr>
          <w:rFonts w:ascii="Arial" w:cs="Arial" w:eastAsia="Arial" w:hAnsi="Arial"/>
          <w:sz w:val="19"/>
          <w:szCs w:val="19"/>
          <w:color w:val="auto"/>
        </w:rPr>
        <w:t>”) that began on ____________, ______ (the “</w:t>
      </w:r>
      <w:r>
        <w:rPr>
          <w:rFonts w:ascii="Arial" w:cs="Arial" w:eastAsia="Arial" w:hAnsi="Arial"/>
          <w:sz w:val="19"/>
          <w:szCs w:val="19"/>
          <w:u w:val="single" w:color="auto"/>
          <w:color w:val="auto"/>
        </w:rPr>
        <w:t>Offering Date</w:t>
      </w:r>
      <w:r>
        <w:rPr>
          <w:rFonts w:ascii="Arial" w:cs="Arial" w:eastAsia="Arial" w:hAnsi="Arial"/>
          <w:sz w:val="19"/>
          <w:szCs w:val="19"/>
          <w:color w:val="auto"/>
        </w:rPr>
        <w:t>”) hereby notifies the Company that he or she hereby</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273050</wp:posOffset>
            </wp:positionV>
            <wp:extent cx="5829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564515</wp:posOffset>
            </wp:positionV>
            <wp:extent cx="5829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855980</wp:posOffset>
            </wp:positionV>
            <wp:extent cx="58293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273050</wp:posOffset>
            </wp:positionV>
            <wp:extent cx="58293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3698875</wp:posOffset>
            </wp:positionH>
            <wp:positionV relativeFrom="paragraph">
              <wp:posOffset>-17780</wp:posOffset>
            </wp:positionV>
            <wp:extent cx="1828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10.10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ATHIRA PHARMA,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January 27, 2023</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Athira Pharma, Inc. (the “</w:t>
      </w:r>
      <w:r>
        <w:rPr>
          <w:rFonts w:ascii="Arial" w:cs="Arial" w:eastAsia="Arial" w:hAnsi="Arial"/>
          <w:sz w:val="19"/>
          <w:szCs w:val="19"/>
          <w:u w:val="single" w:color="auto"/>
          <w:color w:val="auto"/>
        </w:rPr>
        <w:t>Company</w:t>
      </w:r>
      <w:r>
        <w:rPr>
          <w:rFonts w:ascii="Arial" w:cs="Arial" w:eastAsia="Arial" w:hAnsi="Arial"/>
          <w:sz w:val="19"/>
          <w:szCs w:val="19"/>
          <w:color w:val="auto"/>
        </w:rPr>
        <w:t>”) believes that the granting of equity and cash compensation to members of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 members of the Board, “</w:t>
      </w:r>
      <w:r>
        <w:rPr>
          <w:rFonts w:ascii="Arial" w:cs="Arial" w:eastAsia="Arial" w:hAnsi="Arial"/>
          <w:sz w:val="19"/>
          <w:szCs w:val="19"/>
          <w:u w:val="single" w:color="auto"/>
          <w:color w:val="auto"/>
        </w:rPr>
        <w:t>Directors</w:t>
      </w:r>
      <w:r>
        <w:rPr>
          <w:rFonts w:ascii="Arial" w:cs="Arial" w:eastAsia="Arial" w:hAnsi="Arial"/>
          <w:sz w:val="19"/>
          <w:szCs w:val="19"/>
          <w:color w:val="auto"/>
        </w:rPr>
        <w:t>”) represents an effective tool to attract, retain and reward Directors who are not employees of the Company (“</w:t>
      </w:r>
      <w:r>
        <w:rPr>
          <w:rFonts w:ascii="Arial" w:cs="Arial" w:eastAsia="Arial" w:hAnsi="Arial"/>
          <w:sz w:val="19"/>
          <w:szCs w:val="19"/>
          <w:u w:val="single" w:color="auto"/>
          <w:color w:val="auto"/>
        </w:rPr>
        <w:t>Outside Directors</w:t>
      </w:r>
      <w:r>
        <w:rPr>
          <w:rFonts w:ascii="Arial" w:cs="Arial" w:eastAsia="Arial" w:hAnsi="Arial"/>
          <w:sz w:val="19"/>
          <w:szCs w:val="19"/>
          <w:color w:val="auto"/>
        </w:rPr>
        <w:t>”). This Outside Director Compensation Policy (the “</w:t>
      </w:r>
      <w:r>
        <w:rPr>
          <w:rFonts w:ascii="Arial" w:cs="Arial" w:eastAsia="Arial" w:hAnsi="Arial"/>
          <w:sz w:val="19"/>
          <w:szCs w:val="19"/>
          <w:u w:val="single" w:color="auto"/>
          <w:color w:val="auto"/>
        </w:rPr>
        <w:t>Policy</w:t>
      </w:r>
      <w:r>
        <w:rPr>
          <w:rFonts w:ascii="Arial" w:cs="Arial" w:eastAsia="Arial" w:hAnsi="Arial"/>
          <w:sz w:val="19"/>
          <w:szCs w:val="19"/>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Arial" w:cs="Arial" w:eastAsia="Arial" w:hAnsi="Arial"/>
          <w:sz w:val="19"/>
          <w:szCs w:val="19"/>
          <w:u w:val="single" w:color="auto"/>
          <w:color w:val="auto"/>
        </w:rPr>
        <w:t>Plan</w:t>
      </w:r>
      <w:r>
        <w:rPr>
          <w:rFonts w:ascii="Arial" w:cs="Arial" w:eastAsia="Arial" w:hAnsi="Arial"/>
          <w:sz w:val="19"/>
          <w:szCs w:val="19"/>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58" w:lineRule="exact"/>
        <w:rPr>
          <w:sz w:val="20"/>
          <w:szCs w:val="20"/>
          <w:color w:val="auto"/>
        </w:rPr>
      </w:pPr>
    </w:p>
    <w:p>
      <w:pPr>
        <w:jc w:val="both"/>
        <w:ind w:firstLine="757"/>
        <w:spacing w:after="0" w:line="252" w:lineRule="auto"/>
        <w:tabs>
          <w:tab w:leader="none" w:pos="1498"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Arial" w:cs="Arial" w:eastAsia="Arial" w:hAnsi="Arial"/>
          <w:sz w:val="21"/>
          <w:szCs w:val="21"/>
          <w:u w:val="single" w:color="auto"/>
          <w:color w:val="auto"/>
        </w:rPr>
        <w:t>Registration Date</w:t>
      </w:r>
      <w:r>
        <w:rPr>
          <w:rFonts w:ascii="Arial" w:cs="Arial" w:eastAsia="Arial" w:hAnsi="Arial"/>
          <w:sz w:val="21"/>
          <w:szCs w:val="21"/>
          <w:color w:val="auto"/>
        </w:rPr>
        <w:t>,” and the effective date of this Policy,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left="1500" w:hanging="743"/>
        <w:spacing w:after="0"/>
        <w:tabs>
          <w:tab w:leader="none" w:pos="15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Cash Compensation</w:t>
      </w:r>
    </w:p>
    <w:p>
      <w:pPr>
        <w:spacing w:after="0" w:line="206" w:lineRule="exact"/>
        <w:rPr>
          <w:sz w:val="20"/>
          <w:szCs w:val="20"/>
          <w:color w:val="auto"/>
        </w:rPr>
      </w:pPr>
    </w:p>
    <w:p>
      <w:pPr>
        <w:jc w:val="both"/>
        <w:ind w:firstLine="1497"/>
        <w:spacing w:after="0" w:line="253" w:lineRule="exact"/>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Board Member Annual Cash Retainer</w:t>
      </w:r>
      <w:r>
        <w:rPr>
          <w:rFonts w:ascii="Arial" w:cs="Arial" w:eastAsia="Arial" w:hAnsi="Arial"/>
          <w:sz w:val="22"/>
          <w:szCs w:val="22"/>
          <w:color w:val="auto"/>
        </w:rPr>
        <w:t>. Following the Effective Date, each Outside Director will be paid an annual cash retainer of $40,000. There are no per</w:t>
      </w:r>
      <w:r>
        <w:rPr>
          <w:rFonts w:ascii="MS PGothic" w:cs="MS PGothic" w:eastAsia="MS PGothic" w:hAnsi="MS PGothic"/>
          <w:sz w:val="22"/>
          <w:szCs w:val="22"/>
          <w:color w:val="auto"/>
        </w:rPr>
        <w:t>‑</w:t>
      </w:r>
      <w:r>
        <w:rPr>
          <w:rFonts w:ascii="Arial" w:cs="Arial" w:eastAsia="Arial" w:hAnsi="Arial"/>
          <w:sz w:val="22"/>
          <w:szCs w:val="22"/>
          <w:color w:val="auto"/>
        </w:rPr>
        <w:t>meeting attendance fees for attending Board meetings or meetings of any committee of the Board.</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Additional Annual Cash Retainers</w:t>
      </w:r>
      <w:r>
        <w:rPr>
          <w:rFonts w:ascii="Arial" w:cs="Arial" w:eastAsia="Arial" w:hAnsi="Arial"/>
          <w:sz w:val="22"/>
          <w:szCs w:val="22"/>
          <w:color w:val="auto"/>
        </w:rPr>
        <w:t>. Following the Effective Date, each Outside Director who serves as the Chair of the Board, or the chair or a member of a committee of the Board, will be eligible to earn additional annual fees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280" w:type="dxa"/>
            <w:vAlign w:val="bottom"/>
          </w:tcPr>
          <w:p>
            <w:pPr>
              <w:ind w:left="100"/>
              <w:spacing w:after="0"/>
              <w:rPr>
                <w:sz w:val="20"/>
                <w:szCs w:val="20"/>
                <w:color w:val="auto"/>
              </w:rPr>
            </w:pPr>
            <w:r>
              <w:rPr>
                <w:rFonts w:ascii="Arial" w:cs="Arial" w:eastAsia="Arial" w:hAnsi="Arial"/>
                <w:sz w:val="22"/>
                <w:szCs w:val="22"/>
                <w:color w:val="auto"/>
              </w:rPr>
              <w:t>Chair of the Board:</w:t>
            </w:r>
          </w:p>
        </w:tc>
        <w:tc>
          <w:tcPr>
            <w:tcW w:w="4960" w:type="dxa"/>
            <w:vAlign w:val="bottom"/>
          </w:tcPr>
          <w:p>
            <w:pPr>
              <w:ind w:left="900"/>
              <w:spacing w:after="0"/>
              <w:rPr>
                <w:sz w:val="20"/>
                <w:szCs w:val="20"/>
                <w:color w:val="auto"/>
              </w:rPr>
            </w:pPr>
            <w:r>
              <w:rPr>
                <w:rFonts w:ascii="Arial" w:cs="Arial" w:eastAsia="Arial" w:hAnsi="Arial"/>
                <w:sz w:val="22"/>
                <w:szCs w:val="22"/>
                <w:color w:val="auto"/>
              </w:rPr>
              <w:t>$30,000</w:t>
            </w:r>
          </w:p>
        </w:tc>
      </w:tr>
      <w:tr>
        <w:trPr>
          <w:trHeight w:val="58"/>
        </w:trPr>
        <w:tc>
          <w:tcPr>
            <w:tcW w:w="6280" w:type="dxa"/>
            <w:vAlign w:val="bottom"/>
          </w:tcPr>
          <w:p>
            <w:pPr>
              <w:spacing w:after="0"/>
              <w:rPr>
                <w:sz w:val="5"/>
                <w:szCs w:val="5"/>
                <w:color w:val="auto"/>
              </w:rPr>
            </w:pPr>
          </w:p>
        </w:tc>
        <w:tc>
          <w:tcPr>
            <w:tcW w:w="4960" w:type="dxa"/>
            <w:vAlign w:val="bottom"/>
          </w:tcPr>
          <w:p>
            <w:pPr>
              <w:spacing w:after="0"/>
              <w:rPr>
                <w:sz w:val="5"/>
                <w:szCs w:val="5"/>
                <w:color w:val="auto"/>
              </w:rPr>
            </w:pPr>
          </w:p>
        </w:tc>
      </w:tr>
      <w:tr>
        <w:trPr>
          <w:trHeight w:val="358"/>
        </w:trPr>
        <w:tc>
          <w:tcPr>
            <w:tcW w:w="62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Audit Committee Chair:</w:t>
            </w:r>
          </w:p>
        </w:tc>
        <w:tc>
          <w:tcPr>
            <w:tcW w:w="4960" w:type="dxa"/>
            <w:vAlign w:val="bottom"/>
            <w:tcBorders>
              <w:bottom w:val="single" w:sz="8" w:color="D9D9D9"/>
            </w:tcBorders>
            <w:shd w:val="clear" w:color="auto" w:fill="D9D9D9"/>
          </w:tcPr>
          <w:p>
            <w:pPr>
              <w:ind w:left="900"/>
              <w:spacing w:after="0"/>
              <w:rPr>
                <w:sz w:val="20"/>
                <w:szCs w:val="20"/>
                <w:color w:val="auto"/>
              </w:rPr>
            </w:pPr>
            <w:r>
              <w:rPr>
                <w:rFonts w:ascii="Arial" w:cs="Arial" w:eastAsia="Arial" w:hAnsi="Arial"/>
                <w:sz w:val="22"/>
                <w:szCs w:val="22"/>
                <w:color w:val="auto"/>
              </w:rPr>
              <w:t>$15,000</w:t>
            </w:r>
          </w:p>
        </w:tc>
      </w:tr>
      <w:tr>
        <w:trPr>
          <w:trHeight w:val="321"/>
        </w:trPr>
        <w:tc>
          <w:tcPr>
            <w:tcW w:w="6280" w:type="dxa"/>
            <w:vAlign w:val="bottom"/>
          </w:tcPr>
          <w:p>
            <w:pPr>
              <w:ind w:left="100"/>
              <w:spacing w:after="0"/>
              <w:rPr>
                <w:sz w:val="20"/>
                <w:szCs w:val="20"/>
                <w:color w:val="auto"/>
              </w:rPr>
            </w:pPr>
            <w:r>
              <w:rPr>
                <w:rFonts w:ascii="Arial" w:cs="Arial" w:eastAsia="Arial" w:hAnsi="Arial"/>
                <w:sz w:val="22"/>
                <w:szCs w:val="22"/>
                <w:color w:val="auto"/>
              </w:rPr>
              <w:t>Audit Committee Member:</w:t>
            </w:r>
          </w:p>
        </w:tc>
        <w:tc>
          <w:tcPr>
            <w:tcW w:w="4960" w:type="dxa"/>
            <w:vAlign w:val="bottom"/>
          </w:tcPr>
          <w:p>
            <w:pPr>
              <w:ind w:left="900"/>
              <w:spacing w:after="0"/>
              <w:rPr>
                <w:sz w:val="20"/>
                <w:szCs w:val="20"/>
                <w:color w:val="auto"/>
              </w:rPr>
            </w:pPr>
            <w:r>
              <w:rPr>
                <w:rFonts w:ascii="Arial" w:cs="Arial" w:eastAsia="Arial" w:hAnsi="Arial"/>
                <w:sz w:val="22"/>
                <w:szCs w:val="22"/>
                <w:color w:val="auto"/>
              </w:rPr>
              <w:t>$7,500</w:t>
            </w:r>
          </w:p>
        </w:tc>
      </w:tr>
      <w:tr>
        <w:trPr>
          <w:trHeight w:val="57"/>
        </w:trPr>
        <w:tc>
          <w:tcPr>
            <w:tcW w:w="6280" w:type="dxa"/>
            <w:vAlign w:val="bottom"/>
          </w:tcPr>
          <w:p>
            <w:pPr>
              <w:spacing w:after="0"/>
              <w:rPr>
                <w:sz w:val="5"/>
                <w:szCs w:val="5"/>
                <w:color w:val="auto"/>
              </w:rPr>
            </w:pPr>
          </w:p>
        </w:tc>
        <w:tc>
          <w:tcPr>
            <w:tcW w:w="4960" w:type="dxa"/>
            <w:vAlign w:val="bottom"/>
          </w:tcPr>
          <w:p>
            <w:pPr>
              <w:spacing w:after="0"/>
              <w:rPr>
                <w:sz w:val="5"/>
                <w:szCs w:val="5"/>
                <w:color w:val="auto"/>
              </w:rPr>
            </w:pPr>
          </w:p>
        </w:tc>
      </w:tr>
      <w:tr>
        <w:trPr>
          <w:trHeight w:val="358"/>
        </w:trPr>
        <w:tc>
          <w:tcPr>
            <w:tcW w:w="62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Compensation Committee Chair:</w:t>
            </w:r>
          </w:p>
        </w:tc>
        <w:tc>
          <w:tcPr>
            <w:tcW w:w="4960" w:type="dxa"/>
            <w:vAlign w:val="bottom"/>
            <w:tcBorders>
              <w:bottom w:val="single" w:sz="8" w:color="D9D9D9"/>
            </w:tcBorders>
            <w:shd w:val="clear" w:color="auto" w:fill="D9D9D9"/>
          </w:tcPr>
          <w:p>
            <w:pPr>
              <w:ind w:left="900"/>
              <w:spacing w:after="0"/>
              <w:rPr>
                <w:sz w:val="20"/>
                <w:szCs w:val="20"/>
                <w:color w:val="auto"/>
              </w:rPr>
            </w:pPr>
            <w:r>
              <w:rPr>
                <w:rFonts w:ascii="Arial" w:cs="Arial" w:eastAsia="Arial" w:hAnsi="Arial"/>
                <w:sz w:val="22"/>
                <w:szCs w:val="22"/>
                <w:color w:val="auto"/>
              </w:rPr>
              <w:t>$10,000</w:t>
            </w:r>
          </w:p>
        </w:tc>
      </w:tr>
      <w:tr>
        <w:trPr>
          <w:trHeight w:val="321"/>
        </w:trPr>
        <w:tc>
          <w:tcPr>
            <w:tcW w:w="6280" w:type="dxa"/>
            <w:vAlign w:val="bottom"/>
          </w:tcPr>
          <w:p>
            <w:pPr>
              <w:ind w:left="100"/>
              <w:spacing w:after="0"/>
              <w:rPr>
                <w:sz w:val="20"/>
                <w:szCs w:val="20"/>
                <w:color w:val="auto"/>
              </w:rPr>
            </w:pPr>
            <w:r>
              <w:rPr>
                <w:rFonts w:ascii="Arial" w:cs="Arial" w:eastAsia="Arial" w:hAnsi="Arial"/>
                <w:sz w:val="22"/>
                <w:szCs w:val="22"/>
                <w:color w:val="auto"/>
              </w:rPr>
              <w:t>Compensation Committee Member:</w:t>
            </w:r>
          </w:p>
        </w:tc>
        <w:tc>
          <w:tcPr>
            <w:tcW w:w="4960" w:type="dxa"/>
            <w:vAlign w:val="bottom"/>
          </w:tcPr>
          <w:p>
            <w:pPr>
              <w:ind w:left="900"/>
              <w:spacing w:after="0"/>
              <w:rPr>
                <w:sz w:val="20"/>
                <w:szCs w:val="20"/>
                <w:color w:val="auto"/>
              </w:rPr>
            </w:pPr>
            <w:r>
              <w:rPr>
                <w:rFonts w:ascii="Arial" w:cs="Arial" w:eastAsia="Arial" w:hAnsi="Arial"/>
                <w:sz w:val="22"/>
                <w:szCs w:val="22"/>
                <w:color w:val="auto"/>
              </w:rPr>
              <w:t>$5,000</w:t>
            </w:r>
          </w:p>
        </w:tc>
      </w:tr>
      <w:tr>
        <w:trPr>
          <w:trHeight w:val="57"/>
        </w:trPr>
        <w:tc>
          <w:tcPr>
            <w:tcW w:w="6280" w:type="dxa"/>
            <w:vAlign w:val="bottom"/>
          </w:tcPr>
          <w:p>
            <w:pPr>
              <w:spacing w:after="0"/>
              <w:rPr>
                <w:sz w:val="5"/>
                <w:szCs w:val="5"/>
                <w:color w:val="auto"/>
              </w:rPr>
            </w:pPr>
          </w:p>
        </w:tc>
        <w:tc>
          <w:tcPr>
            <w:tcW w:w="4960" w:type="dxa"/>
            <w:vAlign w:val="bottom"/>
          </w:tcPr>
          <w:p>
            <w:pPr>
              <w:spacing w:after="0"/>
              <w:rPr>
                <w:sz w:val="5"/>
                <w:szCs w:val="5"/>
                <w:color w:val="auto"/>
              </w:rPr>
            </w:pPr>
          </w:p>
        </w:tc>
      </w:tr>
      <w:tr>
        <w:trPr>
          <w:trHeight w:val="358"/>
        </w:trPr>
        <w:tc>
          <w:tcPr>
            <w:tcW w:w="628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22"/>
                <w:szCs w:val="22"/>
                <w:color w:val="auto"/>
              </w:rPr>
              <w:t>Nominating and Corporate Governance Committee Chair:</w:t>
            </w:r>
          </w:p>
        </w:tc>
        <w:tc>
          <w:tcPr>
            <w:tcW w:w="4960" w:type="dxa"/>
            <w:vAlign w:val="bottom"/>
            <w:tcBorders>
              <w:bottom w:val="single" w:sz="8" w:color="D9D9D9"/>
            </w:tcBorders>
            <w:shd w:val="clear" w:color="auto" w:fill="D9D9D9"/>
          </w:tcPr>
          <w:p>
            <w:pPr>
              <w:ind w:left="900"/>
              <w:spacing w:after="0"/>
              <w:rPr>
                <w:sz w:val="20"/>
                <w:szCs w:val="20"/>
                <w:color w:val="auto"/>
              </w:rPr>
            </w:pPr>
            <w:r>
              <w:rPr>
                <w:rFonts w:ascii="Arial" w:cs="Arial" w:eastAsia="Arial" w:hAnsi="Arial"/>
                <w:sz w:val="22"/>
                <w:szCs w:val="22"/>
                <w:color w:val="auto"/>
              </w:rPr>
              <w:t>$8,000</w:t>
            </w:r>
          </w:p>
        </w:tc>
      </w:tr>
      <w:tr>
        <w:trPr>
          <w:trHeight w:val="320"/>
        </w:trPr>
        <w:tc>
          <w:tcPr>
            <w:tcW w:w="6280" w:type="dxa"/>
            <w:vAlign w:val="bottom"/>
          </w:tcPr>
          <w:p>
            <w:pPr>
              <w:ind w:left="100"/>
              <w:spacing w:after="0"/>
              <w:rPr>
                <w:sz w:val="20"/>
                <w:szCs w:val="20"/>
                <w:color w:val="auto"/>
              </w:rPr>
            </w:pPr>
            <w:r>
              <w:rPr>
                <w:rFonts w:ascii="Arial" w:cs="Arial" w:eastAsia="Arial" w:hAnsi="Arial"/>
                <w:sz w:val="22"/>
                <w:szCs w:val="22"/>
                <w:color w:val="auto"/>
              </w:rPr>
              <w:t>Nominating and Corporate Governance Committee Member:</w:t>
            </w:r>
          </w:p>
        </w:tc>
        <w:tc>
          <w:tcPr>
            <w:tcW w:w="4960" w:type="dxa"/>
            <w:vAlign w:val="bottom"/>
          </w:tcPr>
          <w:p>
            <w:pPr>
              <w:ind w:left="900"/>
              <w:spacing w:after="0"/>
              <w:rPr>
                <w:sz w:val="20"/>
                <w:szCs w:val="20"/>
                <w:color w:val="auto"/>
              </w:rPr>
            </w:pPr>
            <w:r>
              <w:rPr>
                <w:rFonts w:ascii="Arial" w:cs="Arial" w:eastAsia="Arial" w:hAnsi="Arial"/>
                <w:sz w:val="22"/>
                <w:szCs w:val="22"/>
                <w:color w:val="auto"/>
              </w:rPr>
              <w:t>$4,000</w:t>
            </w:r>
          </w:p>
        </w:tc>
      </w:tr>
      <w:tr>
        <w:trPr>
          <w:trHeight w:val="685"/>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7" w:name="page198"/>
    <w:bookmarkEnd w:id="197"/>
    <w:p>
      <w:pPr>
        <w:jc w:val="both"/>
        <w:ind w:firstLine="1497"/>
        <w:spacing w:after="0" w:line="238" w:lineRule="auto"/>
        <w:rPr>
          <w:sz w:val="20"/>
          <w:szCs w:val="20"/>
          <w:color w:val="auto"/>
        </w:rPr>
      </w:pPr>
      <w:r>
        <w:rPr>
          <w:rFonts w:ascii="Arial" w:cs="Arial" w:eastAsia="Arial" w:hAnsi="Arial"/>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p>
    <w:p>
      <w:pPr>
        <w:spacing w:after="0" w:line="18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Payment Timing and Proration</w:t>
      </w:r>
      <w:r>
        <w:rPr>
          <w:rFonts w:ascii="Arial" w:cs="Arial" w:eastAsia="Arial" w:hAnsi="Arial"/>
          <w:sz w:val="19"/>
          <w:szCs w:val="19"/>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Arial" w:cs="Arial" w:eastAsia="Arial" w:hAnsi="Arial"/>
          <w:sz w:val="19"/>
          <w:szCs w:val="19"/>
          <w:u w:val="single" w:color="auto"/>
          <w:color w:val="auto"/>
        </w:rPr>
        <w:t>Fiscal Quarter</w:t>
      </w:r>
      <w:r>
        <w:rPr>
          <w:rFonts w:ascii="Arial" w:cs="Arial" w:eastAsia="Arial" w:hAnsi="Arial"/>
          <w:sz w:val="19"/>
          <w:szCs w:val="19"/>
          <w:color w:val="auto"/>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Arial" w:cs="Arial" w:eastAsia="Arial" w:hAnsi="Arial"/>
          <w:sz w:val="19"/>
          <w:szCs w:val="19"/>
          <w:u w:val="single" w:color="auto"/>
          <w:color w:val="auto"/>
        </w:rPr>
        <w:t>Initial Period</w:t>
      </w:r>
      <w:r>
        <w:rPr>
          <w:rFonts w:ascii="Arial" w:cs="Arial" w:eastAsia="Arial" w:hAnsi="Arial"/>
          <w:sz w:val="19"/>
          <w:szCs w:val="19"/>
          <w:color w:val="auto"/>
        </w:rPr>
        <w:t>”), as applicable, will receive a prorated payment of the quarterly installment of the applicable annual cash retainer(s), calculated based on the number of days during the Initial Period that such Outside Director has served in the relevant capacities.</w:t>
      </w:r>
    </w:p>
    <w:p>
      <w:pPr>
        <w:spacing w:after="0" w:line="155" w:lineRule="exact"/>
        <w:rPr>
          <w:sz w:val="20"/>
          <w:szCs w:val="20"/>
          <w:color w:val="auto"/>
        </w:rPr>
      </w:pPr>
    </w:p>
    <w:p>
      <w:pPr>
        <w:jc w:val="both"/>
        <w:ind w:firstLine="757"/>
        <w:spacing w:after="0" w:line="252"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86" w:lineRule="exact"/>
        <w:rPr>
          <w:sz w:val="20"/>
          <w:szCs w:val="20"/>
          <w:color w:val="auto"/>
        </w:rPr>
      </w:pPr>
    </w:p>
    <w:p>
      <w:pPr>
        <w:jc w:val="both"/>
        <w:ind w:firstLine="1497"/>
        <w:spacing w:after="0" w:line="246" w:lineRule="exact"/>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Initial Awards</w:t>
      </w:r>
      <w:r>
        <w:rPr>
          <w:rFonts w:ascii="Arial" w:cs="Arial" w:eastAsia="Arial" w:hAnsi="Arial"/>
          <w:sz w:val="22"/>
          <w:szCs w:val="22"/>
          <w:color w:val="auto"/>
        </w:rPr>
        <w:t>. Each individual who first becomes an Outside Director following the Effective Date automatically will be granted an award of Options (an “</w:t>
      </w:r>
      <w:r>
        <w:rPr>
          <w:rFonts w:ascii="Arial" w:cs="Arial" w:eastAsia="Arial" w:hAnsi="Arial"/>
          <w:sz w:val="22"/>
          <w:szCs w:val="22"/>
          <w:u w:val="single" w:color="auto"/>
          <w:color w:val="auto"/>
        </w:rPr>
        <w:t>Initial Award</w:t>
      </w:r>
      <w:r>
        <w:rPr>
          <w:rFonts w:ascii="Arial" w:cs="Arial" w:eastAsia="Arial" w:hAnsi="Arial"/>
          <w:sz w:val="22"/>
          <w:szCs w:val="22"/>
          <w:color w:val="auto"/>
        </w:rPr>
        <w:t>”) to purchase 41,800 Shares. The grant date of the Initial Award will be the first Trading Day on or after the date on which such individual first becomes an Outside Director (such first date as an Outside Director, the “</w:t>
      </w:r>
      <w:r>
        <w:rPr>
          <w:rFonts w:ascii="Arial" w:cs="Arial" w:eastAsia="Arial" w:hAnsi="Arial"/>
          <w:sz w:val="22"/>
          <w:szCs w:val="22"/>
          <w:u w:val="single" w:color="auto"/>
          <w:color w:val="auto"/>
        </w:rPr>
        <w:t>Initial Start Date</w:t>
      </w:r>
      <w:r>
        <w:rPr>
          <w:rFonts w:ascii="Arial" w:cs="Arial" w:eastAsia="Arial" w:hAnsi="Arial"/>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r>
      <w:r>
        <w:rPr>
          <w:rFonts w:ascii="MS PGothic" w:cs="MS PGothic" w:eastAsia="MS PGothic" w:hAnsi="MS PGothic"/>
          <w:sz w:val="22"/>
          <w:szCs w:val="22"/>
          <w:color w:val="auto"/>
        </w:rPr>
        <w:t>‑</w:t>
      </w:r>
      <w:r>
        <w:rPr>
          <w:rFonts w:ascii="Arial" w:cs="Arial" w:eastAsia="Arial" w:hAnsi="Arial"/>
          <w:sz w:val="22"/>
          <w:szCs w:val="22"/>
          <w:color w:val="auto"/>
        </w:rPr>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spacing w:after="0" w:line="190"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Annual Award</w:t>
      </w:r>
      <w:r>
        <w:rPr>
          <w:rFonts w:ascii="Arial" w:cs="Arial" w:eastAsia="Arial" w:hAnsi="Arial"/>
          <w:sz w:val="22"/>
          <w:szCs w:val="22"/>
          <w:color w:val="auto"/>
        </w:rPr>
        <w:t>. On the first Trading Day immediately following each Annual Meeting of the Company’s stockholders (an “</w:t>
      </w:r>
      <w:r>
        <w:rPr>
          <w:rFonts w:ascii="Arial" w:cs="Arial" w:eastAsia="Arial" w:hAnsi="Arial"/>
          <w:sz w:val="22"/>
          <w:szCs w:val="22"/>
          <w:u w:val="single" w:color="auto"/>
          <w:color w:val="auto"/>
        </w:rPr>
        <w:t>Annual Meeting</w:t>
      </w:r>
      <w:r>
        <w:rPr>
          <w:rFonts w:ascii="Arial" w:cs="Arial" w:eastAsia="Arial" w:hAnsi="Arial"/>
          <w:sz w:val="22"/>
          <w:szCs w:val="22"/>
          <w:color w:val="auto"/>
        </w:rPr>
        <w:t>”), each Outside Director who, as of the date of such Annual Meeting, has been in continuous service as an Outside Director since the date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8" w:name="page199"/>
    <w:bookmarkEnd w:id="198"/>
    <w:p>
      <w:pPr>
        <w:jc w:val="both"/>
        <w:spacing w:after="0" w:line="273" w:lineRule="auto"/>
        <w:rPr>
          <w:sz w:val="20"/>
          <w:szCs w:val="20"/>
          <w:color w:val="auto"/>
        </w:rPr>
      </w:pPr>
      <w:r>
        <w:rPr>
          <w:rFonts w:ascii="Arial" w:cs="Arial" w:eastAsia="Arial" w:hAnsi="Arial"/>
          <w:sz w:val="19"/>
          <w:szCs w:val="19"/>
          <w:color w:val="auto"/>
        </w:rPr>
        <w:t>the most recently preceding Annual Meeting, automatically will be granted an award of Options to purchase 20,900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20,900 multiplied by the quotient of (i) the number of whole months of continuous service as an Outside Director completed as of the date of such Annual Meeting divided by (ii) twelve (12), rounded down to the nearest whole share (up to a maximum of 20,900 shares) (the awards described in this Section 3.3, each, an “</w:t>
      </w:r>
      <w:r>
        <w:rPr>
          <w:rFonts w:ascii="Arial" w:cs="Arial" w:eastAsia="Arial" w:hAnsi="Arial"/>
          <w:sz w:val="19"/>
          <w:szCs w:val="19"/>
          <w:u w:val="single" w:color="auto"/>
          <w:color w:val="auto"/>
        </w:rPr>
        <w:t>Annual Award</w:t>
      </w:r>
      <w:r>
        <w:rPr>
          <w:rFonts w:ascii="Arial" w:cs="Arial" w:eastAsia="Arial" w:hAnsi="Arial"/>
          <w:sz w:val="19"/>
          <w:szCs w:val="19"/>
          <w:color w:val="auto"/>
        </w:rPr>
        <w:t>”).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61" w:lineRule="exact"/>
        <w:rPr>
          <w:sz w:val="20"/>
          <w:szCs w:val="20"/>
          <w:color w:val="auto"/>
        </w:rPr>
      </w:pPr>
    </w:p>
    <w:p>
      <w:pPr>
        <w:jc w:val="both"/>
        <w:ind w:firstLine="1497"/>
        <w:spacing w:after="0" w:line="247" w:lineRule="exact"/>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IPO Award</w:t>
      </w:r>
      <w:r>
        <w:rPr>
          <w:rFonts w:ascii="Arial" w:cs="Arial" w:eastAsia="Arial" w:hAnsi="Arial"/>
          <w:sz w:val="20"/>
          <w:szCs w:val="20"/>
          <w:color w:val="auto"/>
        </w:rPr>
        <w:t>. Effective as of the Registration Date, each Outside Director will be granted an award of Options (the “</w:t>
      </w:r>
      <w:r>
        <w:rPr>
          <w:rFonts w:ascii="Arial" w:cs="Arial" w:eastAsia="Arial" w:hAnsi="Arial"/>
          <w:sz w:val="20"/>
          <w:szCs w:val="20"/>
          <w:u w:val="single" w:color="auto"/>
          <w:color w:val="auto"/>
        </w:rPr>
        <w:t>IPO Award</w:t>
      </w:r>
      <w:r>
        <w:rPr>
          <w:rFonts w:ascii="Arial" w:cs="Arial" w:eastAsia="Arial" w:hAnsi="Arial"/>
          <w:sz w:val="20"/>
          <w:szCs w:val="20"/>
          <w:color w:val="auto"/>
        </w:rPr>
        <w:t>”) to purchase 27,742 Shares. Each IPO Award will be scheduled to vest as to one thirty</w:t>
      </w:r>
      <w:r>
        <w:rPr>
          <w:rFonts w:ascii="MS PGothic" w:cs="MS PGothic" w:eastAsia="MS PGothic" w:hAnsi="MS PGothic"/>
          <w:sz w:val="20"/>
          <w:szCs w:val="20"/>
          <w:color w:val="auto"/>
        </w:rPr>
        <w:t>‑</w:t>
      </w:r>
      <w:r>
        <w:rPr>
          <w:rFonts w:ascii="Arial" w:cs="Arial" w:eastAsia="Arial" w:hAnsi="Arial"/>
          <w:sz w:val="20"/>
          <w:szCs w:val="20"/>
          <w:color w:val="auto"/>
        </w:rPr>
        <w:t>sixth (1/36</w:t>
      </w:r>
      <w:r>
        <w:rPr>
          <w:rFonts w:ascii="Arial" w:cs="Arial" w:eastAsia="Arial" w:hAnsi="Arial"/>
          <w:sz w:val="13"/>
          <w:szCs w:val="13"/>
          <w:color w:val="auto"/>
        </w:rPr>
        <w:t>th</w:t>
      </w:r>
      <w:r>
        <w:rPr>
          <w:rFonts w:ascii="Arial" w:cs="Arial" w:eastAsia="Arial" w:hAnsi="Arial"/>
          <w:sz w:val="20"/>
          <w:szCs w:val="20"/>
          <w:color w:val="auto"/>
        </w:rPr>
        <w:t>)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Additional Terms of Initial Awards, Annual Awards and IPO Awards</w:t>
      </w:r>
      <w:r>
        <w:rPr>
          <w:rFonts w:ascii="Arial" w:cs="Arial" w:eastAsia="Arial" w:hAnsi="Arial"/>
          <w:sz w:val="22"/>
          <w:szCs w:val="22"/>
          <w:color w:val="auto"/>
        </w:rPr>
        <w:t>. The terms and conditions of each Initial Award, Annual Award and IPO Award (each, a “</w:t>
      </w:r>
      <w:r>
        <w:rPr>
          <w:rFonts w:ascii="Arial" w:cs="Arial" w:eastAsia="Arial" w:hAnsi="Arial"/>
          <w:sz w:val="22"/>
          <w:szCs w:val="22"/>
          <w:u w:val="single" w:color="auto"/>
          <w:color w:val="auto"/>
        </w:rPr>
        <w:t>Policy Award</w:t>
      </w:r>
      <w:r>
        <w:rPr>
          <w:rFonts w:ascii="Arial" w:cs="Arial" w:eastAsia="Arial" w:hAnsi="Arial"/>
          <w:sz w:val="22"/>
          <w:szCs w:val="22"/>
          <w:color w:val="auto"/>
        </w:rPr>
        <w:t>”) will be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jc w:val="right"/>
              <w:ind w:right="932"/>
              <w:spacing w:after="0"/>
              <w:rPr>
                <w:sz w:val="20"/>
                <w:szCs w:val="20"/>
                <w:color w:val="auto"/>
              </w:rPr>
            </w:pPr>
            <w:r>
              <w:rPr>
                <w:rFonts w:ascii="Arial" w:cs="Arial" w:eastAsia="Arial" w:hAnsi="Arial"/>
                <w:sz w:val="22"/>
                <w:szCs w:val="22"/>
                <w:color w:val="auto"/>
              </w:rPr>
              <w:t>3.5.1</w:t>
            </w:r>
          </w:p>
        </w:tc>
        <w:tc>
          <w:tcPr>
            <w:tcW w:w="6760" w:type="dxa"/>
            <w:vAlign w:val="bottom"/>
          </w:tcPr>
          <w:p>
            <w:pPr>
              <w:ind w:left="760"/>
              <w:spacing w:after="0"/>
              <w:rPr>
                <w:sz w:val="20"/>
                <w:szCs w:val="20"/>
                <w:color w:val="auto"/>
              </w:rPr>
            </w:pPr>
            <w:r>
              <w:rPr>
                <w:rFonts w:ascii="Arial" w:cs="Arial" w:eastAsia="Arial" w:hAnsi="Arial"/>
                <w:sz w:val="22"/>
                <w:szCs w:val="22"/>
                <w:color w:val="auto"/>
                <w:w w:val="97"/>
              </w:rPr>
              <w:t>The term of each Policy Award will be ten (10) years, subject to</w:t>
            </w:r>
          </w:p>
        </w:tc>
      </w:tr>
      <w:tr>
        <w:trPr>
          <w:trHeight w:val="274"/>
        </w:trPr>
        <w:tc>
          <w:tcPr>
            <w:tcW w:w="4480" w:type="dxa"/>
            <w:vAlign w:val="bottom"/>
          </w:tcPr>
          <w:p>
            <w:pPr>
              <w:jc w:val="right"/>
              <w:ind w:right="672"/>
              <w:spacing w:after="0"/>
              <w:rPr>
                <w:sz w:val="20"/>
                <w:szCs w:val="20"/>
                <w:color w:val="auto"/>
              </w:rPr>
            </w:pPr>
            <w:r>
              <w:rPr>
                <w:rFonts w:ascii="Arial" w:cs="Arial" w:eastAsia="Arial" w:hAnsi="Arial"/>
                <w:sz w:val="22"/>
                <w:szCs w:val="22"/>
                <w:color w:val="auto"/>
                <w:w w:val="89"/>
              </w:rPr>
              <w:t>earlier termination as provided in the Plan.</w:t>
            </w:r>
          </w:p>
        </w:tc>
        <w:tc>
          <w:tcPr>
            <w:tcW w:w="6760" w:type="dxa"/>
            <w:vAlign w:val="bottom"/>
          </w:tcPr>
          <w:p>
            <w:pPr>
              <w:spacing w:after="0"/>
              <w:rPr>
                <w:sz w:val="23"/>
                <w:szCs w:val="23"/>
                <w:color w:val="auto"/>
              </w:rPr>
            </w:pPr>
          </w:p>
        </w:tc>
      </w:tr>
      <w:tr>
        <w:trPr>
          <w:trHeight w:val="446"/>
        </w:trPr>
        <w:tc>
          <w:tcPr>
            <w:tcW w:w="4480" w:type="dxa"/>
            <w:vAlign w:val="bottom"/>
          </w:tcPr>
          <w:p>
            <w:pPr>
              <w:jc w:val="right"/>
              <w:ind w:right="932"/>
              <w:spacing w:after="0"/>
              <w:rPr>
                <w:sz w:val="20"/>
                <w:szCs w:val="20"/>
                <w:color w:val="auto"/>
              </w:rPr>
            </w:pPr>
            <w:r>
              <w:rPr>
                <w:rFonts w:ascii="Arial" w:cs="Arial" w:eastAsia="Arial" w:hAnsi="Arial"/>
                <w:sz w:val="22"/>
                <w:szCs w:val="22"/>
                <w:color w:val="auto"/>
              </w:rPr>
              <w:t>3.5.2</w:t>
            </w:r>
          </w:p>
        </w:tc>
        <w:tc>
          <w:tcPr>
            <w:tcW w:w="6760" w:type="dxa"/>
            <w:vAlign w:val="bottom"/>
          </w:tcPr>
          <w:p>
            <w:pPr>
              <w:ind w:left="760"/>
              <w:spacing w:after="0"/>
              <w:rPr>
                <w:sz w:val="20"/>
                <w:szCs w:val="20"/>
                <w:color w:val="auto"/>
              </w:rPr>
            </w:pPr>
            <w:r>
              <w:rPr>
                <w:rFonts w:ascii="Arial" w:cs="Arial" w:eastAsia="Arial" w:hAnsi="Arial"/>
                <w:sz w:val="22"/>
                <w:szCs w:val="22"/>
                <w:color w:val="auto"/>
                <w:w w:val="92"/>
              </w:rPr>
              <w:t>The per Share exercise price of each Policy Award will be equal to</w:t>
            </w:r>
          </w:p>
        </w:tc>
      </w:tr>
    </w:tbl>
    <w:p>
      <w:pPr>
        <w:jc w:val="both"/>
        <w:spacing w:after="0" w:line="233" w:lineRule="auto"/>
        <w:rPr>
          <w:sz w:val="20"/>
          <w:szCs w:val="20"/>
          <w:color w:val="auto"/>
        </w:rPr>
      </w:pPr>
      <w:r>
        <w:rPr>
          <w:rFonts w:ascii="Arial" w:cs="Arial" w:eastAsia="Arial" w:hAnsi="Arial"/>
          <w:sz w:val="22"/>
          <w:szCs w:val="22"/>
          <w:color w:val="auto"/>
        </w:rPr>
        <w:t>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spacing w:after="0" w:line="188" w:lineRule="exact"/>
        <w:rPr>
          <w:sz w:val="20"/>
          <w:szCs w:val="20"/>
          <w:color w:val="auto"/>
        </w:rPr>
      </w:pPr>
    </w:p>
    <w:p>
      <w:pPr>
        <w:jc w:val="both"/>
        <w:ind w:firstLine="2995"/>
        <w:spacing w:after="0"/>
        <w:rPr>
          <w:sz w:val="20"/>
          <w:szCs w:val="20"/>
          <w:color w:val="auto"/>
        </w:rPr>
      </w:pPr>
      <w:r>
        <w:rPr>
          <w:rFonts w:ascii="Arial" w:cs="Arial" w:eastAsia="Arial" w:hAnsi="Arial"/>
          <w:sz w:val="22"/>
          <w:szCs w:val="22"/>
          <w:color w:val="auto"/>
        </w:rPr>
        <w:t>3.5.3 Each Policy Award will be granted under and subject to the terms and conditions of the Plan and the applicable form of Award Agreement previously approved by the Board or its Committee, as applicable, for use thereunder.</w:t>
      </w:r>
    </w:p>
    <w:p>
      <w:pPr>
        <w:spacing w:after="0" w:line="186" w:lineRule="exact"/>
        <w:rPr>
          <w:sz w:val="20"/>
          <w:szCs w:val="20"/>
          <w:color w:val="auto"/>
        </w:rPr>
      </w:pPr>
    </w:p>
    <w:p>
      <w:pPr>
        <w:jc w:val="both"/>
        <w:ind w:firstLine="2995"/>
        <w:spacing w:after="0" w:line="237" w:lineRule="auto"/>
        <w:rPr>
          <w:sz w:val="20"/>
          <w:szCs w:val="20"/>
          <w:color w:val="auto"/>
        </w:rPr>
      </w:pPr>
      <w:r>
        <w:rPr>
          <w:rFonts w:ascii="Arial" w:cs="Arial" w:eastAsia="Arial" w:hAnsi="Arial"/>
          <w:sz w:val="22"/>
          <w:szCs w:val="22"/>
          <w:color w:val="auto"/>
        </w:rPr>
        <w:t>3.5.4 The Board or its Committee, as applicable and in its discretion, may change and otherwise revise the terms of Policy Awards to be granted in the future pursuant to this Policy, including without limitation the number of Shares subject thereto and type of Award.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9" w:name="page200"/>
    <w:bookmarkEnd w:id="199"/>
    <w:p>
      <w:pPr>
        <w:jc w:val="both"/>
        <w:ind w:firstLine="757"/>
        <w:spacing w:after="0" w:line="257" w:lineRule="auto"/>
        <w:tabs>
          <w:tab w:leader="none" w:pos="1498"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spacing w:after="0" w:line="169" w:lineRule="exact"/>
        <w:rPr>
          <w:rFonts w:ascii="Arial" w:cs="Arial" w:eastAsia="Arial" w:hAnsi="Arial"/>
          <w:sz w:val="21"/>
          <w:szCs w:val="21"/>
          <w:color w:val="auto"/>
        </w:rPr>
      </w:pPr>
    </w:p>
    <w:p>
      <w:pPr>
        <w:jc w:val="both"/>
        <w:ind w:firstLine="757"/>
        <w:spacing w:after="0" w:line="234" w:lineRule="auto"/>
        <w:tabs>
          <w:tab w:leader="none" w:pos="149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Annual Compensation Limit</w:t>
      </w:r>
      <w:r>
        <w:rPr>
          <w:rFonts w:ascii="Arial" w:cs="Arial" w:eastAsia="Arial" w:hAnsi="Arial"/>
          <w:sz w:val="22"/>
          <w:szCs w:val="22"/>
          <w:color w:val="auto"/>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spacing w:after="0" w:line="190" w:lineRule="exact"/>
        <w:rPr>
          <w:rFonts w:ascii="Arial" w:cs="Arial" w:eastAsia="Arial" w:hAnsi="Arial"/>
          <w:sz w:val="22"/>
          <w:szCs w:val="22"/>
          <w:color w:val="auto"/>
        </w:rPr>
      </w:pPr>
    </w:p>
    <w:p>
      <w:pPr>
        <w:ind w:right="20" w:firstLine="757"/>
        <w:spacing w:after="0" w:line="250" w:lineRule="auto"/>
        <w:tabs>
          <w:tab w:leader="none" w:pos="149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Travel Expenses</w:t>
      </w:r>
      <w:r>
        <w:rPr>
          <w:rFonts w:ascii="Arial" w:cs="Arial" w:eastAsia="Arial" w:hAnsi="Arial"/>
          <w:sz w:val="22"/>
          <w:szCs w:val="22"/>
          <w:color w:val="auto"/>
        </w:rPr>
        <w:t>. Each Outside Director’s reasonable, customary and properly documented travel expenses to meetings of the Board and any of its committees, as applicable, will be reimbursed by the Company.</w:t>
      </w:r>
    </w:p>
    <w:p>
      <w:pPr>
        <w:spacing w:after="0" w:line="174" w:lineRule="exact"/>
        <w:rPr>
          <w:rFonts w:ascii="Arial" w:cs="Arial" w:eastAsia="Arial" w:hAnsi="Arial"/>
          <w:sz w:val="22"/>
          <w:szCs w:val="22"/>
          <w:color w:val="auto"/>
        </w:rPr>
      </w:pPr>
    </w:p>
    <w:p>
      <w:pPr>
        <w:jc w:val="both"/>
        <w:ind w:firstLine="757"/>
        <w:spacing w:after="0" w:line="279" w:lineRule="auto"/>
        <w:tabs>
          <w:tab w:leader="none" w:pos="149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spacing w:after="0" w:line="150" w:lineRule="exact"/>
        <w:rPr>
          <w:rFonts w:ascii="Arial" w:cs="Arial" w:eastAsia="Arial" w:hAnsi="Arial"/>
          <w:sz w:val="19"/>
          <w:szCs w:val="19"/>
          <w:color w:val="auto"/>
        </w:rPr>
      </w:pPr>
    </w:p>
    <w:p>
      <w:pPr>
        <w:jc w:val="both"/>
        <w:ind w:firstLine="757"/>
        <w:spacing w:after="0" w:line="273" w:lineRule="auto"/>
        <w:tabs>
          <w:tab w:leader="none" w:pos="149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spacing w:after="0" w:line="160" w:lineRule="exact"/>
        <w:rPr>
          <w:rFonts w:ascii="Arial" w:cs="Arial" w:eastAsia="Arial" w:hAnsi="Arial"/>
          <w:sz w:val="19"/>
          <w:szCs w:val="19"/>
          <w:color w:val="auto"/>
        </w:rPr>
      </w:pPr>
    </w:p>
    <w:p>
      <w:pPr>
        <w:jc w:val="both"/>
        <w:ind w:firstLine="757"/>
        <w:spacing w:after="0" w:line="238" w:lineRule="auto"/>
        <w:tabs>
          <w:tab w:leader="none" w:pos="1498"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84" w:lineRule="exact"/>
        <w:rPr>
          <w:rFonts w:ascii="Arial" w:cs="Arial" w:eastAsia="Arial" w:hAnsi="Arial"/>
          <w:sz w:val="22"/>
          <w:szCs w:val="22"/>
          <w:color w:val="auto"/>
        </w:rPr>
      </w:pPr>
    </w:p>
    <w:p>
      <w:pPr>
        <w:ind w:left="1500" w:hanging="743"/>
        <w:spacing w:after="0"/>
        <w:tabs>
          <w:tab w:leader="none" w:pos="15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Revisions</w:t>
      </w:r>
      <w:r>
        <w:rPr>
          <w:rFonts w:ascii="Arial" w:cs="Arial" w:eastAsia="Arial" w:hAnsi="Arial"/>
          <w:sz w:val="22"/>
          <w:szCs w:val="22"/>
          <w:color w:val="auto"/>
        </w:rPr>
        <w:t>. The Board or any committee of the Board that has been designated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0" w:name="page201"/>
    <w:bookmarkEnd w:id="200"/>
    <w:p>
      <w:pPr>
        <w:jc w:val="both"/>
        <w:spacing w:after="0" w:line="275" w:lineRule="auto"/>
        <w:rPr>
          <w:sz w:val="20"/>
          <w:szCs w:val="20"/>
          <w:color w:val="auto"/>
        </w:rPr>
      </w:pPr>
      <w:r>
        <w:rPr>
          <w:rFonts w:ascii="Arial" w:cs="Arial" w:eastAsia="Arial" w:hAnsi="Arial"/>
          <w:sz w:val="19"/>
          <w:szCs w:val="19"/>
          <w:color w:val="auto"/>
        </w:rPr>
        <w:t>appropriate authority with respect to Outside Director compensation (or with respect to any applicable element or elements thereof, authority with respect to such element or elements) (the “</w:t>
      </w:r>
      <w:r>
        <w:rPr>
          <w:rFonts w:ascii="Arial" w:cs="Arial" w:eastAsia="Arial" w:hAnsi="Arial"/>
          <w:sz w:val="19"/>
          <w:szCs w:val="19"/>
          <w:u w:val="single" w:color="auto"/>
          <w:color w:val="auto"/>
        </w:rPr>
        <w:t>Committee</w:t>
      </w:r>
      <w:r>
        <w:rPr>
          <w:rFonts w:ascii="Arial" w:cs="Arial" w:eastAsia="Arial" w:hAnsi="Arial"/>
          <w:sz w:val="19"/>
          <w:szCs w:val="19"/>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157" w:lineRule="exact"/>
        <w:rPr>
          <w:sz w:val="20"/>
          <w:szCs w:val="20"/>
          <w:color w:val="auto"/>
        </w:rPr>
      </w:pPr>
    </w:p>
    <w:p>
      <w:pPr>
        <w:ind w:left="4900"/>
        <w:spacing w:after="0"/>
        <w:tabs>
          <w:tab w:leader="none" w:pos="5580" w:val="left"/>
          <w:tab w:leader="none" w:pos="62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color w:val="auto"/>
        </w:rPr>
        <w:t>Exhibit 23.1</w:t>
      </w:r>
    </w:p>
    <w:p>
      <w:pPr>
        <w:spacing w:after="0" w:line="228"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16" w:lineRule="exact"/>
        <w:rPr>
          <w:sz w:val="20"/>
          <w:szCs w:val="20"/>
          <w:color w:val="auto"/>
        </w:rPr>
      </w:pPr>
    </w:p>
    <w:p>
      <w:pPr>
        <w:ind w:left="1020" w:hanging="503"/>
        <w:spacing w:after="0"/>
        <w:tabs>
          <w:tab w:leader="none" w:pos="10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Form S-3 No. 333-261073 of Athira Pharma, Inc.; and</w:t>
      </w:r>
    </w:p>
    <w:p>
      <w:pPr>
        <w:spacing w:after="0" w:line="215" w:lineRule="exact"/>
        <w:rPr>
          <w:rFonts w:ascii="Arial" w:cs="Arial" w:eastAsia="Arial" w:hAnsi="Arial"/>
          <w:sz w:val="20"/>
          <w:szCs w:val="20"/>
          <w:color w:val="auto"/>
        </w:rPr>
      </w:pPr>
    </w:p>
    <w:p>
      <w:pPr>
        <w:jc w:val="both"/>
        <w:ind w:left="1020" w:hanging="503"/>
        <w:spacing w:after="0" w:line="250" w:lineRule="auto"/>
        <w:tabs>
          <w:tab w:leader="none" w:pos="10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Form S-8 Nos. 333-263907 and 333-254735 pertaining to the 2020 Equity Incentive Plan and the 2020 Employee Stock Purchase Plan; and 333-248910 pertaining to the 2020 Equity Incentive Plan, the 2020 Employee Stock Purchase Plan, and the 2014 Equity Incentive Plan, as amended, of Athira Pharma, Inc.</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of our report dated March 23, 2023, with respect to the consolidated financial statements of Athira Pharma, Inc., included in this Annual Report (Form 10-K) of Athira Pharma, Inc.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 EXCHANGE ACT RULE 13a-14(a)/15d-14(a)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Mark Litton, certify that:</w:t>
      </w:r>
    </w:p>
    <w:p>
      <w:pPr>
        <w:spacing w:after="0" w:line="225"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Athira Pharma,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0" w:hanging="752"/>
        <w:spacing w:after="0" w:line="291" w:lineRule="auto"/>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00" w:right="140" w:hanging="743"/>
        <w:spacing w:after="0" w:line="286" w:lineRule="auto"/>
        <w:tabs>
          <w:tab w:leader="none" w:pos="1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743"/>
        <w:spacing w:after="0" w:line="263" w:lineRule="auto"/>
        <w:tabs>
          <w:tab w:leader="none" w:pos="1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hanging="743"/>
        <w:spacing w:after="0" w:line="263" w:lineRule="auto"/>
        <w:tabs>
          <w:tab w:leader="none" w:pos="1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43"/>
        <w:spacing w:after="0" w:line="342" w:lineRule="auto"/>
        <w:tabs>
          <w:tab w:leader="none" w:pos="15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43"/>
        <w:spacing w:after="0" w:line="277" w:lineRule="auto"/>
        <w:tabs>
          <w:tab w:leader="none" w:pos="15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Date: March 23,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Litton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204" w:name="page205"/>
    <w:bookmarkEnd w:id="20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 EXCHANGE ACT RULE 13a-14(a)/15d-14(a)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25" w:lineRule="exact"/>
        <w:rPr>
          <w:sz w:val="20"/>
          <w:szCs w:val="20"/>
          <w:color w:val="auto"/>
        </w:rPr>
      </w:pPr>
    </w:p>
    <w:p>
      <w:pPr>
        <w:ind w:left="760" w:hanging="752"/>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Athira Pharma,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40" w:hanging="752"/>
        <w:spacing w:after="0" w:line="308" w:lineRule="auto"/>
        <w:tabs>
          <w:tab w:leader="none" w:pos="7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0" w:hanging="752"/>
        <w:spacing w:after="0" w:line="291"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00" w:right="140" w:hanging="743"/>
        <w:spacing w:after="0" w:line="286" w:lineRule="auto"/>
        <w:tabs>
          <w:tab w:leader="none" w:pos="150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743"/>
        <w:spacing w:after="0" w:line="263"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hanging="743"/>
        <w:spacing w:after="0" w:line="263"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60" w:hanging="752"/>
        <w:spacing w:after="0" w:line="342" w:lineRule="auto"/>
        <w:tabs>
          <w:tab w:leader="none" w:pos="7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43"/>
        <w:spacing w:after="0" w:line="342" w:lineRule="auto"/>
        <w:tabs>
          <w:tab w:leader="none" w:pos="15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43"/>
        <w:spacing w:after="0" w:line="277" w:lineRule="auto"/>
        <w:tabs>
          <w:tab w:leader="none" w:pos="1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Date: March 23,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Glenna Mileson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In connection with the Annual Report on Form 10-K of Athira Pharma, Inc. (the “Company”) for the fiscal year ended December 31, 2022, as filed with the Securities and Exchange Commission on the date hereof (the “Report”), I, Mark Litton,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that, to my knowledge:</w:t>
      </w:r>
    </w:p>
    <w:p>
      <w:pPr>
        <w:spacing w:after="0" w:line="187" w:lineRule="exact"/>
        <w:rPr>
          <w:sz w:val="20"/>
          <w:szCs w:val="20"/>
          <w:color w:val="auto"/>
        </w:rPr>
      </w:pPr>
    </w:p>
    <w:p>
      <w:pPr>
        <w:ind w:left="1140" w:hanging="758"/>
        <w:spacing w:after="0"/>
        <w:tabs>
          <w:tab w:leader="none" w:pos="11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1140" w:right="440" w:hanging="758"/>
        <w:spacing w:after="0" w:line="277" w:lineRule="auto"/>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2023</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114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Litton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both"/>
        <w:ind w:right="14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In connection with the Annual Report on Form 10-K of Athira Pharma, Inc. (the “Company”) for the fiscal year ended December 31, 2022,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Officer) </w:t>
      </w:r>
      <w:r>
        <w:rPr>
          <w:rFonts w:ascii="Arial" w:cs="Arial" w:eastAsia="Arial" w:hAnsi="Arial"/>
          <w:sz w:val="18"/>
          <w:szCs w:val="18"/>
          <w:color w:val="auto"/>
        </w:rPr>
        <w:t>of the Company, certify, pursuant to 18 U.S.C. Section 1350, as adopted pursuant to Section 906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that to my knowledge:</w:t>
      </w:r>
    </w:p>
    <w:p>
      <w:pPr>
        <w:spacing w:after="0" w:line="187" w:lineRule="exact"/>
        <w:rPr>
          <w:sz w:val="20"/>
          <w:szCs w:val="20"/>
          <w:color w:val="auto"/>
        </w:rPr>
      </w:pPr>
    </w:p>
    <w:p>
      <w:pPr>
        <w:ind w:left="1140" w:hanging="758"/>
        <w:spacing w:after="0"/>
        <w:tabs>
          <w:tab w:leader="none" w:pos="11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1140" w:right="440" w:hanging="758"/>
        <w:spacing w:after="0" w:line="277"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114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Glenna Mileson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both"/>
        <w:ind w:right="140" w:firstLine="749"/>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8" w:name="page209"/>
    <w:bookmarkEnd w:id="2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decimal"/>
      <w:start w:val="2"/>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1)"/>
      <w:numFmt w:val="lowerLetter"/>
      <w:start w:val="1"/>
    </w:lvl>
  </w:abstractNum>
  <w:abstractNum w:abstractNumId="66">
    <w:nsid w:val="74DE0EE3"/>
    <w:multiLevelType w:val="hybridMultilevel"/>
    <w:lvl w:ilvl="0">
      <w:lvlJc w:val="left"/>
      <w:lvlText w:val="(%1)"/>
      <w:numFmt w:val="decimal"/>
      <w:start w:val="1"/>
    </w:lvl>
  </w:abstractNum>
  <w:abstractNum w:abstractNumId="67">
    <w:nsid w:val="68EBC550"/>
    <w:multiLevelType w:val="hybridMultilevel"/>
    <w:lvl w:ilvl="0">
      <w:lvlJc w:val="left"/>
      <w:lvlText w:val="(%1)"/>
      <w:numFmt w:val="decimal"/>
      <w:start w:val="2"/>
    </w:lvl>
  </w:abstractNum>
  <w:abstractNum w:abstractNumId="68">
    <w:nsid w:val="2DF6D648"/>
    <w:multiLevelType w:val="hybridMultilevel"/>
    <w:lvl w:ilvl="0">
      <w:lvlJc w:val="left"/>
      <w:lvlText w:val="(%1)"/>
      <w:numFmt w:val="decimal"/>
      <w:start w:val="3"/>
    </w:lvl>
  </w:abstractNum>
  <w:abstractNum w:abstractNumId="69">
    <w:nsid w:val="46B7D447"/>
    <w:multiLevelType w:val="hybridMultilevel"/>
    <w:lvl w:ilvl="0">
      <w:lvlJc w:val="left"/>
      <w:lvlText w:val="*"/>
      <w:numFmt w:val="bullet"/>
      <w:start w:val="1"/>
    </w:lvl>
    <w:lvl w:ilvl="1">
      <w:lvlJc w:val="left"/>
      <w:lvlText w:val="%2"/>
      <w:numFmt w:val="decimal"/>
      <w:start w:val="104"/>
    </w:lvl>
  </w:abstractNum>
  <w:abstractNum w:abstractNumId="70">
    <w:nsid w:val="4A2AC315"/>
    <w:multiLevelType w:val="hybridMultilevel"/>
    <w:lvl w:ilvl="0">
      <w:lvlJc w:val="left"/>
      <w:lvlText w:val="**"/>
      <w:numFmt w:val="bullet"/>
      <w:start w:val="1"/>
    </w:lvl>
    <w:lvl w:ilvl="1">
      <w:lvlJc w:val="left"/>
      <w:lvlText w:val="%2"/>
      <w:numFmt w:val="decimal"/>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lvl w:ilvl="1">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lowerRoman"/>
      <w:start w:val="2"/>
    </w:lvl>
  </w:abstractNum>
  <w:abstractNum w:abstractNumId="79">
    <w:nsid w:val="7055A5F5"/>
    <w:multiLevelType w:val="hybridMultilevel"/>
    <w:lvl w:ilvl="0">
      <w:lvlJc w:val="left"/>
      <w:lvlText w:val="(%1)"/>
      <w:numFmt w:val="decimal"/>
      <w:start w:val="6"/>
    </w:lvl>
  </w:abstractNum>
  <w:abstractNum w:abstractNumId="80">
    <w:nsid w:val="5FB8370B"/>
    <w:multiLevelType w:val="hybridMultilevel"/>
    <w:lvl w:ilvl="0">
      <w:lvlJc w:val="left"/>
      <w:lvlText w:val="%1."/>
      <w:numFmt w:val="decimal"/>
      <w:start w:val="3"/>
    </w:lvl>
  </w:abstractNum>
  <w:abstractNum w:abstractNumId="81">
    <w:nsid w:val="50801EE1"/>
    <w:multiLevelType w:val="hybridMultilevel"/>
    <w:lvl w:ilvl="0">
      <w:lvlJc w:val="left"/>
      <w:lvlText w:val="%1."/>
      <w:numFmt w:val="decimal"/>
      <w:start w:val="4"/>
    </w:lvl>
  </w:abstractNum>
  <w:abstractNum w:abstractNumId="82">
    <w:nsid w:val="488AC1A"/>
    <w:multiLevelType w:val="hybridMultilevel"/>
    <w:lvl w:ilvl="0">
      <w:lvlJc w:val="left"/>
      <w:lvlText w:val="%1."/>
      <w:numFmt w:val="decimal"/>
      <w:start w:val="5"/>
    </w:lvl>
  </w:abstractNum>
  <w:abstractNum w:abstractNumId="83">
    <w:nsid w:val="5FB8011C"/>
    <w:multiLevelType w:val="hybridMultilevel"/>
    <w:lvl w:ilvl="0">
      <w:lvlJc w:val="left"/>
      <w:lvlText w:val="%1."/>
      <w:numFmt w:val="decimal"/>
      <w:start w:val="6"/>
    </w:lvl>
  </w:abstractNum>
  <w:abstractNum w:abstractNumId="84">
    <w:nsid w:val="6AA78F7F"/>
    <w:multiLevelType w:val="hybridMultilevel"/>
    <w:lvl w:ilvl="0">
      <w:lvlJc w:val="left"/>
      <w:lvlText w:val="%1."/>
      <w:numFmt w:val="decimal"/>
      <w:start w:val="8"/>
    </w:lvl>
  </w:abstractNum>
  <w:abstractNum w:abstractNumId="85">
    <w:nsid w:val="7672BD23"/>
    <w:multiLevelType w:val="hybridMultilevel"/>
    <w:lvl w:ilvl="0">
      <w:lvlJc w:val="left"/>
      <w:lvlText w:val="%1."/>
      <w:numFmt w:val="decimal"/>
      <w:start w:val="9"/>
    </w:lvl>
  </w:abstractNum>
  <w:abstractNum w:abstractNumId="86">
    <w:nsid w:val="6FC75AF8"/>
    <w:multiLevelType w:val="hybridMultilevel"/>
    <w:lvl w:ilvl="0">
      <w:lvlJc w:val="left"/>
      <w:lvlText w:val="%1."/>
      <w:numFmt w:val="decimal"/>
      <w:start w:val="10"/>
    </w:lvl>
  </w:abstractNum>
  <w:abstractNum w:abstractNumId="87">
    <w:nsid w:val="6A5F7029"/>
    <w:multiLevelType w:val="hybridMultilevel"/>
    <w:lvl w:ilvl="0">
      <w:lvlJc w:val="left"/>
      <w:lvlText w:val="%1."/>
      <w:numFmt w:val="decimal"/>
      <w:start w:val="11"/>
    </w:lvl>
  </w:abstractNum>
  <w:abstractNum w:abstractNumId="88">
    <w:nsid w:val="7D5E18F8"/>
    <w:multiLevelType w:val="hybridMultilevel"/>
    <w:lvl w:ilvl="0">
      <w:lvlJc w:val="left"/>
      <w:lvlText w:val="%1."/>
      <w:numFmt w:val="decimal"/>
      <w:start w:val="12"/>
    </w:lvl>
  </w:abstractNum>
  <w:abstractNum w:abstractNumId="89">
    <w:nsid w:val="5F3534A4"/>
    <w:multiLevelType w:val="hybridMultilevel"/>
    <w:lvl w:ilvl="0">
      <w:lvlJc w:val="left"/>
      <w:lvlText w:val="%1."/>
      <w:numFmt w:val="decimal"/>
      <w:start w:val="13"/>
    </w:lvl>
  </w:abstractNum>
  <w:abstractNum w:abstractNumId="90">
    <w:nsid w:val="73A1821B"/>
    <w:multiLevelType w:val="hybridMultilevel"/>
    <w:lvl w:ilvl="0">
      <w:lvlJc w:val="left"/>
      <w:lvlText w:val="%1."/>
      <w:numFmt w:val="decimal"/>
      <w:start w:val="15"/>
    </w:lvl>
  </w:abstractNum>
  <w:abstractNum w:abstractNumId="91">
    <w:nsid w:val="7DE67713"/>
    <w:multiLevelType w:val="hybridMultilevel"/>
    <w:lvl w:ilvl="0">
      <w:lvlJc w:val="left"/>
      <w:lvlText w:val="%1."/>
      <w:numFmt w:val="decimal"/>
      <w:start w:val="18"/>
    </w:lvl>
  </w:abstractNum>
  <w:abstractNum w:abstractNumId="92">
    <w:nsid w:val="555C55B5"/>
    <w:multiLevelType w:val="hybridMultilevel"/>
    <w:lvl w:ilvl="0">
      <w:lvlJc w:val="left"/>
      <w:lvlText w:val="%1."/>
      <w:numFmt w:val="decimal"/>
      <w:start w:val="19"/>
    </w:lvl>
  </w:abstractNum>
  <w:abstractNum w:abstractNumId="93">
    <w:nsid w:val="3FA62ACA"/>
    <w:multiLevelType w:val="hybridMultilevel"/>
    <w:lvl w:ilvl="0">
      <w:lvlJc w:val="left"/>
      <w:lvlText w:val="%1"/>
      <w:numFmt w:val="decimal"/>
      <w:start w:val="1"/>
    </w:lvl>
    <w:lvl w:ilvl="1">
      <w:lvlJc w:val="left"/>
      <w:lvlText w:val="%2."/>
      <w:numFmt w:val="decimal"/>
      <w:start w:val="20"/>
    </w:lvl>
  </w:abstractNum>
  <w:abstractNum w:abstractNumId="94">
    <w:nsid w:val="14FCE74E"/>
    <w:multiLevelType w:val="hybridMultilevel"/>
    <w:lvl w:ilvl="0">
      <w:lvlJc w:val="left"/>
      <w:lvlText w:val="(%1)"/>
      <w:numFmt w:val="decimal"/>
      <w:start w:val="10"/>
    </w:lvl>
    <w:lvl w:ilvl="1">
      <w:lvlJc w:val="left"/>
      <w:lvlText w:val="%2."/>
      <w:numFmt w:val="decimal"/>
      <w:start w:val="21"/>
    </w:lvl>
  </w:abstractNum>
  <w:abstractNum w:abstractNumId="95">
    <w:nsid w:val="6A3DD3E8"/>
    <w:multiLevelType w:val="hybridMultilevel"/>
    <w:lvl w:ilvl="0">
      <w:lvlJc w:val="left"/>
      <w:lvlText w:val="(%1)"/>
      <w:numFmt w:val="decimal"/>
      <w:start w:val="12"/>
    </w:lvl>
    <w:lvl w:ilvl="1">
      <w:lvlJc w:val="left"/>
      <w:lvlText w:val="%2."/>
      <w:numFmt w:val="decimal"/>
      <w:start w:val="22"/>
    </w:lvl>
  </w:abstractNum>
  <w:abstractNum w:abstractNumId="96">
    <w:nsid w:val="71C91298"/>
    <w:multiLevelType w:val="hybridMultilevel"/>
    <w:lvl w:ilvl="0">
      <w:lvlJc w:val="left"/>
      <w:lvlText w:val="%1."/>
      <w:numFmt w:val="decimal"/>
      <w:start w:val="23"/>
    </w:lvl>
  </w:abstractNum>
  <w:abstractNum w:abstractNumId="97">
    <w:nsid w:val="9DAF632"/>
    <w:multiLevelType w:val="hybridMultilevel"/>
    <w:lvl w:ilvl="0">
      <w:lvlJc w:val="left"/>
      <w:lvlText w:val="%1."/>
      <w:numFmt w:val="decimal"/>
      <w:start w:val="27"/>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7"/>
    </w:lvl>
  </w:abstractNum>
  <w:abstractNum w:abstractNumId="100">
    <w:nsid w:val="5092CA79"/>
    <w:multiLevelType w:val="hybridMultilevel"/>
    <w:lvl w:ilvl="0">
      <w:lvlJc w:val="left"/>
      <w:lvlText w:val="%1."/>
      <w:numFmt w:val="decimal"/>
      <w:start w:val="8"/>
    </w:lvl>
    <w:lvl w:ilvl="1">
      <w:lvlJc w:val="left"/>
      <w:lvlText w:val="(%2)"/>
      <w:numFmt w:val="lowerLetter"/>
      <w:start w:val="1"/>
    </w:lvl>
  </w:abstractNum>
  <w:abstractNum w:abstractNumId="101">
    <w:nsid w:val="1D545C4D"/>
    <w:multiLevelType w:val="hybridMultilevel"/>
    <w:lvl w:ilvl="0">
      <w:lvlJc w:val="left"/>
      <w:lvlText w:val="%1"/>
      <w:numFmt w:val="decimal"/>
      <w:start w:val="1"/>
    </w:lvl>
    <w:lvl w:ilvl="1">
      <w:lvlJc w:val="left"/>
      <w:lvlText w:val="(%2)"/>
      <w:numFmt w:val="lowerLetter"/>
      <w:start w:val="10"/>
    </w:lvl>
  </w:abstractNum>
  <w:abstractNum w:abstractNumId="102">
    <w:nsid w:val="59ADEA3D"/>
    <w:multiLevelType w:val="hybridMultilevel"/>
    <w:lvl w:ilvl="0">
      <w:lvlJc w:val="left"/>
      <w:lvlText w:val="%1."/>
      <w:numFmt w:val="decimal"/>
      <w:start w:val="9"/>
    </w:lvl>
    <w:lvl w:ilvl="1">
      <w:lvlJc w:val="left"/>
      <w:lvlText w:val="%2"/>
      <w:numFmt w:val="lowerLetter"/>
      <w:start w:val="1"/>
    </w:lvl>
  </w:abstractNum>
  <w:abstractNum w:abstractNumId="103">
    <w:nsid w:val="288F1A34"/>
    <w:multiLevelType w:val="hybridMultilevel"/>
    <w:lvl w:ilvl="0">
      <w:lvlJc w:val="left"/>
      <w:lvlText w:val="%1."/>
      <w:numFmt w:val="decimal"/>
      <w:start w:val="10"/>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3"/>
    </w:lvl>
  </w:abstractNum>
  <w:abstractNum w:abstractNumId="106">
    <w:nsid w:val="97E1B4E"/>
    <w:multiLevelType w:val="hybridMultilevel"/>
    <w:lvl w:ilvl="0">
      <w:lvlJc w:val="left"/>
      <w:lvlText w:val="%1."/>
      <w:numFmt w:val="decimal"/>
      <w:start w:val="4"/>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58" Type="http://schemas.openxmlformats.org/officeDocument/2006/relationships/image" Target="media/image341.png"/><Relationship Id="rId375" Type="http://schemas.openxmlformats.org/officeDocument/2006/relationships/image" Target="media/image342.png"/><Relationship Id="rId379" Type="http://schemas.openxmlformats.org/officeDocument/2006/relationships/image" Target="media/image343.png"/><Relationship Id="rId380" Type="http://schemas.openxmlformats.org/officeDocument/2006/relationships/image" Target="media/image344.png"/><Relationship Id="rId381" Type="http://schemas.openxmlformats.org/officeDocument/2006/relationships/image" Target="media/image345.png"/><Relationship Id="rId382" Type="http://schemas.openxmlformats.org/officeDocument/2006/relationships/image" Target="media/image346.png"/><Relationship Id="rId383" Type="http://schemas.openxmlformats.org/officeDocument/2006/relationships/image" Target="media/image347.png"/><Relationship Id="rId384" Type="http://schemas.openxmlformats.org/officeDocument/2006/relationships/image" Target="media/image348.png"/><Relationship Id="rId385" Type="http://schemas.openxmlformats.org/officeDocument/2006/relationships/image" Target="media/image349.png"/><Relationship Id="rId386" Type="http://schemas.openxmlformats.org/officeDocument/2006/relationships/image" Target="media/image350.png"/><Relationship Id="rId387" Type="http://schemas.openxmlformats.org/officeDocument/2006/relationships/image" Target="media/image351.png"/><Relationship Id="rId388" Type="http://schemas.openxmlformats.org/officeDocument/2006/relationships/image" Target="media/image352.png"/><Relationship Id="rId389" Type="http://schemas.openxmlformats.org/officeDocument/2006/relationships/image" Target="media/image353.png"/><Relationship Id="rId390" Type="http://schemas.openxmlformats.org/officeDocument/2006/relationships/image" Target="media/image354.png"/><Relationship Id="rId391" Type="http://schemas.openxmlformats.org/officeDocument/2006/relationships/image" Target="media/image355.png"/><Relationship Id="rId392"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348" Type="http://schemas.openxmlformats.org/officeDocument/2006/relationships/hyperlink" Target="https://www.sec.gov/Archives/edgar/data/1620463/000156459020053574/atha-ex31_153.htm" TargetMode="External"/><Relationship Id="rId349" Type="http://schemas.openxmlformats.org/officeDocument/2006/relationships/hyperlink" Target="https://www.sec.gov/Archives/edgar/data/1620463/000095017022025442/atha-ex3_1.htm" TargetMode="External"/><Relationship Id="rId350" Type="http://schemas.openxmlformats.org/officeDocument/2006/relationships/hyperlink" Target="https://www.sec.gov/Archives/edgar/data/1620463/000156459020043324/atha-ex41_478.htm" TargetMode="External"/><Relationship Id="rId351" Type="http://schemas.openxmlformats.org/officeDocument/2006/relationships/hyperlink" Target="https://www.sec.gov/Archives/edgar/data/1620463/000156459020042848/atha-ex42_7.htm" TargetMode="External"/><Relationship Id="rId352" Type="http://schemas.openxmlformats.org/officeDocument/2006/relationships/hyperlink" Target="https://www.sec.gov/Archives/edgar/data/1620463/000156459020041369/atha-ex101_530.htm" TargetMode="External"/><Relationship Id="rId353" Type="http://schemas.openxmlformats.org/officeDocument/2006/relationships/hyperlink" Target="https://www.sec.gov/Archives/edgar/data/1620463/000156459020042848/atha-ex102_90.htm" TargetMode="External"/><Relationship Id="rId354" Type="http://schemas.openxmlformats.org/officeDocument/2006/relationships/hyperlink" Target="https://www.sec.gov/Archives/edgar/data/1620463/000156459020042848/atha-ex105_89.htm" TargetMode="External"/><Relationship Id="rId355" Type="http://schemas.openxmlformats.org/officeDocument/2006/relationships/hyperlink" Target="https://www.sec.gov/Archives/edgar/data/1620463/000156459020042848/atha-ex106_88.htm" TargetMode="External"/><Relationship Id="rId356" Type="http://schemas.openxmlformats.org/officeDocument/2006/relationships/hyperlink" Target="https://www.sec.gov/Archives/edgar/data/1620463/000156459020042848/atha-ex107_87.htm" TargetMode="External"/><Relationship Id="rId357" Type="http://schemas.openxmlformats.org/officeDocument/2006/relationships/hyperlink" Target="https://www.sec.gov/Archives/edgar/data/1620463/000156459020042848/atha-ex108_86.htm" TargetMode="External"/><Relationship Id="rId359" Type="http://schemas.openxmlformats.org/officeDocument/2006/relationships/hyperlink" Target="https://www.sec.gov/Archives/edgar/data/1620463/000156459020041369/atha-ex109_529.htm" TargetMode="External"/><Relationship Id="rId360" Type="http://schemas.openxmlformats.org/officeDocument/2006/relationships/hyperlink" Target="https://www.sec.gov/Archives/edgar/data/1620463/000156459020042848/atha-ex1011_9.htm" TargetMode="External"/><Relationship Id="rId361" Type="http://schemas.openxmlformats.org/officeDocument/2006/relationships/hyperlink" Target="https://www.sec.gov/Archives/edgar/data/1620463/000156459020042848/atha-ex1013_83.htm" TargetMode="External"/><Relationship Id="rId362" Type="http://schemas.openxmlformats.org/officeDocument/2006/relationships/hyperlink" Target="https://www.sec.gov/Archives/edgar/data/1620463/000156459020042848/atha-ex1015_534.htm" TargetMode="External"/><Relationship Id="rId363" Type="http://schemas.openxmlformats.org/officeDocument/2006/relationships/hyperlink" Target="https://www.sec.gov/Archives/edgar/data/1620463/000156459020042848/atha-ex1016_533.htm" TargetMode="External"/><Relationship Id="rId364" Type="http://schemas.openxmlformats.org/officeDocument/2006/relationships/hyperlink" Target="https://www.sec.gov/Archives/edgar/data/1620463/000156459020042848/atha-ex1017_532.htm" TargetMode="External"/><Relationship Id="rId365" Type="http://schemas.openxmlformats.org/officeDocument/2006/relationships/hyperlink" Target="https://www.sec.gov/Archives/edgar/data/1620463/000119312522023358/d290928dex101.htm" TargetMode="External"/><Relationship Id="rId366" Type="http://schemas.openxmlformats.org/officeDocument/2006/relationships/hyperlink" Target="https://www.sec.gov/Archives/edgar/data/1620463/000156459020042848/atha-ex1020_529.htm" TargetMode="External"/><Relationship Id="rId367" Type="http://schemas.openxmlformats.org/officeDocument/2006/relationships/hyperlink" Target="https://www.sec.gov/Archives/edgar/data/1620463/000156459020043324/atha-ex1021_821.htm" TargetMode="External"/><Relationship Id="rId368" Type="http://schemas.openxmlformats.org/officeDocument/2006/relationships/hyperlink" Target="https://www.sec.gov/Archives/edgar/data/1620463/000095017022004782/atha-ex10_27.htm" TargetMode="External"/><Relationship Id="rId369" Type="http://schemas.openxmlformats.org/officeDocument/2006/relationships/hyperlink" Target="https://www.sec.gov/Archives/edgar/data/1620463/000156459020043324/atha-ex1022_820.htm" TargetMode="External"/><Relationship Id="rId370" Type="http://schemas.openxmlformats.org/officeDocument/2006/relationships/hyperlink" Target="https://www.sec.gov/Archives/edgar/data/1620463/000156459021044641/atha-ex101_72.htm" TargetMode="External"/><Relationship Id="rId371" Type="http://schemas.openxmlformats.org/officeDocument/2006/relationships/hyperlink" Target="https://www.sec.gov/Archives/edgar/data/1620463/000156459021044641/atha-ex102_71.htm" TargetMode="External"/><Relationship Id="rId372" Type="http://schemas.openxmlformats.org/officeDocument/2006/relationships/hyperlink" Target="https://www.sec.gov/Archives/edgar/data/1620463/000156459021044641/atha-ex103_70.htm" TargetMode="External"/><Relationship Id="rId373" Type="http://schemas.openxmlformats.org/officeDocument/2006/relationships/hyperlink" Target="https://www.sec.gov/Archives/edgar/data/1620463/000156459021044641/atha-ex104_69.htm" TargetMode="External"/><Relationship Id="rId374" Type="http://schemas.openxmlformats.org/officeDocument/2006/relationships/hyperlink" Target="https://www.sec.gov/Archives/edgar/data/1620463/000156459021044641/atha-ex105_68.htm" TargetMode="External"/><Relationship Id="rId376" Type="http://schemas.openxmlformats.org/officeDocument/2006/relationships/hyperlink" Target="https://www.sec.gov/Archives/edgar/data/1620463/000095017022004782/atha-ex10_28.htm" TargetMode="External"/><Relationship Id="rId377" Type="http://schemas.openxmlformats.org/officeDocument/2006/relationships/hyperlink" Target="https://www.sec.gov/Archives/edgar/data/1620463/000095017023000364/atha-ex1_1.htm" TargetMode="External"/><Relationship Id="rId378" Type="http://schemas.openxmlformats.org/officeDocument/2006/relationships/hyperlink" Target="https://www.sec.gov/Archives/edgar/data/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2023-03-23T18:25:02Z</dcterms:created>
  <dcterms:modified xsi:type="dcterms:W3CDTF">2023-03-23T18:25:02Z</dcterms:modified>
</cp:coreProperties>
</file>