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30"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4"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79" w:lineRule="exact"/>
        <w:rPr>
          <w:rFonts w:ascii="MS PGothic" w:cs="MS PGothic" w:eastAsia="MS PGothic" w:hAnsi="MS PGothic"/>
          <w:sz w:val="18"/>
          <w:szCs w:val="18"/>
          <w:color w:val="auto"/>
        </w:rPr>
      </w:pPr>
    </w:p>
    <w:p>
      <w:pPr>
        <w:ind w:left="3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380" w:hanging="33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80"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 ____ to ____</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Athira Pharma,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6" w:lineRule="exact"/>
        <w:rPr>
          <w:sz w:val="24"/>
          <w:szCs w:val="24"/>
          <w:color w:val="auto"/>
        </w:rPr>
      </w:pPr>
    </w:p>
    <w:tbl>
      <w:tblPr>
        <w:tblLayout w:type="fixed"/>
        <w:tblInd w:w="460" w:type="dxa"/>
        <w:tblCellMar>
          <w:top w:w="0" w:type="dxa"/>
          <w:left w:w="0" w:type="dxa"/>
          <w:bottom w:w="0" w:type="dxa"/>
          <w:right w:w="0" w:type="dxa"/>
        </w:tblCellMar>
      </w:tblPr>
      <w:tr>
        <w:trPr>
          <w:trHeight w:val="247"/>
        </w:trPr>
        <w:tc>
          <w:tcPr>
            <w:tcW w:w="3700" w:type="dxa"/>
            <w:vAlign w:val="bottom"/>
          </w:tcPr>
          <w:p>
            <w:pPr>
              <w:jc w:val="center"/>
              <w:ind w:left="939"/>
              <w:spacing w:after="0"/>
              <w:rPr>
                <w:sz w:val="20"/>
                <w:szCs w:val="20"/>
                <w:color w:val="auto"/>
              </w:rPr>
            </w:pPr>
            <w:r>
              <w:rPr>
                <w:rFonts w:ascii="Arial" w:cs="Arial" w:eastAsia="Arial" w:hAnsi="Arial"/>
                <w:sz w:val="18"/>
                <w:szCs w:val="18"/>
                <w:b w:val="1"/>
                <w:bCs w:val="1"/>
                <w:color w:val="auto"/>
              </w:rPr>
              <w:t>Delaware</w:t>
            </w:r>
          </w:p>
        </w:tc>
        <w:tc>
          <w:tcPr>
            <w:tcW w:w="3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60" w:type="dxa"/>
            <w:vAlign w:val="bottom"/>
          </w:tcPr>
          <w:p>
            <w:pPr>
              <w:jc w:val="center"/>
              <w:ind w:right="1019"/>
              <w:spacing w:after="0"/>
              <w:rPr>
                <w:sz w:val="20"/>
                <w:szCs w:val="20"/>
                <w:color w:val="auto"/>
              </w:rPr>
            </w:pPr>
            <w:r>
              <w:rPr>
                <w:rFonts w:ascii="Arial" w:cs="Arial" w:eastAsia="Arial" w:hAnsi="Arial"/>
                <w:sz w:val="18"/>
                <w:szCs w:val="18"/>
                <w:b w:val="1"/>
                <w:bCs w:val="1"/>
                <w:color w:val="auto"/>
                <w:w w:val="99"/>
              </w:rPr>
              <w:t>45-3368487</w:t>
            </w:r>
          </w:p>
        </w:tc>
      </w:tr>
      <w:tr>
        <w:trPr>
          <w:trHeight w:val="150"/>
        </w:trPr>
        <w:tc>
          <w:tcPr>
            <w:tcW w:w="3700" w:type="dxa"/>
            <w:vAlign w:val="bottom"/>
          </w:tcPr>
          <w:p>
            <w:pPr>
              <w:jc w:val="center"/>
              <w:ind w:left="919"/>
              <w:spacing w:after="0" w:line="150" w:lineRule="exact"/>
              <w:rPr>
                <w:sz w:val="20"/>
                <w:szCs w:val="20"/>
                <w:color w:val="auto"/>
              </w:rPr>
            </w:pPr>
            <w:r>
              <w:rPr>
                <w:rFonts w:ascii="Arial" w:cs="Arial" w:eastAsia="Arial" w:hAnsi="Arial"/>
                <w:sz w:val="14"/>
                <w:szCs w:val="14"/>
                <w:b w:val="1"/>
                <w:bCs w:val="1"/>
                <w:color w:val="auto"/>
              </w:rPr>
              <w:t>(State or other jurisdiction of</w:t>
            </w:r>
          </w:p>
        </w:tc>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60" w:type="dxa"/>
            <w:vAlign w:val="bottom"/>
          </w:tcPr>
          <w:p>
            <w:pPr>
              <w:jc w:val="center"/>
              <w:ind w:right="1039"/>
              <w:spacing w:after="0" w:line="150"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00" w:type="dxa"/>
            <w:vAlign w:val="bottom"/>
          </w:tcPr>
          <w:p>
            <w:pPr>
              <w:jc w:val="center"/>
              <w:ind w:left="919"/>
              <w:spacing w:after="0"/>
              <w:rPr>
                <w:sz w:val="20"/>
                <w:szCs w:val="20"/>
                <w:color w:val="auto"/>
              </w:rPr>
            </w:pPr>
            <w:r>
              <w:rPr>
                <w:rFonts w:ascii="Arial" w:cs="Arial" w:eastAsia="Arial" w:hAnsi="Arial"/>
                <w:sz w:val="14"/>
                <w:szCs w:val="14"/>
                <w:b w:val="1"/>
                <w:bCs w:val="1"/>
                <w:color w:val="auto"/>
              </w:rPr>
              <w:t>incorporation or organization)</w:t>
            </w:r>
          </w:p>
        </w:tc>
        <w:tc>
          <w:tcPr>
            <w:tcW w:w="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jc w:val="center"/>
              <w:ind w:right="1039"/>
              <w:spacing w:after="0"/>
              <w:rPr>
                <w:sz w:val="20"/>
                <w:szCs w:val="20"/>
                <w:color w:val="auto"/>
              </w:rPr>
            </w:pPr>
            <w:r>
              <w:rPr>
                <w:rFonts w:ascii="Arial" w:cs="Arial" w:eastAsia="Arial" w:hAnsi="Arial"/>
                <w:sz w:val="14"/>
                <w:szCs w:val="14"/>
                <w:b w:val="1"/>
                <w:bCs w:val="1"/>
                <w:color w:val="auto"/>
              </w:rPr>
              <w:t>Identification No.)</w:t>
            </w:r>
          </w:p>
        </w:tc>
      </w:tr>
      <w:tr>
        <w:trPr>
          <w:trHeight w:val="338"/>
        </w:trPr>
        <w:tc>
          <w:tcPr>
            <w:tcW w:w="7000" w:type="dxa"/>
            <w:vAlign w:val="bottom"/>
            <w:gridSpan w:val="4"/>
          </w:tcPr>
          <w:p>
            <w:pPr>
              <w:jc w:val="center"/>
              <w:ind w:left="3239"/>
              <w:spacing w:after="0"/>
              <w:rPr>
                <w:sz w:val="20"/>
                <w:szCs w:val="20"/>
                <w:color w:val="auto"/>
              </w:rPr>
            </w:pPr>
            <w:r>
              <w:rPr>
                <w:rFonts w:ascii="Arial" w:cs="Arial" w:eastAsia="Arial" w:hAnsi="Arial"/>
                <w:sz w:val="18"/>
                <w:szCs w:val="18"/>
                <w:b w:val="1"/>
                <w:bCs w:val="1"/>
                <w:color w:val="auto"/>
                <w:w w:val="99"/>
              </w:rPr>
              <w:t>18706 North Creek Parkway, Suite 104</w:t>
            </w:r>
          </w:p>
        </w:tc>
        <w:tc>
          <w:tcPr>
            <w:tcW w:w="3060" w:type="dxa"/>
            <w:vAlign w:val="bottom"/>
          </w:tcPr>
          <w:p>
            <w:pPr>
              <w:spacing w:after="0"/>
              <w:rPr>
                <w:sz w:val="24"/>
                <w:szCs w:val="24"/>
                <w:color w:val="auto"/>
              </w:rPr>
            </w:pPr>
          </w:p>
        </w:tc>
      </w:tr>
      <w:tr>
        <w:trPr>
          <w:trHeight w:val="199"/>
        </w:trPr>
        <w:tc>
          <w:tcPr>
            <w:tcW w:w="3700" w:type="dxa"/>
            <w:vAlign w:val="bottom"/>
          </w:tcPr>
          <w:p>
            <w:pPr>
              <w:spacing w:after="0"/>
              <w:rPr>
                <w:sz w:val="17"/>
                <w:szCs w:val="17"/>
                <w:color w:val="auto"/>
              </w:rPr>
            </w:pPr>
          </w:p>
        </w:tc>
        <w:tc>
          <w:tcPr>
            <w:tcW w:w="3300" w:type="dxa"/>
            <w:vAlign w:val="bottom"/>
            <w:gridSpan w:val="3"/>
          </w:tcPr>
          <w:p>
            <w:pPr>
              <w:jc w:val="center"/>
              <w:ind w:right="380"/>
              <w:spacing w:after="0" w:line="199" w:lineRule="exact"/>
              <w:rPr>
                <w:sz w:val="20"/>
                <w:szCs w:val="20"/>
                <w:color w:val="auto"/>
              </w:rPr>
            </w:pPr>
            <w:r>
              <w:rPr>
                <w:rFonts w:ascii="Arial" w:cs="Arial" w:eastAsia="Arial" w:hAnsi="Arial"/>
                <w:sz w:val="18"/>
                <w:szCs w:val="18"/>
                <w:b w:val="1"/>
                <w:bCs w:val="1"/>
                <w:color w:val="auto"/>
                <w:w w:val="99"/>
              </w:rPr>
              <w:t>Bothell, Washington 98011</w:t>
            </w:r>
          </w:p>
        </w:tc>
        <w:tc>
          <w:tcPr>
            <w:tcW w:w="3060" w:type="dxa"/>
            <w:vAlign w:val="bottom"/>
          </w:tcPr>
          <w:p>
            <w:pPr>
              <w:spacing w:after="0"/>
              <w:rPr>
                <w:sz w:val="17"/>
                <w:szCs w:val="17"/>
                <w:color w:val="auto"/>
              </w:rPr>
            </w:pPr>
          </w:p>
        </w:tc>
      </w:tr>
      <w:tr>
        <w:trPr>
          <w:trHeight w:val="144"/>
        </w:trPr>
        <w:tc>
          <w:tcPr>
            <w:tcW w:w="3700" w:type="dxa"/>
            <w:vAlign w:val="bottom"/>
          </w:tcPr>
          <w:p>
            <w:pPr>
              <w:spacing w:after="0"/>
              <w:rPr>
                <w:sz w:val="12"/>
                <w:szCs w:val="12"/>
                <w:color w:val="auto"/>
              </w:rPr>
            </w:pPr>
          </w:p>
        </w:tc>
        <w:tc>
          <w:tcPr>
            <w:tcW w:w="330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rPr>
              <w:t>(Address of principal executive offices)</w:t>
            </w:r>
          </w:p>
        </w:tc>
        <w:tc>
          <w:tcPr>
            <w:tcW w:w="3060" w:type="dxa"/>
            <w:vAlign w:val="bottom"/>
          </w:tcPr>
          <w:p>
            <w:pPr>
              <w:spacing w:after="0"/>
              <w:rPr>
                <w:sz w:val="12"/>
                <w:szCs w:val="12"/>
                <w:color w:val="auto"/>
              </w:rPr>
            </w:pPr>
          </w:p>
        </w:tc>
      </w:tr>
      <w:tr>
        <w:trPr>
          <w:trHeight w:val="193"/>
        </w:trPr>
        <w:tc>
          <w:tcPr>
            <w:tcW w:w="3700" w:type="dxa"/>
            <w:vAlign w:val="bottom"/>
          </w:tcPr>
          <w:p>
            <w:pPr>
              <w:spacing w:after="0"/>
              <w:rPr>
                <w:sz w:val="16"/>
                <w:szCs w:val="16"/>
                <w:color w:val="auto"/>
              </w:rPr>
            </w:pPr>
          </w:p>
        </w:tc>
        <w:tc>
          <w:tcPr>
            <w:tcW w:w="2580" w:type="dxa"/>
            <w:vAlign w:val="bottom"/>
            <w:gridSpan w:val="2"/>
          </w:tcPr>
          <w:p>
            <w:pPr>
              <w:jc w:val="center"/>
              <w:ind w:left="216"/>
              <w:spacing w:after="0" w:line="194" w:lineRule="exact"/>
              <w:rPr>
                <w:sz w:val="20"/>
                <w:szCs w:val="20"/>
                <w:color w:val="auto"/>
              </w:rPr>
            </w:pPr>
            <w:r>
              <w:rPr>
                <w:rFonts w:ascii="Arial" w:cs="Arial" w:eastAsia="Arial" w:hAnsi="Arial"/>
                <w:sz w:val="18"/>
                <w:szCs w:val="18"/>
                <w:b w:val="1"/>
                <w:bCs w:val="1"/>
                <w:color w:val="auto"/>
              </w:rPr>
              <w:t>(425) 620-8501</w:t>
            </w:r>
          </w:p>
        </w:tc>
        <w:tc>
          <w:tcPr>
            <w:tcW w:w="72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196"/>
        </w:trPr>
        <w:tc>
          <w:tcPr>
            <w:tcW w:w="7000" w:type="dxa"/>
            <w:vAlign w:val="bottom"/>
            <w:gridSpan w:val="4"/>
          </w:tcPr>
          <w:p>
            <w:pPr>
              <w:jc w:val="center"/>
              <w:ind w:left="3239"/>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060" w:type="dxa"/>
            <w:vAlign w:val="bottom"/>
          </w:tcPr>
          <w:p>
            <w:pPr>
              <w:spacing w:after="0"/>
              <w:rPr>
                <w:sz w:val="17"/>
                <w:szCs w:val="17"/>
                <w:color w:val="auto"/>
              </w:rPr>
            </w:pPr>
          </w:p>
        </w:tc>
      </w:tr>
      <w:tr>
        <w:trPr>
          <w:trHeight w:val="191"/>
        </w:trPr>
        <w:tc>
          <w:tcPr>
            <w:tcW w:w="4040" w:type="dxa"/>
            <w:vAlign w:val="bottom"/>
            <w:gridSpan w:val="2"/>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3780" w:type="dxa"/>
            <w:vAlign w:val="bottom"/>
            <w:gridSpan w:val="2"/>
          </w:tcPr>
          <w:p>
            <w:pPr>
              <w:spacing w:after="0"/>
              <w:rPr>
                <w:sz w:val="16"/>
                <w:szCs w:val="16"/>
                <w:color w:val="auto"/>
              </w:rPr>
            </w:pPr>
          </w:p>
        </w:tc>
      </w:tr>
      <w:tr>
        <w:trPr>
          <w:trHeight w:val="308"/>
        </w:trPr>
        <w:tc>
          <w:tcPr>
            <w:tcW w:w="10060" w:type="dxa"/>
            <w:vAlign w:val="bottom"/>
            <w:gridSpan w:val="5"/>
          </w:tcPr>
          <w:p>
            <w:pPr>
              <w:jc w:val="center"/>
              <w:ind w:left="179"/>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342"/>
        </w:trPr>
        <w:tc>
          <w:tcPr>
            <w:tcW w:w="3700" w:type="dxa"/>
            <w:vAlign w:val="bottom"/>
          </w:tcPr>
          <w:p>
            <w:pPr>
              <w:jc w:val="center"/>
              <w:ind w:right="19"/>
              <w:spacing w:after="0"/>
              <w:rPr>
                <w:sz w:val="20"/>
                <w:szCs w:val="20"/>
                <w:color w:val="auto"/>
              </w:rPr>
            </w:pPr>
            <w:r>
              <w:rPr>
                <w:rFonts w:ascii="Arial" w:cs="Arial" w:eastAsia="Arial" w:hAnsi="Arial"/>
                <w:sz w:val="14"/>
                <w:szCs w:val="14"/>
                <w:b w:val="1"/>
                <w:bCs w:val="1"/>
                <w:color w:val="auto"/>
              </w:rPr>
              <w:t>Title of each class</w:t>
            </w:r>
          </w:p>
        </w:tc>
        <w:tc>
          <w:tcPr>
            <w:tcW w:w="340" w:type="dxa"/>
            <w:vAlign w:val="bottom"/>
          </w:tcPr>
          <w:p>
            <w:pPr>
              <w:spacing w:after="0"/>
              <w:rPr>
                <w:sz w:val="24"/>
                <w:szCs w:val="24"/>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0"/>
        </w:trPr>
        <w:tc>
          <w:tcPr>
            <w:tcW w:w="3700" w:type="dxa"/>
            <w:vAlign w:val="bottom"/>
          </w:tcPr>
          <w:p>
            <w:pPr>
              <w:jc w:val="center"/>
              <w:ind w:right="39"/>
              <w:spacing w:after="0"/>
              <w:rPr>
                <w:sz w:val="20"/>
                <w:szCs w:val="20"/>
                <w:color w:val="auto"/>
              </w:rPr>
            </w:pPr>
            <w:r>
              <w:rPr>
                <w:rFonts w:ascii="Arial" w:cs="Arial" w:eastAsia="Arial" w:hAnsi="Arial"/>
                <w:sz w:val="18"/>
                <w:szCs w:val="18"/>
                <w:color w:val="auto"/>
                <w:w w:val="99"/>
              </w:rPr>
              <w:t>Common Stock, $0.0001 par value per share</w:t>
            </w:r>
          </w:p>
        </w:tc>
        <w:tc>
          <w:tcPr>
            <w:tcW w:w="340" w:type="dxa"/>
            <w:vAlign w:val="bottom"/>
          </w:tcPr>
          <w:p>
            <w:pPr>
              <w:spacing w:after="0"/>
              <w:rPr>
                <w:sz w:val="19"/>
                <w:szCs w:val="19"/>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8"/>
                <w:szCs w:val="18"/>
                <w:color w:val="auto"/>
                <w:w w:val="95"/>
              </w:rPr>
              <w:t>ATHA</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9"/>
        </w:trPr>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66" w:lineRule="exact"/>
        <w:rPr>
          <w:sz w:val="24"/>
          <w:szCs w:val="24"/>
          <w:color w:val="auto"/>
        </w:rPr>
      </w:pPr>
    </w:p>
    <w:p>
      <w:pPr>
        <w:ind w:left="52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w:t>
      </w:r>
    </w:p>
    <w:p>
      <w:pPr>
        <w:spacing w:after="0" w:line="234" w:lineRule="auto"/>
        <w:rPr>
          <w:sz w:val="20"/>
          <w:szCs w:val="20"/>
          <w:color w:val="auto"/>
        </w:rPr>
      </w:pPr>
      <w:r>
        <w:rPr>
          <w:rFonts w:ascii="Arial" w:cs="Arial" w:eastAsia="Arial" w:hAnsi="Arial"/>
          <w:sz w:val="18"/>
          <w:szCs w:val="18"/>
          <w:color w:val="auto"/>
        </w:rPr>
        <w:t>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72" w:lineRule="exact"/>
        <w:rPr>
          <w:sz w:val="24"/>
          <w:szCs w:val="24"/>
          <w:color w:val="auto"/>
        </w:rPr>
      </w:pPr>
    </w:p>
    <w:p>
      <w:pPr>
        <w:ind w:right="80" w:firstLine="515"/>
        <w:spacing w:after="0" w:line="20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460" w:firstLine="515"/>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3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Non-accelerated filer</w:t>
            </w:r>
          </w:p>
        </w:tc>
        <w:tc>
          <w:tcPr>
            <w:tcW w:w="182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178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36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spacing w:after="0"/>
              <w:rPr>
                <w:sz w:val="22"/>
                <w:szCs w:val="22"/>
                <w:color w:val="auto"/>
              </w:rPr>
            </w:pPr>
          </w:p>
        </w:tc>
        <w:tc>
          <w:tcPr>
            <w:tcW w:w="1780" w:type="dxa"/>
            <w:vAlign w:val="bottom"/>
          </w:tcPr>
          <w:p>
            <w:pPr>
              <w:spacing w:after="0"/>
              <w:rPr>
                <w:sz w:val="22"/>
                <w:szCs w:val="22"/>
                <w:color w:val="auto"/>
              </w:rPr>
            </w:pPr>
          </w:p>
        </w:tc>
      </w:tr>
    </w:tbl>
    <w:p>
      <w:pPr>
        <w:spacing w:after="0" w:line="158" w:lineRule="exact"/>
        <w:rPr>
          <w:sz w:val="24"/>
          <w:szCs w:val="24"/>
          <w:color w:val="auto"/>
        </w:rPr>
      </w:pPr>
    </w:p>
    <w:p>
      <w:pPr>
        <w:ind w:right="520" w:firstLine="515"/>
        <w:spacing w:after="0" w:line="21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5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02"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November 7, 2022, there were 37,829,305 shares of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20"/>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gridSpan w:val="9"/>
            <w:vMerge w:val="restart"/>
          </w:tcPr>
          <w:p>
            <w:pPr>
              <w:ind w:left="80"/>
              <w:spacing w:after="0" w:line="202" w:lineRule="exact"/>
              <w:rPr>
                <w:sz w:val="20"/>
                <w:szCs w:val="20"/>
                <w:color w:val="auto"/>
              </w:rPr>
            </w:pPr>
            <w:r>
              <w:rPr>
                <w:rFonts w:ascii="Arial" w:cs="Arial" w:eastAsia="Arial" w:hAnsi="Arial"/>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11"/>
          </w:tcPr>
          <w:p>
            <w:pPr>
              <w:spacing w:after="0" w:line="182" w:lineRule="exact"/>
              <w:rPr>
                <w:sz w:val="20"/>
                <w:szCs w:val="20"/>
                <w:color w:val="auto"/>
              </w:rPr>
            </w:pPr>
            <w:r>
              <w:rPr>
                <w:rFonts w:ascii="Arial" w:cs="Arial" w:eastAsia="Arial" w:hAnsi="Arial"/>
                <w:sz w:val="18"/>
                <w:szCs w:val="18"/>
                <w:color w:val="0000FF"/>
                <w:w w:val="96"/>
              </w:rPr>
              <w:t>Condensed Consolidated Balance</w:t>
            </w:r>
          </w:p>
        </w:tc>
        <w:tc>
          <w:tcPr>
            <w:tcW w:w="662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980" w:type="dxa"/>
            <w:vAlign w:val="bottom"/>
            <w:gridSpan w:val="8"/>
            <w:vMerge w:val="restart"/>
          </w:tcPr>
          <w:p>
            <w:pPr>
              <w:spacing w:after="0" w:line="202" w:lineRule="exact"/>
              <w:rPr>
                <w:sz w:val="20"/>
                <w:szCs w:val="20"/>
                <w:color w:val="auto"/>
              </w:rPr>
            </w:pPr>
            <w:r>
              <w:rPr>
                <w:rFonts w:ascii="Arial" w:cs="Arial" w:eastAsia="Arial" w:hAnsi="Arial"/>
                <w:sz w:val="18"/>
                <w:szCs w:val="18"/>
                <w:color w:val="0000FF"/>
              </w:rPr>
              <w:t>Operations and Comprehensive Loss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12"/>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gridSpan w:val="18"/>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88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740" w:type="dxa"/>
            <w:vAlign w:val="bottom"/>
            <w:gridSpan w:val="2"/>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60" w:type="dxa"/>
            <w:vAlign w:val="bottom"/>
            <w:gridSpan w:val="16"/>
          </w:tcPr>
          <w:p>
            <w:pPr>
              <w:spacing w:after="0" w:line="182" w:lineRule="exact"/>
              <w:rPr>
                <w:sz w:val="20"/>
                <w:szCs w:val="20"/>
                <w:color w:val="auto"/>
              </w:rPr>
            </w:pPr>
            <w:r>
              <w:rPr>
                <w:rFonts w:ascii="Arial" w:cs="Arial" w:eastAsia="Arial" w:hAnsi="Arial"/>
                <w:sz w:val="18"/>
                <w:szCs w:val="18"/>
                <w:color w:val="0000FF"/>
              </w:rPr>
              <w:t>Condensed Consolidated Statements of Cash Flows</w:t>
            </w:r>
          </w:p>
        </w:tc>
        <w:tc>
          <w:tcPr>
            <w:tcW w:w="48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960" w:type="dxa"/>
            <w:vAlign w:val="bottom"/>
            <w:gridSpan w:val="3"/>
            <w:vMerge w:val="restart"/>
          </w:tcPr>
          <w:p>
            <w:pPr>
              <w:spacing w:after="0" w:line="202" w:lineRule="exact"/>
              <w:rPr>
                <w:sz w:val="20"/>
                <w:szCs w:val="20"/>
                <w:color w:val="auto"/>
              </w:rPr>
            </w:pPr>
            <w:r>
              <w:rPr>
                <w:rFonts w:ascii="Arial" w:cs="Arial" w:eastAsia="Arial" w:hAnsi="Arial"/>
                <w:sz w:val="18"/>
                <w:szCs w:val="18"/>
                <w:color w:val="0000FF"/>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5340" w:type="dxa"/>
            <w:vAlign w:val="bottom"/>
            <w:gridSpan w:val="17"/>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96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7080" w:type="dxa"/>
            <w:vAlign w:val="bottom"/>
            <w:gridSpan w:val="19"/>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700" w:type="dxa"/>
            <w:vAlign w:val="bottom"/>
            <w:gridSpan w:val="14"/>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vMerge w:val="continue"/>
          </w:tcPr>
          <w:p>
            <w:pPr>
              <w:spacing w:after="0"/>
              <w:rPr>
                <w:sz w:val="15"/>
                <w:szCs w:val="15"/>
                <w:color w:val="auto"/>
              </w:rPr>
            </w:pP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2300" w:type="dxa"/>
            <w:vAlign w:val="bottom"/>
            <w:gridSpan w:val="5"/>
            <w:vMerge w:val="restart"/>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980" w:type="dxa"/>
            <w:vAlign w:val="bottom"/>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2"/>
            <w:vMerge w:val="continue"/>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2300" w:type="dxa"/>
            <w:vAlign w:val="bottom"/>
            <w:gridSpan w:val="5"/>
            <w:vMerge w:val="restart"/>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920" w:type="dxa"/>
            <w:vAlign w:val="bottom"/>
            <w:gridSpan w:val="6"/>
          </w:tcPr>
          <w:p>
            <w:pPr>
              <w:spacing w:after="0" w:line="182" w:lineRule="exact"/>
              <w:rPr>
                <w:sz w:val="20"/>
                <w:szCs w:val="20"/>
                <w:color w:val="auto"/>
              </w:rPr>
            </w:pPr>
            <w:r>
              <w:rPr>
                <w:rFonts w:ascii="Arial" w:cs="Arial" w:eastAsia="Arial" w:hAnsi="Arial"/>
                <w:sz w:val="18"/>
                <w:szCs w:val="18"/>
                <w:color w:val="0000FF"/>
              </w:rPr>
              <w:t>Legal Proceedings</w:t>
            </w:r>
          </w:p>
        </w:tc>
        <w:tc>
          <w:tcPr>
            <w:tcW w:w="20" w:type="dxa"/>
            <w:vAlign w:val="bottom"/>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2300" w:type="dxa"/>
            <w:vAlign w:val="bottom"/>
            <w:gridSpan w:val="5"/>
            <w:vMerge w:val="restart"/>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60" w:type="dxa"/>
            <w:vAlign w:val="bottom"/>
            <w:gridSpan w:val="2"/>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ind w:left="60"/>
              <w:spacing w:after="0" w:line="20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8280" w:type="dxa"/>
            <w:vAlign w:val="bottom"/>
            <w:gridSpan w:val="1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840" w:type="dxa"/>
            <w:vAlign w:val="bottom"/>
            <w:gridSpan w:val="15"/>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76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540" w:type="dxa"/>
            <w:vAlign w:val="bottom"/>
            <w:gridSpan w:val="10"/>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36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940" w:type="dxa"/>
            <w:vAlign w:val="bottom"/>
            <w:gridSpan w:val="7"/>
          </w:tcPr>
          <w:p>
            <w:pPr>
              <w:spacing w:after="0" w:line="182" w:lineRule="exact"/>
              <w:rPr>
                <w:sz w:val="20"/>
                <w:szCs w:val="20"/>
                <w:color w:val="auto"/>
              </w:rPr>
            </w:pPr>
            <w:r>
              <w:rPr>
                <w:rFonts w:ascii="Arial" w:cs="Arial" w:eastAsia="Arial" w:hAnsi="Arial"/>
                <w:sz w:val="18"/>
                <w:szCs w:val="18"/>
                <w:color w:val="0000FF"/>
              </w:rPr>
              <w:t>Other Information</w:t>
            </w:r>
          </w:p>
        </w:tc>
        <w:tc>
          <w:tcPr>
            <w:tcW w:w="736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900" w:type="dxa"/>
            <w:vAlign w:val="bottom"/>
            <w:gridSpan w:val="1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9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development of fosgonimeton may never lead to a marketable product.</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spacing w:after="0" w:line="7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4"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 independent special committee of our board of directors engaged in a review of papers co-authored by our former chief executive officer in connection with her doctoral research at Washington State University (WSU).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84"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6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any of our key personnel could significantly harm our business, results of operations and competitive position.</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5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continuing effects of the novel coronavirus disease, or COVID-19, pandemic could adversely impact our business, including our nonclinical studies and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59"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1020"/>
        <w:spacing w:after="0" w:line="287" w:lineRule="auto"/>
        <w:rPr>
          <w:sz w:val="20"/>
          <w:szCs w:val="20"/>
          <w:color w:val="auto"/>
        </w:rPr>
      </w:pPr>
      <w:r>
        <w:rPr>
          <w:rFonts w:ascii="Arial" w:cs="Arial" w:eastAsia="Arial" w:hAnsi="Arial"/>
          <w:sz w:val="18"/>
          <w:szCs w:val="18"/>
          <w:color w:val="auto"/>
        </w:rPr>
        <w:t>commercialize, or will be delayed in commercializing, our product candidates, and our ability to generate revenue will be materially impaired.</w:t>
      </w:r>
    </w:p>
    <w:p>
      <w:pPr>
        <w:spacing w:after="0" w:line="31" w:lineRule="exact"/>
        <w:rPr>
          <w:sz w:val="20"/>
          <w:szCs w:val="20"/>
          <w:color w:val="auto"/>
        </w:rPr>
      </w:pPr>
    </w:p>
    <w:p>
      <w:pPr>
        <w:jc w:val="both"/>
        <w:ind w:left="102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5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spacing w:after="0" w:line="5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of our common stock has been and may continue to be volatile, which could result in substantial losses for investors.</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and certain of our directors and executive officers have been named as defendants in lawsuits that could result in substantial costs and divert management’s attention.</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activist stockholders have in the past been, and may in the future be, disruptive and could cause uncertainty about the strategic direction of our business.</w:t>
      </w:r>
    </w:p>
    <w:p>
      <w:pPr>
        <w:spacing w:after="0" w:line="18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69"/>
        </w:trPr>
        <w:tc>
          <w:tcPr>
            <w:tcW w:w="7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87,049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133,913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143,222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Unbilled grant receivable</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228,972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274,185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751</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80"/>
              <w:spacing w:after="0"/>
              <w:rPr>
                <w:sz w:val="20"/>
                <w:szCs w:val="20"/>
                <w:color w:val="auto"/>
              </w:rPr>
            </w:pPr>
            <w:r>
              <w:rPr>
                <w:rFonts w:ascii="Arial" w:cs="Arial" w:eastAsia="Arial" w:hAnsi="Arial"/>
                <w:sz w:val="18"/>
                <w:szCs w:val="18"/>
                <w:color w:val="auto"/>
              </w:rPr>
              <w:t>Current operating lease liability</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Operating lease liability, less current portion</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38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Common stock, $0.0001 par value; 900,000,000 shares</w:t>
            </w: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420"/>
              <w:spacing w:after="0" w:line="189" w:lineRule="exact"/>
              <w:rPr>
                <w:sz w:val="20"/>
                <w:szCs w:val="20"/>
                <w:color w:val="auto"/>
              </w:rPr>
            </w:pPr>
            <w:r>
              <w:rPr>
                <w:rFonts w:ascii="Arial" w:cs="Arial" w:eastAsia="Arial" w:hAnsi="Arial"/>
                <w:sz w:val="18"/>
                <w:szCs w:val="18"/>
                <w:color w:val="auto"/>
              </w:rPr>
              <w:t>authorized at September 30, 2022 and December 31, 2021,</w:t>
            </w:r>
          </w:p>
        </w:tc>
        <w:tc>
          <w:tcPr>
            <w:tcW w:w="1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420"/>
              <w:spacing w:after="0" w:line="189" w:lineRule="exact"/>
              <w:rPr>
                <w:sz w:val="20"/>
                <w:szCs w:val="20"/>
                <w:color w:val="auto"/>
              </w:rPr>
            </w:pPr>
            <w:r>
              <w:rPr>
                <w:rFonts w:ascii="Arial" w:cs="Arial" w:eastAsia="Arial" w:hAnsi="Arial"/>
                <w:sz w:val="18"/>
                <w:szCs w:val="18"/>
                <w:color w:val="auto"/>
              </w:rPr>
              <w:t>respectively; 37,817,724 and 37,379,077 shares issued</w:t>
            </w:r>
          </w:p>
        </w:tc>
        <w:tc>
          <w:tcPr>
            <w:tcW w:w="1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420"/>
              <w:spacing w:after="0" w:line="189" w:lineRule="exact"/>
              <w:rPr>
                <w:sz w:val="20"/>
                <w:szCs w:val="20"/>
                <w:color w:val="auto"/>
              </w:rPr>
            </w:pPr>
            <w:r>
              <w:rPr>
                <w:rFonts w:ascii="Arial" w:cs="Arial" w:eastAsia="Arial" w:hAnsi="Arial"/>
                <w:sz w:val="18"/>
                <w:szCs w:val="18"/>
                <w:color w:val="auto"/>
              </w:rPr>
              <w:t>and outstanding at September 30, 2022 and December 31,</w:t>
            </w:r>
          </w:p>
        </w:tc>
        <w:tc>
          <w:tcPr>
            <w:tcW w:w="120" w:type="dxa"/>
            <w:vAlign w:val="bottom"/>
            <w:shd w:val="clear" w:color="auto" w:fill="CFF0FC"/>
          </w:tcPr>
          <w:p>
            <w:pPr>
              <w:spacing w:after="0"/>
              <w:rPr>
                <w:sz w:val="16"/>
                <w:szCs w:val="16"/>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2021, respectively</w:t>
            </w:r>
          </w:p>
        </w:tc>
        <w:tc>
          <w:tcPr>
            <w:tcW w:w="120" w:type="dxa"/>
            <w:vAlign w:val="bottom"/>
            <w:shd w:val="clear" w:color="auto" w:fill="CFF0FC"/>
          </w:tcPr>
          <w:p>
            <w:pPr>
              <w:spacing w:after="0"/>
              <w:rPr>
                <w:sz w:val="20"/>
                <w:szCs w:val="20"/>
                <w:color w:val="auto"/>
              </w:rPr>
            </w:pPr>
          </w:p>
        </w:tc>
        <w:tc>
          <w:tcPr>
            <w:tcW w:w="152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426,116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417,363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(2,472 )</w:t>
            </w: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16"/>
        </w:trPr>
        <w:tc>
          <w:tcPr>
            <w:tcW w:w="73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(161,399 )</w:t>
            </w:r>
          </w:p>
        </w:tc>
        <w:tc>
          <w:tcPr>
            <w:tcW w:w="20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(95,895 )</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262,249</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274,185</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-2630805</wp:posOffset>
            </wp:positionV>
            <wp:extent cx="14147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16319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-1490980</wp:posOffset>
            </wp:positionV>
            <wp:extent cx="6858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800"/>
        <w:spacing w:after="0"/>
        <w:rPr>
          <w:sz w:val="20"/>
          <w:szCs w:val="20"/>
          <w:color w:val="auto"/>
        </w:rPr>
      </w:pPr>
      <w:r>
        <w:rPr>
          <w:rFonts w:ascii="Arial" w:cs="Arial" w:eastAsia="Arial" w:hAnsi="Arial"/>
          <w:sz w:val="18"/>
          <w:szCs w:val="18"/>
          <w:b w:val="1"/>
          <w:bCs w:val="1"/>
          <w:color w:val="auto"/>
        </w:rPr>
        <w:t>Athira Pharma, Inc.</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820" w:type="dxa"/>
            <w:vAlign w:val="bottom"/>
            <w:gridSpan w:val="6"/>
          </w:tcPr>
          <w:p>
            <w:pPr>
              <w:jc w:val="right"/>
              <w:ind w:right="221"/>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16,965</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10,707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46,228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(71,089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(20,189 )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(15,674 )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(65,504 )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(38,514 )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Unrealized loss on available-for-sale securities</w:t>
            </w: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(547</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Comprehensive loss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(20,736 )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(15,707 )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(67,588 )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(38,543 )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20" w:type="dxa"/>
            <w:vAlign w:val="bottom"/>
            <w:shd w:val="clear" w:color="auto" w:fill="CFF0FC"/>
          </w:tcPr>
          <w:p>
            <w:pPr>
              <w:ind w:left="20"/>
              <w:spacing w:after="0" w:line="150" w:lineRule="exact"/>
              <w:rPr>
                <w:sz w:val="20"/>
                <w:szCs w:val="20"/>
                <w:color w:val="auto"/>
              </w:rPr>
            </w:pPr>
            <w:r>
              <w:rPr>
                <w:rFonts w:ascii="Arial" w:cs="Arial" w:eastAsia="Arial" w:hAnsi="Arial"/>
                <w:sz w:val="17"/>
                <w:szCs w:val="17"/>
                <w:color w:val="auto"/>
              </w:rPr>
              <w:t>Net loss per share attributable to common</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(0.53 )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color w:val="auto"/>
              </w:rPr>
              <w:t>(0.42 )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(1.74 )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stockholders, basic and diluted</w:t>
            </w:r>
          </w:p>
        </w:tc>
        <w:tc>
          <w:tcPr>
            <w:tcW w:w="180" w:type="dxa"/>
            <w:vAlign w:val="bottom"/>
            <w:vMerge w:val="continue"/>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140" w:type="dxa"/>
            <w:vAlign w:val="bottom"/>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820" w:type="dxa"/>
            <w:vAlign w:val="bottom"/>
            <w:tcBorders>
              <w:top w:val="single" w:sz="8" w:color="CFF0FC"/>
            </w:tcBorders>
          </w:tcPr>
          <w:p>
            <w:pPr>
              <w:ind w:left="20"/>
              <w:spacing w:after="0" w:line="150" w:lineRule="exact"/>
              <w:rPr>
                <w:sz w:val="20"/>
                <w:szCs w:val="20"/>
                <w:color w:val="auto"/>
              </w:rPr>
            </w:pPr>
            <w:r>
              <w:rPr>
                <w:rFonts w:ascii="Arial" w:cs="Arial" w:eastAsia="Arial" w:hAnsi="Arial"/>
                <w:sz w:val="17"/>
                <w:szCs w:val="17"/>
                <w:color w:val="auto"/>
              </w:rPr>
              <w:t>Weighted-average shares used in computing</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line="189" w:lineRule="exact"/>
              <w:rPr>
                <w:sz w:val="20"/>
                <w:szCs w:val="20"/>
                <w:color w:val="auto"/>
              </w:rPr>
            </w:pPr>
            <w:r>
              <w:rPr>
                <w:rFonts w:ascii="Arial" w:cs="Arial" w:eastAsia="Arial" w:hAnsi="Arial"/>
                <w:sz w:val="18"/>
                <w:szCs w:val="18"/>
                <w:color w:val="auto"/>
              </w:rPr>
              <w:t>net loss per share attributable to common</w:t>
            </w:r>
          </w:p>
        </w:tc>
        <w:tc>
          <w:tcPr>
            <w:tcW w:w="1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37,817,724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37,312,356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37,693,830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36,773,100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20" w:type="dxa"/>
            <w:vAlign w:val="bottom"/>
          </w:tcPr>
          <w:p>
            <w:pPr>
              <w:ind w:left="180"/>
              <w:spacing w:after="0" w:line="195" w:lineRule="exact"/>
              <w:rPr>
                <w:sz w:val="20"/>
                <w:szCs w:val="20"/>
                <w:color w:val="auto"/>
              </w:rPr>
            </w:pPr>
            <w:r>
              <w:rPr>
                <w:rFonts w:ascii="Arial" w:cs="Arial" w:eastAsia="Arial" w:hAnsi="Arial"/>
                <w:sz w:val="18"/>
                <w:szCs w:val="18"/>
                <w:color w:val="auto"/>
              </w:rPr>
              <w:t>stockholders, basic and diluted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-1679575</wp:posOffset>
            </wp:positionV>
            <wp:extent cx="7683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-1679575</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-1679575</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-1113790</wp:posOffset>
            </wp:positionV>
            <wp:extent cx="7683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-1113790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-1113790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-805180</wp:posOffset>
            </wp:positionV>
            <wp:extent cx="768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-805180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-805180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-402590</wp:posOffset>
            </wp:positionV>
            <wp:extent cx="2717165" cy="403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17165" cy="40322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ind w:left="4800"/>
        <w:spacing w:after="0"/>
        <w:rPr>
          <w:sz w:val="20"/>
          <w:szCs w:val="20"/>
          <w:color w:val="auto"/>
        </w:rPr>
      </w:pPr>
      <w:r>
        <w:rPr>
          <w:rFonts w:ascii="Arial" w:cs="Arial" w:eastAsia="Arial" w:hAnsi="Arial"/>
          <w:sz w:val="18"/>
          <w:szCs w:val="18"/>
          <w:b w:val="1"/>
          <w:bCs w:val="1"/>
          <w:color w:val="auto"/>
        </w:rPr>
        <w:t>Athira Pharma, Inc.</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and Nine Months Ended 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180" w:type="dxa"/>
            <w:vAlign w:val="bottom"/>
            <w:gridSpan w:val="3"/>
            <w:vMerge w:val="restart"/>
          </w:tcPr>
          <w:p>
            <w:pPr>
              <w:jc w:val="right"/>
              <w:ind w:right="36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300" w:type="dxa"/>
            <w:vAlign w:val="bottom"/>
            <w:gridSpan w:val="3"/>
            <w:vMerge w:val="restart"/>
          </w:tcPr>
          <w:p>
            <w:pPr>
              <w:jc w:val="right"/>
              <w:ind w:right="219"/>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218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Comprehensive</w:t>
            </w:r>
          </w:p>
        </w:tc>
        <w:tc>
          <w:tcPr>
            <w:tcW w:w="1300" w:type="dxa"/>
            <w:vAlign w:val="bottom"/>
            <w:gridSpan w:val="3"/>
            <w:vMerge w:val="continue"/>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1060" w:type="dxa"/>
            <w:vAlign w:val="bottom"/>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4"/>
                <w:szCs w:val="14"/>
                <w:color w:val="auto"/>
              </w:rPr>
            </w:pPr>
          </w:p>
        </w:tc>
        <w:tc>
          <w:tcPr>
            <w:tcW w:w="108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3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January 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32,485,784</w:t>
            </w:r>
          </w:p>
        </w:tc>
        <w:tc>
          <w:tcPr>
            <w:tcW w:w="2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81"/>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315,288</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(41,042</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274,282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tcPr>
          <w:p>
            <w:pPr>
              <w:ind w:left="200"/>
              <w:spacing w:after="0" w:line="161" w:lineRule="exact"/>
              <w:rPr>
                <w:sz w:val="20"/>
                <w:szCs w:val="20"/>
                <w:color w:val="auto"/>
              </w:rPr>
            </w:pPr>
            <w:r>
              <w:rPr>
                <w:rFonts w:ascii="Arial" w:cs="Arial" w:eastAsia="Arial" w:hAnsi="Arial"/>
                <w:sz w:val="16"/>
                <w:szCs w:val="16"/>
                <w:color w:val="auto"/>
              </w:rPr>
              <w:t>Issuance of common stock upon exercise</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tcPr>
          <w:p>
            <w:pPr>
              <w:ind w:left="200"/>
              <w:spacing w:after="0" w:line="163" w:lineRule="exact"/>
              <w:rPr>
                <w:sz w:val="20"/>
                <w:szCs w:val="20"/>
                <w:color w:val="auto"/>
              </w:rPr>
            </w:pPr>
            <w:r>
              <w:rPr>
                <w:rFonts w:ascii="Arial" w:cs="Arial" w:eastAsia="Arial" w:hAnsi="Arial"/>
                <w:sz w:val="16"/>
                <w:szCs w:val="16"/>
                <w:color w:val="auto"/>
              </w:rPr>
              <w:t>of</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340"/>
              <w:spacing w:after="0" w:line="175" w:lineRule="exact"/>
              <w:rPr>
                <w:sz w:val="20"/>
                <w:szCs w:val="20"/>
                <w:color w:val="auto"/>
              </w:rPr>
            </w:pPr>
            <w:r>
              <w:rPr>
                <w:rFonts w:ascii="Arial" w:cs="Arial" w:eastAsia="Arial" w:hAnsi="Arial"/>
                <w:sz w:val="16"/>
                <w:szCs w:val="16"/>
                <w:color w:val="auto"/>
              </w:rPr>
              <w:t>common stock options and vesting of</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64,527</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40"/>
              <w:spacing w:after="0"/>
              <w:rPr>
                <w:sz w:val="20"/>
                <w:szCs w:val="20"/>
                <w:color w:val="auto"/>
              </w:rPr>
            </w:pPr>
            <w:r>
              <w:rPr>
                <w:rFonts w:ascii="Arial" w:cs="Arial" w:eastAsia="Arial" w:hAnsi="Arial"/>
                <w:sz w:val="16"/>
                <w:szCs w:val="16"/>
                <w:color w:val="auto"/>
              </w:rPr>
              <w:t>restricted stock units</w:t>
            </w: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shd w:val="clear" w:color="auto" w:fill="CFF0FC"/>
          </w:tcPr>
          <w:p>
            <w:pPr>
              <w:ind w:left="200"/>
              <w:spacing w:after="0" w:line="161" w:lineRule="exact"/>
              <w:rPr>
                <w:sz w:val="20"/>
                <w:szCs w:val="20"/>
                <w:color w:val="auto"/>
              </w:rPr>
            </w:pPr>
            <w:r>
              <w:rPr>
                <w:rFonts w:ascii="Arial" w:cs="Arial" w:eastAsia="Arial" w:hAnsi="Arial"/>
                <w:sz w:val="16"/>
                <w:szCs w:val="16"/>
                <w:color w:val="auto"/>
              </w:rPr>
              <w:t>Proceeds from follow-on public offering,</w:t>
            </w: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shd w:val="clear" w:color="auto" w:fill="CFF0FC"/>
          </w:tcPr>
          <w:p>
            <w:pPr>
              <w:ind w:left="200"/>
              <w:spacing w:after="0" w:line="163" w:lineRule="exact"/>
              <w:rPr>
                <w:sz w:val="20"/>
                <w:szCs w:val="20"/>
                <w:color w:val="auto"/>
              </w:rPr>
            </w:pPr>
            <w:r>
              <w:rPr>
                <w:rFonts w:ascii="Arial" w:cs="Arial" w:eastAsia="Arial" w:hAnsi="Arial"/>
                <w:sz w:val="16"/>
                <w:szCs w:val="16"/>
                <w:color w:val="auto"/>
              </w:rPr>
              <w:t>net</w:t>
            </w: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FF0FC"/>
          </w:tcPr>
          <w:p>
            <w:pPr>
              <w:ind w:left="340"/>
              <w:spacing w:after="0" w:line="175" w:lineRule="exact"/>
              <w:rPr>
                <w:sz w:val="20"/>
                <w:szCs w:val="20"/>
                <w:color w:val="auto"/>
              </w:rPr>
            </w:pPr>
            <w:r>
              <w:rPr>
                <w:rFonts w:ascii="Arial" w:cs="Arial" w:eastAsia="Arial" w:hAnsi="Arial"/>
                <w:sz w:val="16"/>
                <w:szCs w:val="16"/>
                <w:color w:val="auto"/>
              </w:rPr>
              <w:t>of underwriters' discounts and</w:t>
            </w: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FF0FC"/>
          </w:tcPr>
          <w:p>
            <w:pPr>
              <w:ind w:left="200"/>
              <w:spacing w:after="0" w:line="175" w:lineRule="exact"/>
              <w:rPr>
                <w:sz w:val="20"/>
                <w:szCs w:val="20"/>
                <w:color w:val="auto"/>
              </w:rPr>
            </w:pPr>
            <w:r>
              <w:rPr>
                <w:rFonts w:ascii="Arial" w:cs="Arial" w:eastAsia="Arial" w:hAnsi="Arial"/>
                <w:sz w:val="16"/>
                <w:szCs w:val="16"/>
                <w:color w:val="auto"/>
              </w:rPr>
              <w:t>commissions</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4,600,000</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96,761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96,762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and issuance costs</w:t>
            </w:r>
          </w:p>
        </w:tc>
        <w:tc>
          <w:tcPr>
            <w:tcW w:w="10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shd w:val="clear" w:color="auto" w:fill="CFF0FC"/>
          </w:tcPr>
          <w:p>
            <w:pPr>
              <w:ind w:left="200"/>
              <w:spacing w:after="0" w:line="161" w:lineRule="exact"/>
              <w:rPr>
                <w:sz w:val="20"/>
                <w:szCs w:val="20"/>
                <w:color w:val="auto"/>
              </w:rPr>
            </w:pPr>
            <w:r>
              <w:rPr>
                <w:rFonts w:ascii="Arial" w:cs="Arial" w:eastAsia="Arial" w:hAnsi="Arial"/>
                <w:sz w:val="16"/>
                <w:szCs w:val="16"/>
                <w:color w:val="auto"/>
              </w:rPr>
              <w:t>Unrealized loss on available-for-sale</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(5 )</w:t>
            </w:r>
          </w:p>
        </w:tc>
        <w:tc>
          <w:tcPr>
            <w:tcW w:w="22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0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(8,866 )</w:t>
            </w:r>
          </w:p>
        </w:tc>
        <w:tc>
          <w:tcPr>
            <w:tcW w:w="2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(8,866 )</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37,150,311</w:t>
            </w:r>
          </w:p>
        </w:tc>
        <w:tc>
          <w:tcPr>
            <w:tcW w:w="2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81"/>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413,093</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(49,908</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363,217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300" w:type="dxa"/>
            <w:vAlign w:val="bottom"/>
          </w:tcPr>
          <w:p>
            <w:pPr>
              <w:ind w:left="200"/>
              <w:spacing w:after="0" w:line="142" w:lineRule="exact"/>
              <w:rPr>
                <w:sz w:val="20"/>
                <w:szCs w:val="20"/>
                <w:color w:val="auto"/>
              </w:rPr>
            </w:pPr>
            <w:r>
              <w:rPr>
                <w:rFonts w:ascii="Arial" w:cs="Arial" w:eastAsia="Arial" w:hAnsi="Arial"/>
                <w:sz w:val="16"/>
                <w:szCs w:val="16"/>
                <w:color w:val="auto"/>
              </w:rPr>
              <w:t>Issuance of common stock upon exercise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300" w:type="dxa"/>
            <w:vAlign w:val="bottom"/>
          </w:tcPr>
          <w:p>
            <w:pPr>
              <w:ind w:left="200"/>
              <w:spacing w:after="0" w:line="163" w:lineRule="exact"/>
              <w:rPr>
                <w:sz w:val="20"/>
                <w:szCs w:val="20"/>
                <w:color w:val="auto"/>
              </w:rPr>
            </w:pPr>
            <w:r>
              <w:rPr>
                <w:rFonts w:ascii="Arial" w:cs="Arial" w:eastAsia="Arial" w:hAnsi="Arial"/>
                <w:sz w:val="16"/>
                <w:szCs w:val="16"/>
                <w:color w:val="auto"/>
              </w:rPr>
              <w:t>of</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85,593</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340"/>
              <w:spacing w:after="0"/>
              <w:rPr>
                <w:sz w:val="20"/>
                <w:szCs w:val="20"/>
                <w:color w:val="auto"/>
              </w:rPr>
            </w:pPr>
            <w:r>
              <w:rPr>
                <w:rFonts w:ascii="Arial" w:cs="Arial" w:eastAsia="Arial" w:hAnsi="Arial"/>
                <w:sz w:val="16"/>
                <w:szCs w:val="16"/>
                <w:color w:val="auto"/>
              </w:rPr>
              <w:t>common stock options</w:t>
            </w:r>
          </w:p>
        </w:tc>
        <w:tc>
          <w:tcPr>
            <w:tcW w:w="1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200"/>
              <w:spacing w:after="0" w:line="162" w:lineRule="exact"/>
              <w:rPr>
                <w:sz w:val="20"/>
                <w:szCs w:val="20"/>
                <w:color w:val="auto"/>
              </w:rPr>
            </w:pPr>
            <w:r>
              <w:rPr>
                <w:rFonts w:ascii="Arial" w:cs="Arial" w:eastAsia="Arial" w:hAnsi="Arial"/>
                <w:sz w:val="16"/>
                <w:szCs w:val="16"/>
                <w:color w:val="auto"/>
              </w:rPr>
              <w:t>Issuance of common stock under</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15,867</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employee stock purchase plan</w:t>
            </w:r>
          </w:p>
        </w:tc>
        <w:tc>
          <w:tcPr>
            <w:tcW w:w="10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shd w:val="clear" w:color="auto" w:fill="CFF0FC"/>
          </w:tcPr>
          <w:p>
            <w:pPr>
              <w:ind w:left="200"/>
              <w:spacing w:after="0" w:line="161" w:lineRule="exact"/>
              <w:rPr>
                <w:sz w:val="20"/>
                <w:szCs w:val="20"/>
                <w:color w:val="auto"/>
              </w:rPr>
            </w:pPr>
            <w:r>
              <w:rPr>
                <w:rFonts w:ascii="Arial" w:cs="Arial" w:eastAsia="Arial" w:hAnsi="Arial"/>
                <w:sz w:val="16"/>
                <w:szCs w:val="16"/>
                <w:color w:val="auto"/>
              </w:rPr>
              <w:t>Unrealized gain on available-for-sale</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0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(13,974 )</w:t>
            </w:r>
          </w:p>
        </w:tc>
        <w:tc>
          <w:tcPr>
            <w:tcW w:w="2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(13,974 )</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37,251,771</w:t>
            </w:r>
          </w:p>
        </w:tc>
        <w:tc>
          <w:tcPr>
            <w:tcW w:w="2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81"/>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414,550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(63,882</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350,709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300" w:type="dxa"/>
            <w:vAlign w:val="bottom"/>
          </w:tcPr>
          <w:p>
            <w:pPr>
              <w:ind w:left="200"/>
              <w:spacing w:after="0" w:line="142" w:lineRule="exact"/>
              <w:rPr>
                <w:sz w:val="20"/>
                <w:szCs w:val="20"/>
                <w:color w:val="auto"/>
              </w:rPr>
            </w:pPr>
            <w:r>
              <w:rPr>
                <w:rFonts w:ascii="Arial" w:cs="Arial" w:eastAsia="Arial" w:hAnsi="Arial"/>
                <w:sz w:val="16"/>
                <w:szCs w:val="16"/>
                <w:color w:val="auto"/>
              </w:rPr>
              <w:t>Issuance of common stock upon exercise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300" w:type="dxa"/>
            <w:vAlign w:val="bottom"/>
          </w:tcPr>
          <w:p>
            <w:pPr>
              <w:ind w:left="200"/>
              <w:spacing w:after="0" w:line="163" w:lineRule="exact"/>
              <w:rPr>
                <w:sz w:val="20"/>
                <w:szCs w:val="20"/>
                <w:color w:val="auto"/>
              </w:rPr>
            </w:pPr>
            <w:r>
              <w:rPr>
                <w:rFonts w:ascii="Arial" w:cs="Arial" w:eastAsia="Arial" w:hAnsi="Arial"/>
                <w:sz w:val="16"/>
                <w:szCs w:val="16"/>
                <w:color w:val="auto"/>
              </w:rPr>
              <w:t>of</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340"/>
              <w:spacing w:after="0" w:line="175" w:lineRule="exact"/>
              <w:rPr>
                <w:sz w:val="20"/>
                <w:szCs w:val="20"/>
                <w:color w:val="auto"/>
              </w:rPr>
            </w:pPr>
            <w:r>
              <w:rPr>
                <w:rFonts w:ascii="Arial" w:cs="Arial" w:eastAsia="Arial" w:hAnsi="Arial"/>
                <w:sz w:val="16"/>
                <w:szCs w:val="16"/>
                <w:color w:val="auto"/>
              </w:rPr>
              <w:t>common stock options and vesting of</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99,333</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40"/>
              <w:spacing w:after="0"/>
              <w:rPr>
                <w:sz w:val="20"/>
                <w:szCs w:val="20"/>
                <w:color w:val="auto"/>
              </w:rPr>
            </w:pPr>
            <w:r>
              <w:rPr>
                <w:rFonts w:ascii="Arial" w:cs="Arial" w:eastAsia="Arial" w:hAnsi="Arial"/>
                <w:sz w:val="16"/>
                <w:szCs w:val="16"/>
                <w:color w:val="auto"/>
              </w:rPr>
              <w:t>restricted stock units</w:t>
            </w: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tcPr>
          <w:p>
            <w:pPr>
              <w:ind w:left="200"/>
              <w:spacing w:after="0" w:line="161" w:lineRule="exact"/>
              <w:rPr>
                <w:sz w:val="20"/>
                <w:szCs w:val="20"/>
                <w:color w:val="auto"/>
              </w:rPr>
            </w:pPr>
            <w:r>
              <w:rPr>
                <w:rFonts w:ascii="Arial" w:cs="Arial" w:eastAsia="Arial" w:hAnsi="Arial"/>
                <w:sz w:val="16"/>
                <w:szCs w:val="16"/>
                <w:color w:val="auto"/>
              </w:rPr>
              <w:t>Unrealized loss on available-for-sale</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(33 )</w:t>
            </w:r>
          </w:p>
        </w:tc>
        <w:tc>
          <w:tcPr>
            <w:tcW w:w="220" w:type="dxa"/>
            <w:vAlign w:val="bottom"/>
          </w:tcPr>
          <w:p>
            <w:pPr>
              <w:spacing w:after="0"/>
              <w:rPr>
                <w:sz w:val="14"/>
                <w:szCs w:val="14"/>
                <w:color w:val="auto"/>
              </w:rPr>
            </w:pPr>
          </w:p>
        </w:tc>
        <w:tc>
          <w:tcPr>
            <w:tcW w:w="10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rPr>
                <w:sz w:val="20"/>
                <w:szCs w:val="20"/>
                <w:color w:val="auto"/>
              </w:rPr>
            </w:pPr>
            <w:r>
              <w:rPr>
                <w:rFonts w:ascii="Arial" w:cs="Arial" w:eastAsia="Arial" w:hAnsi="Arial"/>
                <w:sz w:val="16"/>
                <w:szCs w:val="16"/>
                <w:color w:val="auto"/>
              </w:rPr>
              <w:t>securities</w:t>
            </w: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(15,674 )</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(15,674 )</w:t>
            </w: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060" w:type="dxa"/>
            <w:vAlign w:val="bottom"/>
          </w:tcPr>
          <w:p>
            <w:pPr>
              <w:jc w:val="right"/>
              <w:spacing w:after="0"/>
              <w:rPr>
                <w:sz w:val="20"/>
                <w:szCs w:val="20"/>
                <w:color w:val="auto"/>
              </w:rPr>
            </w:pPr>
            <w:r>
              <w:rPr>
                <w:rFonts w:ascii="Arial" w:cs="Arial" w:eastAsia="Arial" w:hAnsi="Arial"/>
                <w:sz w:val="16"/>
                <w:szCs w:val="16"/>
                <w:color w:val="auto"/>
              </w:rPr>
              <w:t>37,351,104</w:t>
            </w:r>
          </w:p>
        </w:tc>
        <w:tc>
          <w:tcPr>
            <w:tcW w:w="260" w:type="dxa"/>
            <w:vAlign w:val="bottom"/>
          </w:tcPr>
          <w:p>
            <w:pPr>
              <w:spacing w:after="0"/>
              <w:rPr>
                <w:sz w:val="17"/>
                <w:szCs w:val="17"/>
                <w:color w:val="auto"/>
              </w:rPr>
            </w:pP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415,785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(79,556 )</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336,237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-2348230</wp:posOffset>
            </wp:positionV>
            <wp:extent cx="4363085" cy="368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63085" cy="36830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-1122045</wp:posOffset>
            </wp:positionV>
            <wp:extent cx="4363085" cy="47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63085" cy="47180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-161925</wp:posOffset>
            </wp:positionV>
            <wp:extent cx="7683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-161925</wp:posOffset>
            </wp:positionV>
            <wp:extent cx="7683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-161925</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-161925</wp:posOffset>
            </wp:positionV>
            <wp:extent cx="6858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-161925</wp:posOffset>
            </wp:positionV>
            <wp:extent cx="685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Athira Pharma, Inc.</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and Nine Months Ended 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220" w:type="dxa"/>
            <w:vAlign w:val="bottom"/>
            <w:gridSpan w:val="3"/>
            <w:vMerge w:val="restart"/>
          </w:tcPr>
          <w:p>
            <w:pPr>
              <w:jc w:val="right"/>
              <w:ind w:right="38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3"/>
            <w:vMerge w:val="restart"/>
          </w:tcPr>
          <w:p>
            <w:pPr>
              <w:jc w:val="right"/>
              <w:ind w:right="219"/>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22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rPr>
              <w:t>Comprehensive</w:t>
            </w:r>
          </w:p>
        </w:tc>
        <w:tc>
          <w:tcPr>
            <w:tcW w:w="1280" w:type="dxa"/>
            <w:vAlign w:val="bottom"/>
            <w:gridSpan w:val="3"/>
            <w:vMerge w:val="continue"/>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080" w:type="dxa"/>
            <w:vAlign w:val="bottom"/>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5"/>
                <w:szCs w:val="15"/>
                <w:color w:val="auto"/>
              </w:rPr>
            </w:pPr>
          </w:p>
        </w:tc>
        <w:tc>
          <w:tcPr>
            <w:tcW w:w="108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January 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37,379,077</w:t>
            </w:r>
          </w:p>
        </w:tc>
        <w:tc>
          <w:tcPr>
            <w:tcW w:w="2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ind w:right="721"/>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417,363</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(95,895</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321,084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80" w:type="dxa"/>
            <w:vAlign w:val="bottom"/>
          </w:tcPr>
          <w:p>
            <w:pPr>
              <w:ind w:left="200"/>
              <w:spacing w:after="0" w:line="161" w:lineRule="exact"/>
              <w:rPr>
                <w:sz w:val="20"/>
                <w:szCs w:val="20"/>
                <w:color w:val="auto"/>
              </w:rPr>
            </w:pPr>
            <w:r>
              <w:rPr>
                <w:rFonts w:ascii="Arial" w:cs="Arial" w:eastAsia="Arial" w:hAnsi="Arial"/>
                <w:sz w:val="16"/>
                <w:szCs w:val="16"/>
                <w:color w:val="auto"/>
              </w:rPr>
              <w:t>Issuance of common stock upon exercise</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80" w:type="dxa"/>
            <w:vAlign w:val="bottom"/>
          </w:tcPr>
          <w:p>
            <w:pPr>
              <w:ind w:left="200"/>
              <w:spacing w:after="0" w:line="163" w:lineRule="exact"/>
              <w:rPr>
                <w:sz w:val="20"/>
                <w:szCs w:val="20"/>
                <w:color w:val="auto"/>
              </w:rPr>
            </w:pPr>
            <w:r>
              <w:rPr>
                <w:rFonts w:ascii="Arial" w:cs="Arial" w:eastAsia="Arial" w:hAnsi="Arial"/>
                <w:sz w:val="16"/>
                <w:szCs w:val="16"/>
                <w:color w:val="auto"/>
              </w:rPr>
              <w:t>of</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244,981</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80" w:type="dxa"/>
            <w:vAlign w:val="bottom"/>
          </w:tcPr>
          <w:p>
            <w:pPr>
              <w:ind w:left="340"/>
              <w:spacing w:after="0"/>
              <w:rPr>
                <w:sz w:val="20"/>
                <w:szCs w:val="20"/>
                <w:color w:val="auto"/>
              </w:rPr>
            </w:pPr>
            <w:r>
              <w:rPr>
                <w:rFonts w:ascii="Arial" w:cs="Arial" w:eastAsia="Arial" w:hAnsi="Arial"/>
                <w:sz w:val="16"/>
                <w:szCs w:val="16"/>
                <w:color w:val="auto"/>
              </w:rPr>
              <w:t>common stock options</w:t>
            </w:r>
          </w:p>
        </w:tc>
        <w:tc>
          <w:tcPr>
            <w:tcW w:w="1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80" w:type="dxa"/>
            <w:vAlign w:val="bottom"/>
          </w:tcPr>
          <w:p>
            <w:pPr>
              <w:ind w:left="200"/>
              <w:spacing w:after="0" w:line="161" w:lineRule="exact"/>
              <w:rPr>
                <w:sz w:val="20"/>
                <w:szCs w:val="20"/>
                <w:color w:val="auto"/>
              </w:rPr>
            </w:pPr>
            <w:r>
              <w:rPr>
                <w:rFonts w:ascii="Arial" w:cs="Arial" w:eastAsia="Arial" w:hAnsi="Arial"/>
                <w:sz w:val="16"/>
                <w:szCs w:val="16"/>
                <w:color w:val="auto"/>
              </w:rPr>
              <w:t>Unrealized loss on available-for-sale</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(1,068 )</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(1,068 )</w:t>
            </w:r>
          </w:p>
        </w:tc>
        <w:tc>
          <w:tcPr>
            <w:tcW w:w="0" w:type="dxa"/>
            <w:vAlign w:val="bottom"/>
          </w:tcPr>
          <w:p>
            <w:pPr>
              <w:spacing w:after="0"/>
              <w:rPr>
                <w:sz w:val="1"/>
                <w:szCs w:val="1"/>
                <w:color w:val="auto"/>
              </w:rPr>
            </w:pPr>
          </w:p>
        </w:tc>
      </w:tr>
      <w:tr>
        <w:trPr>
          <w:trHeight w:val="203"/>
        </w:trPr>
        <w:tc>
          <w:tcPr>
            <w:tcW w:w="3380" w:type="dxa"/>
            <w:vAlign w:val="bottom"/>
          </w:tcPr>
          <w:p>
            <w:pPr>
              <w:ind w:left="200"/>
              <w:spacing w:after="0"/>
              <w:rPr>
                <w:sz w:val="20"/>
                <w:szCs w:val="20"/>
                <w:color w:val="auto"/>
              </w:rPr>
            </w:pPr>
            <w:r>
              <w:rPr>
                <w:rFonts w:ascii="Arial" w:cs="Arial" w:eastAsia="Arial" w:hAnsi="Arial"/>
                <w:sz w:val="16"/>
                <w:szCs w:val="16"/>
                <w:color w:val="auto"/>
              </w:rPr>
              <w:t>securities</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(20,980 )</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(20,980 )</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080" w:type="dxa"/>
            <w:vAlign w:val="bottom"/>
          </w:tcPr>
          <w:p>
            <w:pPr>
              <w:jc w:val="right"/>
              <w:spacing w:after="0"/>
              <w:rPr>
                <w:sz w:val="20"/>
                <w:szCs w:val="20"/>
                <w:color w:val="auto"/>
              </w:rPr>
            </w:pPr>
            <w:r>
              <w:rPr>
                <w:rFonts w:ascii="Arial" w:cs="Arial" w:eastAsia="Arial" w:hAnsi="Arial"/>
                <w:sz w:val="16"/>
                <w:szCs w:val="16"/>
                <w:color w:val="auto"/>
              </w:rPr>
              <w:t>37,624,058</w:t>
            </w:r>
          </w:p>
        </w:tc>
        <w:tc>
          <w:tcPr>
            <w:tcW w:w="240" w:type="dxa"/>
            <w:vAlign w:val="bottom"/>
          </w:tcPr>
          <w:p>
            <w:pPr>
              <w:spacing w:after="0"/>
              <w:rPr>
                <w:sz w:val="17"/>
                <w:szCs w:val="17"/>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420,304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59"/>
              <w:spacing w:after="0"/>
              <w:rPr>
                <w:sz w:val="20"/>
                <w:szCs w:val="20"/>
                <w:color w:val="auto"/>
              </w:rPr>
            </w:pPr>
            <w:r>
              <w:rPr>
                <w:rFonts w:ascii="Arial" w:cs="Arial" w:eastAsia="Arial" w:hAnsi="Arial"/>
                <w:sz w:val="16"/>
                <w:szCs w:val="16"/>
                <w:color w:val="auto"/>
              </w:rPr>
              <w:t>(1,456 )</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(116,875 )</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301,977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80" w:type="dxa"/>
            <w:vAlign w:val="bottom"/>
            <w:shd w:val="clear" w:color="auto" w:fill="CFF0FC"/>
          </w:tcPr>
          <w:p>
            <w:pPr>
              <w:ind w:left="200"/>
              <w:spacing w:after="0" w:line="142" w:lineRule="exact"/>
              <w:rPr>
                <w:sz w:val="20"/>
                <w:szCs w:val="20"/>
                <w:color w:val="auto"/>
              </w:rPr>
            </w:pPr>
            <w:r>
              <w:rPr>
                <w:rFonts w:ascii="Arial" w:cs="Arial" w:eastAsia="Arial" w:hAnsi="Arial"/>
                <w:sz w:val="16"/>
                <w:szCs w:val="16"/>
                <w:color w:val="auto"/>
              </w:rPr>
              <w:t>Issuance of common stock upon exercise</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380" w:type="dxa"/>
            <w:vAlign w:val="bottom"/>
            <w:shd w:val="clear" w:color="auto" w:fill="CFF0FC"/>
          </w:tcPr>
          <w:p>
            <w:pPr>
              <w:ind w:left="200"/>
              <w:spacing w:after="0" w:line="163" w:lineRule="exact"/>
              <w:rPr>
                <w:sz w:val="20"/>
                <w:szCs w:val="20"/>
                <w:color w:val="auto"/>
              </w:rPr>
            </w:pPr>
            <w:r>
              <w:rPr>
                <w:rFonts w:ascii="Arial" w:cs="Arial" w:eastAsia="Arial" w:hAnsi="Arial"/>
                <w:sz w:val="16"/>
                <w:szCs w:val="16"/>
                <w:color w:val="auto"/>
              </w:rPr>
              <w:t>of</w:t>
            </w: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80" w:type="dxa"/>
            <w:vAlign w:val="bottom"/>
            <w:shd w:val="clear" w:color="auto" w:fill="CFF0FC"/>
          </w:tcPr>
          <w:p>
            <w:pPr>
              <w:ind w:left="340"/>
              <w:spacing w:after="0" w:line="175" w:lineRule="exact"/>
              <w:rPr>
                <w:sz w:val="20"/>
                <w:szCs w:val="20"/>
                <w:color w:val="auto"/>
              </w:rPr>
            </w:pPr>
            <w:r>
              <w:rPr>
                <w:rFonts w:ascii="Arial" w:cs="Arial" w:eastAsia="Arial" w:hAnsi="Arial"/>
                <w:sz w:val="16"/>
                <w:szCs w:val="16"/>
                <w:color w:val="auto"/>
              </w:rPr>
              <w:t>common stock options and vesting of</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163,387</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restricted stock units</w:t>
            </w:r>
          </w:p>
        </w:tc>
        <w:tc>
          <w:tcPr>
            <w:tcW w:w="10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80" w:type="dxa"/>
            <w:vAlign w:val="bottom"/>
          </w:tcPr>
          <w:p>
            <w:pPr>
              <w:ind w:left="200"/>
              <w:spacing w:after="0" w:line="161" w:lineRule="exact"/>
              <w:rPr>
                <w:sz w:val="20"/>
                <w:szCs w:val="20"/>
                <w:color w:val="auto"/>
              </w:rPr>
            </w:pPr>
            <w:r>
              <w:rPr>
                <w:rFonts w:ascii="Arial" w:cs="Arial" w:eastAsia="Arial" w:hAnsi="Arial"/>
                <w:sz w:val="16"/>
                <w:szCs w:val="16"/>
                <w:color w:val="auto"/>
              </w:rPr>
              <w:t>Issuance of common stock under</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30,279</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340"/>
              <w:spacing w:after="0"/>
              <w:rPr>
                <w:sz w:val="20"/>
                <w:szCs w:val="20"/>
                <w:color w:val="auto"/>
              </w:rPr>
            </w:pPr>
            <w:r>
              <w:rPr>
                <w:rFonts w:ascii="Arial" w:cs="Arial" w:eastAsia="Arial" w:hAnsi="Arial"/>
                <w:sz w:val="16"/>
                <w:szCs w:val="16"/>
                <w:color w:val="auto"/>
              </w:rPr>
              <w:t>employee stock purchase plan</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80" w:type="dxa"/>
            <w:vAlign w:val="bottom"/>
          </w:tcPr>
          <w:p>
            <w:pPr>
              <w:ind w:left="200"/>
              <w:spacing w:after="0" w:line="161" w:lineRule="exact"/>
              <w:rPr>
                <w:sz w:val="20"/>
                <w:szCs w:val="20"/>
                <w:color w:val="auto"/>
              </w:rPr>
            </w:pPr>
            <w:r>
              <w:rPr>
                <w:rFonts w:ascii="Arial" w:cs="Arial" w:eastAsia="Arial" w:hAnsi="Arial"/>
                <w:sz w:val="16"/>
                <w:szCs w:val="16"/>
                <w:color w:val="auto"/>
              </w:rPr>
              <w:t>Unrealized loss on available-for-sale</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(469 )</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(469 )</w:t>
            </w:r>
          </w:p>
        </w:tc>
        <w:tc>
          <w:tcPr>
            <w:tcW w:w="0" w:type="dxa"/>
            <w:vAlign w:val="bottom"/>
          </w:tcPr>
          <w:p>
            <w:pPr>
              <w:spacing w:after="0"/>
              <w:rPr>
                <w:sz w:val="1"/>
                <w:szCs w:val="1"/>
                <w:color w:val="auto"/>
              </w:rPr>
            </w:pPr>
          </w:p>
        </w:tc>
      </w:tr>
      <w:tr>
        <w:trPr>
          <w:trHeight w:val="203"/>
        </w:trPr>
        <w:tc>
          <w:tcPr>
            <w:tcW w:w="3380" w:type="dxa"/>
            <w:vAlign w:val="bottom"/>
          </w:tcPr>
          <w:p>
            <w:pPr>
              <w:ind w:left="200"/>
              <w:spacing w:after="0"/>
              <w:rPr>
                <w:sz w:val="20"/>
                <w:szCs w:val="20"/>
                <w:color w:val="auto"/>
              </w:rPr>
            </w:pPr>
            <w:r>
              <w:rPr>
                <w:rFonts w:ascii="Arial" w:cs="Arial" w:eastAsia="Arial" w:hAnsi="Arial"/>
                <w:sz w:val="16"/>
                <w:szCs w:val="16"/>
                <w:color w:val="auto"/>
              </w:rPr>
              <w:t>securities</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(24,335 )</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(24,335 )</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080" w:type="dxa"/>
            <w:vAlign w:val="bottom"/>
          </w:tcPr>
          <w:p>
            <w:pPr>
              <w:jc w:val="right"/>
              <w:spacing w:after="0"/>
              <w:rPr>
                <w:sz w:val="20"/>
                <w:szCs w:val="20"/>
                <w:color w:val="auto"/>
              </w:rPr>
            </w:pPr>
            <w:r>
              <w:rPr>
                <w:rFonts w:ascii="Arial" w:cs="Arial" w:eastAsia="Arial" w:hAnsi="Arial"/>
                <w:sz w:val="16"/>
                <w:szCs w:val="16"/>
                <w:color w:val="auto"/>
              </w:rPr>
              <w:t>37,817,724</w:t>
            </w:r>
          </w:p>
        </w:tc>
        <w:tc>
          <w:tcPr>
            <w:tcW w:w="240" w:type="dxa"/>
            <w:vAlign w:val="bottom"/>
          </w:tcPr>
          <w:p>
            <w:pPr>
              <w:spacing w:after="0"/>
              <w:rPr>
                <w:sz w:val="17"/>
                <w:szCs w:val="17"/>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423,696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59"/>
              <w:spacing w:after="0"/>
              <w:rPr>
                <w:sz w:val="20"/>
                <w:szCs w:val="20"/>
                <w:color w:val="auto"/>
              </w:rPr>
            </w:pPr>
            <w:r>
              <w:rPr>
                <w:rFonts w:ascii="Arial" w:cs="Arial" w:eastAsia="Arial" w:hAnsi="Arial"/>
                <w:sz w:val="16"/>
                <w:szCs w:val="16"/>
                <w:color w:val="auto"/>
              </w:rPr>
              <w:t>(1,925 )</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(141,210 )</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280,565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380" w:type="dxa"/>
            <w:vAlign w:val="bottom"/>
          </w:tcPr>
          <w:p>
            <w:pPr>
              <w:ind w:left="200"/>
              <w:spacing w:after="0" w:line="161" w:lineRule="exact"/>
              <w:rPr>
                <w:sz w:val="20"/>
                <w:szCs w:val="20"/>
                <w:color w:val="auto"/>
              </w:rPr>
            </w:pPr>
            <w:r>
              <w:rPr>
                <w:rFonts w:ascii="Arial" w:cs="Arial" w:eastAsia="Arial" w:hAnsi="Arial"/>
                <w:sz w:val="16"/>
                <w:szCs w:val="16"/>
                <w:color w:val="auto"/>
              </w:rPr>
              <w:t>Unrealized loss on available-for-sale</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(547 )</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(547 )</w:t>
            </w:r>
          </w:p>
        </w:tc>
        <w:tc>
          <w:tcPr>
            <w:tcW w:w="0" w:type="dxa"/>
            <w:vAlign w:val="bottom"/>
          </w:tcPr>
          <w:p>
            <w:pPr>
              <w:spacing w:after="0"/>
              <w:rPr>
                <w:sz w:val="1"/>
                <w:szCs w:val="1"/>
                <w:color w:val="auto"/>
              </w:rPr>
            </w:pPr>
          </w:p>
        </w:tc>
      </w:tr>
      <w:tr>
        <w:trPr>
          <w:trHeight w:val="203"/>
        </w:trPr>
        <w:tc>
          <w:tcPr>
            <w:tcW w:w="3380" w:type="dxa"/>
            <w:vAlign w:val="bottom"/>
          </w:tcPr>
          <w:p>
            <w:pPr>
              <w:ind w:left="200"/>
              <w:spacing w:after="0"/>
              <w:rPr>
                <w:sz w:val="20"/>
                <w:szCs w:val="20"/>
                <w:color w:val="auto"/>
              </w:rPr>
            </w:pPr>
            <w:r>
              <w:rPr>
                <w:rFonts w:ascii="Arial" w:cs="Arial" w:eastAsia="Arial" w:hAnsi="Arial"/>
                <w:sz w:val="16"/>
                <w:szCs w:val="16"/>
                <w:color w:val="auto"/>
              </w:rPr>
              <w:t>securities</w:t>
            </w: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(20,189 )</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(20,189 )</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080" w:type="dxa"/>
            <w:vAlign w:val="bottom"/>
          </w:tcPr>
          <w:p>
            <w:pPr>
              <w:jc w:val="right"/>
              <w:spacing w:after="0"/>
              <w:rPr>
                <w:sz w:val="20"/>
                <w:szCs w:val="20"/>
                <w:color w:val="auto"/>
              </w:rPr>
            </w:pPr>
            <w:r>
              <w:rPr>
                <w:rFonts w:ascii="Arial" w:cs="Arial" w:eastAsia="Arial" w:hAnsi="Arial"/>
                <w:sz w:val="16"/>
                <w:szCs w:val="16"/>
                <w:color w:val="auto"/>
              </w:rPr>
              <w:t>37,817,724</w:t>
            </w:r>
          </w:p>
        </w:tc>
        <w:tc>
          <w:tcPr>
            <w:tcW w:w="240" w:type="dxa"/>
            <w:vAlign w:val="bottom"/>
          </w:tcPr>
          <w:p>
            <w:pPr>
              <w:spacing w:after="0"/>
              <w:rPr>
                <w:sz w:val="17"/>
                <w:szCs w:val="17"/>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426,116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59"/>
              <w:spacing w:after="0"/>
              <w:rPr>
                <w:sz w:val="20"/>
                <w:szCs w:val="20"/>
                <w:color w:val="auto"/>
              </w:rPr>
            </w:pPr>
            <w:r>
              <w:rPr>
                <w:rFonts w:ascii="Arial" w:cs="Arial" w:eastAsia="Arial" w:hAnsi="Arial"/>
                <w:sz w:val="16"/>
                <w:szCs w:val="16"/>
                <w:color w:val="auto"/>
              </w:rPr>
              <w:t>(2,472 )</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(161,399 )</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262,249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-2142490</wp:posOffset>
            </wp:positionV>
            <wp:extent cx="7683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-2142490</wp:posOffset>
            </wp:positionV>
            <wp:extent cx="7747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-2142490</wp:posOffset>
            </wp:positionV>
            <wp:extent cx="685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-2142490</wp:posOffset>
            </wp:positionV>
            <wp:extent cx="6858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-2142490</wp:posOffset>
            </wp:positionV>
            <wp:extent cx="6858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-813435</wp:posOffset>
            </wp:positionV>
            <wp:extent cx="76835"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-813435</wp:posOffset>
            </wp:positionV>
            <wp:extent cx="7747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-813435</wp:posOffset>
            </wp:positionV>
            <wp:extent cx="6858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-813435</wp:posOffset>
            </wp:positionV>
            <wp:extent cx="6858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-813435</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-162560</wp:posOffset>
            </wp:positionV>
            <wp:extent cx="7683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-162560</wp:posOffset>
            </wp:positionV>
            <wp:extent cx="7747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-162560</wp:posOffset>
            </wp:positionV>
            <wp:extent cx="6858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-162560</wp:posOffset>
            </wp:positionV>
            <wp:extent cx="6858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6858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ind w:left="4800"/>
        <w:spacing w:after="0"/>
        <w:rPr>
          <w:sz w:val="20"/>
          <w:szCs w:val="20"/>
          <w:color w:val="auto"/>
        </w:rPr>
      </w:pPr>
      <w:r>
        <w:rPr>
          <w:rFonts w:ascii="Arial" w:cs="Arial" w:eastAsia="Arial" w:hAnsi="Arial"/>
          <w:sz w:val="18"/>
          <w:szCs w:val="18"/>
          <w:b w:val="1"/>
          <w:bCs w:val="1"/>
          <w:color w:val="auto"/>
        </w:rPr>
        <w:t>Athira Pharma, Inc.</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(65,504 )</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(38,514 )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8,246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606</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7720" w:type="dxa"/>
            <w:vAlign w:val="bottom"/>
          </w:tcPr>
          <w:p>
            <w:pPr>
              <w:ind w:left="520"/>
              <w:spacing w:after="0"/>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18"/>
                <w:szCs w:val="18"/>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520"/>
              <w:spacing w:after="0" w:line="170" w:lineRule="exact"/>
              <w:rPr>
                <w:sz w:val="20"/>
                <w:szCs w:val="20"/>
                <w:color w:val="auto"/>
              </w:rPr>
            </w:pPr>
            <w:r>
              <w:rPr>
                <w:rFonts w:ascii="Arial" w:cs="Arial" w:eastAsia="Arial" w:hAnsi="Arial"/>
                <w:sz w:val="18"/>
                <w:szCs w:val="18"/>
                <w:color w:val="auto"/>
              </w:rPr>
              <w:t>Amortization of premiums and accretion of discounts on</w:t>
            </w:r>
          </w:p>
        </w:tc>
        <w:tc>
          <w:tcPr>
            <w:tcW w:w="32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5"/>
        </w:trPr>
        <w:tc>
          <w:tcPr>
            <w:tcW w:w="77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available-for-sale securities, net</w:t>
            </w:r>
          </w:p>
        </w:tc>
        <w:tc>
          <w:tcPr>
            <w:tcW w:w="320" w:type="dxa"/>
            <w:vAlign w:val="bottom"/>
            <w:shd w:val="clear" w:color="auto" w:fill="CFF0FC"/>
          </w:tcPr>
          <w:p>
            <w:pPr>
              <w:spacing w:after="0"/>
              <w:rPr>
                <w:sz w:val="20"/>
                <w:szCs w:val="20"/>
                <w:color w:val="auto"/>
              </w:rPr>
            </w:pPr>
          </w:p>
        </w:tc>
        <w:tc>
          <w:tcPr>
            <w:tcW w:w="13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Unbilled grant receivable</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(779 )</w:t>
            </w:r>
          </w:p>
        </w:tc>
        <w:tc>
          <w:tcPr>
            <w:tcW w:w="0" w:type="dxa"/>
            <w:vAlign w:val="bottom"/>
          </w:tcPr>
          <w:p>
            <w:pPr>
              <w:spacing w:after="0"/>
              <w:rPr>
                <w:sz w:val="1"/>
                <w:szCs w:val="1"/>
                <w:color w:val="auto"/>
              </w:rPr>
            </w:pPr>
          </w:p>
        </w:tc>
      </w:tr>
      <w:tr>
        <w:trPr>
          <w:trHeight w:val="216"/>
        </w:trPr>
        <w:tc>
          <w:tcPr>
            <w:tcW w:w="7720" w:type="dxa"/>
            <w:vAlign w:val="bottom"/>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(1,605 )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944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7720" w:type="dxa"/>
            <w:vAlign w:val="bottom"/>
          </w:tcPr>
          <w:p>
            <w:pPr>
              <w:ind w:left="78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(56,802 )</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(24,921 )</w:t>
            </w: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available-for-sale securities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(85,117 )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(269,378 )</w:t>
            </w:r>
          </w:p>
        </w:tc>
        <w:tc>
          <w:tcPr>
            <w:tcW w:w="0" w:type="dxa"/>
            <w:vAlign w:val="bottom"/>
          </w:tcPr>
          <w:p>
            <w:pPr>
              <w:spacing w:after="0"/>
              <w:rPr>
                <w:sz w:val="1"/>
                <w:szCs w:val="1"/>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Maturities of available-for-sale securities</w:t>
            </w:r>
          </w:p>
        </w:tc>
        <w:tc>
          <w:tcPr>
            <w:tcW w:w="320" w:type="dxa"/>
            <w:vAlign w:val="bottom"/>
          </w:tcPr>
          <w:p>
            <w:pPr>
              <w:spacing w:after="0"/>
              <w:rPr>
                <w:sz w:val="18"/>
                <w:szCs w:val="18"/>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119,274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226,420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sales of available-for-sale securities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18,052</w:t>
            </w:r>
          </w:p>
        </w:tc>
        <w:tc>
          <w:tcPr>
            <w:tcW w:w="0" w:type="dxa"/>
            <w:vAlign w:val="bottom"/>
          </w:tcPr>
          <w:p>
            <w:pPr>
              <w:spacing w:after="0"/>
              <w:rPr>
                <w:sz w:val="1"/>
                <w:szCs w:val="1"/>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(546 )</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33,017</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(25,452 )</w:t>
            </w: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exercise of common stock options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Proceeds from public offering, net of issuance costs</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96,762</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507</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97,076</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(23,278 )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46,703</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110,537</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60,625</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87,259</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107,328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Right-of-use asset obtained in exchange for new operating 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-2159635</wp:posOffset>
            </wp:positionV>
            <wp:extent cx="11176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-1319530</wp:posOffset>
            </wp:positionV>
            <wp:extent cx="11176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-753745</wp:posOffset>
            </wp:positionV>
            <wp:extent cx="11176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1460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11176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17145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4" w:lineRule="exact"/>
        <w:rPr>
          <w:sz w:val="20"/>
          <w:szCs w:val="20"/>
          <w:color w:val="auto"/>
        </w:rPr>
      </w:pPr>
    </w:p>
    <w:p>
      <w:pPr>
        <w:ind w:left="520" w:right="8980" w:hanging="512"/>
        <w:spacing w:after="0" w:line="563" w:lineRule="auto"/>
        <w:tabs>
          <w:tab w:leader="none" w:pos="211"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w:t>
      </w:r>
      <w:r>
        <w:rPr>
          <w:rFonts w:ascii="Arial" w:cs="Arial" w:eastAsia="Arial" w:hAnsi="Arial"/>
          <w:sz w:val="17"/>
          <w:szCs w:val="17"/>
          <w:b w:val="1"/>
          <w:bCs w:val="1"/>
          <w:i w:val="1"/>
          <w:iCs w:val="1"/>
          <w:color w:val="auto"/>
        </w:rPr>
        <w:t>Organization</w:t>
      </w:r>
    </w:p>
    <w:p>
      <w:pPr>
        <w:spacing w:after="0" w:line="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stop neurodegeneration.</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September 30, 2022, it has raised aggregate net cash proceeds of $407.4 million primarily from the issuance of its common stock, convertible preferred stock, common stock warrants, and convertible notes. As of September 30, 2022, the Company had $260.0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22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Based upon the Company’s current operating plan, it estimates that its $260.0 million of cash, cash equivalents and investments at September 30, 2022 will be sufficient to fund its operating expenses and capital expenditure requirements through at least the 12 months following the date of this report.</w:t>
      </w:r>
    </w:p>
    <w:p>
      <w:pPr>
        <w:spacing w:after="0" w:line="229" w:lineRule="exact"/>
        <w:rPr>
          <w:sz w:val="20"/>
          <w:szCs w:val="20"/>
          <w:color w:val="auto"/>
        </w:rPr>
      </w:pPr>
    </w:p>
    <w:p>
      <w:pPr>
        <w:ind w:left="520" w:right="8340" w:hanging="512"/>
        <w:spacing w:after="0" w:line="563" w:lineRule="auto"/>
        <w:tabs>
          <w:tab w:leader="none" w:pos="211"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unaudited condensed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unaudited condensed consolidated financial statements. Certain prior period amounts have been reclassified to conform to current period presentation.</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5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accompanying unaudited condensed consolidated balance sheet as of September 30, 2022, and condensed consolidated statements of operations and comprehensive loss, cash flows, and stockholders’ equity for the three and nine months ended September 30, 2022 and 2021, are unaudited. The balance sheet as of December 31, 2021 was derived from the audited consolidated financial statements as of and for the year ended December 31, 2021. The unaudited interim condensed consolidated financial statements have been prepared on a basis consistent with the audited annual financial statements as of and for the year ended December 31, 2021, and, in the opinion of management, reflect all adjustments, consisting solely of normal recurring adjustments, necessary for the fair presentation of the Company’s financial position as of September 30, 2022, and the condensed consolidated results of its operations and its cash flows for the three and nine months ended September 30, 2022 and 2021. The financial data and other information disclosed in these notes related to the three and nine months ended September 30, 2022 and 2021 are also unaudited. The condensed consolidated results of operations for the three and nine months ended September 30, 2022 are not necessarily indicative of the results to be expected for the full year ending December 31, 2022 or any other period. These interim condensed consolidated financial statements should be read in conjunction with the Company’s audited consolidated financial statements as of and for the year ended December 31, 2021 included in its Annual Report on Form 10-K filed with the SEC on March 28, 2022.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carrying amounts of certain financial instruments, including cash, cash equivalents, restricted cash, investments, accounts payable and accrued expenses approximate their fair values due to the short-term nature of those amounts.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Restricted cash consists of collateral pledged in connection with the Company's corporate credit cards. The table below reconciles the balances of cash and cash equivalents and restricted cash reported on the condensed consolidated balance sheets to the balances of cash, cash equivalents and restricted cash reported on the condensed consolidated statements of cash flows.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r>
      <w:tr>
        <w:trPr>
          <w:trHeight w:val="169"/>
        </w:trPr>
        <w:tc>
          <w:tcPr>
            <w:tcW w:w="6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8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w:t>
      </w:r>
    </w:p>
    <w:p>
      <w:pPr>
        <w:spacing w:after="0" w:line="23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 December 2020, the Company accepted a grant from the National Institute on Aging (“NIA”) of the National Institutes of Health (“NIH”) to support its ACT-AD Phase 2 clinical trial for fosgonimeton (then-named ATH-1017), the Company’s lead therapeutic candidate</w:t>
      </w:r>
    </w:p>
    <w:p>
      <w:pPr>
        <w:spacing w:after="0" w:line="226" w:lineRule="auto"/>
        <w:rPr>
          <w:sz w:val="20"/>
          <w:szCs w:val="20"/>
          <w:color w:val="auto"/>
        </w:rPr>
      </w:pPr>
      <w:r>
        <w:rPr>
          <w:rFonts w:ascii="Arial" w:cs="Arial" w:eastAsia="Arial" w:hAnsi="Arial"/>
          <w:sz w:val="18"/>
          <w:szCs w:val="18"/>
          <w:color w:val="auto"/>
        </w:rPr>
        <w:t>being developed for the treatment of individuals with mild-to-moderate Alzheimer’s disease. Under the terms of the agreements and approvals received from the NIH, the Company may receive up to an aggregate of $15.2 million. The Company recognizes income related to</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NIH grants in the accompanying condensed consolidated statements of operations and comprehensive loss as qualifying expenses under the grant agreements are incurred.</w:t>
      </w:r>
    </w:p>
    <w:p>
      <w:pPr>
        <w:spacing w:after="0" w:line="199"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During the three months ended September 30, 2022, the Company recognized $3.0 million of grant income. Grant income for the three months ended September 30, 2022 included recognizing $1.3 million of income for qualifying expenses incurred between January and May</w:t>
      </w:r>
    </w:p>
    <w:p>
      <w:pPr>
        <w:jc w:val="both"/>
        <w:spacing w:after="0" w:line="226" w:lineRule="auto"/>
        <w:rPr>
          <w:sz w:val="20"/>
          <w:szCs w:val="20"/>
          <w:color w:val="auto"/>
        </w:rPr>
      </w:pPr>
      <w:r>
        <w:rPr>
          <w:rFonts w:ascii="Arial" w:cs="Arial" w:eastAsia="Arial" w:hAnsi="Arial"/>
          <w:sz w:val="18"/>
          <w:szCs w:val="18"/>
          <w:color w:val="auto"/>
        </w:rPr>
        <w:t>2022, upon the Company receiving approval from the NIH to carry over previously unused budgets. During the three months ended September 30, 2021, the Company recognized grant income of $2.1 million. During the nine months ended September 30, 2022 and 2021,</w:t>
      </w:r>
    </w:p>
    <w:p>
      <w:pPr>
        <w:spacing w:after="0" w:line="236" w:lineRule="auto"/>
        <w:rPr>
          <w:sz w:val="20"/>
          <w:szCs w:val="20"/>
          <w:color w:val="auto"/>
        </w:rPr>
      </w:pPr>
      <w:r>
        <w:rPr>
          <w:rFonts w:ascii="Arial" w:cs="Arial" w:eastAsia="Arial" w:hAnsi="Arial"/>
          <w:sz w:val="18"/>
          <w:szCs w:val="18"/>
          <w:color w:val="auto"/>
        </w:rPr>
        <w:t>the Company recognized grant income of $3.9 million and $6.5 million, respectively, in connection with the NIH grants. As of September 30,</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2022 and December 31, 2021, the Company incurred qualifying expenses in excess of cash received of $1.7 million and $2.3 million, respectively, which is included in unbilled grant receivable on the condensed consolidated balance sheets. The Company received cash of</w:t>
      </w:r>
    </w:p>
    <w:p>
      <w:pPr>
        <w:spacing w:after="0" w:line="236" w:lineRule="auto"/>
        <w:rPr>
          <w:sz w:val="20"/>
          <w:szCs w:val="20"/>
          <w:color w:val="auto"/>
        </w:rPr>
      </w:pPr>
      <w:r>
        <w:rPr>
          <w:rFonts w:ascii="Arial" w:cs="Arial" w:eastAsia="Arial" w:hAnsi="Arial"/>
          <w:sz w:val="18"/>
          <w:szCs w:val="18"/>
          <w:color w:val="auto"/>
        </w:rPr>
        <w:t>$4.6 million related to the NIH grants during the nine months ended September 30, 2022. The Company received cash of $5.5 million related</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to the NIH grants during the nine months ended September 30, 2021. As of September 30, 2022, we recognized aggregate grant income of $13.8 million of the total $15.2 million approved in connection with the NIH grants.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23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w:t>
      </w:r>
    </w:p>
    <w:p>
      <w:pPr>
        <w:spacing w:after="0" w:line="237" w:lineRule="auto"/>
        <w:rPr>
          <w:sz w:val="20"/>
          <w:szCs w:val="20"/>
          <w:color w:val="auto"/>
        </w:rPr>
      </w:pPr>
      <w:r>
        <w:rPr>
          <w:rFonts w:ascii="Arial" w:cs="Arial" w:eastAsia="Arial" w:hAnsi="Arial"/>
          <w:sz w:val="18"/>
          <w:szCs w:val="18"/>
          <w:color w:val="auto"/>
        </w:rPr>
        <w:t>sheets, classified as available-for-sale, and reported at fair value with unrealized gains and losses included in accumulated other comprehensive income or loss. Realized gains and losses on the sale of these securities are recognized in net loss.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temporary. This evaluation consists of several qualitative and quantitative factors regarding the severity and duration of the unrealized loss as well as the Company’s ability and intent to hold the investment until a forecasted recovery occurs. Additionally, the Company assesses</w:t>
      </w:r>
    </w:p>
    <w:p>
      <w:pPr>
        <w:spacing w:after="0" w:line="236" w:lineRule="auto"/>
        <w:rPr>
          <w:sz w:val="20"/>
          <w:szCs w:val="20"/>
          <w:color w:val="auto"/>
        </w:rPr>
      </w:pPr>
      <w:r>
        <w:rPr>
          <w:rFonts w:ascii="Arial" w:cs="Arial" w:eastAsia="Arial" w:hAnsi="Arial"/>
          <w:sz w:val="18"/>
          <w:szCs w:val="18"/>
          <w:color w:val="auto"/>
        </w:rPr>
        <w:t>whether it has plans to sell the security or it is more likely than not it will be required to sell any investment before recovery of its amortized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value of the investments, duration and severity of the decline in value, and our strategy and intentions for holding the investment.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w:t>
      </w:r>
    </w:p>
    <w:p>
      <w:pPr>
        <w:jc w:val="both"/>
        <w:spacing w:after="0" w:line="226" w:lineRule="auto"/>
        <w:rPr>
          <w:sz w:val="20"/>
          <w:szCs w:val="20"/>
          <w:color w:val="auto"/>
        </w:rPr>
      </w:pPr>
      <w:r>
        <w:rPr>
          <w:rFonts w:ascii="Arial" w:cs="Arial" w:eastAsia="Arial" w:hAnsi="Arial"/>
          <w:sz w:val="18"/>
          <w:szCs w:val="18"/>
          <w:color w:val="auto"/>
        </w:rPr>
        <w:t>statements and the reported amounts of expenses during the reporting period. Estimates include those used for fair value of assets and liabilities, accrued liabilities, valuation allowance for deferred tax assets, and stock-based compensation. Management evaluates related</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assumptions on an ongoing basis using historical experience and other factors and adjusts those estimates and assumptions when facts and circumstances dictate. Actual results could differ from those estimates.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manufacturing, clinical trial costs, consulting fees, and other expenses incurred to sustain the Company’s research and development program. Indirect costs include personnel-related expenses, consisting of employee salaries, related benefits, and stock-based</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compensation expense for employees engaged in research and development activities, and facilities and other expenses consisting of direct and allocated expenses for rent and depreciation and lab consumables.</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development that have not yet received regulatory approval and that are not expected to have an alternative future use are expensed when incurred. Non-refundable advance payments for goods and services that will be used over time for research and development are</w:t>
      </w:r>
    </w:p>
    <w:p>
      <w:pPr>
        <w:spacing w:after="0" w:line="236" w:lineRule="auto"/>
        <w:rPr>
          <w:sz w:val="20"/>
          <w:szCs w:val="20"/>
          <w:color w:val="auto"/>
        </w:rPr>
      </w:pPr>
      <w:r>
        <w:rPr>
          <w:rFonts w:ascii="Arial" w:cs="Arial" w:eastAsia="Arial" w:hAnsi="Arial"/>
          <w:sz w:val="18"/>
          <w:szCs w:val="18"/>
          <w:color w:val="auto"/>
        </w:rPr>
        <w:t>capitalized and recognized as goods are delivered or as the related services are performed. The Company estimates the period over which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services will be performed and the level of effort to be expended in each period. If actual timing of performance or the level of effort varies from the estimate, the Company adjusts the amounts recorded accordingly. The Company has not experienced any material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accrued or prepaid costs and actual costs since inception.</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5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xml:space="preserve">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17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13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2" w:name="page13"/>
    <w:bookmarkEnd w:id="12"/>
    <w:p>
      <w:pPr>
        <w:jc w:val="both"/>
        <w:ind w:firstLine="509"/>
        <w:spacing w:after="0" w:line="261" w:lineRule="auto"/>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spacing w:after="0" w:line="17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Segments</w:t>
      </w:r>
    </w:p>
    <w:p>
      <w:pPr>
        <w:spacing w:after="0" w:line="25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5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Credit Losses (Topic 326) </w:t>
      </w:r>
      <w:r>
        <w:rPr>
          <w:rFonts w:ascii="Arial" w:cs="Arial" w:eastAsia="Arial" w:hAnsi="Arial"/>
          <w:sz w:val="18"/>
          <w:szCs w:val="18"/>
          <w:color w:val="auto"/>
        </w:rPr>
        <w:t>as clarified in ASU 2019-04, ASU 2019-05, and ASU 2020-02. The objective of the standard is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does not currently expect a material impact from the adoption of ASU 2016-13 on its financial condition, results of operations, cash flows or financial statement disclosures.</w:t>
      </w:r>
    </w:p>
    <w:p>
      <w:pPr>
        <w:spacing w:after="0" w:line="2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Although there were several other new accounting pronouncements issued or proposed by the FASB, the Company does not believe any of these have had or will have material impact on its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3. Fair Value</w:t>
      </w:r>
    </w:p>
    <w:p>
      <w:pPr>
        <w:spacing w:after="0" w:line="2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5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4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20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reflect the Company’s financial asset balances measured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1"/>
                <w:szCs w:val="11"/>
                <w:color w:val="auto"/>
              </w:rPr>
            </w:pPr>
          </w:p>
        </w:tc>
        <w:tc>
          <w:tcPr>
            <w:tcW w:w="920" w:type="dxa"/>
            <w:vAlign w:val="bottom"/>
            <w:gridSpan w:val="2"/>
          </w:tcPr>
          <w:p>
            <w:pPr>
              <w:jc w:val="right"/>
              <w:ind w:right="12"/>
              <w:spacing w:after="0" w:line="13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80" w:type="dxa"/>
            <w:vAlign w:val="bottom"/>
            <w:gridSpan w:val="2"/>
          </w:tcPr>
          <w:p>
            <w:pPr>
              <w:jc w:val="right"/>
              <w:ind w:right="261"/>
              <w:spacing w:after="0" w:line="13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78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08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6"/>
                <w:szCs w:val="16"/>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Money market fund</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77,186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(14 )</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160" w:type="dxa"/>
            <w:vAlign w:val="bottom"/>
            <w:gridSpan w:val="2"/>
          </w:tcPr>
          <w:p>
            <w:pPr>
              <w:ind w:left="280"/>
              <w:spacing w:after="0" w:line="170" w:lineRule="exact"/>
              <w:rPr>
                <w:sz w:val="20"/>
                <w:szCs w:val="20"/>
                <w:color w:val="auto"/>
              </w:rPr>
            </w:pPr>
            <w:r>
              <w:rPr>
                <w:rFonts w:ascii="Arial" w:cs="Arial" w:eastAsia="Arial" w:hAnsi="Arial"/>
                <w:sz w:val="18"/>
                <w:szCs w:val="18"/>
                <w:color w:val="auto"/>
              </w:rPr>
              <w:t>U.S. government debt, municipal</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160" w:type="dxa"/>
            <w:vAlign w:val="bottom"/>
            <w:gridSpan w:val="2"/>
          </w:tcPr>
          <w:p>
            <w:pPr>
              <w:ind w:left="420"/>
              <w:spacing w:after="0"/>
              <w:rPr>
                <w:sz w:val="20"/>
                <w:szCs w:val="20"/>
                <w:color w:val="auto"/>
              </w:rPr>
            </w:pPr>
            <w:r>
              <w:rPr>
                <w:rFonts w:ascii="Arial" w:cs="Arial" w:eastAsia="Arial" w:hAnsi="Arial"/>
                <w:sz w:val="18"/>
                <w:szCs w:val="18"/>
                <w:color w:val="auto"/>
              </w:rPr>
              <w:t>bonds, and agency securities</w:t>
            </w: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Total cash equivalents</w:t>
            </w: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77,293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Short-term investments: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(196 )</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160" w:type="dxa"/>
            <w:vAlign w:val="bottom"/>
            <w:gridSpan w:val="2"/>
          </w:tcPr>
          <w:p>
            <w:pPr>
              <w:ind w:left="280"/>
              <w:spacing w:after="0" w:line="170" w:lineRule="exact"/>
              <w:rPr>
                <w:sz w:val="20"/>
                <w:szCs w:val="20"/>
                <w:color w:val="auto"/>
              </w:rPr>
            </w:pPr>
            <w:r>
              <w:rPr>
                <w:rFonts w:ascii="Arial" w:cs="Arial" w:eastAsia="Arial" w:hAnsi="Arial"/>
                <w:sz w:val="18"/>
                <w:szCs w:val="18"/>
                <w:color w:val="auto"/>
              </w:rPr>
              <w:t>U.S. government debt, municipal</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94,562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(1,350 )</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93,212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160" w:type="dxa"/>
            <w:vAlign w:val="bottom"/>
            <w:gridSpan w:val="2"/>
          </w:tcPr>
          <w:p>
            <w:pPr>
              <w:ind w:left="420"/>
              <w:spacing w:after="0"/>
              <w:rPr>
                <w:sz w:val="20"/>
                <w:szCs w:val="20"/>
                <w:color w:val="auto"/>
              </w:rPr>
            </w:pPr>
            <w:r>
              <w:rPr>
                <w:rFonts w:ascii="Arial" w:cs="Arial" w:eastAsia="Arial" w:hAnsi="Arial"/>
                <w:sz w:val="18"/>
                <w:szCs w:val="18"/>
                <w:color w:val="auto"/>
              </w:rPr>
              <w:t>bonds, and agency securities</w:t>
            </w: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(89 )</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Total short-term investments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135,548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(1,635 )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investments:</w:t>
            </w: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160" w:type="dxa"/>
            <w:vAlign w:val="bottom"/>
            <w:gridSpan w:val="2"/>
          </w:tcPr>
          <w:p>
            <w:pPr>
              <w:ind w:left="280"/>
              <w:spacing w:after="0" w:line="163" w:lineRule="exact"/>
              <w:rPr>
                <w:sz w:val="20"/>
                <w:szCs w:val="20"/>
                <w:color w:val="auto"/>
              </w:rPr>
            </w:pPr>
            <w:r>
              <w:rPr>
                <w:rFonts w:ascii="Arial" w:cs="Arial" w:eastAsia="Arial" w:hAnsi="Arial"/>
                <w:sz w:val="18"/>
                <w:szCs w:val="18"/>
                <w:color w:val="auto"/>
              </w:rPr>
              <w:t>U.S. government debt and agency</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39,894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(823 )</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39,071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160" w:type="dxa"/>
            <w:vAlign w:val="bottom"/>
            <w:gridSpan w:val="2"/>
          </w:tcPr>
          <w:p>
            <w:pPr>
              <w:ind w:left="420"/>
              <w:spacing w:after="0"/>
              <w:rPr>
                <w:sz w:val="20"/>
                <w:szCs w:val="20"/>
                <w:color w:val="auto"/>
              </w:rPr>
            </w:pPr>
            <w:r>
              <w:rPr>
                <w:rFonts w:ascii="Arial" w:cs="Arial" w:eastAsia="Arial" w:hAnsi="Arial"/>
                <w:sz w:val="18"/>
                <w:szCs w:val="18"/>
                <w:color w:val="auto"/>
              </w:rPr>
              <w:t>securities</w:t>
            </w: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long-term investments</w:t>
            </w: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5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-2588260</wp:posOffset>
            </wp:positionV>
            <wp:extent cx="7747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-1910715</wp:posOffset>
            </wp:positionV>
            <wp:extent cx="248602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86025"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-1208405</wp:posOffset>
            </wp:positionV>
            <wp:extent cx="7683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-1208405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-1208405</wp:posOffset>
            </wp:positionV>
            <wp:extent cx="685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-899795</wp:posOffset>
            </wp:positionV>
            <wp:extent cx="77470"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-496570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-479425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-496570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-479425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-496570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-479425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1"/>
                <w:szCs w:val="11"/>
                <w:color w:val="auto"/>
              </w:rPr>
            </w:pPr>
          </w:p>
        </w:tc>
        <w:tc>
          <w:tcPr>
            <w:tcW w:w="1020" w:type="dxa"/>
            <w:vAlign w:val="bottom"/>
            <w:gridSpan w:val="2"/>
          </w:tcPr>
          <w:p>
            <w:pPr>
              <w:jc w:val="right"/>
              <w:ind w:right="132"/>
              <w:spacing w:after="0" w:line="13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253"/>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93"/>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373"/>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gridSpan w:val="2"/>
          </w:tcPr>
          <w:p>
            <w:pPr>
              <w:ind w:left="280"/>
              <w:spacing w:after="0"/>
              <w:rPr>
                <w:sz w:val="20"/>
                <w:szCs w:val="20"/>
                <w:color w:val="auto"/>
              </w:rPr>
            </w:pPr>
            <w:r>
              <w:rPr>
                <w:rFonts w:ascii="Arial" w:cs="Arial" w:eastAsia="Arial" w:hAnsi="Arial"/>
                <w:sz w:val="18"/>
                <w:szCs w:val="18"/>
                <w:color w:val="auto"/>
              </w:rPr>
              <w:t>Money market fund</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96,120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96,115</w:t>
            </w:r>
          </w:p>
        </w:tc>
        <w:tc>
          <w:tcPr>
            <w:tcW w:w="0" w:type="dxa"/>
            <w:vAlign w:val="bottom"/>
          </w:tcPr>
          <w:p>
            <w:pPr>
              <w:spacing w:after="0"/>
              <w:rPr>
                <w:sz w:val="1"/>
                <w:szCs w:val="1"/>
                <w:color w:val="auto"/>
              </w:rPr>
            </w:pPr>
          </w:p>
        </w:tc>
      </w:tr>
      <w:tr>
        <w:trPr>
          <w:trHeight w:val="210"/>
        </w:trPr>
        <w:tc>
          <w:tcPr>
            <w:tcW w:w="5140" w:type="dxa"/>
            <w:vAlign w:val="bottom"/>
            <w:gridSpan w:val="2"/>
          </w:tcPr>
          <w:p>
            <w:pPr>
              <w:ind w:left="280"/>
              <w:spacing w:after="0"/>
              <w:rPr>
                <w:sz w:val="20"/>
                <w:szCs w:val="20"/>
                <w:color w:val="auto"/>
              </w:rPr>
            </w:pPr>
            <w:r>
              <w:rPr>
                <w:rFonts w:ascii="Arial" w:cs="Arial" w:eastAsia="Arial" w:hAnsi="Arial"/>
                <w:sz w:val="18"/>
                <w:szCs w:val="18"/>
                <w:color w:val="auto"/>
              </w:rPr>
              <w:t>Total cash equivalents</w:t>
            </w:r>
          </w:p>
        </w:tc>
        <w:tc>
          <w:tcPr>
            <w:tcW w:w="1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96,177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96,172</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gridSpan w:val="2"/>
          </w:tcPr>
          <w:p>
            <w:pPr>
              <w:ind w:left="280"/>
              <w:spacing w:after="0"/>
              <w:rPr>
                <w:sz w:val="20"/>
                <w:szCs w:val="20"/>
                <w:color w:val="auto"/>
              </w:rPr>
            </w:pPr>
            <w:r>
              <w:rPr>
                <w:rFonts w:ascii="Arial" w:cs="Arial" w:eastAsia="Arial" w:hAnsi="Arial"/>
                <w:sz w:val="18"/>
                <w:szCs w:val="18"/>
                <w:color w:val="auto"/>
              </w:rPr>
              <w:t>Commercial paper</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74,170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74,135</w:t>
            </w:r>
          </w:p>
        </w:tc>
        <w:tc>
          <w:tcPr>
            <w:tcW w:w="0" w:type="dxa"/>
            <w:vAlign w:val="bottom"/>
          </w:tcPr>
          <w:p>
            <w:pPr>
              <w:spacing w:after="0"/>
              <w:rPr>
                <w:sz w:val="1"/>
                <w:szCs w:val="1"/>
                <w:color w:val="auto"/>
              </w:rPr>
            </w:pPr>
          </w:p>
        </w:tc>
      </w:tr>
      <w:tr>
        <w:trPr>
          <w:trHeight w:val="170"/>
        </w:trPr>
        <w:tc>
          <w:tcPr>
            <w:tcW w:w="5140" w:type="dxa"/>
            <w:vAlign w:val="bottom"/>
            <w:gridSpan w:val="2"/>
            <w:shd w:val="clear" w:color="auto" w:fill="CFF0FC"/>
          </w:tcPr>
          <w:p>
            <w:pPr>
              <w:ind w:left="280"/>
              <w:spacing w:after="0" w:line="170" w:lineRule="exact"/>
              <w:rPr>
                <w:sz w:val="20"/>
                <w:szCs w:val="20"/>
                <w:color w:val="auto"/>
              </w:rPr>
            </w:pPr>
            <w:r>
              <w:rPr>
                <w:rFonts w:ascii="Arial" w:cs="Arial" w:eastAsia="Arial" w:hAnsi="Arial"/>
                <w:sz w:val="18"/>
                <w:szCs w:val="18"/>
                <w:color w:val="auto"/>
              </w:rPr>
              <w:t>U.S. government debt, municipal</w:t>
            </w: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62,149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62,092</w:t>
            </w:r>
          </w:p>
        </w:tc>
        <w:tc>
          <w:tcPr>
            <w:tcW w:w="0" w:type="dxa"/>
            <w:vAlign w:val="bottom"/>
          </w:tcPr>
          <w:p>
            <w:pPr>
              <w:spacing w:after="0"/>
              <w:rPr>
                <w:sz w:val="1"/>
                <w:szCs w:val="1"/>
                <w:color w:val="auto"/>
              </w:rPr>
            </w:pPr>
          </w:p>
        </w:tc>
      </w:tr>
      <w:tr>
        <w:trPr>
          <w:trHeight w:val="235"/>
        </w:trPr>
        <w:tc>
          <w:tcPr>
            <w:tcW w:w="51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bonds, and agency securities</w:t>
            </w:r>
          </w:p>
        </w:tc>
        <w:tc>
          <w:tcPr>
            <w:tcW w:w="11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Arial" w:cs="Arial" w:eastAsia="Arial" w:hAnsi="Arial"/>
                <w:sz w:val="18"/>
                <w:szCs w:val="18"/>
                <w:color w:val="auto"/>
              </w:rPr>
              <w:t>Corporate bonds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7,004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143,323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143,222</w:t>
            </w:r>
          </w:p>
        </w:tc>
        <w:tc>
          <w:tcPr>
            <w:tcW w:w="0" w:type="dxa"/>
            <w:vAlign w:val="bottom"/>
          </w:tcPr>
          <w:p>
            <w:pPr>
              <w:spacing w:after="0"/>
              <w:rPr>
                <w:sz w:val="1"/>
                <w:szCs w:val="1"/>
                <w:color w:val="auto"/>
              </w:rPr>
            </w:pPr>
          </w:p>
        </w:tc>
      </w:tr>
      <w:tr>
        <w:trPr>
          <w:trHeight w:val="197"/>
        </w:trPr>
        <w:tc>
          <w:tcPr>
            <w:tcW w:w="51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Long-term investments: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3,307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170"/>
        </w:trPr>
        <w:tc>
          <w:tcPr>
            <w:tcW w:w="5140" w:type="dxa"/>
            <w:vAlign w:val="bottom"/>
            <w:gridSpan w:val="2"/>
          </w:tcPr>
          <w:p>
            <w:pPr>
              <w:ind w:left="280"/>
              <w:spacing w:after="0" w:line="170" w:lineRule="exact"/>
              <w:rPr>
                <w:sz w:val="20"/>
                <w:szCs w:val="20"/>
                <w:color w:val="auto"/>
              </w:rPr>
            </w:pPr>
            <w:r>
              <w:rPr>
                <w:rFonts w:ascii="Arial" w:cs="Arial" w:eastAsia="Arial" w:hAnsi="Arial"/>
                <w:sz w:val="18"/>
                <w:szCs w:val="18"/>
                <w:color w:val="auto"/>
              </w:rPr>
              <w:t>U.S. government debt and agency</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32"/>
              <w:spacing w:after="0"/>
              <w:rPr>
                <w:sz w:val="20"/>
                <w:szCs w:val="20"/>
                <w:color w:val="auto"/>
              </w:rPr>
            </w:pPr>
            <w:r>
              <w:rPr>
                <w:rFonts w:ascii="Arial" w:cs="Arial" w:eastAsia="Arial" w:hAnsi="Arial"/>
                <w:sz w:val="18"/>
                <w:szCs w:val="18"/>
                <w:color w:val="auto"/>
              </w:rPr>
              <w:t>62,911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8"/>
                <w:szCs w:val="18"/>
                <w:color w:val="auto"/>
              </w:rPr>
              <w:t>62,649</w:t>
            </w:r>
          </w:p>
        </w:tc>
        <w:tc>
          <w:tcPr>
            <w:tcW w:w="0" w:type="dxa"/>
            <w:vAlign w:val="bottom"/>
          </w:tcPr>
          <w:p>
            <w:pPr>
              <w:spacing w:after="0"/>
              <w:rPr>
                <w:sz w:val="1"/>
                <w:szCs w:val="1"/>
                <w:color w:val="auto"/>
              </w:rPr>
            </w:pPr>
          </w:p>
        </w:tc>
      </w:tr>
      <w:tr>
        <w:trPr>
          <w:trHeight w:val="221"/>
        </w:trPr>
        <w:tc>
          <w:tcPr>
            <w:tcW w:w="5140" w:type="dxa"/>
            <w:vAlign w:val="bottom"/>
            <w:gridSpan w:val="2"/>
          </w:tcPr>
          <w:p>
            <w:pPr>
              <w:ind w:left="420"/>
              <w:spacing w:after="0"/>
              <w:rPr>
                <w:sz w:val="20"/>
                <w:szCs w:val="20"/>
                <w:color w:val="auto"/>
              </w:rPr>
            </w:pPr>
            <w:r>
              <w:rPr>
                <w:rFonts w:ascii="Arial" w:cs="Arial" w:eastAsia="Arial" w:hAnsi="Arial"/>
                <w:sz w:val="18"/>
                <w:szCs w:val="18"/>
                <w:color w:val="auto"/>
              </w:rPr>
              <w:t>securities</w:t>
            </w: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long-term investments</w:t>
            </w: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66,218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-2005330</wp:posOffset>
            </wp:positionV>
            <wp:extent cx="7683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-1722120</wp:posOffset>
            </wp:positionV>
            <wp:extent cx="7747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-1722120</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-1722120</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-1414145</wp:posOffset>
            </wp:positionV>
            <wp:extent cx="7683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-728345</wp:posOffset>
            </wp:positionV>
            <wp:extent cx="174879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48790" cy="17145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All the commercial paper, U.S. government debt, municipal bonds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3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line="170" w:lineRule="exact"/>
              <w:rPr>
                <w:sz w:val="20"/>
                <w:szCs w:val="20"/>
                <w:color w:val="auto"/>
              </w:rPr>
            </w:pPr>
            <w:r>
              <w:rPr>
                <w:rFonts w:ascii="Arial" w:cs="Arial" w:eastAsia="Arial" w:hAnsi="Arial"/>
                <w:sz w:val="18"/>
                <w:szCs w:val="18"/>
                <w:color w:val="auto"/>
              </w:rPr>
              <w:t>Office furniture, fixtures, and</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40" w:type="dxa"/>
            <w:vAlign w:val="bottom"/>
          </w:tcPr>
          <w:p>
            <w:pPr>
              <w:ind w:left="16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at cost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(1,129 )</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(523 )</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4,291</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Depreciation expense was $231,000 and $606,000 for the three and nine months ended September 30, 2022,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$123,000 and $353,000 for the three and nine months ended September 30, 2021,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Accrued Liabilities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62"/>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6,274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5,723</w:t>
            </w: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tcPr>
          <w:p>
            <w:pPr>
              <w:jc w:val="center"/>
              <w:ind w:right="1670"/>
              <w:spacing w:after="0"/>
              <w:rPr>
                <w:sz w:val="20"/>
                <w:szCs w:val="20"/>
                <w:color w:val="auto"/>
              </w:rPr>
            </w:pPr>
            <w:r>
              <w:rPr>
                <w:rFonts w:ascii="Arial" w:cs="Arial" w:eastAsia="Arial" w:hAnsi="Arial"/>
                <w:sz w:val="18"/>
                <w:szCs w:val="18"/>
                <w:color w:val="auto"/>
                <w:w w:val="98"/>
              </w:rPr>
              <w:t>Total accrued liabilities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9,197</w:t>
            </w:r>
          </w:p>
        </w:tc>
        <w:tc>
          <w:tcPr>
            <w:tcW w:w="1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8,437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Other Income, Net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7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80" w:type="dxa"/>
            <w:vAlign w:val="bottom"/>
            <w:gridSpan w:val="3"/>
          </w:tcPr>
          <w:p>
            <w:pPr>
              <w:jc w:val="center"/>
              <w:spacing w:after="0"/>
              <w:rPr>
                <w:sz w:val="20"/>
                <w:szCs w:val="20"/>
                <w:color w:val="auto"/>
              </w:rPr>
            </w:pPr>
            <w:r>
              <w:rPr>
                <w:rFonts w:ascii="Arial" w:cs="Arial" w:eastAsia="Arial" w:hAnsi="Arial"/>
                <w:sz w:val="18"/>
                <w:szCs w:val="18"/>
                <w:color w:val="auto"/>
                <w:w w:val="99"/>
              </w:rPr>
              <w:t>Other income, net consisted of the following (in thousands):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4"/>
          </w:tcPr>
          <w:p>
            <w:pPr>
              <w:jc w:val="right"/>
              <w:ind w:right="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104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FF0FC"/>
          </w:tcPr>
          <w:p>
            <w:pPr>
              <w:spacing w:after="0"/>
              <w:rPr>
                <w:sz w:val="18"/>
                <w:szCs w:val="18"/>
                <w:color w:val="auto"/>
              </w:rPr>
            </w:pPr>
          </w:p>
        </w:tc>
        <w:tc>
          <w:tcPr>
            <w:tcW w:w="700" w:type="dxa"/>
            <w:vAlign w:val="bottom"/>
            <w:tcBorders>
              <w:top w:val="single" w:sz="8" w:color="auto"/>
            </w:tcBorders>
            <w:gridSpan w:val="2"/>
            <w:shd w:val="clear" w:color="auto" w:fill="CFF0FC"/>
          </w:tcPr>
          <w:p>
            <w:pPr>
              <w:jc w:val="right"/>
              <w:ind w:right="502"/>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gridSpan w:val="2"/>
            <w:shd w:val="clear" w:color="auto" w:fill="CFF0FC"/>
          </w:tcPr>
          <w:p>
            <w:pPr>
              <w:jc w:val="right"/>
              <w:ind w:right="502"/>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-1628140</wp:posOffset>
            </wp:positionV>
            <wp:extent cx="5143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-1628140</wp:posOffset>
            </wp:positionV>
            <wp:extent cx="431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2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 is party to an amended and restated exclusive license agreement with sublicensing terms between the Company and Washington State University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spacing w:after="0" w:line="2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annual maintenance fees. All contractual requirements have been met as of September 30, 2022.</w:t>
      </w:r>
    </w:p>
    <w:p>
      <w:pPr>
        <w:spacing w:after="0" w:line="18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During the year ended December 31, 2020, the Phase 2 clinical trial milestone had been reached and a payment of $50,000 to WSU was recorded.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90" w:lineRule="exact"/>
        <w:rPr>
          <w:sz w:val="20"/>
          <w:szCs w:val="20"/>
          <w:color w:val="auto"/>
        </w:rPr>
      </w:pPr>
    </w:p>
    <w:p>
      <w:pPr>
        <w:ind w:left="1020" w:hanging="503"/>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 and</w:t>
      </w:r>
    </w:p>
    <w:p>
      <w:pPr>
        <w:spacing w:after="0" w:line="4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$600,000 – Upon receipt of marketing approval in the United States, European Union or Japan for the first licensed product.</w:t>
      </w:r>
    </w:p>
    <w:p>
      <w:pPr>
        <w:spacing w:after="0" w:line="23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September 30, 2022, no sales of any licensed products had occurred and the Company had not incurred a royalty obligation under this agreement.</w:t>
      </w:r>
    </w:p>
    <w:p>
      <w:pPr>
        <w:spacing w:after="0" w:line="21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September 30, 2022, the Company has not entered into or incurred any liability from a sublicense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and as of September 30, 2022, the Company has not recorded any such liabilities. The following is a brief description of the more significant legal proceedings in which the Company is involved.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Class Actions</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the Company and the Company’s former Chief Executive Officer Dr. Leen Kawas, captioned </w:t>
      </w:r>
      <w:r>
        <w:rPr>
          <w:rFonts w:ascii="Arial" w:cs="Arial" w:eastAsia="Arial" w:hAnsi="Arial"/>
          <w:sz w:val="18"/>
          <w:szCs w:val="18"/>
          <w:i w:val="1"/>
          <w:iCs w:val="1"/>
          <w:color w:val="auto"/>
        </w:rPr>
        <w:t>Wang v.</w:t>
      </w:r>
      <w:r>
        <w:rPr>
          <w:rFonts w:ascii="Arial" w:cs="Arial" w:eastAsia="Arial" w:hAnsi="Arial"/>
          <w:sz w:val="18"/>
          <w:szCs w:val="18"/>
          <w:color w:val="auto"/>
        </w:rPr>
        <w:t xml:space="preserve"> </w:t>
      </w:r>
      <w:r>
        <w:rPr>
          <w:rFonts w:ascii="Arial" w:cs="Arial" w:eastAsia="Arial" w:hAnsi="Arial"/>
          <w:sz w:val="18"/>
          <w:szCs w:val="18"/>
          <w:i w:val="1"/>
          <w:iCs w:val="1"/>
          <w:color w:val="auto"/>
        </w:rPr>
        <w:t>Athira Pharma, Inc., et al.</w:t>
      </w:r>
      <w:r>
        <w:rPr>
          <w:rFonts w:ascii="Arial" w:cs="Arial" w:eastAsia="Arial" w:hAnsi="Arial"/>
          <w:sz w:val="18"/>
          <w:szCs w:val="18"/>
          <w:color w:val="auto"/>
        </w:rPr>
        <w:t>, No. 2:21-cv-00861. Plaintiffs Wang and Gao assert claims under Sections 10(b) and 20(a)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Act of 1934 ("Exchange Act") and SEC Rule 10b-5, alleging that the defendants made materially false and misleading statements and omitted material adverse facts regarding the Company’s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24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the Company, Dr. Kawas, the Company’s Chief Financial Officer, certain members of the Company’s board of directors at the time of the Company’s initial public offering (IPO), as well as the IPO underwriters, captioned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w:t>
      </w:r>
      <w:r>
        <w:rPr>
          <w:rFonts w:ascii="Arial" w:cs="Arial" w:eastAsia="Arial" w:hAnsi="Arial"/>
          <w:sz w:val="18"/>
          <w:szCs w:val="18"/>
          <w:i w:val="1"/>
          <w:iCs w:val="1"/>
          <w:color w:val="auto"/>
        </w:rPr>
        <w:t>v. Athira Pharma, Inc., et al.</w:t>
      </w:r>
      <w:r>
        <w:rPr>
          <w:rFonts w:ascii="Arial" w:cs="Arial" w:eastAsia="Arial" w:hAnsi="Arial"/>
          <w:sz w:val="18"/>
          <w:szCs w:val="18"/>
          <w:color w:val="auto"/>
        </w:rPr>
        <w:t>, No. 2:21-cv-00862. The</w:t>
      </w:r>
      <w:r>
        <w:rPr>
          <w:rFonts w:ascii="Arial" w:cs="Arial" w:eastAsia="Arial" w:hAnsi="Arial"/>
          <w:sz w:val="18"/>
          <w:szCs w:val="18"/>
          <w:i w:val="1"/>
          <w:iCs w:val="1"/>
          <w:color w:val="auto"/>
        </w:rPr>
        <w:t xml:space="preserve"> Jawandha </w:t>
      </w:r>
      <w:r>
        <w:rPr>
          <w:rFonts w:ascii="Arial" w:cs="Arial" w:eastAsia="Arial" w:hAnsi="Arial"/>
          <w:sz w:val="18"/>
          <w:szCs w:val="18"/>
          <w:color w:val="auto"/>
        </w:rPr>
        <w:t>complaint asserts violations of Sections 11 and 15 of the Securities Act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1933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plaintiff seeks unspecified compensatory damages, and reasonable costs and expenses, including attorneys’ fees.</w:t>
      </w:r>
    </w:p>
    <w:p>
      <w:pPr>
        <w:spacing w:after="0" w:line="24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the Company, Dr. Kawas, the Company’s Chief Financial Officer, and the same members of the Company’s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alleging that purported issues with Dr. Kawas’s doctoral research at WSU should have been disclosed in the Company’s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On August 9, 2021, the court issued an order consolidating the three cases. On October 5, 2021, the district court issued an order appointing lead plaintiffs and approved their selection of lead and liaison counsel.</w:t>
      </w:r>
    </w:p>
    <w:p>
      <w:pPr>
        <w:spacing w:after="0" w:line="1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Chief Financial Officer, certain members of the Company's board of directors at the time of the Company's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17" w:name="page18"/>
    <w:bookmarkEnd w:id="17"/>
    <w:p>
      <w:pPr>
        <w:jc w:val="both"/>
        <w:spacing w:after="0" w:line="261" w:lineRule="auto"/>
        <w:rPr>
          <w:sz w:val="20"/>
          <w:szCs w:val="20"/>
          <w:color w:val="auto"/>
        </w:rPr>
      </w:pPr>
      <w:r>
        <w:rPr>
          <w:rFonts w:ascii="Arial" w:cs="Arial" w:eastAsia="Arial" w:hAnsi="Arial"/>
          <w:sz w:val="18"/>
          <w:szCs w:val="18"/>
          <w:color w:val="auto"/>
        </w:rPr>
        <w:t>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2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August 12, 2022, defendant Dr. Kawas filed a motion for partial reconsideration of the court’s July 29, 2022 order. On October 4, 2022, the court denied the motion. On October 13, 2022, the court granted defendants an extension to file their answer(s) until November 4, 2022. On October 24, 2022, the parties filed a (i) joint status report and discovery plan and (ii) stipulation and case scheduling order, wherein the parties proposed deadlines for material case events, including the completion of fact discovery, expert discovery, and dispositive motion practice.</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Shareholder Derivative Actions</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On April 14, 2022, a shareholder derivative action was filed by plaintiff Stephen Bushansky in the U.S. District Court for the Western District of Washington against certain current and former members of the Company’s board of directors, captioned </w:t>
      </w:r>
      <w:r>
        <w:rPr>
          <w:rFonts w:ascii="Arial" w:cs="Arial" w:eastAsia="Arial" w:hAnsi="Arial"/>
          <w:sz w:val="18"/>
          <w:szCs w:val="18"/>
          <w:i w:val="1"/>
          <w:iCs w:val="1"/>
          <w:color w:val="auto"/>
        </w:rPr>
        <w:t>Bushansky v. Kawas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2:22-cv-497. Plaintiff purports to bring the action derivatively on behalf of the Company, which is a nominal defendant to the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22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 xml:space="preserve">On May 6, 2022, a second shareholder derivative action was filed by plaintiff Thomas Houlihan in the U.S. District Court for the Western District of Washington against certain current and former directors and officers of the Company, captioned </w:t>
      </w:r>
      <w:r>
        <w:rPr>
          <w:rFonts w:ascii="Arial" w:cs="Arial" w:eastAsia="Arial" w:hAnsi="Arial"/>
          <w:sz w:val="18"/>
          <w:szCs w:val="18"/>
          <w:i w:val="1"/>
          <w:iCs w:val="1"/>
          <w:color w:val="auto"/>
        </w:rPr>
        <w:t>Houlihan v. Kawas et al</w:t>
      </w:r>
      <w:r>
        <w:rPr>
          <w:rFonts w:ascii="Arial" w:cs="Arial" w:eastAsia="Arial" w:hAnsi="Arial"/>
          <w:sz w:val="18"/>
          <w:szCs w:val="18"/>
          <w:color w:val="auto"/>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May 26, 2022, the court issued an order consolidating the cases and staying them until further order of the court.</w:t>
      </w:r>
    </w:p>
    <w:p>
      <w:pPr>
        <w:spacing w:after="0" w:line="25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 cannot predict the outcome of these suits, and failure by the Company to obtain a favorable resolution of these suits could have a material adverse effect on its business, results of operations and financial condition. The Company’s chances of success on the merits are still uncertain and any possible loss or range of loss cannot be reasonably estimated and as such the Company has not recorded a liability as of September 30, 2022.</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34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As of September 30, 2022, the Company was not party to any finance leases.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7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Remaining 2022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8"/>
                <w:szCs w:val="18"/>
                <w:color w:val="auto"/>
              </w:rPr>
              <w:t>Total undiscounted lease payments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30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Present value adjustment for minimum lease</w:t>
            </w:r>
          </w:p>
        </w:tc>
        <w:tc>
          <w:tcPr>
            <w:tcW w:w="200" w:type="dxa"/>
            <w:vAlign w:val="bottom"/>
            <w:shd w:val="clear" w:color="auto" w:fill="CFF0FC"/>
          </w:tcPr>
          <w:p>
            <w:pPr>
              <w:spacing w:after="0"/>
              <w:rPr>
                <w:sz w:val="14"/>
                <w:szCs w:val="14"/>
                <w:color w:val="auto"/>
              </w:rPr>
            </w:pPr>
          </w:p>
        </w:tc>
        <w:tc>
          <w:tcPr>
            <w:tcW w:w="14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r>
        <w:trPr>
          <w:trHeight w:val="221"/>
        </w:trPr>
        <w:tc>
          <w:tcPr>
            <w:tcW w:w="7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commitments</w:t>
            </w:r>
          </w:p>
        </w:tc>
        <w:tc>
          <w:tcPr>
            <w:tcW w:w="200" w:type="dxa"/>
            <w:vAlign w:val="bottom"/>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tcBorders>
              <w:top w:val="single" w:sz="8" w:color="CFF0FC"/>
            </w:tcBorders>
          </w:tcPr>
          <w:p>
            <w:pPr>
              <w:ind w:left="260"/>
              <w:spacing w:after="0"/>
              <w:rPr>
                <w:sz w:val="20"/>
                <w:szCs w:val="20"/>
                <w:color w:val="auto"/>
              </w:rPr>
            </w:pPr>
            <w:r>
              <w:rPr>
                <w:rFonts w:ascii="Arial" w:cs="Arial" w:eastAsia="Arial" w:hAnsi="Arial"/>
                <w:sz w:val="18"/>
                <w:szCs w:val="18"/>
                <w:color w:val="auto"/>
              </w:rPr>
              <w:t>Net lease liability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-565150</wp:posOffset>
            </wp:positionV>
            <wp:extent cx="5143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18"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8"/>
          <w:szCs w:val="18"/>
          <w:color w:val="auto"/>
        </w:rPr>
        <w:t>The weighted average remaining lease term and the weighted average discount rate used to determine the operating lease liability were as follows:</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7200" w:type="dxa"/>
            <w:vAlign w:val="bottom"/>
          </w:tcPr>
          <w:p>
            <w:pPr>
              <w:spacing w:after="0"/>
              <w:rPr>
                <w:sz w:val="16"/>
                <w:szCs w:val="16"/>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700" w:type="dxa"/>
            <w:vAlign w:val="bottom"/>
            <w:shd w:val="clear" w:color="auto" w:fill="CFF0FC"/>
          </w:tcPr>
          <w:p>
            <w:pPr>
              <w:ind w:left="14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9"/>
        </w:trPr>
        <w:tc>
          <w:tcPr>
            <w:tcW w:w="72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860" w:type="dxa"/>
            <w:vAlign w:val="bottom"/>
            <w:gridSpan w:val="3"/>
          </w:tcPr>
          <w:p>
            <w:pPr>
              <w:ind w:left="1420"/>
              <w:spacing w:after="0"/>
              <w:rPr>
                <w:sz w:val="20"/>
                <w:szCs w:val="20"/>
                <w:color w:val="auto"/>
              </w:rPr>
            </w:pPr>
            <w:r>
              <w:rPr>
                <w:rFonts w:ascii="Arial" w:cs="Arial" w:eastAsia="Arial" w:hAnsi="Arial"/>
                <w:sz w:val="18"/>
                <w:szCs w:val="18"/>
                <w:color w:val="auto"/>
                <w:w w:val="91"/>
              </w:rPr>
              <w:t>8.1 %</w:t>
            </w: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 expense and variable lease expense consisted of the following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185"/>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18"/>
                <w:szCs w:val="18"/>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Variable lease expense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5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4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4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4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40" w:type="dxa"/>
            <w:vAlign w:val="bottom"/>
            <w:shd w:val="clear" w:color="auto" w:fill="CFF0FC"/>
          </w:tcPr>
          <w:p>
            <w:pPr>
              <w:spacing w:after="0" w:line="163" w:lineRule="exact"/>
              <w:rPr>
                <w:sz w:val="20"/>
                <w:szCs w:val="20"/>
                <w:color w:val="auto"/>
              </w:rPr>
            </w:pPr>
            <w:r>
              <w:rPr>
                <w:rFonts w:ascii="Arial" w:cs="Arial" w:eastAsia="Arial" w:hAnsi="Arial"/>
                <w:sz w:val="18"/>
                <w:szCs w:val="18"/>
                <w:color w:val="auto"/>
              </w:rPr>
              <w:t>Shares issuable upon the exercise of outstanding</w:t>
            </w: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ind w:left="160"/>
              <w:spacing w:after="0" w:line="189" w:lineRule="exact"/>
              <w:rPr>
                <w:sz w:val="20"/>
                <w:szCs w:val="20"/>
                <w:color w:val="auto"/>
              </w:rPr>
            </w:pPr>
            <w:r>
              <w:rPr>
                <w:rFonts w:ascii="Arial" w:cs="Arial" w:eastAsia="Arial" w:hAnsi="Arial"/>
                <w:sz w:val="18"/>
                <w:szCs w:val="18"/>
                <w:color w:val="auto"/>
              </w:rPr>
              <w:t>common stock options and the vesting of</w:t>
            </w:r>
          </w:p>
        </w:tc>
        <w:tc>
          <w:tcPr>
            <w:tcW w:w="1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ind w:left="160"/>
              <w:spacing w:after="0" w:line="189" w:lineRule="exact"/>
              <w:rPr>
                <w:sz w:val="20"/>
                <w:szCs w:val="20"/>
                <w:color w:val="auto"/>
              </w:rPr>
            </w:pPr>
            <w:r>
              <w:rPr>
                <w:rFonts w:ascii="Arial" w:cs="Arial" w:eastAsia="Arial" w:hAnsi="Arial"/>
                <w:sz w:val="18"/>
                <w:szCs w:val="18"/>
                <w:color w:val="auto"/>
              </w:rPr>
              <w:t>outstanding common restricted stock</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4,227,196</w:t>
            </w:r>
          </w:p>
        </w:tc>
        <w:tc>
          <w:tcPr>
            <w:tcW w:w="16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2,632,396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units granted</w:t>
            </w:r>
          </w:p>
        </w:tc>
        <w:tc>
          <w:tcPr>
            <w:tcW w:w="1400" w:type="dxa"/>
            <w:vAlign w:val="bottom"/>
            <w:vMerge w:val="continue"/>
            <w:shd w:val="clear" w:color="auto" w:fill="CFF0FC"/>
          </w:tcPr>
          <w:p>
            <w:pPr>
              <w:spacing w:after="0"/>
              <w:rPr>
                <w:sz w:val="20"/>
                <w:szCs w:val="20"/>
                <w:color w:val="auto"/>
              </w:rPr>
            </w:pPr>
          </w:p>
        </w:tc>
        <w:tc>
          <w:tcPr>
            <w:tcW w:w="164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line="170" w:lineRule="exact"/>
              <w:rPr>
                <w:sz w:val="20"/>
                <w:szCs w:val="20"/>
                <w:color w:val="auto"/>
              </w:rPr>
            </w:pPr>
            <w:r>
              <w:rPr>
                <w:rFonts w:ascii="Arial" w:cs="Arial" w:eastAsia="Arial" w:hAnsi="Arial"/>
                <w:sz w:val="18"/>
                <w:szCs w:val="18"/>
                <w:color w:val="auto"/>
              </w:rPr>
              <w:t>Shares available for future grant under the 2020</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4,308,100</w:t>
            </w: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color w:val="auto"/>
              </w:rPr>
              <w:t>4,442,315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740" w:type="dxa"/>
            <w:vAlign w:val="bottom"/>
          </w:tcPr>
          <w:p>
            <w:pPr>
              <w:ind w:left="160"/>
              <w:spacing w:after="0"/>
              <w:rPr>
                <w:sz w:val="20"/>
                <w:szCs w:val="20"/>
                <w:color w:val="auto"/>
              </w:rPr>
            </w:pPr>
            <w:r>
              <w:rPr>
                <w:rFonts w:ascii="Arial" w:cs="Arial" w:eastAsia="Arial" w:hAnsi="Arial"/>
                <w:sz w:val="18"/>
                <w:szCs w:val="18"/>
                <w:color w:val="auto"/>
              </w:rPr>
              <w:t>Equity Incentive Plan</w:t>
            </w:r>
          </w:p>
        </w:tc>
        <w:tc>
          <w:tcPr>
            <w:tcW w:w="1400" w:type="dxa"/>
            <w:vAlign w:val="bottom"/>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Shares available for future grant under the</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964,722</w:t>
            </w:r>
          </w:p>
        </w:tc>
        <w:tc>
          <w:tcPr>
            <w:tcW w:w="200" w:type="dxa"/>
            <w:vAlign w:val="bottom"/>
            <w:vMerge w:val="restart"/>
            <w:shd w:val="clear" w:color="auto" w:fill="CFF0FC"/>
          </w:tcPr>
          <w:p>
            <w:pPr>
              <w:spacing w:after="0"/>
              <w:rPr>
                <w:sz w:val="14"/>
                <w:szCs w:val="14"/>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621,211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7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Employee Stock Purchase Plan</w:t>
            </w:r>
          </w:p>
        </w:tc>
        <w:tc>
          <w:tcPr>
            <w:tcW w:w="14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6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9,500,018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7,695,922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-170815</wp:posOffset>
            </wp:positionV>
            <wp:extent cx="5143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31" w:lineRule="exact"/>
        <w:rPr>
          <w:sz w:val="20"/>
          <w:szCs w:val="20"/>
          <w:color w:val="auto"/>
        </w:rPr>
      </w:pPr>
    </w:p>
    <w:p>
      <w:pPr>
        <w:ind w:firstLine="509"/>
        <w:spacing w:after="0" w:line="287" w:lineRule="auto"/>
        <w:rPr>
          <w:sz w:val="20"/>
          <w:szCs w:val="20"/>
          <w:color w:val="auto"/>
        </w:rPr>
      </w:pPr>
      <w:r>
        <w:rPr>
          <w:rFonts w:ascii="Arial" w:cs="Arial" w:eastAsia="Arial" w:hAnsi="Arial"/>
          <w:sz w:val="18"/>
          <w:szCs w:val="18"/>
          <w:color w:val="auto"/>
        </w:rPr>
        <w:t>The Company’s 2020 Equity Incentive Plan (“2020 Plan”) provides for annual increases in the number of shares that may be issued under the 2020 Plan on January 1, 2021 and each subsequent January 1, thereafter, by a number of shares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8"/>
          <w:szCs w:val="18"/>
          <w:color w:val="auto"/>
        </w:rPr>
        <w:t>equal to the least of (a) 3,230,000 shares, (b) 5% of the number of shares of common stock issued and outstanding on the immediately preceding December 31, or (c) an amount determined by the Company’s board of directors.</w:t>
      </w:r>
    </w:p>
    <w:p>
      <w:pPr>
        <w:spacing w:after="0" w:line="22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Company’s 2020 Employee Stock Purchase Plan (“ESPP”) provides for annual increases in the number of shares that may be issued under the ESPP on January 1, 2021 and each subsequent January 1, thereafter, by a number of shares equal to the least of (a) 646,000 shares, (b) 1% of the number of shares of common stock issued and outstanding on the immediately preceding December 31, or (c) an amount determined by the Company’s board of directors.</w:t>
      </w:r>
    </w:p>
    <w:p>
      <w:pPr>
        <w:spacing w:after="0" w:line="23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Effective January 1, 2022, the Company’s 2020 Plan and ESPP reserves increased by 1,868,953 shares and 373,790 shares,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4"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r>
      <w:tr>
        <w:trPr>
          <w:trHeight w:val="169"/>
        </w:trPr>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Pr>
          <w:p>
            <w:pPr>
              <w:spacing w:after="0"/>
              <w:rPr>
                <w:sz w:val="18"/>
                <w:szCs w:val="18"/>
                <w:color w:val="auto"/>
              </w:rPr>
            </w:pPr>
          </w:p>
        </w:tc>
      </w:tr>
      <w:tr>
        <w:trPr>
          <w:trHeight w:val="250"/>
        </w:trPr>
        <w:tc>
          <w:tcPr>
            <w:tcW w:w="4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8,246</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50" w:lineRule="exact"/>
        <w:rPr>
          <w:sz w:val="20"/>
          <w:szCs w:val="20"/>
          <w:color w:val="auto"/>
        </w:rPr>
      </w:pPr>
    </w:p>
    <w:p>
      <w:pPr>
        <w:ind w:firstLine="509"/>
        <w:spacing w:after="0" w:line="287"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1" w:lineRule="exact"/>
        <w:rPr>
          <w:sz w:val="20"/>
          <w:szCs w:val="20"/>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each share of common stock is based on the closing price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or other relevant determination date, as reported on The Nasdaq Global Select Market.</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7"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81"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7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going forward. Therefore, it used an expected dividend yield of zero.</w:t>
      </w:r>
    </w:p>
    <w:p>
      <w:pPr>
        <w:spacing w:after="0" w:line="167" w:lineRule="exact"/>
        <w:rPr>
          <w:sz w:val="20"/>
          <w:szCs w:val="20"/>
          <w:color w:val="auto"/>
        </w:rPr>
      </w:pPr>
    </w:p>
    <w:p>
      <w:pPr>
        <w:ind w:right="20" w:firstLine="509"/>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60" w:type="dxa"/>
            <w:vAlign w:val="bottom"/>
            <w:gridSpan w:val="6"/>
          </w:tcPr>
          <w:p>
            <w:pPr>
              <w:jc w:val="center"/>
              <w:ind w:right="17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90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760" w:type="dxa"/>
            <w:vAlign w:val="bottom"/>
            <w:gridSpan w:val="2"/>
            <w:vMerge w:val="restart"/>
          </w:tcPr>
          <w:p>
            <w:pPr>
              <w:jc w:val="right"/>
              <w:ind w:right="15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color w:val="auto"/>
              </w:rPr>
              <w:t>2.08</w:t>
            </w:r>
          </w:p>
        </w:tc>
        <w:tc>
          <w:tcPr>
            <w:tcW w:w="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Arial" w:cs="Arial" w:eastAsia="Arial" w:hAnsi="Arial"/>
                <w:sz w:val="18"/>
                <w:szCs w:val="18"/>
                <w:color w:val="auto"/>
              </w:rPr>
              <w:t>0.81</w:t>
            </w: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Expected volatility</w:t>
            </w:r>
          </w:p>
        </w:tc>
        <w:tc>
          <w:tcPr>
            <w:tcW w:w="3920" w:type="dxa"/>
            <w:vAlign w:val="bottom"/>
            <w:gridSpan w:val="4"/>
          </w:tcPr>
          <w:p>
            <w:pPr>
              <w:jc w:val="right"/>
              <w:ind w:right="200"/>
              <w:spacing w:after="0"/>
              <w:rPr>
                <w:sz w:val="20"/>
                <w:szCs w:val="20"/>
                <w:color w:val="auto"/>
              </w:rPr>
            </w:pPr>
            <w:r>
              <w:rPr>
                <w:rFonts w:ascii="Arial" w:cs="Arial" w:eastAsia="Arial" w:hAnsi="Arial"/>
                <w:sz w:val="18"/>
                <w:szCs w:val="18"/>
                <w:color w:val="auto"/>
              </w:rPr>
              <w:t>92.87 %</w:t>
            </w:r>
          </w:p>
        </w:tc>
        <w:tc>
          <w:tcPr>
            <w:tcW w:w="2720" w:type="dxa"/>
            <w:vAlign w:val="bottom"/>
            <w:gridSpan w:val="3"/>
          </w:tcPr>
          <w:p>
            <w:pPr>
              <w:jc w:val="right"/>
              <w:ind w:right="1580"/>
              <w:spacing w:after="0"/>
              <w:rPr>
                <w:sz w:val="20"/>
                <w:szCs w:val="20"/>
                <w:color w:val="auto"/>
              </w:rPr>
            </w:pPr>
            <w:r>
              <w:rPr>
                <w:rFonts w:ascii="Arial" w:cs="Arial" w:eastAsia="Arial" w:hAnsi="Arial"/>
                <w:sz w:val="18"/>
                <w:szCs w:val="18"/>
                <w:color w:val="auto"/>
              </w:rPr>
              <w:t>89.34 %</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3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80" w:type="dxa"/>
            <w:vAlign w:val="bottom"/>
          </w:tcPr>
          <w:p>
            <w:pPr>
              <w:spacing w:after="0"/>
              <w:rPr>
                <w:sz w:val="20"/>
                <w:szCs w:val="20"/>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80" w:type="dxa"/>
            <w:vAlign w:val="bottom"/>
          </w:tcPr>
          <w:p>
            <w:pPr>
              <w:jc w:val="right"/>
              <w:ind w:right="1170"/>
              <w:spacing w:after="0"/>
              <w:rPr>
                <w:sz w:val="20"/>
                <w:szCs w:val="20"/>
                <w:color w:val="auto"/>
              </w:rPr>
            </w:pPr>
            <w:r>
              <w:rPr>
                <w:rFonts w:ascii="Arial" w:cs="Arial" w:eastAsia="Arial" w:hAnsi="Arial"/>
                <w:sz w:val="18"/>
                <w:szCs w:val="18"/>
                <w:color w:val="auto"/>
              </w:rPr>
              <w:t>20</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0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-1028065</wp:posOffset>
            </wp:positionV>
            <wp:extent cx="498919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0" w:name="page21"/>
    <w:bookmarkEnd w:id="20"/>
    <w:p>
      <w:pPr>
        <w:jc w:val="both"/>
        <w:ind w:firstLine="509"/>
        <w:spacing w:after="0" w:line="287" w:lineRule="auto"/>
        <w:rPr>
          <w:sz w:val="20"/>
          <w:szCs w:val="20"/>
          <w:color w:val="auto"/>
        </w:rPr>
      </w:pPr>
      <w:r>
        <w:rPr>
          <w:rFonts w:ascii="Arial" w:cs="Arial" w:eastAsia="Arial" w:hAnsi="Arial"/>
          <w:sz w:val="18"/>
          <w:szCs w:val="18"/>
          <w:color w:val="auto"/>
        </w:rPr>
        <w:t>The grant date fair value of restricted stock units is based upon the fair market value of the Company’s common stock based on its closing price as reported on the date of grant on the Nasdaq Global Select Market.</w:t>
      </w:r>
    </w:p>
    <w:p>
      <w:pPr>
        <w:spacing w:after="0" w:line="12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fair value of options granted during the nine months ended September 30, 2022 and 2021 was $16.1 million and $10.2 million, respectively. The fair value of restricted stock units granted during the nine months ended September 30, 2022 and 2021 was $129,000 and $67,000, respectively.</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shares available for grant under the 2020 Plan during the nine months ended September 30, 2022 were as follows:</w:t>
      </w:r>
    </w:p>
    <w:p>
      <w:pPr>
        <w:spacing w:after="0" w:line="20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for Grant</w:t>
            </w:r>
          </w:p>
        </w:tc>
        <w:tc>
          <w:tcPr>
            <w:tcW w:w="0" w:type="dxa"/>
            <w:vAlign w:val="bottom"/>
          </w:tcPr>
          <w:p>
            <w:pPr>
              <w:spacing w:after="0"/>
              <w:rPr>
                <w:sz w:val="1"/>
                <w:szCs w:val="1"/>
                <w:color w:val="auto"/>
              </w:rPr>
            </w:pPr>
          </w:p>
        </w:tc>
      </w:tr>
      <w:tr>
        <w:trPr>
          <w:trHeight w:val="212"/>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grant at December 31, 2021</w:t>
            </w: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4,442,315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2020 Plan reserve increase on January 1, 2022</w:t>
            </w:r>
          </w:p>
        </w:tc>
        <w:tc>
          <w:tcPr>
            <w:tcW w:w="1200" w:type="dxa"/>
            <w:vAlign w:val="bottom"/>
          </w:tcPr>
          <w:p>
            <w:pPr>
              <w:jc w:val="right"/>
              <w:spacing w:after="0"/>
              <w:rPr>
                <w:sz w:val="20"/>
                <w:szCs w:val="20"/>
                <w:color w:val="auto"/>
              </w:rPr>
            </w:pPr>
            <w:r>
              <w:rPr>
                <w:rFonts w:ascii="Arial" w:cs="Arial" w:eastAsia="Arial" w:hAnsi="Arial"/>
                <w:sz w:val="18"/>
                <w:szCs w:val="18"/>
                <w:color w:val="auto"/>
              </w:rPr>
              <w:t>1,868,953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Options and restricted stock units granted</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(2,153,247 )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540" w:type="dxa"/>
            <w:vAlign w:val="bottom"/>
          </w:tcPr>
          <w:p>
            <w:pPr>
              <w:spacing w:after="0" w:line="170" w:lineRule="exact"/>
              <w:rPr>
                <w:sz w:val="20"/>
                <w:szCs w:val="20"/>
                <w:color w:val="auto"/>
              </w:rPr>
            </w:pPr>
            <w:r>
              <w:rPr>
                <w:rFonts w:ascii="Arial" w:cs="Arial" w:eastAsia="Arial" w:hAnsi="Arial"/>
                <w:sz w:val="18"/>
                <w:szCs w:val="18"/>
                <w:color w:val="auto"/>
              </w:rPr>
              <w:t>Options and restricted stock units forfeited,</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150,079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540" w:type="dxa"/>
            <w:vAlign w:val="bottom"/>
          </w:tcPr>
          <w:p>
            <w:pPr>
              <w:ind w:left="160"/>
              <w:spacing w:after="0"/>
              <w:rPr>
                <w:sz w:val="20"/>
                <w:szCs w:val="20"/>
                <w:color w:val="auto"/>
              </w:rPr>
            </w:pPr>
            <w:r>
              <w:rPr>
                <w:rFonts w:ascii="Arial" w:cs="Arial" w:eastAsia="Arial" w:hAnsi="Arial"/>
                <w:sz w:val="18"/>
                <w:szCs w:val="18"/>
                <w:color w:val="auto"/>
              </w:rPr>
              <w:t>cancelled, or expired</w:t>
            </w:r>
          </w:p>
        </w:tc>
        <w:tc>
          <w:tcPr>
            <w:tcW w:w="120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available for grant at September 30, 2022</w:t>
            </w: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4,308,100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under the 2020 Plan for the nine months ended September 30, 2022 was as follows: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4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2,270,896</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2,140,997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(288,457 )</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Forfeited/expired</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(133,746 )</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3,989,690</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4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line="196" w:lineRule="exact"/>
              <w:rPr>
                <w:sz w:val="20"/>
                <w:szCs w:val="20"/>
                <w:color w:val="auto"/>
              </w:rPr>
            </w:pPr>
            <w:r>
              <w:rPr>
                <w:rFonts w:ascii="Arial" w:cs="Arial" w:eastAsia="Arial" w:hAnsi="Arial"/>
                <w:sz w:val="18"/>
                <w:szCs w:val="18"/>
                <w:color w:val="auto"/>
              </w:rPr>
              <w:t>Expected to vest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2,791,038</w:t>
            </w:r>
          </w:p>
        </w:tc>
        <w:tc>
          <w:tcPr>
            <w:tcW w:w="260" w:type="dxa"/>
            <w:vAlign w:val="bottom"/>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12.00</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9.08</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Options exercisable</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1,198,652</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11.77</w:t>
            </w:r>
          </w:p>
        </w:tc>
        <w:tc>
          <w:tcPr>
            <w:tcW w:w="15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7.55</w:t>
            </w:r>
          </w:p>
        </w:tc>
        <w:tc>
          <w:tcPr>
            <w:tcW w:w="440" w:type="dxa"/>
            <w:vAlign w:val="bottom"/>
            <w:tcBorders>
              <w:bottom w:val="single" w:sz="8" w:color="CFF0FC"/>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-350520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total fair value of options granted that vested during the nine months ended September 30, 2022 and 2021 was $5.9 million and $1.3 million, respectively.</w:t>
      </w:r>
    </w:p>
    <w:p>
      <w:pPr>
        <w:spacing w:after="0" w:line="19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September 30, 2022. The aggregate intrinsic value of options exercised was $3.0 million and $2.0 million during the nine months ended September 30, 2022 and 2021, respectively, determined as of the date of option exercise. As of September 30, 2022, there was $20.6 million of total unrecognized compensation cost related to unvested stock options. The Company expects to recognize this cost over a remaining weighted-average period of 2.9 years. The Company utilizes newly issued shares to satisfy option exercises.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Stock options outstanding and exercisable under the 2020 Plan consisted of the following at September 30, 2022:</w:t>
      </w:r>
    </w:p>
    <w:p>
      <w:pPr>
        <w:spacing w:after="0" w:line="38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47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580" w:type="dxa"/>
            <w:vAlign w:val="bottom"/>
          </w:tcPr>
          <w:p>
            <w:pPr>
              <w:jc w:val="right"/>
              <w:ind w:right="45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r>
      <w:tr>
        <w:trPr>
          <w:trHeight w:val="178"/>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600" w:type="dxa"/>
            <w:vAlign w:val="bottom"/>
          </w:tcPr>
          <w:p>
            <w:pPr>
              <w:jc w:val="right"/>
              <w:ind w:right="296"/>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580" w:type="dxa"/>
            <w:vAlign w:val="bottom"/>
          </w:tcPr>
          <w:p>
            <w:pPr>
              <w:jc w:val="right"/>
              <w:ind w:right="299"/>
              <w:spacing w:after="0"/>
              <w:rPr>
                <w:sz w:val="20"/>
                <w:szCs w:val="20"/>
                <w:color w:val="auto"/>
              </w:rPr>
            </w:pPr>
            <w:r>
              <w:rPr>
                <w:rFonts w:ascii="Arial" w:cs="Arial" w:eastAsia="Arial" w:hAnsi="Arial"/>
                <w:sz w:val="14"/>
                <w:szCs w:val="14"/>
                <w:b w:val="1"/>
                <w:bCs w:val="1"/>
                <w:color w:val="auto"/>
              </w:rPr>
              <w:t>Exercisable</w:t>
            </w:r>
          </w:p>
        </w:tc>
        <w:tc>
          <w:tcPr>
            <w:tcW w:w="80" w:type="dxa"/>
            <w:vAlign w:val="bottom"/>
          </w:tcPr>
          <w:p>
            <w:pPr>
              <w:spacing w:after="0"/>
              <w:rPr>
                <w:sz w:val="15"/>
                <w:szCs w:val="15"/>
                <w:color w:val="auto"/>
              </w:rPr>
            </w:pPr>
          </w:p>
        </w:tc>
      </w:tr>
      <w:tr>
        <w:trPr>
          <w:trHeight w:val="216"/>
        </w:trPr>
        <w:tc>
          <w:tcPr>
            <w:tcW w:w="1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0.16 to 3.37</w:t>
            </w:r>
          </w:p>
        </w:tc>
        <w:tc>
          <w:tcPr>
            <w:tcW w:w="318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554,962</w:t>
            </w:r>
          </w:p>
        </w:tc>
        <w:tc>
          <w:tcPr>
            <w:tcW w:w="2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330,403</w:t>
            </w:r>
          </w:p>
        </w:tc>
        <w:tc>
          <w:tcPr>
            <w:tcW w:w="80" w:type="dxa"/>
            <w:vAlign w:val="bottom"/>
            <w:shd w:val="clear" w:color="auto" w:fill="CFF0FC"/>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8.93 to 19.94</w:t>
            </w:r>
          </w:p>
        </w:tc>
        <w:tc>
          <w:tcPr>
            <w:tcW w:w="1600" w:type="dxa"/>
            <w:vAlign w:val="bottom"/>
          </w:tcPr>
          <w:p>
            <w:pPr>
              <w:jc w:val="right"/>
              <w:spacing w:after="0"/>
              <w:rPr>
                <w:sz w:val="20"/>
                <w:szCs w:val="20"/>
                <w:color w:val="auto"/>
              </w:rPr>
            </w:pPr>
            <w:r>
              <w:rPr>
                <w:rFonts w:ascii="Arial" w:cs="Arial" w:eastAsia="Arial" w:hAnsi="Arial"/>
                <w:sz w:val="18"/>
                <w:szCs w:val="18"/>
                <w:color w:val="auto"/>
              </w:rPr>
              <w:t>3,058,607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757,151</w:t>
            </w:r>
          </w:p>
        </w:tc>
        <w:tc>
          <w:tcPr>
            <w:tcW w:w="80" w:type="dxa"/>
            <w:vAlign w:val="bottom"/>
          </w:tcPr>
          <w:p>
            <w:pPr>
              <w:spacing w:after="0"/>
              <w:rPr>
                <w:sz w:val="18"/>
                <w:szCs w:val="18"/>
                <w:color w:val="auto"/>
              </w:rPr>
            </w:pPr>
          </w:p>
        </w:tc>
      </w:tr>
      <w:tr>
        <w:trPr>
          <w:trHeight w:val="216"/>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20.55 to 29.41</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376,121</w:t>
            </w:r>
          </w:p>
        </w:tc>
        <w:tc>
          <w:tcPr>
            <w:tcW w:w="2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111,098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600" w:type="dxa"/>
            <w:vAlign w:val="bottom"/>
          </w:tcPr>
          <w:p>
            <w:pPr>
              <w:jc w:val="right"/>
              <w:spacing w:after="0"/>
              <w:rPr>
                <w:sz w:val="20"/>
                <w:szCs w:val="20"/>
                <w:color w:val="auto"/>
              </w:rPr>
            </w:pPr>
            <w:r>
              <w:rPr>
                <w:rFonts w:ascii="Arial" w:cs="Arial" w:eastAsia="Arial" w:hAnsi="Arial"/>
                <w:sz w:val="18"/>
                <w:szCs w:val="18"/>
                <w:color w:val="auto"/>
              </w:rPr>
              <w:t>3,989,690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1,198,652</w:t>
            </w:r>
          </w:p>
        </w:tc>
        <w:tc>
          <w:tcPr>
            <w:tcW w:w="8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5143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RSU activity for the nine months ended September 30, 2022 is as follows:</w:t>
      </w:r>
    </w:p>
    <w:p>
      <w:pPr>
        <w:spacing w:after="0" w:line="19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r>
      <w:tr>
        <w:trPr>
          <w:trHeight w:val="148"/>
        </w:trPr>
        <w:tc>
          <w:tcPr>
            <w:tcW w:w="5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r>
      <w:tr>
        <w:trPr>
          <w:trHeight w:val="158"/>
        </w:trPr>
        <w:tc>
          <w:tcPr>
            <w:tcW w:w="5360" w:type="dxa"/>
            <w:vAlign w:val="bottom"/>
          </w:tcPr>
          <w:p>
            <w:pPr>
              <w:spacing w:after="0"/>
              <w:rPr>
                <w:sz w:val="13"/>
                <w:szCs w:val="13"/>
                <w:color w:val="auto"/>
              </w:rPr>
            </w:pPr>
          </w:p>
        </w:tc>
        <w:tc>
          <w:tcPr>
            <w:tcW w:w="128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3"/>
                <w:szCs w:val="13"/>
                <w:color w:val="auto"/>
              </w:rPr>
            </w:pPr>
          </w:p>
        </w:tc>
        <w:tc>
          <w:tcPr>
            <w:tcW w:w="98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3"/>
                <w:szCs w:val="13"/>
                <w:color w:val="auto"/>
              </w:rPr>
            </w:pPr>
          </w:p>
        </w:tc>
      </w:tr>
      <w:tr>
        <w:trPr>
          <w:trHeight w:val="189"/>
        </w:trPr>
        <w:tc>
          <w:tcPr>
            <w:tcW w:w="536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Equivalent</w:t>
            </w:r>
          </w:p>
        </w:tc>
        <w:tc>
          <w:tcPr>
            <w:tcW w:w="16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361,500</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12,250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(16,333 )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(119,911 )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8"/>
                <w:szCs w:val="18"/>
                <w:color w:val="auto"/>
              </w:rPr>
            </w:pPr>
          </w:p>
        </w:tc>
      </w:tr>
      <w:tr>
        <w:trPr>
          <w:trHeight w:val="249"/>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September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237,506</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RSUs will vest upon achievement of certain clinical development milestones, subject to continued service to the Company during the vesting period. In June 2022, 119,911 RSUs vested in connection with the public readout of topline data from the Company's Phase 2 ACT-AD clinical trial. As of September 30, 2022, there was $1.9 million of total unrecognized compensation cost related to unvested RSUs. The Company expects to recognize this cost over a remaining weighted-average period of 1.03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11. Net Loss Per Share Attributable to Common Stockholders</w:t>
      </w:r>
    </w:p>
    <w:p>
      <w:pPr>
        <w:spacing w:after="0" w:line="2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Units</w:t>
            </w:r>
          </w:p>
        </w:tc>
        <w:tc>
          <w:tcPr>
            <w:tcW w:w="124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237,506</w:t>
            </w: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3,989,690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2,323,821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10,043</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60" w:type="dxa"/>
            <w:vAlign w:val="bottom"/>
          </w:tcPr>
          <w:p>
            <w:pPr>
              <w:ind w:left="260"/>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4,237,239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2,326,405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40" w:type="dxa"/>
            <w:vAlign w:val="bottom"/>
            <w:vMerge w:val="restart"/>
          </w:tcPr>
          <w:p>
            <w:pPr>
              <w:jc w:val="right"/>
              <w:ind w:right="690"/>
              <w:spacing w:after="0"/>
              <w:rPr>
                <w:sz w:val="20"/>
                <w:szCs w:val="20"/>
                <w:color w:val="auto"/>
              </w:rPr>
            </w:pPr>
            <w:r>
              <w:rPr>
                <w:rFonts w:ascii="Arial" w:cs="Arial" w:eastAsia="Arial" w:hAnsi="Arial"/>
                <w:sz w:val="18"/>
                <w:szCs w:val="18"/>
                <w:color w:val="auto"/>
              </w:rPr>
              <w:t>22</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0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-779145</wp:posOffset>
            </wp:positionV>
            <wp:extent cx="5143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-779145</wp:posOffset>
            </wp:positionV>
            <wp:extent cx="431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212121"/>
        </w:rPr>
        <w:t>12. Immaterial Error Correction (Unaudited)</w:t>
      </w:r>
    </w:p>
    <w:p>
      <w:pPr>
        <w:spacing w:after="0" w:line="25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connection with the preparation of the consolidated statements of operations and comprehensive loss for the year ended December 31, 2021, the Company identified immaterial errors in the calculation of the weighted-average number of common shares outstanding, basic and diluted, for certain of its year-to-date periods presented in its interim financial statements, resulting in an understatement in the weighted average common shares outstanding and an overstatement in the net loss per share, basic and diluted. This error was revised as shown in the table below. The error did not impact the weighted average common shares outstanding, basic and diluted, for any three-month period and had no impact on net loss, comprehensive loss, total assets, or stockholders' equity. The impact of the error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Nine Months Ended September 30,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As Adjusted</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74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Weighted average shares outstanding,</w:t>
            </w:r>
          </w:p>
        </w:tc>
        <w:tc>
          <w:tcPr>
            <w:tcW w:w="13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34,315,047</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2,458,053</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36,773,100</w:t>
            </w:r>
          </w:p>
        </w:tc>
        <w:tc>
          <w:tcPr>
            <w:tcW w:w="80" w:type="dxa"/>
            <w:vAlign w:val="bottom"/>
            <w:shd w:val="clear" w:color="auto" w:fill="CFF0FC"/>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3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basic and diluted</w:t>
            </w: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3740" w:type="dxa"/>
            <w:vAlign w:val="bottom"/>
          </w:tcPr>
          <w:p>
            <w:pPr>
              <w:spacing w:after="0" w:line="170" w:lineRule="exact"/>
              <w:rPr>
                <w:sz w:val="20"/>
                <w:szCs w:val="20"/>
                <w:color w:val="auto"/>
              </w:rPr>
            </w:pPr>
            <w:r>
              <w:rPr>
                <w:rFonts w:ascii="Arial" w:cs="Arial" w:eastAsia="Arial" w:hAnsi="Arial"/>
                <w:sz w:val="18"/>
                <w:szCs w:val="18"/>
                <w:color w:val="auto"/>
              </w:rPr>
              <w:t>Net loss per share, basic</w:t>
            </w: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(1.12 )</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(1.05 )</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146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4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March 28,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and Section 21E of the Securities Exchange Act of 1934, as amended.</w:t>
      </w:r>
    </w:p>
    <w:p>
      <w:pPr>
        <w:spacing w:after="0" w:line="21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some cases, you can identify forward-looking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8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learnings from our ACT-AD trial and LIFT-AD unblinded interim efficacy and futility analysis and their ability to inform and improve future clinical development plans;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of LIFT-AD to show clinical benefits of fosgonimeton following the October 2022 protocol amendment;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commercializing our product candidates, if approved;</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4" w:name="page25"/>
    <w:bookmarkEnd w:id="24"/>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other jurisdictions;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5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of legal proceedings which have been or may in the future be instituted against us and certain of our directors and officers, including the legal proceedings discussed in Part II, Item 1 — "Legal Proceedings,” and elsewhere in this report;</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by activist stockholders, which have in the past been, and may in the future be, disruptive and could cause uncertainty about the strategic direction of our business;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continuing impact of COVID-19 on our business;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strategic collaboration agreements we may enter into;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5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spacing w:after="0" w:line="21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21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report, “we,” “our,” “us,” “Athira,” and “the Company” refer to Athira Pharma,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slow neurodegeneration. With our product candidates, we aim to provide rapid cognitive improvement and alter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5" w:name="page26"/>
    <w:bookmarkEnd w:id="25"/>
    <w:p>
      <w:pPr>
        <w:jc w:val="both"/>
        <w:spacing w:after="0" w:line="248" w:lineRule="auto"/>
        <w:rPr>
          <w:sz w:val="20"/>
          <w:szCs w:val="20"/>
          <w:color w:val="auto"/>
        </w:rPr>
      </w:pPr>
      <w:r>
        <w:rPr>
          <w:rFonts w:ascii="Arial" w:cs="Arial" w:eastAsia="Arial" w:hAnsi="Arial"/>
          <w:sz w:val="18"/>
          <w:szCs w:val="18"/>
          <w:color w:val="auto"/>
        </w:rPr>
        <w:t>the course of neurological diseases, leveraging our novel mechanism of action. Our approach is designed to augment neuronal growth factor signaling through the hepatocyte growth factor/MET, or HGF/MET, a naturally occurring, repair and regenerative system. We believe enhancing HGF/MET signaling has the potential to protect existing neurons from damage, reduce inflammation, promote regeneration, and benefit brain physiology.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21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lead candidate, fosgonimeton (“ATH-1017”), is a subcutaneously administered, BBB-penetrating, small molecule HGF/MET positive modulator. The effects of fosgonimeton in its primary target indication, Alzheimer’s disease (“AD”), are being evaluated in two clinical trials:</w:t>
      </w:r>
    </w:p>
    <w:p>
      <w:pPr>
        <w:spacing w:after="0" w:line="61" w:lineRule="exact"/>
        <w:rPr>
          <w:sz w:val="20"/>
          <w:szCs w:val="20"/>
          <w:color w:val="auto"/>
        </w:rPr>
      </w:pPr>
    </w:p>
    <w:p>
      <w:pPr>
        <w:jc w:val="both"/>
        <w:ind w:left="1020" w:hanging="503"/>
        <w:spacing w:after="0" w:line="241"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ACT-AD, a randomized, double-blind, placebo-controlled, parallel-group 26-week proof-of-concept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proof-of-concept Phase 2 ACT-AD trial were announced in June 2022, and the primary endpoint was not met by protocoled analysis. However, a pre-specified subgroup analysis indicated a potential diminished effect of fosgonimeton when given in combination with add-on standard-of-care acetylcholinesterase inhibitors (AChEIs, e.g., donepezil). A subsequent post hoc analysis of the data from patients on fosgonimeton without background therapy (AChEIs) showed a meaningful, but not statistically significant, improvement in both ERP P300 latency (-28 milliseconds) and cognitive performance (ADAS-Cog11: -3.3 points) compared to placebo at 26 weeks. Although post-hoc analyses cannot be used to establish efficacy, these analyses can be helpful in informing the design of current and future clinical studies. In addition, while also not statistically significant, the data from the protocoled study population and analysis method showed a numerical improvement in the functional measure of ADCS-ADL23, a protocoled secondary endpoint which evaluates improvements in patients’ activities of daily living as assessed by their caregivers compared to placebo at 26 weeks (+2.12 points). A pre-specified subgroup analysis of plasma biomarker data showed a statistically significant reduction in neurofilament light chain (NfL), a validated biomarker of neurodegeneration, in subjects treated with fosgonimeton without background therapy compared to placebo at 26 weeks (difference of 6.89 pg/ml (p=0.018)). Fosgonimeton was generally well tolerated in the ACT-AD study, with a favorable safety profile, and there were no treatment related serious adverse events or deaths observed.</w:t>
      </w:r>
    </w:p>
    <w:p>
      <w:pPr>
        <w:spacing w:after="0" w:line="97"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LIFT-AD,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Global Statistical Test, which is a mathematical algorithm that combines the scores from cognition (Alzheimer's Disease Assessment Scale-Cognitive Subscale or ADAS-Cog11), and function (Alzheimer’s Disease Cooperative Study-Activities of Daily Living or ADCS-ADL23). Guided by the results from the completed exploratory ACT-AD Phase 2 study, in September 2022, we proactively amended LIFT-AD to focus on patients not on background therapy. In October 2022, we announced that following an unblinded interim efficacy and futility analysis, an independent data monitoring committee recommended continuation of the LIFT-AD study. The committee also determined that, with the additional enrollment of fewer than 150 patients for a total enrollment of less than 300 patients without background therapy (AChEIs), the amended study will be well powered for the primary endpoint given the preliminary effect size observed. We are targeting to complete enrollment in mid-2023 and report topline data in early 2024.</w:t>
      </w:r>
    </w:p>
    <w:p>
      <w:pPr>
        <w:spacing w:after="0" w:line="21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July 2021, we announced that we are enrolling patients into a 26-week open-label extension study for our LIFT-AD and ACT-AD clinical trials, which will allow us to collect up to a total of one year of safety data with fosgonimeton. In May 2022, we announced that we are extending the 26-week open-label extension study for our LIFT-AD and ACT-AD clinical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8"/>
          <w:szCs w:val="18"/>
          <w:color w:val="auto"/>
        </w:rPr>
        <w:t>trials for an additional 12 months, enabling eligible patients who have completed either trial, and elect to participate in the ongoing open label extension, to now receive up to 18 months of open-label treatment with fosgonimeton.</w:t>
      </w:r>
    </w:p>
    <w:p>
      <w:pPr>
        <w:spacing w:after="0" w:line="19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following figure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120015</wp:posOffset>
            </wp:positionV>
            <wp:extent cx="6172200" cy="24771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7220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9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21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2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firstLine="509"/>
        <w:spacing w:after="0" w:line="246" w:lineRule="auto"/>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September 30, 2022, we have raised aggregate net cash proceeds of approximately $407.4 million primarily from the issuance of our common stock, convertible preferred stock, common stock warrants, and convertible notes. We have incurred significant operating losses to date. Our net losses were $ 65.5 million and $38.5 million for the nine months ended September 30, 2022 and 2021, respectively. As of September 30, 2022, we had an accumulated deficit of $161.4 million and cash, cash equivalents and investments of $260.0 million.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0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fosgonimeton and our other product candidates through preclinical studies and clinical trials, and further extend the open label extension of the ACT-AD and LIFT-AD trials;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pipeline of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grow our discovery organization and invest in the ATH platform;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ramp up manufacturing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expand and protect our intellectual property portfolio;</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laboratory and office facilities;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operational, financial and management information systems;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 and</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incur legal expenses associated with ongoing litigation, as further described in “Part II, Item 1—Legal Proceedings,” and elsewhere in this report.</w:t>
      </w:r>
    </w:p>
    <w:p>
      <w:pPr>
        <w:spacing w:after="0" w:line="16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pacing w:after="0" w:line="20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global COVID-19 pandemic continues to evolve, and we will continue to monitor the COVID-19 situation closely. While COVID-19 related restrictions have been eased in many locations around the globe, including in Bothell, Washington, where our principal offices are located, a resurgence in cases of COVID-19, including new and highly contagious variants of COVID-19, or similar health epidemic could occur at any time, and the ultimate impact of the COVID-19 pandemic or a similar health epidemic is highly uncertain and subject to change. We will continue to monitor the ongoing impacts of COVID-19 on our clinical trial enrollment, trial sites, contract research organizations, or CROs, third-party manufacturers, and other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spacing w:after="0" w:line="248" w:lineRule="auto"/>
        <w:rPr>
          <w:sz w:val="20"/>
          <w:szCs w:val="20"/>
          <w:color w:val="auto"/>
        </w:rPr>
      </w:pPr>
      <w:r>
        <w:rPr>
          <w:rFonts w:ascii="Arial" w:cs="Arial" w:eastAsia="Arial" w:hAnsi="Arial"/>
          <w:sz w:val="18"/>
          <w:szCs w:val="18"/>
          <w:color w:val="auto"/>
        </w:rPr>
        <w:t>third parties with whom we do business, as well as on regulatory authorities and our key scientific and management personnel. As the situation evolves, we may take further actions that alter our operations, including those that may be required by federal, state or local authorities, or that we determine are in the best interests of our employees and other third parties with whom we do business. At this point, the ultimate extent to which the COVID-19 pandemic, any potential resurgence of a variant thereof, or similar health epidemic, may affect our business, operations and clinical development timelines and plans, including the resulting impact on our expenditures and capital needs, remains uncertain.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23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We are party to certain collaboration and grant agreements, as described in the section titled “Part I, Item 1 – Business—Our Collaboration and Grant Agreements” in our Annual Report on Form 10-K filed with the SEC on March 28,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25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21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1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substantially as we conduct our clinical trials for fosgonimeton, including open-label extensions for those trials. Additionally, we may experience an overall increase in research and development expenses as a result of inflation.</w:t>
      </w:r>
    </w:p>
    <w:p>
      <w:pPr>
        <w:spacing w:after="0" w:line="21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phases of development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research and development activities;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per subject trial costs;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further extension of the open label extension of the ACT-AD and LIFT-AD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that participate in the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and discontinuation rate of subjects;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subject participation in the trials and follow-up;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of regulatory approvals from applicable regulatory authorities;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and retention of research and development personnel;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COVID-19 on timelines and clinical operations, which may lead to increased costs;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1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25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21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litigation. We also expect to continue to increase the size of our administrative function to support the growth of our business. Additionally, we may experience an overall increase in general and administrative expenses as a result of inflation.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Grant income consists of income related to the NIH grants and is recognized as qualifying expenses under the grant agreements are incurred. Under the terms of the agreements and approvals received from the NIH, the Company may receive up to an aggregate of $15.2 million. As of September 30, 2022, we recognized aggregate grant income of $13.8 million in connection with the NIH grants. During the three months ended September 30, 2022, we recognized $3.0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0" w:name="page31"/>
    <w:bookmarkEnd w:id="30"/>
    <w:p>
      <w:pPr>
        <w:jc w:val="both"/>
        <w:ind w:right="20"/>
        <w:spacing w:after="0" w:line="271" w:lineRule="auto"/>
        <w:rPr>
          <w:sz w:val="20"/>
          <w:szCs w:val="20"/>
          <w:color w:val="auto"/>
        </w:rPr>
      </w:pPr>
      <w:r>
        <w:rPr>
          <w:rFonts w:ascii="Arial" w:cs="Arial" w:eastAsia="Arial" w:hAnsi="Arial"/>
          <w:sz w:val="18"/>
          <w:szCs w:val="18"/>
          <w:color w:val="auto"/>
        </w:rPr>
        <w:t>of grant income, which included recognizing $1.3 million of grant income for qualifying expenses incurred between January and May 2022, upon the Company receiving approval from the NIH to carry over previously unused budgets.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Other income, net consists primarily of interest earned on our cash, cash equivalents and investments. Absent further fundraising, we expect interest earned on our cash, cash equivalents and investments to decrease over the long term as we continue to expend our cash balances to fund our ongoing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90"/>
              <w:spacing w:after="0" w:line="160" w:lineRule="exact"/>
              <w:rPr>
                <w:sz w:val="20"/>
                <w:szCs w:val="20"/>
                <w:color w:val="auto"/>
              </w:rPr>
            </w:pPr>
            <w:r>
              <w:rPr>
                <w:rFonts w:ascii="Arial" w:cs="Arial" w:eastAsia="Arial" w:hAnsi="Arial"/>
                <w:sz w:val="14"/>
                <w:szCs w:val="14"/>
                <w:b w:val="1"/>
                <w:bCs w:val="1"/>
                <w:color w:val="auto"/>
              </w:rPr>
              <w:t>Dollar</w:t>
            </w:r>
          </w:p>
        </w:tc>
        <w:tc>
          <w:tcPr>
            <w:tcW w:w="1100" w:type="dxa"/>
            <w:vAlign w:val="bottom"/>
          </w:tcPr>
          <w:p>
            <w:pPr>
              <w:jc w:val="right"/>
              <w:ind w:right="414"/>
              <w:spacing w:after="0" w:line="160"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16,965</w:t>
            </w:r>
          </w:p>
        </w:tc>
        <w:tc>
          <w:tcPr>
            <w:tcW w:w="12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10,707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6,258</w:t>
            </w:r>
          </w:p>
        </w:tc>
        <w:tc>
          <w:tcPr>
            <w:tcW w:w="2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58 %</w:t>
            </w:r>
          </w:p>
        </w:tc>
      </w:tr>
      <w:tr>
        <w:trPr>
          <w:trHeight w:val="216"/>
        </w:trPr>
        <w:tc>
          <w:tcPr>
            <w:tcW w:w="5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2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(6,307</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 income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(20,189 )</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(15,674 )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(4,515 )</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-736600</wp:posOffset>
            </wp:positionV>
            <wp:extent cx="6858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-736600</wp:posOffset>
            </wp:positionV>
            <wp:extent cx="60325"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-736600</wp:posOffset>
            </wp:positionV>
            <wp:extent cx="60325"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032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34"/>
              <w:spacing w:after="0" w:line="160" w:lineRule="exact"/>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right"/>
              <w:ind w:right="428"/>
              <w:spacing w:after="0" w:line="160"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Fosgonimeton (ATH-1017)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8,359</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2,533</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ATH-1020</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direct costs</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Indirect costs: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660" w:type="dxa"/>
            <w:vAlign w:val="bottom"/>
            <w:shd w:val="clear" w:color="auto" w:fill="CFF0FC"/>
          </w:tcPr>
          <w:p>
            <w:pPr>
              <w:ind w:left="260"/>
              <w:spacing w:after="0" w:line="170" w:lineRule="exact"/>
              <w:rPr>
                <w:sz w:val="20"/>
                <w:szCs w:val="20"/>
                <w:color w:val="auto"/>
              </w:rPr>
            </w:pPr>
            <w:r>
              <w:rPr>
                <w:rFonts w:ascii="Arial" w:cs="Arial" w:eastAsia="Arial" w:hAnsi="Arial"/>
                <w:sz w:val="18"/>
                <w:szCs w:val="18"/>
                <w:color w:val="auto"/>
              </w:rPr>
              <w:t>Personnel-related costs, including stock-</w:t>
            </w:r>
          </w:p>
        </w:tc>
        <w:tc>
          <w:tcPr>
            <w:tcW w:w="24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3,027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6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based compensation</w:t>
            </w:r>
          </w:p>
        </w:tc>
        <w:tc>
          <w:tcPr>
            <w:tcW w:w="24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Facilities and other costs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16,965</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6,258</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-710565</wp:posOffset>
            </wp:positionV>
            <wp:extent cx="6858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-710565</wp:posOffset>
            </wp:positionV>
            <wp:extent cx="5969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-710565</wp:posOffset>
            </wp:positionV>
            <wp:extent cx="60325"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color w:val="auto"/>
        </w:rPr>
        <w:t>* Not meaningful</w:t>
      </w:r>
    </w:p>
    <w:p>
      <w:pPr>
        <w:spacing w:after="0" w:line="24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Research and development expenses increased by $6.3 million, from $10.7 million for the three months ended September 30, 2021 to $17.0 million for the three months ended September 30, 2022. The increase was driven primarily by an increase in expenses for fosgonimeton of $2.5 million related to continued patient enrollment and clinical site activity for our Phase 2/3 clinical trial and the corresponding open-label extension for our Phase 2 and Phase 2/3 clinical trials, an increase in personnel-related costs of $2.0 million due to an increase in headcount and stock-based compensation expense in connection with current period equity grants to new hires, an increase in preclinical research and development expenses of $1.0 million, and $0.6 million of expense associated with our ATH-1020 Phase 1 clinical trial, which commenced in the first quarter of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General and administrative expenses increased by $0.1 million, from $7.1 million for the three months ended September 30, 2021 to $7.2 million for the three months ended September 30, 2022. The increase was primarily due to an increase in personnel-related costs of</w:t>
      </w:r>
    </w:p>
    <w:p>
      <w:pPr>
        <w:spacing w:after="0" w:line="226" w:lineRule="auto"/>
        <w:rPr>
          <w:sz w:val="20"/>
          <w:szCs w:val="20"/>
          <w:color w:val="auto"/>
        </w:rPr>
      </w:pPr>
      <w:r>
        <w:rPr>
          <w:rFonts w:ascii="Arial" w:cs="Arial" w:eastAsia="Arial" w:hAnsi="Arial"/>
          <w:sz w:val="18"/>
          <w:szCs w:val="18"/>
          <w:color w:val="auto"/>
        </w:rPr>
        <w:t>$1.3 million, due primarily to increases in headcount to support our continued growth and in stock-based compensation expense in connection with current period equity grants to new hires, and an increase in facilities, travel, and other general corporate expenses of $0.4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partially offset by a decrease in legal costs of $1.3 million, and a decrease in professional services expenses of $0.3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5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Grant income increased by $0.9 million, from $2.1 million for the three months ended September 30, 2021 to $3.0 million for the three months ended September 30, 2022. Grant income for the three months ended September 30, 2022 included recognizing $1.3 million of grant</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income for qualifying expenses incurred between January and May 2022, upon the Company receiving approval from the NIH to carry over previously unused budgets.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increased by $0.9 million, from $0.1 million for the three months ended September 30, 2021 to $1.0 million for the</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three months ended September 30, 2022 due to higher interest income earned on our available-for-sale securities resulting from rising interest rates on debt securities, in addition to accretion of discounts on debt securities purchased below par value and held to maturity.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right"/>
              <w:ind w:right="21"/>
              <w:spacing w:after="0"/>
              <w:rPr>
                <w:sz w:val="20"/>
                <w:szCs w:val="20"/>
                <w:color w:val="auto"/>
              </w:rPr>
            </w:pPr>
            <w:r>
              <w:rPr>
                <w:rFonts w:ascii="Arial" w:cs="Arial" w:eastAsia="Arial" w:hAnsi="Arial"/>
                <w:sz w:val="14"/>
                <w:szCs w:val="14"/>
                <w:b w:val="1"/>
                <w:bCs w:val="1"/>
                <w:color w:val="auto"/>
              </w:rPr>
              <w:t>Nine Months Ended 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401"/>
              <w:spacing w:after="0" w:line="160" w:lineRule="exact"/>
              <w:rPr>
                <w:sz w:val="20"/>
                <w:szCs w:val="20"/>
                <w:color w:val="auto"/>
              </w:rPr>
            </w:pPr>
            <w:r>
              <w:rPr>
                <w:rFonts w:ascii="Arial" w:cs="Arial" w:eastAsia="Arial" w:hAnsi="Arial"/>
                <w:sz w:val="14"/>
                <w:szCs w:val="14"/>
                <w:b w:val="1"/>
                <w:bCs w:val="1"/>
                <w:color w:val="auto"/>
              </w:rPr>
              <w:t>Dollar</w:t>
            </w:r>
          </w:p>
        </w:tc>
        <w:tc>
          <w:tcPr>
            <w:tcW w:w="1100" w:type="dxa"/>
            <w:vAlign w:val="bottom"/>
          </w:tcPr>
          <w:p>
            <w:pPr>
              <w:jc w:val="right"/>
              <w:ind w:right="394"/>
              <w:spacing w:after="0" w:line="160"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Change</w:t>
            </w:r>
          </w:p>
        </w:tc>
        <w:tc>
          <w:tcPr>
            <w:tcW w:w="176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46,228</w:t>
            </w:r>
          </w:p>
        </w:tc>
        <w:tc>
          <w:tcPr>
            <w:tcW w:w="12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30,176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16,052</w:t>
            </w:r>
          </w:p>
        </w:tc>
        <w:tc>
          <w:tcPr>
            <w:tcW w:w="180" w:type="dxa"/>
            <w:vAlign w:val="bottom"/>
          </w:tcPr>
          <w:p>
            <w:pPr>
              <w:spacing w:after="0"/>
              <w:rPr>
                <w:sz w:val="18"/>
                <w:szCs w:val="18"/>
                <w:color w:val="auto"/>
              </w:rPr>
            </w:pP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15,068</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9,793</w:t>
            </w: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(71,089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(45,244</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(25,845</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 income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(2,565 )</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(65,504 )</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(38,514 )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(26,990 )</w:t>
            </w: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-1242695</wp:posOffset>
            </wp:positionV>
            <wp:extent cx="6858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-1242695</wp:posOffset>
            </wp:positionV>
            <wp:extent cx="6032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-1242695</wp:posOffset>
            </wp:positionV>
            <wp:extent cx="5969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-676275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-676275</wp:posOffset>
            </wp:positionV>
            <wp:extent cx="6032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-676275</wp:posOffset>
            </wp:positionV>
            <wp:extent cx="5969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14"/>
              <w:spacing w:after="0" w:line="160" w:lineRule="exact"/>
              <w:rPr>
                <w:sz w:val="20"/>
                <w:szCs w:val="20"/>
                <w:color w:val="auto"/>
              </w:rPr>
            </w:pPr>
            <w:r>
              <w:rPr>
                <w:rFonts w:ascii="Arial" w:cs="Arial" w:eastAsia="Arial" w:hAnsi="Arial"/>
                <w:sz w:val="14"/>
                <w:szCs w:val="14"/>
                <w:b w:val="1"/>
                <w:bCs w:val="1"/>
                <w:color w:val="auto"/>
              </w:rPr>
              <w:t>Dollar</w:t>
            </w:r>
          </w:p>
        </w:tc>
        <w:tc>
          <w:tcPr>
            <w:tcW w:w="1320" w:type="dxa"/>
            <w:vAlign w:val="bottom"/>
            <w:gridSpan w:val="2"/>
          </w:tcPr>
          <w:p>
            <w:pPr>
              <w:jc w:val="right"/>
              <w:ind w:right="428"/>
              <w:spacing w:after="0" w:line="160"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Fosgonimeton (ATH-1017)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30,484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24,697</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5,787</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ATH-1020</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direct costs</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36,297</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Indirect costs: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660" w:type="dxa"/>
            <w:vAlign w:val="bottom"/>
            <w:shd w:val="clear" w:color="auto" w:fill="CFF0FC"/>
          </w:tcPr>
          <w:p>
            <w:pPr>
              <w:ind w:left="260"/>
              <w:spacing w:after="0" w:line="170" w:lineRule="exact"/>
              <w:rPr>
                <w:sz w:val="20"/>
                <w:szCs w:val="20"/>
                <w:color w:val="auto"/>
              </w:rPr>
            </w:pPr>
            <w:r>
              <w:rPr>
                <w:rFonts w:ascii="Arial" w:cs="Arial" w:eastAsia="Arial" w:hAnsi="Arial"/>
                <w:sz w:val="18"/>
                <w:szCs w:val="18"/>
                <w:color w:val="auto"/>
              </w:rPr>
              <w:t>Personnel-related costs, including stock-</w:t>
            </w:r>
          </w:p>
        </w:tc>
        <w:tc>
          <w:tcPr>
            <w:tcW w:w="22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8,827</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6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based compensation</w:t>
            </w:r>
          </w:p>
        </w:tc>
        <w:tc>
          <w:tcPr>
            <w:tcW w:w="22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Facilities and other costs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46,228</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30,176</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-710565</wp:posOffset>
            </wp:positionV>
            <wp:extent cx="6858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-710565</wp:posOffset>
            </wp:positionV>
            <wp:extent cx="60325"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-710565</wp:posOffset>
            </wp:positionV>
            <wp:extent cx="60325"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color w:val="auto"/>
        </w:rPr>
        <w:t>* Not meaningful</w:t>
      </w:r>
    </w:p>
    <w:p>
      <w:pPr>
        <w:spacing w:after="0" w:line="24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Research and development expenses increased by $16.1 million, from $30.2 million for the nine months ended September 30, 2021 to $46.2 million for the nine months ended September 30, 2022. The increase was driven primarily by an increase in personnel-related costs of $5.9 million due to an increase in headcount and stock-based compensation expense in connection with current period equity grants to new hires and existing employees, an increase in expenses for fosgonimeton of $5.8 million related to continued patient enrollment and clinical site visit activity for our Phase 2 and Phase 2/3 clinical trials and the corresponding open-label extension for our Phase 2 and Phase 2/3 clinical trials, an increase in preclinical research and development expenses of $2.2 million, and $1.6 million of expense associated with our ATH-1020 Phase 1 clinical trial, which commenced in the first quarter of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General and administrative expenses increased by $9.8 million, from $15.1 million for the nine months ended September 30, 2021 to $24.9 million for the nine months ended September 30, 2022. The increase was primarily due to an increase in personnel-related costs of</w:t>
      </w:r>
    </w:p>
    <w:p>
      <w:pPr>
        <w:jc w:val="both"/>
        <w:spacing w:after="0" w:line="226" w:lineRule="auto"/>
        <w:rPr>
          <w:sz w:val="20"/>
          <w:szCs w:val="20"/>
          <w:color w:val="auto"/>
        </w:rPr>
      </w:pPr>
      <w:r>
        <w:rPr>
          <w:rFonts w:ascii="Arial" w:cs="Arial" w:eastAsia="Arial" w:hAnsi="Arial"/>
          <w:sz w:val="18"/>
          <w:szCs w:val="18"/>
          <w:color w:val="auto"/>
        </w:rPr>
        <w:t>$5.5 million, due primarily to increases in headcount to support our continued growth and in stock-based compensation expense in connection with current period equity grants to new hires and existing employees, an increase in legal costs of $1.6 million, which includes</w:t>
      </w:r>
    </w:p>
    <w:p>
      <w:pPr>
        <w:spacing w:after="0" w:line="236" w:lineRule="auto"/>
        <w:rPr>
          <w:sz w:val="20"/>
          <w:szCs w:val="20"/>
          <w:color w:val="auto"/>
        </w:rPr>
      </w:pPr>
      <w:r>
        <w:rPr>
          <w:rFonts w:ascii="Arial" w:cs="Arial" w:eastAsia="Arial" w:hAnsi="Arial"/>
          <w:sz w:val="18"/>
          <w:szCs w:val="18"/>
          <w:color w:val="auto"/>
        </w:rPr>
        <w:t>costs related to our ongoing legal proceedings and the proxy contest in connection with our 2022 annual stockholders meeting, an increase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business development expenses of $0.9 million, an increase in insurance and other general corporate expenses of $0.8 million, an increase in professional services expenses of $0.5 million, and to a lesser extent, an increase in facilities costs.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3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Grant income decreased by $2.6 million, from $6.5 million for the nine months ended September 30, 2021 to $3.9 million for the nine months ended September 30, 2022. The decrease was driven by a decrease in expenses qualifying for reimbursement under the terms of the NIH grants upon the public readout of topline data of our Phase 2 ACT-AD clinical trial in the second quarter of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Other income, net, increased by $1.4 million, from $0.2 million for the nine months ended September 30, 2021 to $1.7 million for the nine months ended September 30, 2022 due to higher interest income earned on our available-for-sale securities resulting from rising</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interest rates on debt securities, in addition to accretion of discounts on debt securities purchased below par value and held to maturity.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inception through September 30, 2022, we have raised aggregate net cash proceeds of $407.4 million primarily from the issuance of our common stock, convertible preferred stock, common stock warrants, and convertible notes.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Recent sales of our common stock were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7"/>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7"/>
              <w:spacing w:after="0"/>
              <w:rPr>
                <w:sz w:val="20"/>
                <w:szCs w:val="20"/>
                <w:color w:val="auto"/>
              </w:rPr>
            </w:pPr>
            <w:r>
              <w:rPr>
                <w:rFonts w:ascii="Arial" w:cs="Arial" w:eastAsia="Arial" w:hAnsi="Arial"/>
                <w:sz w:val="14"/>
                <w:szCs w:val="14"/>
                <w:b w:val="1"/>
                <w:bCs w:val="1"/>
                <w:color w:val="auto"/>
              </w:rPr>
              <w:t>Proceeds</w:t>
            </w:r>
          </w:p>
        </w:tc>
        <w:tc>
          <w:tcPr>
            <w:tcW w:w="80" w:type="dxa"/>
            <w:vAlign w:val="bottom"/>
          </w:tcPr>
          <w:p>
            <w:pPr>
              <w:spacing w:after="0"/>
              <w:rPr>
                <w:sz w:val="15"/>
                <w:szCs w:val="15"/>
                <w:color w:val="auto"/>
              </w:rPr>
            </w:pPr>
          </w:p>
        </w:tc>
      </w:tr>
      <w:tr>
        <w:trPr>
          <w:trHeight w:val="185"/>
        </w:trPr>
        <w:tc>
          <w:tcPr>
            <w:tcW w:w="50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Issued</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6"/>
                <w:szCs w:val="16"/>
                <w:color w:val="auto"/>
              </w:rPr>
            </w:pP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September 2020 IPO</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October 2020 overallotment exercise</w:t>
            </w:r>
          </w:p>
        </w:tc>
        <w:tc>
          <w:tcPr>
            <w:tcW w:w="1140" w:type="dxa"/>
            <w:vAlign w:val="bottom"/>
          </w:tcPr>
          <w:p>
            <w:pPr>
              <w:jc w:val="right"/>
              <w:spacing w:after="0"/>
              <w:rPr>
                <w:sz w:val="20"/>
                <w:szCs w:val="20"/>
                <w:color w:val="auto"/>
              </w:rPr>
            </w:pPr>
            <w:r>
              <w:rPr>
                <w:rFonts w:ascii="Arial" w:cs="Arial" w:eastAsia="Arial" w:hAnsi="Arial"/>
                <w:sz w:val="18"/>
                <w:szCs w:val="18"/>
                <w:color w:val="auto"/>
              </w:rPr>
              <w:t>1,397,712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January 2021 follow-on public offering</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February 2021 overallotment exercise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r>
      <w:tr>
        <w:trPr>
          <w:trHeight w:val="250"/>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17,997,712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-24765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1"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As of September 30, 2022, we had $260.0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and Future Funding Requirements</w:t>
      </w:r>
    </w:p>
    <w:p>
      <w:pPr>
        <w:spacing w:after="0" w:line="25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material cash requirements include our operating leases for laboratory and office facilities. As of September 30, 2022, we had lease payment obligations of $2.4 million, with $0.5 million payable within 12 months. For additional information regarding our lease commitments, see Note 8 to our unaudited condensed consolidated financial statements included elsewhere in this report. We are contingently committed to $0.9 million of potential future research and development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7 to our unaudited condensed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product candidates through clinical trials, increase our headcount to support our operations, and incur legal and other professional expenses related to our ongoing litigation. We cannot predict with certainty the amount and timing of these increased expenses.</w:t>
      </w:r>
    </w:p>
    <w:p>
      <w:pPr>
        <w:spacing w:after="0" w:line="22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Based upon our current operating plan, we estimate that our $260.0 million of cash, cash equivalents and investments at September 30, 2022 will be sufficient to fund our operating expenses and capital expenditure requirements through at least the next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4" w:name="page35"/>
    <w:bookmarkEnd w:id="34"/>
    <w:p>
      <w:pPr>
        <w:jc w:val="both"/>
        <w:spacing w:after="0" w:line="248" w:lineRule="auto"/>
        <w:rPr>
          <w:sz w:val="20"/>
          <w:szCs w:val="20"/>
          <w:color w:val="auto"/>
        </w:rPr>
      </w:pPr>
      <w:r>
        <w:rPr>
          <w:rFonts w:ascii="Arial" w:cs="Arial" w:eastAsia="Arial" w:hAnsi="Arial"/>
          <w:sz w:val="18"/>
          <w:szCs w:val="18"/>
          <w:color w:val="auto"/>
        </w:rPr>
        <w:t>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1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7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related to ongoing legal proceedings;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any expenses needed to attract, hire and retain skilled personnel;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expanding our laboratory and office facilities; and</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companies’ product candidates and technologies or engage in other strategic transactions.</w:t>
      </w:r>
    </w:p>
    <w:p>
      <w:pPr>
        <w:spacing w:after="0" w:line="19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(56,802 )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(24,921 )</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33,017</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(25,452 )</w:t>
            </w:r>
          </w:p>
        </w:tc>
        <w:tc>
          <w:tcPr>
            <w:tcW w:w="0" w:type="dxa"/>
            <w:vAlign w:val="bottom"/>
          </w:tcPr>
          <w:p>
            <w:pPr>
              <w:spacing w:after="0"/>
              <w:rPr>
                <w:sz w:val="1"/>
                <w:szCs w:val="1"/>
                <w:color w:val="auto"/>
              </w:rPr>
            </w:pPr>
          </w:p>
        </w:tc>
      </w:tr>
      <w:tr>
        <w:trPr>
          <w:trHeight w:val="216"/>
        </w:trPr>
        <w:tc>
          <w:tcPr>
            <w:tcW w:w="536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36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Net (decrease) increase in cash, cash equivalents and restricted</w:t>
            </w:r>
          </w:p>
        </w:tc>
        <w:tc>
          <w:tcPr>
            <w:tcW w:w="2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(23,278 )</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46,703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cash</w:t>
            </w:r>
          </w:p>
        </w:tc>
        <w:tc>
          <w:tcPr>
            <w:tcW w:w="26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During the nine months ended September 30, 2022, net cash used in operating activities was $56.8 million. This consisted primarily of a net loss of $65.5 million, partially offset by non-cash charges of $8.9 million and an increase in our net operating assets of $0.2 million. The non-cash charges primarily consisted of stock-based compensation expense, depreciation expense, and non-cash lease expense. The increase in our net operating assets was primarily due to an increase in prepaid expenses and other current assets, offset by a decrease in unbilled grant receivable, and an increase in accounts payable and accrued expenses.</w:t>
      </w:r>
    </w:p>
    <w:p>
      <w:pPr>
        <w:spacing w:after="0" w:line="2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the nine months ended September 30, 2021, net cash used in operating activities was $24.9 million. This consisted primarily of a net loss of $38.5 million, partially offset by non-cash charges of $3.9 million and a decrease in our net operating assets of $ 9.7 million. The non-cash charges primarily consisted of stock-based compensation expense, depreciation expense, and amortization of premiums and accretion of discounts on available-for-sale securities. The decrease in our net operating assets was due to a decrease in prepaid expenses and other current assets and an increase in accounts payable and accrued expenses, partially offset by an increase in unbilled grant receivable.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nine months ended September 30, 2022, net cash provided by investing was $33.0 million. This consisted of maturities of available-for-sale securities, partially offset by purchases of available-for-sale securities and property and equipment.</w:t>
      </w:r>
    </w:p>
    <w:p>
      <w:pPr>
        <w:spacing w:after="0" w:line="19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During the nine months ended September 30, 2021, net cash used in investing was $25.5 million. This consisted of purchases of available-for-sale securities and purchases of property and equipment, partially offset by maturities and proceeds from sales of available-for-sale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nine months ended September 30, 2022, net cash provided by financing activities was $0.5 million, consisting of proceeds received from exercises of stock options.</w:t>
      </w:r>
    </w:p>
    <w:p>
      <w:pPr>
        <w:spacing w:after="0" w:line="1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nine months ended September 30, 2021, net cash provided by financing activities was $97.1 million, primarily driven by proceeds received from our follow-on public offering, and to a lesser extent from exercises of stock options.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52"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which form the basis for making judgments about the carrying value of assets and liabilities that are not readily apparent from other sources.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may differ from these estimates under different assumptions or conditions.</w:t>
      </w:r>
    </w:p>
    <w:p>
      <w:pPr>
        <w:spacing w:after="0" w:line="23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p>
    <w:p>
      <w:pPr>
        <w:spacing w:after="0" w:line="20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During the nine months ended September 30, 2022,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28, 2022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spacing w:after="0" w:line="8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costs;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stock-based compensation;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income taxes;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grant income.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See Note 2 to our unaudited interim condensed consolidated financial statements included elsewhere in this Quarterly Report on Form 10-Q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5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Securities Exchange Act of 1934, as amended,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52" w:lineRule="auto"/>
        <w:rPr>
          <w:sz w:val="20"/>
          <w:szCs w:val="20"/>
          <w:color w:val="auto"/>
        </w:rPr>
      </w:pPr>
      <w:r>
        <w:rPr>
          <w:rFonts w:ascii="Arial" w:cs="Arial" w:eastAsia="Arial" w:hAnsi="Arial"/>
          <w:sz w:val="18"/>
          <w:szCs w:val="18"/>
          <w:color w:val="auto"/>
        </w:rPr>
        <w:t>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21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The following is a brief description of the more significant legal proceedings in which we are involved.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Actions</w:t>
      </w:r>
    </w:p>
    <w:p>
      <w:pPr>
        <w:spacing w:after="0" w:line="26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cs="Arial" w:eastAsia="Arial" w:hAnsi="Arial"/>
          <w:sz w:val="18"/>
          <w:szCs w:val="18"/>
          <w:i w:val="1"/>
          <w:iCs w:val="1"/>
          <w:color w:val="auto"/>
        </w:rPr>
        <w:t>Wang v. Athira Pharma,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2:21-cv-00861. Plaintiffs Wang and Gao assert claims under Sections 10(b) and 20(a) of the Securities Exchange Act of 1934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Act") and SEC Rule 10b-5, alleging that the defendants made materially false and misleading statements and omitted material adverse facts regarding our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we failed to disclose to investors that certain research conducted by Dr. Kawas was allegedly tainted by scientific misconduct during her doctoral work at Washington State University, or WSU, including the manipulation of data, and that as a result, the defendants’ positive statements about our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19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us, Dr. Kawas, the Company’s Chief Financial Officer, certain members of our board of directors at the time of our IPO, as well as the IPO underwriters, captioned </w:t>
      </w:r>
      <w:r>
        <w:rPr>
          <w:rFonts w:ascii="Arial" w:cs="Arial" w:eastAsia="Arial" w:hAnsi="Arial"/>
          <w:sz w:val="18"/>
          <w:szCs w:val="18"/>
          <w:i w:val="1"/>
          <w:iCs w:val="1"/>
          <w:color w:val="auto"/>
        </w:rPr>
        <w:t>Jawandha v. Athira Pharma, Inc., et al.</w:t>
      </w:r>
      <w:r>
        <w:rPr>
          <w:rFonts w:ascii="Arial" w:cs="Arial" w:eastAsia="Arial" w:hAnsi="Arial"/>
          <w:sz w:val="18"/>
          <w:szCs w:val="18"/>
          <w:color w:val="auto"/>
        </w:rPr>
        <w:t xml:space="preserve">, No. 2:21-cv-00862. The </w:t>
      </w:r>
      <w:r>
        <w:rPr>
          <w:rFonts w:ascii="Arial" w:cs="Arial" w:eastAsia="Arial" w:hAnsi="Arial"/>
          <w:sz w:val="18"/>
          <w:szCs w:val="18"/>
          <w:i w:val="1"/>
          <w:iCs w:val="1"/>
          <w:color w:val="auto"/>
        </w:rPr>
        <w:t xml:space="preserve">Jawandha </w:t>
      </w:r>
      <w:r>
        <w:rPr>
          <w:rFonts w:ascii="Arial" w:cs="Arial" w:eastAsia="Arial" w:hAnsi="Arial"/>
          <w:sz w:val="18"/>
          <w:szCs w:val="18"/>
          <w:color w:val="auto"/>
        </w:rPr>
        <w:t>complaint asserts violations of Sections 11 and 15 of the Securities Act of 1933 ("Securities Act"), alleging that that our IPO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plaintiff seeks unspecified compensatory damages, and reasonable costs and expenses, including attorneys’ fees.</w:t>
      </w:r>
    </w:p>
    <w:p>
      <w:pPr>
        <w:spacing w:after="0" w:line="193"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us, Dr. Kawas, our Chief Financial Officer, and the same members of our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alleging that purported issues with Dr. Kawas’s doctoral research at WSU should have been disclosed in our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17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On August 9, 2021, the court issued an order consolidating the three cases. On October 5, 2021, the district court issued an order appointing lead plaintiffs and approved their selection of lead and liaison counsel.</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Securities Exchange Act and SEC Rule 10b-5 and Sections 11, 12, and 15 of the Securities Act. The consolidated amended complaint is brought against us, Dr. Kawas, our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9" w:name="page40"/>
    <w:bookmarkEnd w:id="39"/>
    <w:p>
      <w:pPr>
        <w:jc w:val="both"/>
        <w:ind w:firstLine="509"/>
        <w:spacing w:after="0" w:line="247" w:lineRule="auto"/>
        <w:rPr>
          <w:sz w:val="20"/>
          <w:szCs w:val="20"/>
          <w:color w:val="auto"/>
        </w:rPr>
      </w:pPr>
      <w:r>
        <w:rPr>
          <w:rFonts w:ascii="Arial" w:cs="Arial" w:eastAsia="Arial" w:hAnsi="Arial"/>
          <w:sz w:val="18"/>
          <w:szCs w:val="18"/>
          <w:color w:val="auto"/>
        </w:rPr>
        <w:t>On August 12, 2022, defendant Dr. Kawas filed a motion for partial reconsideration of the court’s July 29, 2022 order. On October 4, 2022, the court denied the motion. On October 13, 2022, the court granted defendants an extension to file their answer(s) until November 4, 2022. On October 24, 2022, the parties filed a (i) joint status report and discovery plan and (ii) stipulation and case scheduling order, wherein the parties proposed deadlines for material case events, including the completion of fact discovery, expert discovery, and dispositive motion practice.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Derivative Actions</w:t>
      </w:r>
    </w:p>
    <w:p>
      <w:pPr>
        <w:spacing w:after="0" w:line="25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 xml:space="preserve">On April 14, 2022, a shareholder derivative action was filed by plaintiff Stephen Bushansky in the U.S. District Court for the Western District of Washington against certain current and former members of our board of directors, captioned </w:t>
      </w:r>
      <w:r>
        <w:rPr>
          <w:rFonts w:ascii="Arial" w:cs="Arial" w:eastAsia="Arial" w:hAnsi="Arial"/>
          <w:sz w:val="18"/>
          <w:szCs w:val="18"/>
          <w:i w:val="1"/>
          <w:iCs w:val="1"/>
          <w:color w:val="auto"/>
        </w:rPr>
        <w:t>Bushansky v. Kawas et al.</w:t>
      </w:r>
      <w:r>
        <w:rPr>
          <w:rFonts w:ascii="Arial" w:cs="Arial" w:eastAsia="Arial" w:hAnsi="Arial"/>
          <w:sz w:val="18"/>
          <w:szCs w:val="18"/>
          <w:color w:val="auto"/>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21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 xml:space="preserve">On May 6, 2022, a second shareholder derivative action was filed by plaintiff Thomas Houlihan in the U.S. District Court for the Western District of Washington against certain of our current and former directors and officers, captioned </w:t>
      </w:r>
      <w:r>
        <w:rPr>
          <w:rFonts w:ascii="Arial" w:cs="Arial" w:eastAsia="Arial" w:hAnsi="Arial"/>
          <w:sz w:val="18"/>
          <w:szCs w:val="18"/>
          <w:i w:val="1"/>
          <w:iCs w:val="1"/>
          <w:color w:val="auto"/>
        </w:rPr>
        <w:t>Houlihan v. Kawas et al</w:t>
      </w:r>
      <w:r>
        <w:rPr>
          <w:rFonts w:ascii="Arial" w:cs="Arial" w:eastAsia="Arial" w:hAnsi="Arial"/>
          <w:sz w:val="18"/>
          <w:szCs w:val="18"/>
          <w:color w:val="auto"/>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May 26, 2022, the court issued an order consolidating the cases and staying them until further order of the court.</w:t>
      </w:r>
    </w:p>
    <w:p>
      <w:pPr>
        <w:spacing w:after="0" w:line="2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cannot predict the outcome of these suits. Failure by us to obtain a favorable resolution of these suits could have a material adverse effect on our business,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31F20"/>
        </w:rPr>
        <w:t xml:space="preserve">You should carefully consider the </w:t>
      </w:r>
      <w:r>
        <w:rPr>
          <w:rFonts w:ascii="Arial" w:cs="Arial" w:eastAsia="Arial" w:hAnsi="Arial"/>
          <w:sz w:val="18"/>
          <w:szCs w:val="18"/>
          <w:i w:val="1"/>
          <w:iCs w:val="1"/>
          <w:color w:val="231F20"/>
        </w:rPr>
        <w:t>following risk factors, in addition to</w:t>
      </w:r>
      <w:r>
        <w:rPr>
          <w:rFonts w:ascii="Arial" w:cs="Arial" w:eastAsia="Arial" w:hAnsi="Arial"/>
          <w:sz w:val="18"/>
          <w:szCs w:val="18"/>
          <w:color w:val="231F20"/>
        </w:rPr>
        <w:t xml:space="preserve"> the other information </w:t>
      </w:r>
      <w:r>
        <w:rPr>
          <w:rFonts w:ascii="Arial" w:cs="Arial" w:eastAsia="Arial" w:hAnsi="Arial"/>
          <w:sz w:val="18"/>
          <w:szCs w:val="18"/>
          <w:i w:val="1"/>
          <w:iCs w:val="1"/>
          <w:color w:val="231F20"/>
        </w:rPr>
        <w:t>contained in this report</w:t>
      </w:r>
      <w:r>
        <w:rPr>
          <w:rFonts w:ascii="Arial" w:cs="Arial" w:eastAsia="Arial" w:hAnsi="Arial"/>
          <w:sz w:val="18"/>
          <w:szCs w:val="18"/>
          <w:color w:val="231F20"/>
        </w:rPr>
        <w:t xml:space="preserve">, </w:t>
      </w:r>
      <w:r>
        <w:rPr>
          <w:rFonts w:ascii="Arial" w:cs="Arial" w:eastAsia="Arial" w:hAnsi="Arial"/>
          <w:sz w:val="18"/>
          <w:szCs w:val="18"/>
          <w:i w:val="1"/>
          <w:iCs w:val="1"/>
          <w:color w:val="231F20"/>
        </w:rPr>
        <w:t>including the</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“Management’s Discussion and Analysis of Financial Condition and Results of Operations” 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cs="Arial" w:eastAsia="Arial" w:hAnsi="Arial"/>
          <w:sz w:val="18"/>
          <w:szCs w:val="18"/>
          <w:i w:val="1"/>
          <w:iCs w:val="1"/>
          <w:color w:val="000000"/>
        </w:rPr>
        <w:t>Our Risk Factors are not guarantees</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that no such conditions exist as of the date of this report and should not be interpreted as an affirmative statement that such risks or conditions have not materialized, in whole or in part.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5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To date, we have not completed a potentially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8"/>
          <w:szCs w:val="18"/>
          <w:color w:val="auto"/>
        </w:rPr>
        <w:t>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9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fosgonimeton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agree with our study design, protocol or protocol amendments, statistical plan, or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2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fosgonimeton and one or more of our other future product candidates. Our ability to generate revenue and achieve profitability depends significantly on our ability to achieve a number of objectives, including:</w:t>
      </w:r>
    </w:p>
    <w:p>
      <w:pPr>
        <w:spacing w:after="0" w:line="82" w:lineRule="exact"/>
        <w:rPr>
          <w:sz w:val="20"/>
          <w:szCs w:val="20"/>
          <w:color w:val="auto"/>
        </w:rPr>
      </w:pPr>
    </w:p>
    <w:p>
      <w:pPr>
        <w:jc w:val="both"/>
        <w:ind w:left="102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COVID-19 or other causes;</w:t>
      </w:r>
    </w:p>
    <w:p>
      <w:pPr>
        <w:spacing w:after="0" w:line="7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59"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7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protecting our rights in our intellectual property portfolio;</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ind w:left="1020" w:hanging="503"/>
        <w:spacing w:after="0" w:line="28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5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2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development of fosgonimeton may never lead to a marketable product.</w:t>
      </w:r>
    </w:p>
    <w:p>
      <w:pPr>
        <w:spacing w:after="0" w:line="2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endpoint of the ACT-AD trial was not met by protocoled analysis. While we are continuing with the LIFT-AD study, we may not succeed in demonstrating safety and efficacy of fosgonimeton in our LIFT-AD trial or in other clinical trials.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Advancing fosgonimeton as a small molecule aimed at restoring neuronal health creates significant challenges for us, including:</w:t>
      </w:r>
    </w:p>
    <w:p>
      <w:pPr>
        <w:spacing w:after="0" w:line="10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38"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spacing w:after="0" w:line="19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1a/1b and Phase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b w:val="1"/>
          <w:bCs w:val="1"/>
          <w:i w:val="1"/>
          <w:iCs w:val="1"/>
          <w:color w:val="auto"/>
        </w:rPr>
        <w:t>2 clinical trials to date, and we cannot be certain that future trials will yield data in support of the safety, efficacy and tolerability of our product candidates.</w:t>
      </w:r>
    </w:p>
    <w:p>
      <w:pPr>
        <w:spacing w:after="0" w:line="165"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fosgonimeton, which is under development to treat Alzheimer’s disease, or AD, and Parkinson’s disease dementia, or PDD. Our product candidates target a brain growth factor which is expected to increase synaptic density, recovery in the network and</w:t>
      </w:r>
    </w:p>
    <w:p>
      <w:pPr>
        <w:jc w:val="both"/>
        <w:spacing w:after="0" w:line="211" w:lineRule="auto"/>
        <w:rPr>
          <w:sz w:val="20"/>
          <w:szCs w:val="20"/>
          <w:color w:val="auto"/>
        </w:rPr>
      </w:pPr>
      <w:r>
        <w:rPr>
          <w:rFonts w:ascii="Arial" w:cs="Arial" w:eastAsia="Arial" w:hAnsi="Arial"/>
          <w:sz w:val="18"/>
          <w:szCs w:val="18"/>
          <w:color w:val="auto"/>
        </w:rPr>
        <w:t>information transmission in the brain, which we believe could ultimately result in improvement in cognition and clinical symptoms. The therapeutic promise of brain growth factors in neurodegenerative disorders had been hampered in earlier therapies by the lack of efficient</w:t>
      </w:r>
    </w:p>
    <w:p>
      <w:pPr>
        <w:spacing w:after="0" w:line="1"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194"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8"/>
          <w:szCs w:val="18"/>
          <w:color w:val="auto"/>
        </w:rPr>
        <w:t>Based on the results of our nonclinical and clinical studies to date, we believe fosgonimeton has the potential to rapidly improve cognition and durably restore the lives of patients suffering from AD. However, these ideas and this approach are novel, and we currently</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have limited data based on our Phase 1a/b and Phase 2 clinical trials to date. We announced topline results from our Phase 2 ACT-AD clinical trial in June 2022. The primary endpoint was not met by protocoled analysis; however, a pre-specified subgroup analysis indicated a</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potential diminished effect of fosgonimeton when given in combination with add-on standard-of-care AChEIs. A subsequent post hoc analysis of the data from patients on fosgonimeton without background therapy (AChEIs) showed a meaningful, but not statistically significant, improvement in both ERP P300 latency and cognitive performance compared to placebo at 26 weeks. Although post-hoc analyses cannot be</w:t>
      </w:r>
    </w:p>
    <w:p>
      <w:pPr>
        <w:jc w:val="both"/>
        <w:spacing w:after="0" w:line="211" w:lineRule="auto"/>
        <w:rPr>
          <w:sz w:val="20"/>
          <w:szCs w:val="20"/>
          <w:color w:val="auto"/>
        </w:rPr>
      </w:pPr>
      <w:r>
        <w:rPr>
          <w:rFonts w:ascii="Arial" w:cs="Arial" w:eastAsia="Arial" w:hAnsi="Arial"/>
          <w:sz w:val="18"/>
          <w:szCs w:val="18"/>
          <w:color w:val="auto"/>
        </w:rPr>
        <w:t>used to establish efficacy, these analyses can be helpful in informing the design of current and future clinical studies. Data from our Phase 1a/1b and Phase 2 clinical trials to date were obtained from a relatively small number of subjects and we cannot be certain that future trials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involving a larger number of subjects and clinical sites will yield data in support of the safety, efficacy and tolerability of our product candidates. We may ultimately discover that fosgonimeton, or any of our other small molecules, do not possess certain properties required</w:t>
      </w:r>
    </w:p>
    <w:p>
      <w:pPr>
        <w:jc w:val="both"/>
        <w:spacing w:after="0" w:line="211" w:lineRule="auto"/>
        <w:rPr>
          <w:sz w:val="20"/>
          <w:szCs w:val="20"/>
          <w:color w:val="auto"/>
        </w:rPr>
      </w:pPr>
      <w:r>
        <w:rPr>
          <w:rFonts w:ascii="Arial" w:cs="Arial" w:eastAsia="Arial" w:hAnsi="Arial"/>
          <w:sz w:val="18"/>
          <w:szCs w:val="18"/>
          <w:color w:val="auto"/>
        </w:rPr>
        <w:t>for therapeutic effectiveness. We have limited evidence regarding the efficacy, safety and tolerability of fosgonimeton and other small molecules in our product platform. We may spend substantial funds attempting to develop these product candidates and never succeed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doing so.</w:t>
      </w:r>
    </w:p>
    <w:p>
      <w:pPr>
        <w:spacing w:after="0" w:line="223"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central nervous system and peripheral degenerative disorders, a field that has seen very limited success in product development.</w:t>
      </w:r>
    </w:p>
    <w:p>
      <w:pPr>
        <w:spacing w:after="0" w:line="20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focused our research and development efforts on addressing central nervous system, or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2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b w:val="1"/>
          <w:bCs w:val="1"/>
          <w:i w:val="1"/>
          <w:iCs w:val="1"/>
          <w:color w:val="auto"/>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21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3" w:name="page44"/>
    <w:bookmarkEnd w:id="43"/>
    <w:p>
      <w:pPr>
        <w:jc w:val="both"/>
        <w:ind w:firstLine="509"/>
        <w:spacing w:after="0" w:line="243" w:lineRule="auto"/>
        <w:rPr>
          <w:sz w:val="20"/>
          <w:szCs w:val="20"/>
          <w:color w:val="auto"/>
        </w:rPr>
      </w:pPr>
      <w:r>
        <w:rPr>
          <w:rFonts w:ascii="Arial" w:cs="Arial" w:eastAsia="Arial" w:hAnsi="Arial"/>
          <w:sz w:val="18"/>
          <w:szCs w:val="18"/>
          <w:color w:val="auto"/>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 As discussed under “</w:t>
      </w:r>
      <w:r>
        <w:rPr>
          <w:rFonts w:ascii="Arial" w:cs="Arial" w:eastAsia="Arial" w:hAnsi="Arial"/>
          <w:sz w:val="18"/>
          <w:szCs w:val="18"/>
          <w:i w:val="1"/>
          <w:iCs w:val="1"/>
          <w:color w:val="auto"/>
        </w:rPr>
        <w:t>—The loss of any of our key personnel could significantly harm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and competitive position,</w:t>
      </w:r>
      <w:r>
        <w:rPr>
          <w:rFonts w:ascii="Arial" w:cs="Arial" w:eastAsia="Arial" w:hAnsi="Arial"/>
          <w:sz w:val="18"/>
          <w:szCs w:val="18"/>
          <w:color w:val="auto"/>
        </w:rPr>
        <w:t>” on October 18, 2021, Dr. Kawas submitted her resignation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as a member of our board of directors, effective October 18, 2021. Concurrently with Dr. Kawas’s resignation, our board of directors appointed Mark Litton, Ph.D., MBA as president and chief executive officer and as a member of our board of directors.</w:t>
      </w:r>
    </w:p>
    <w:p>
      <w:pPr>
        <w:spacing w:after="0" w:line="22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disclosed elsewhere in this report, including in this “Risk Factors” section under the heading “</w:t>
      </w:r>
      <w:r>
        <w:rPr>
          <w:rFonts w:ascii="Arial" w:cs="Arial" w:eastAsia="Arial" w:hAnsi="Arial"/>
          <w:sz w:val="18"/>
          <w:szCs w:val="18"/>
          <w:i w:val="1"/>
          <w:iCs w:val="1"/>
          <w:color w:val="auto"/>
        </w:rPr>
        <w:t>—We and certain of our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have been named as defendants in lawsuits that could result in substantial costs and divert management’s attention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spacing w:after="0" w:line="22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Washington State University has undertaken a review of claims of potential research misconduct involving our former chief executive officer’s doctoral research at Washington State University.</w:t>
      </w:r>
    </w:p>
    <w:p>
      <w:pPr>
        <w:spacing w:after="0" w:line="18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investigation of the independent special committee of our board of directors, the conclusions of which are discussed under “—</w:t>
      </w:r>
      <w:r>
        <w:rPr>
          <w:rFonts w:ascii="Arial" w:cs="Arial" w:eastAsia="Arial" w:hAnsi="Arial"/>
          <w:sz w:val="18"/>
          <w:szCs w:val="18"/>
          <w:i w:val="1"/>
          <w:iCs w:val="1"/>
          <w:color w:val="auto"/>
        </w:rPr>
        <w:t>An</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 w:cs="Arial" w:eastAsia="Arial" w:hAnsi="Arial"/>
          <w:sz w:val="18"/>
          <w:szCs w:val="18"/>
          <w:color w:val="auto"/>
        </w:rPr>
        <w:t>”. The conclusions from WSU’s investigation could have a material adverse impact on our business, reputation, scientific credibility,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prospects, as well as our in-licensed patents and pending patent applications, current grants and pending grant applications, and our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relationship with WSU, from whom we in-license patents and patent applications underlying certain of our product candidates.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ind w:firstLine="509"/>
        <w:spacing w:after="0" w:line="254"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20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lead product candidate, fosgonimeton, is in clinical development for the potential treatment of AD and PDD and ATH-1020, an orally available, brain-penetrant small molecule for neuropsychiatric conditions, is in a Phase 1 clinical trial. Our additional early product candidates are in nonclinical development. It is impossible to predict when or if any of our product candidates will prove to be effective and safe in humans or will receive regulatory approval.</w:t>
      </w:r>
    </w:p>
    <w:p>
      <w:pPr>
        <w:spacing w:after="0" w:line="21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which included a larger patient population, approximately 60% of which were receiving standard-of-care AChEIs, did not meet its primary endpoint of a change in ERP P300 latency for the full study population. Although a pre-specified subgroup analysis indicated a potential diminished effect of fosgonimeton when given in combination with add-on standard-of-care AChEIs, we cannot be sure that data from future trials will support similar conclusions or the safety, effectiveness or tolerability of fosgonimeton for treatment of AD. Likewise, early, smaller-scale studies and clinical trials with a single or relatively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2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spacing w:after="0" w:line="22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On July 6, 2021, we announced the initiation of an open-label extension for the LIFT-AD and ACT-AD trials and in May 2022 we announced the extension of the open label extension for an additional 12 months. Following completion of the 26-week treatment period during the LIFT-AD or ACT-AD trials, patients may elect to continue on the open-label extension and receive treatment with fosgonimeton for up to an additional 18 months.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5" w:name="page46"/>
    <w:bookmarkEnd w:id="45"/>
    <w:p>
      <w:pPr>
        <w:jc w:val="both"/>
        <w:spacing w:after="0" w:line="246" w:lineRule="auto"/>
        <w:rPr>
          <w:sz w:val="20"/>
          <w:szCs w:val="20"/>
          <w:color w:val="auto"/>
        </w:rPr>
      </w:pPr>
      <w:r>
        <w:rPr>
          <w:rFonts w:ascii="Arial" w:cs="Arial" w:eastAsia="Arial" w:hAnsi="Arial"/>
          <w:sz w:val="18"/>
          <w:szCs w:val="18"/>
          <w:color w:val="auto"/>
        </w:rPr>
        <w:t>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1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6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with our ATH clinical development strategy or statistical plan;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regulations or administrative actions;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our ability to commence a clinical trial;</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IRB approval at each clinical trial site;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demonstrate a benefit from using a product candidate;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adding a sufficient number of clinical trial sites; or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25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1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ind w:right="20"/>
        <w:spacing w:after="0" w:line="271" w:lineRule="auto"/>
        <w:rPr>
          <w:sz w:val="20"/>
          <w:szCs w:val="20"/>
          <w:color w:val="auto"/>
        </w:rPr>
      </w:pPr>
      <w:r>
        <w:rPr>
          <w:rFonts w:ascii="Arial" w:cs="Arial" w:eastAsia="Arial" w:hAnsi="Arial"/>
          <w:sz w:val="18"/>
          <w:szCs w:val="18"/>
          <w:color w:val="auto"/>
        </w:rPr>
        <w:t>trials will increase our costs, slow down our product candidate development and approval process and jeopardize our ability to commence product sales and generate revenues.</w:t>
      </w:r>
    </w:p>
    <w:p>
      <w:pPr>
        <w:spacing w:after="0" w:line="19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product is administered;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24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11"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conclusions as part of our analyses of data, and we may not have received or had the opportunity to fully and carefully evaluate all data. As a result, the topline or preliminary results that we report may differ from future results of the same studies, or different conclusions or</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21" w:lineRule="exact"/>
        <w:rPr>
          <w:sz w:val="20"/>
          <w:szCs w:val="20"/>
          <w:color w:val="auto"/>
        </w:rPr>
      </w:pPr>
    </w:p>
    <w:p>
      <w:pPr>
        <w:jc w:val="both"/>
        <w:ind w:firstLine="515"/>
        <w:spacing w:after="0" w:line="237"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For example, in October 2022 we announced that an independent data monitoring committee had conducted an unblinded interim efficacy and futility analysis with respect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Phase 2/3 LIFT-AD clinical trial. Interim data from clinical trials that we may complete are subject to the risk that one or more of the clinical outcomes may materially change as patient enrollment continues and more patient data become available or as patients from our</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21" w:lineRule="exact"/>
        <w:rPr>
          <w:sz w:val="20"/>
          <w:szCs w:val="20"/>
          <w:color w:val="auto"/>
        </w:rPr>
      </w:pPr>
    </w:p>
    <w:p>
      <w:pPr>
        <w:jc w:val="both"/>
        <w:ind w:firstLine="515"/>
        <w:spacing w:after="0" w:line="237"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P300 Phase 2 clinical trial, to better understand the overall effects of fosgonimeton on working memory processing speed and cognitive measures. Topline results of ACT-AD were announced in June 2022. We used these data to help inform strategic decisions around LIFT-AD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and expect to use these data to help inform strategic decisions in the future 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 decisions regarding any additional trials for fosgonimeton.</w:t>
      </w:r>
    </w:p>
    <w:p>
      <w:pPr>
        <w:spacing w:after="0" w:line="221" w:lineRule="exact"/>
        <w:rPr>
          <w:sz w:val="20"/>
          <w:szCs w:val="20"/>
          <w:color w:val="auto"/>
        </w:rPr>
      </w:pPr>
    </w:p>
    <w:p>
      <w:pPr>
        <w:jc w:val="both"/>
        <w:ind w:firstLine="515"/>
        <w:spacing w:after="0" w:line="25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commercialization of the particular product candidate or product and our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in general. In addition, the information we choose to publicly disclose regarding a particular study or clinical trial is based on what is typically</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disagree with the conclusions reached, our ability to obtain approval for, and commercialize, our product candidates may be harmed, which could harm our business, operating results, prospects or financial condition.</w:t>
      </w:r>
    </w:p>
    <w:p>
      <w:pPr>
        <w:spacing w:after="0" w:line="210"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16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 limited or may result in slower enrollment than we anticipate. Patient enrollment may also be affected if our competitors have ongoing clinical trials for programs that are under development for the same indications as our product candidates, and patients who would otherwise</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and development plans could be delayed.</w:t>
      </w:r>
    </w:p>
    <w:p>
      <w:pPr>
        <w:spacing w:after="0" w:line="221"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If we are delayed or unsuccessful in enrolling the desired number of subjects in our trials, whether as a result of the outcomes of prior trials conducted by us, competing clinical trials, overly stringent eligibility requirements, or the ongoing impact of COVID-19 on both clinical trial sites and potential AD subjects, our clinical trial results could be delayed, the costs of our clinical trials could materially increase, and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overall development timeline for fosgonimeton could be negatively impacted. For example, enrollment in our ongoing clinical trials had slowed due to the effects of the COVID-19 pandemic, including governmental restrictions imposed in Australia, where certain of our clinical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trial sites are located. In our ACT-AD clinical trial, this slowed recruitment resulted in a change in the timing of topline results from our Phase 2 ACT-AD clinical trial, which were announced in June 2022. We cannot ensure that similar enrollment issues will not occur again in the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future. Even if we are successful in enrolling the targeted number of subjects in our trials, the FDA and other regulators may request additional clinical trials with larger numbers of subjects as a condition to any regulatory approval.</w:t>
      </w:r>
    </w:p>
    <w:p>
      <w:pPr>
        <w:spacing w:after="0" w:line="22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Enrollment of patients in our clinical trials may be further delayed or limited as our clinical trial sites limit their onsite staff or temporarily close as a result of the COVID-19 pandemic, including in response to the emergence of any new variants thereof.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22"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9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8"/>
          <w:szCs w:val="18"/>
          <w:color w:val="auto"/>
        </w:rPr>
        <w:t>competitors may compete with us in patient recruitment, clinical research organization, and operational resources. As a result, our competitors may discover, develop, license or commercialize products before or more successfully than we do.</w:t>
      </w:r>
    </w:p>
    <w:p>
      <w:pPr>
        <w:spacing w:after="0" w:line="194"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For example, Biogen Inc., Eisai Co., Ltd., and Eli Lilly and Company, are developing product candidates for Alzheimer's disease, which, if approved by the FDA, may increase the availability of competing therapeutics.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on March 28, 2022.</w:t>
      </w:r>
    </w:p>
    <w:p>
      <w:pPr>
        <w:spacing w:after="0" w:line="21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25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2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22"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18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spacing w:after="0" w:line="252" w:lineRule="auto"/>
        <w:rPr>
          <w:sz w:val="20"/>
          <w:szCs w:val="20"/>
          <w:color w:val="auto"/>
        </w:rPr>
      </w:pPr>
      <w:r>
        <w:rPr>
          <w:rFonts w:ascii="Arial" w:cs="Arial" w:eastAsia="Arial" w:hAnsi="Arial"/>
          <w:sz w:val="18"/>
          <w:szCs w:val="18"/>
          <w:color w:val="auto"/>
        </w:rPr>
        <w:t>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permission to initiate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contracting with the necessary parties to conduct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in the clinical trials.</w:t>
      </w:r>
    </w:p>
    <w:p>
      <w:pPr>
        <w:spacing w:after="0" w:line="25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1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0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1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significantly harm our business, results of operations and competitive position.</w:t>
      </w:r>
    </w:p>
    <w:p>
      <w:pPr>
        <w:spacing w:after="0" w:line="2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spacing w:after="0" w:line="21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June 2021 our board of directors placed Dr. Leen Kawas, our then chief executive officer, on temporary leave pending a review of papers co-authored by Dr. Kawas in connection with her doctoral research at WSU, among other things. An independent special committee of our board of directors, assisted by independent legal counsel, conducted an investigation of allegations raised regarding doctoral research by Dr. Kawas conducted while at WSU, as well as related matters. The special committee’s primary finding was that Dr. Kawas altered images in her 2011 doctoral dissertation and at least four research papers that she co-authored while a graduate student at WSU, and published from 2011 to 2014.</w:t>
      </w:r>
    </w:p>
    <w:p>
      <w:pPr>
        <w:spacing w:after="0" w:line="2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On October 18, 2021, Dr. Kawas submitted her resignation as president and chief executive officer and as a member of our board of directors, effective October 18, 2021. Concurrently with Dr. Kawas’s resignation, our board of directors appointed Mark Litton, Ph.D., MBA as president and chief executive officer and as a member of our board of directors. This succession and transition process may have a direct or indirect adverse effect on our business, results of operations, hiring and retention efforts, and competitive position.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25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The continuing effects of the novel coronavirus disease, or COVID-19, pandemic could adversely impact our business, including our nonclinical studies and clinical trials.</w:t>
      </w:r>
    </w:p>
    <w:p>
      <w:pPr>
        <w:spacing w:after="0" w:line="180"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COVID-19 or a similar health epidemic could recur at any time, which may cause us to again close down our facilities or take other measures in response. In particular, new and highly contagious variants of COVID</w:t>
      </w:r>
      <w:r>
        <w:rPr>
          <w:rFonts w:ascii="MS PGothic" w:cs="MS PGothic" w:eastAsia="MS PGothic" w:hAnsi="MS PGothic"/>
          <w:sz w:val="18"/>
          <w:szCs w:val="18"/>
          <w:color w:val="auto"/>
        </w:rPr>
        <w:t>‑</w:t>
      </w:r>
      <w:r>
        <w:rPr>
          <w:rFonts w:ascii="Arial" w:cs="Arial" w:eastAsia="Arial" w:hAnsi="Arial"/>
          <w:sz w:val="18"/>
          <w:szCs w:val="18"/>
          <w:color w:val="auto"/>
        </w:rPr>
        <w:t>19 continue to emerge and spread quickly throughout certain areas of the United States and elsewhere, and at this point we are unable to determine when and to what extent any such resurgence will affect our business. In addition, a number of our clinical trial sites have been subject to restrictions related to COVID -19 that have adversely affected their operations. While COVID-19 related restrictions have been eased in many of our clinical trial sites, new restrictions could be imposed at any time, whether in response to an outbreak of a new variant of COVID-19 or any similar outbreak. While the extent of the continuing impact of the COVID-19 pandemic on our business and financial results is uncertain, a resurgence in cases of COVID-19 or similar epidemic could have a material negative impact on our business, financial condition and operating results.</w:t>
      </w:r>
    </w:p>
    <w:p>
      <w:pPr>
        <w:spacing w:after="0" w:line="22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31" w:lineRule="exact"/>
        <w:rPr>
          <w:sz w:val="20"/>
          <w:szCs w:val="20"/>
          <w:color w:val="auto"/>
        </w:rPr>
      </w:pPr>
    </w:p>
    <w:p>
      <w:pPr>
        <w:jc w:val="both"/>
        <w:ind w:left="1020" w:hanging="503"/>
        <w:spacing w:after="0" w:line="26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5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4"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5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to our sourced discovery and clinical activities; and</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ind w:firstLine="509"/>
        <w:spacing w:after="0" w:line="243"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1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1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25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1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$65.5 million and $38.5 million for the nine months ended September 30, 2022 and 2021</w:t>
      </w:r>
      <w:r>
        <w:rPr>
          <w:rFonts w:ascii="Arial" w:cs="Arial" w:eastAsia="Arial" w:hAnsi="Arial"/>
          <w:sz w:val="18"/>
          <w:szCs w:val="18"/>
          <w:color w:val="212529"/>
        </w:rPr>
        <w:t>, respectively, and an accumulated deficit of $161.4 million as of September 30, 2022.</w:t>
      </w:r>
    </w:p>
    <w:p>
      <w:pPr>
        <w:spacing w:after="0" w:line="20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both"/>
        <w:ind w:left="1020" w:hanging="503"/>
        <w:spacing w:after="0" w:line="26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product candidates, including any potentially pivotal trials with respect to fosgonimeton for the treatment of mild-to-moderate AD in addition to LIFT-AD, and further extend the open label extension of the ACT-AD and LIFT-AD trials;</w:t>
      </w:r>
    </w:p>
    <w:p>
      <w:pPr>
        <w:spacing w:after="0" w:line="55"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expand our facilities and lab space;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 or engage in other strategic transactions;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or other payments under our in-license or other agreements;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and expand our intellectual property portfolio;</w:t>
      </w:r>
    </w:p>
    <w:p>
      <w:pPr>
        <w:spacing w:after="0" w:line="102"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incur expenses in connection with legal proceedings, and addressing potential stockholder activism;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w:t>
      </w:r>
    </w:p>
    <w:p>
      <w:pPr>
        <w:spacing w:after="0" w:line="25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21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p>
    <w:p>
      <w:pPr>
        <w:spacing w:after="0" w:line="20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and any other indications that we may pursue in the future will require substantial amounts of capital. In addition, if we </w:t>
      </w:r>
      <w:r>
        <w:rPr>
          <w:rFonts w:ascii="Arial" w:cs="Arial" w:eastAsia="Arial" w:hAnsi="Arial"/>
          <w:sz w:val="18"/>
          <w:szCs w:val="18"/>
          <w:color w:val="212529"/>
        </w:rPr>
        <w:t xml:space="preserve">obtain marketing approval for </w:t>
      </w:r>
      <w:r>
        <w:rPr>
          <w:rFonts w:ascii="Arial" w:cs="Arial" w:eastAsia="Arial" w:hAnsi="Arial"/>
          <w:sz w:val="18"/>
          <w:szCs w:val="18"/>
          <w:color w:val="000000"/>
        </w:rPr>
        <w:t>fosgonimeton</w:t>
      </w:r>
      <w:r>
        <w:rPr>
          <w:rFonts w:ascii="Arial" w:cs="Arial" w:eastAsia="Arial" w:hAnsi="Arial"/>
          <w:sz w:val="18"/>
          <w:szCs w:val="18"/>
          <w:color w:val="212529"/>
        </w:rPr>
        <w:t xml:space="preserve"> or 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21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212529"/>
        </w:rPr>
        <w:t>Accordingly, we will need to obtain substantial additional funding in connection with our continuing operations. As of September 30, 2022, we had cash, cash equivalents and investments of $ 260.0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3" w:name="page54"/>
    <w:bookmarkEnd w:id="53"/>
    <w:p>
      <w:pPr>
        <w:ind w:firstLine="509"/>
        <w:spacing w:after="0" w:line="271"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w:t>
      </w:r>
      <w:r>
        <w:rPr>
          <w:rFonts w:ascii="Arial" w:cs="Arial" w:eastAsia="Arial" w:hAnsi="Arial"/>
          <w:sz w:val="18"/>
          <w:szCs w:val="18"/>
          <w:color w:val="212529"/>
        </w:rPr>
        <w:t xml:space="preserve"> </w:t>
      </w:r>
      <w:r>
        <w:rPr>
          <w:rFonts w:ascii="Arial" w:cs="Arial" w:eastAsia="Arial" w:hAnsi="Arial"/>
          <w:sz w:val="18"/>
          <w:szCs w:val="18"/>
          <w:color w:val="000000"/>
        </w:rPr>
        <w:t>including but not limited to:</w:t>
      </w:r>
    </w:p>
    <w:p>
      <w:pPr>
        <w:spacing w:after="0" w:line="59" w:lineRule="exact"/>
        <w:rPr>
          <w:sz w:val="20"/>
          <w:szCs w:val="20"/>
          <w:color w:val="auto"/>
        </w:rPr>
      </w:pPr>
    </w:p>
    <w:p>
      <w:pPr>
        <w:jc w:val="both"/>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costs, clinical trial design, results of and timing of our LIFT-AD trial and other clinical trials of fosgonimeton, including for potential additional indications that we are pursuing beyond AD, such as PDD, and a potential further extension of the open label extension of the ACT-AD and LIFT-AD trials;</w:t>
      </w:r>
    </w:p>
    <w:p>
      <w:pPr>
        <w:spacing w:after="0" w:line="76"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fosgonimeton for AD and the potential need for additional clinical trials;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product candidates that we pursue;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sufficient quantities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expand our research and development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outcomes of any litigation involving our company, including securities class actions and government investigations which we may be or may in the future become involved in;</w:t>
      </w:r>
    </w:p>
    <w:p>
      <w:pPr>
        <w:spacing w:after="0" w:line="32"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9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unable</w:t>
      </w:r>
      <w:r>
        <w:rPr>
          <w:rFonts w:ascii="Arial" w:cs="Arial" w:eastAsia="Arial" w:hAnsi="Arial"/>
          <w:sz w:val="18"/>
          <w:szCs w:val="18"/>
          <w:color w:val="auto"/>
        </w:rPr>
        <w:t xml:space="preserv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25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212529"/>
        </w:rPr>
        <w:t xml:space="preserve">As of December 31, 2021, we had federal net operating loss carryforwards, or NOLs, to offset future taxable income of approximately $9.5 million and federal tax credit carryforwards of approximately $ 2.9 million. The federal NOLs generated during and after fiscal 2017 totaling $80.7 million are carried forward indefinitely, while all others, if not utilized, will expire in various </w:t>
      </w:r>
      <w:r>
        <w:rPr>
          <w:rFonts w:ascii="Arial" w:cs="Arial" w:eastAsia="Arial" w:hAnsi="Arial"/>
          <w:sz w:val="18"/>
          <w:szCs w:val="18"/>
          <w:color w:val="000000"/>
        </w:rPr>
        <w:t>years</w:t>
      </w:r>
      <w:r>
        <w:rPr>
          <w:rFonts w:ascii="Arial" w:cs="Arial" w:eastAsia="Arial" w:hAnsi="Arial"/>
          <w:sz w:val="18"/>
          <w:szCs w:val="18"/>
          <w:color w:val="212529"/>
        </w:rPr>
        <w:t xml:space="preserve"> beginning in 2025.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25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1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0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58" w:lineRule="exact"/>
        <w:rPr>
          <w:rFonts w:ascii="Times New Roman" w:cs="Times New Roman" w:eastAsia="Times New Roman" w:hAnsi="Times New Roman"/>
          <w:sz w:val="18"/>
          <w:szCs w:val="18"/>
          <w:color w:val="auto"/>
        </w:rPr>
      </w:pPr>
    </w:p>
    <w:p>
      <w:pPr>
        <w:jc w:val="both"/>
        <w:ind w:left="1020" w:right="20" w:hanging="503"/>
        <w:spacing w:after="0" w:line="244"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56"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58"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58"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5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45"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in connection with the recent controversy and ongoing government investigation of the FDA’s approval process for Biogen’s AD biologic drug Aduhelm.</w:t>
      </w:r>
    </w:p>
    <w:p>
      <w:pPr>
        <w:spacing w:after="0" w:line="20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addition, even if we obtain approval of our product candidates, regulatory authorities may approve any of our product candidates for fewer or more limited indications than we request, may impose 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spacing w:after="0" w:line="237" w:lineRule="auto"/>
        <w:rPr>
          <w:sz w:val="20"/>
          <w:szCs w:val="20"/>
          <w:color w:val="auto"/>
        </w:rPr>
      </w:pPr>
      <w:r>
        <w:rPr>
          <w:rFonts w:ascii="Arial" w:cs="Arial" w:eastAsia="Arial" w:hAnsi="Arial"/>
          <w:sz w:val="18"/>
          <w:szCs w:val="18"/>
          <w:color w:val="auto"/>
        </w:rPr>
        <w:t>limitations in the form of narrow indications, warnings, or a risk evaluation and mitigation strategy, or REMS. Regulatory authorities may not approve the price we intend to charge for products we may develop, may grant approval contingent on the performance of costly post-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prospects.</w:t>
      </w:r>
    </w:p>
    <w:p>
      <w:pPr>
        <w:spacing w:after="0" w:line="22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w:t>
      </w:r>
    </w:p>
    <w:p>
      <w:pPr>
        <w:jc w:val="both"/>
        <w:spacing w:after="0" w:line="244" w:lineRule="auto"/>
        <w:rPr>
          <w:sz w:val="20"/>
          <w:szCs w:val="20"/>
          <w:color w:val="auto"/>
        </w:rPr>
      </w:pPr>
      <w:r>
        <w:rPr>
          <w:rFonts w:ascii="Arial" w:cs="Arial" w:eastAsia="Arial" w:hAnsi="Arial"/>
          <w:sz w:val="18"/>
          <w:szCs w:val="18"/>
          <w:b w:val="1"/>
          <w:bCs w:val="1"/>
          <w:i w:val="1"/>
          <w:iCs w:val="1"/>
          <w:color w:val="auto"/>
        </w:rPr>
        <w:t>that could inhibit regulatory approval, prevent market acceptance, limit their commercial potential or result in significant negative consequences.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is the case with pharmaceuticals generally, it is likely that there may be side effects and adverse events associated with our product</w:t>
      </w:r>
    </w:p>
    <w:p>
      <w:pPr>
        <w:spacing w:after="0" w:line="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candidates’ use. Results of our clinical trials could reveal a high and unacceptable severity and prevalence of side effects or unexpected characteristics. Undesirable side effects caused by our product candidates could cause us or regulatory authorities to interrupt, delay or halt</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significantly.</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clinical trials when used alone or in combination with other approved products or investigational new drugs we may need to interrupt, delay or abandon their development or limit development to more narrow uses or subpopulations in which the undesirable side effects or other</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 financial condition and prospects significantly.</w:t>
      </w:r>
    </w:p>
    <w:p>
      <w:pPr>
        <w:spacing w:after="0" w:line="221" w:lineRule="exact"/>
        <w:rPr>
          <w:sz w:val="20"/>
          <w:szCs w:val="20"/>
          <w:color w:val="auto"/>
        </w:rPr>
      </w:pPr>
    </w:p>
    <w:p>
      <w:pPr>
        <w:jc w:val="both"/>
        <w:ind w:firstLine="515"/>
        <w:spacing w:after="0" w:line="226"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w:t>
      </w:r>
    </w:p>
    <w:p>
      <w:pPr>
        <w:jc w:val="both"/>
        <w:spacing w:after="0" w:line="211" w:lineRule="auto"/>
        <w:rPr>
          <w:sz w:val="20"/>
          <w:szCs w:val="20"/>
          <w:color w:val="auto"/>
        </w:rPr>
      </w:pPr>
      <w:r>
        <w:rPr>
          <w:rFonts w:ascii="Arial" w:cs="Arial" w:eastAsia="Arial" w:hAnsi="Arial"/>
          <w:sz w:val="18"/>
          <w:szCs w:val="18"/>
          <w:color w:val="auto"/>
        </w:rPr>
        <w:t>other therapies, our product candidates may exacerbate adverse events associated with the therapy. Patients treated with our product candidates may also be undergoing separate treatments which can cause side effects or adverse events that are unrelated to our product</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candidate, but may still impact the success of our clinical trials, including, for example, by interfering with the effects of our product candidates. A pre-specified group analysis of patients in our ACT-AD clinical trial identified a potential diminished effect of the combination of standard-of-care (AChEIs) and fosgonimeton. While more clinical studies are needed to determine the safety and efficacy of fosgonimeton, to</w:t>
      </w:r>
    </w:p>
    <w:p>
      <w:pPr>
        <w:jc w:val="both"/>
        <w:spacing w:after="0" w:line="211" w:lineRule="auto"/>
        <w:rPr>
          <w:sz w:val="20"/>
          <w:szCs w:val="20"/>
          <w:color w:val="auto"/>
        </w:rPr>
      </w:pPr>
      <w:r>
        <w:rPr>
          <w:rFonts w:ascii="Arial" w:cs="Arial" w:eastAsia="Arial" w:hAnsi="Arial"/>
          <w:sz w:val="18"/>
          <w:szCs w:val="18"/>
          <w:color w:val="auto"/>
        </w:rPr>
        <w:t>the extent standard-of-care AChEIs impact the effects of fosgonimeton and if a significant portion of the patient population has already been treated with AChEIs, the potential target patient population or the indication we seek for fosgonimeton may be significantly smaller than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had anticipated, which could materially harm our business and prospects.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inclusion of elderly patients in our clinical trials may result in deaths or other adverse medical events due to other therapies or</w:t>
      </w:r>
    </w:p>
    <w:p>
      <w:pPr>
        <w:jc w:val="both"/>
        <w:spacing w:after="0" w:line="211" w:lineRule="auto"/>
        <w:rPr>
          <w:sz w:val="20"/>
          <w:szCs w:val="20"/>
          <w:color w:val="auto"/>
        </w:rPr>
      </w:pPr>
      <w:r>
        <w:rPr>
          <w:rFonts w:ascii="Arial" w:cs="Arial" w:eastAsia="Arial" w:hAnsi="Arial"/>
          <w:sz w:val="18"/>
          <w:szCs w:val="18"/>
          <w:color w:val="auto"/>
        </w:rPr>
        <w:t>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w:t>
      </w:r>
    </w:p>
    <w:p>
      <w:pPr>
        <w:jc w:val="both"/>
        <w:spacing w:after="0" w:line="211" w:lineRule="auto"/>
        <w:rPr>
          <w:sz w:val="20"/>
          <w:szCs w:val="20"/>
          <w:color w:val="auto"/>
        </w:rPr>
      </w:pPr>
      <w:r>
        <w:rPr>
          <w:rFonts w:ascii="Arial" w:cs="Arial" w:eastAsia="Arial" w:hAnsi="Arial"/>
          <w:sz w:val="18"/>
          <w:szCs w:val="18"/>
          <w:color w:val="auto"/>
        </w:rPr>
        <w:t>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approval, undesirable side effects may inhibit market acceptance due to its tolerability versus other therapies. Any of these developments could materially harm our business, financial condition and prospects.</w:t>
      </w:r>
    </w:p>
    <w:p>
      <w:pPr>
        <w:spacing w:after="0" w:line="208" w:lineRule="exact"/>
        <w:rPr>
          <w:sz w:val="20"/>
          <w:szCs w:val="20"/>
          <w:color w:val="auto"/>
        </w:rPr>
      </w:pPr>
    </w:p>
    <w:p>
      <w:pPr>
        <w:jc w:val="both"/>
        <w:ind w:firstLine="515"/>
        <w:spacing w:after="0" w:line="221"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contraindications, warnings and precautions being added to the drug label, significant restrictions on the use of the product or the withdrawal of the product from the market. We cannot predict whether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56" w:name="page57"/>
    <w:bookmarkEnd w:id="56"/>
    <w:p>
      <w:pPr>
        <w:jc w:val="both"/>
        <w:ind w:right="20"/>
        <w:spacing w:after="0" w:line="256" w:lineRule="auto"/>
        <w:rPr>
          <w:sz w:val="20"/>
          <w:szCs w:val="20"/>
          <w:color w:val="auto"/>
        </w:rPr>
      </w:pPr>
      <w:r>
        <w:rPr>
          <w:rFonts w:ascii="Arial" w:cs="Arial" w:eastAsia="Arial" w:hAnsi="Arial"/>
          <w:sz w:val="18"/>
          <w:szCs w:val="18"/>
          <w:color w:val="auto"/>
        </w:rPr>
        <w:t>our product candidates will cause toxicities in humans that would preclude or lead to the revocation of regulatory approval based on nonclinical studies or early-stage clinical trials.</w:t>
      </w:r>
    </w:p>
    <w:p>
      <w:pPr>
        <w:spacing w:after="0" w:line="20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2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1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0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5" w:lineRule="exact"/>
        <w:rPr>
          <w:sz w:val="20"/>
          <w:szCs w:val="20"/>
          <w:color w:val="auto"/>
        </w:rPr>
      </w:pPr>
    </w:p>
    <w:p>
      <w:pPr>
        <w:ind w:left="10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57" w:name="page58"/>
    <w:bookmarkEnd w:id="57"/>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5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22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0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02" w:lineRule="exact"/>
        <w:rPr>
          <w:sz w:val="20"/>
          <w:szCs w:val="20"/>
          <w:color w:val="auto"/>
        </w:rPr>
      </w:pPr>
    </w:p>
    <w:p>
      <w:pPr>
        <w:jc w:val="both"/>
        <w:ind w:firstLine="515"/>
        <w:spacing w:after="0" w:line="229"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U.S. government shut down several times and certain regulatory agencies, such as the FDA and the SEC, had to furlough critical employees and stop critical activities. Separately, in response to the COVID-19 public health emergency, since March 2020 when foreign and domestic</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inspections facilities were largely placed on hold, the FDA has been working to resume routine surveillance, bioresearch monitoring and pre-approval inspections on a prioritized basis. The FDA has developed a rating system to assist in determining when and where it is safest to</w:t>
      </w:r>
    </w:p>
    <w:p>
      <w:pPr>
        <w:jc w:val="both"/>
        <w:spacing w:after="0" w:line="211" w:lineRule="auto"/>
        <w:rPr>
          <w:sz w:val="20"/>
          <w:szCs w:val="20"/>
          <w:color w:val="auto"/>
        </w:rPr>
      </w:pPr>
      <w:r>
        <w:rPr>
          <w:rFonts w:ascii="Arial" w:cs="Arial" w:eastAsia="Arial" w:hAnsi="Arial"/>
          <w:sz w:val="18"/>
          <w:szCs w:val="18"/>
          <w:color w:val="auto"/>
        </w:rPr>
        <w:t>conduct prioritized domestic inspections. In 2020 and 2021, a number of companies announced receipt of complete response letters due to the FDA’s inability to complete required inspections for their applications. In February 2022, the FDA announced that it will resume routine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domestic surveillance inspections. The FDA also announced proceeding with previously planned foreign surveillance inspections that have received country clearance and are within the CDC’s Level 1 or Level 2 COVID-19 travel recommendation; otherwise, the inspection would be rescheduled, with the anticipated goal of resuming foreign prioritized inspections in April 2022. While the FDA has largely caught up with</w:t>
      </w:r>
    </w:p>
    <w:p>
      <w:pPr>
        <w:jc w:val="both"/>
        <w:spacing w:after="0" w:line="211" w:lineRule="auto"/>
        <w:rPr>
          <w:sz w:val="20"/>
          <w:szCs w:val="20"/>
          <w:color w:val="auto"/>
        </w:rPr>
      </w:pPr>
      <w:r>
        <w:rPr>
          <w:rFonts w:ascii="Arial" w:cs="Arial" w:eastAsia="Arial" w:hAnsi="Arial"/>
          <w:sz w:val="18"/>
          <w:szCs w:val="18"/>
          <w:color w:val="auto"/>
        </w:rPr>
        <w:t>domestic preapproval inspections, it continues to work through its backlog of foreign inspections. However, the FDA may not be able to continue its current inspection pace, and review timelines could be extended, including where a pre-approval inspection or an inspection of</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clinical sites is required and due to the ongoing COVID-19 pandemic, travel restrictions, or staffing shortages,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w:t>
      </w:r>
    </w:p>
    <w:p>
      <w:pPr>
        <w:jc w:val="both"/>
        <w:spacing w:after="0" w:line="211" w:lineRule="auto"/>
        <w:rPr>
          <w:sz w:val="20"/>
          <w:szCs w:val="20"/>
          <w:color w:val="auto"/>
        </w:rPr>
      </w:pPr>
      <w:r>
        <w:rPr>
          <w:rFonts w:ascii="Arial" w:cs="Arial" w:eastAsia="Arial" w:hAnsi="Arial"/>
          <w:sz w:val="18"/>
          <w:szCs w:val="18"/>
          <w:color w:val="auto"/>
        </w:rPr>
        <w:t>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FDA to timely review and process our regulatory submissions, which could have a material adverse effect on our business. Further, future government shutdowns or delays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could impact our ability to access the public markets and obtain necessary capital in order to properly capitalize and continue our operations.</w:t>
      </w:r>
    </w:p>
    <w:p>
      <w:pPr>
        <w:spacing w:after="0" w:line="241" w:lineRule="exact"/>
        <w:rPr>
          <w:sz w:val="20"/>
          <w:szCs w:val="20"/>
          <w:color w:val="auto"/>
        </w:rPr>
      </w:pPr>
    </w:p>
    <w:p>
      <w:pPr>
        <w:jc w:val="both"/>
        <w:ind w:firstLine="515"/>
        <w:spacing w:after="0" w:line="228"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8"/>
          <w:szCs w:val="18"/>
          <w:b w:val="1"/>
          <w:bCs w:val="1"/>
          <w:i w:val="1"/>
          <w:iCs w:val="1"/>
          <w:color w:val="auto"/>
        </w:rPr>
        <w:t>studies or clinical trials beyond those that we contemplate, which could increase the expense of obtaining, and delay the receipt of, necessary marketing approvals. Even if we receive accelerated approval from the FDA, if our confirmatory trials do not verify</w:t>
      </w:r>
    </w:p>
    <w:p>
      <w:pPr>
        <w:spacing w:after="0" w:line="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i w:val="1"/>
          <w:iCs w:val="1"/>
          <w:color w:val="auto"/>
        </w:rPr>
        <w:t>clinical benefit, or if we do not comply with rigorous postmarketing requirements, the FDA may seek to withdraw accelerated approval.</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w:t>
      </w:r>
    </w:p>
    <w:p>
      <w:pPr>
        <w:jc w:val="both"/>
        <w:spacing w:after="0" w:line="211" w:lineRule="auto"/>
        <w:rPr>
          <w:sz w:val="20"/>
          <w:szCs w:val="20"/>
          <w:color w:val="auto"/>
        </w:rPr>
      </w:pPr>
      <w:r>
        <w:rPr>
          <w:rFonts w:ascii="Arial" w:cs="Arial" w:eastAsia="Arial" w:hAnsi="Arial"/>
          <w:sz w:val="18"/>
          <w:szCs w:val="18"/>
          <w:color w:val="auto"/>
        </w:rPr>
        <w:t>program, the FDA may grant accelerated approval to a product candidate designed to treat a serious or life-threatening condition that provides meaningful therapeutic benefit over available therapies upon a determination that the product candidate has an effect on a</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w:t>
      </w:r>
    </w:p>
    <w:p>
      <w:pPr>
        <w:jc w:val="both"/>
        <w:spacing w:after="0" w:line="211" w:lineRule="auto"/>
        <w:rPr>
          <w:sz w:val="20"/>
          <w:szCs w:val="20"/>
          <w:color w:val="auto"/>
        </w:rPr>
      </w:pPr>
      <w:r>
        <w:rPr>
          <w:rFonts w:ascii="Arial" w:cs="Arial" w:eastAsia="Arial" w:hAnsi="Arial"/>
          <w:sz w:val="18"/>
          <w:szCs w:val="18"/>
          <w:color w:val="auto"/>
        </w:rPr>
        <w:t>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w:t>
      </w:r>
    </w:p>
    <w:p>
      <w:pPr>
        <w:jc w:val="both"/>
        <w:spacing w:after="0" w:line="211" w:lineRule="auto"/>
        <w:rPr>
          <w:sz w:val="20"/>
          <w:szCs w:val="20"/>
          <w:color w:val="auto"/>
        </w:rPr>
      </w:pPr>
      <w:r>
        <w:rPr>
          <w:rFonts w:ascii="Arial" w:cs="Arial" w:eastAsia="Arial" w:hAnsi="Arial"/>
          <w:sz w:val="18"/>
          <w:szCs w:val="18"/>
          <w:color w:val="auto"/>
        </w:rPr>
        <w:t>perspective. If granted, accelerated approval is usually contingent on the sponsor’s agreement to conduct, in a diligent manner, additional post-approval confirmatory studies to verify and describe the drug’s clinical benefit. If such post-approval studies fail to confirm the drug’s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clinical benefit, the FDA may withdraw its approval of the drug.</w:t>
      </w:r>
    </w:p>
    <w:p>
      <w:pPr>
        <w:spacing w:after="0" w:line="23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2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It is unclear how this investigation will generally impact the FDA’s review process, policies, and data requirements for the accelerated approval program in the future or specifically impact new drug applications in the treatment of Alzheimer’s disease and our clinical development programs.</w:t>
      </w:r>
    </w:p>
    <w:p>
      <w:pPr>
        <w:spacing w:after="0" w:line="21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18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6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manufacturing arrangements;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59" w:name="page60"/>
    <w:bookmarkEnd w:id="59"/>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modifications to product labeling;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recall or discontinuation of our products; or</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95" w:lineRule="exact"/>
        <w:rPr>
          <w:sz w:val="20"/>
          <w:szCs w:val="20"/>
          <w:color w:val="auto"/>
        </w:rPr>
      </w:pPr>
    </w:p>
    <w:p>
      <w:pPr>
        <w:jc w:val="both"/>
        <w:ind w:firstLine="515"/>
        <w:spacing w:after="0" w:line="223"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w:t>
      </w:r>
    </w:p>
    <w:p>
      <w:pPr>
        <w:spacing w:after="0" w:line="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18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 Complying with any new legislation and regulatory requirements could be time-intensive and expensive, resulting in a material adverse effect on our business.</w:t>
      </w:r>
    </w:p>
    <w:p>
      <w:pPr>
        <w:spacing w:after="0" w:line="200" w:lineRule="exact"/>
        <w:rPr>
          <w:sz w:val="20"/>
          <w:szCs w:val="20"/>
          <w:color w:val="auto"/>
        </w:rPr>
      </w:pPr>
    </w:p>
    <w:p>
      <w:pPr>
        <w:spacing w:after="0" w:line="22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w:t>
      </w:r>
    </w:p>
    <w:p>
      <w:pPr>
        <w:spacing w:after="0" w:line="21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0" w:name="page61"/>
    <w:bookmarkEnd w:id="60"/>
    <w:p>
      <w:pPr>
        <w:jc w:val="both"/>
        <w:spacing w:after="0" w:line="243" w:lineRule="auto"/>
        <w:rPr>
          <w:sz w:val="20"/>
          <w:szCs w:val="20"/>
          <w:color w:val="auto"/>
        </w:rPr>
      </w:pPr>
      <w:r>
        <w:rPr>
          <w:rFonts w:ascii="Arial" w:cs="Arial" w:eastAsia="Arial" w:hAnsi="Arial"/>
          <w:sz w:val="18"/>
          <w:szCs w:val="18"/>
          <w:color w:val="auto"/>
        </w:rPr>
        <w:t>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1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April 2022, CMS released a finalized national policy for coverage of aducanumab (or Aduhelm) and any future monoclonal antibodies directed against amyloid approved by the FDA with an indication for use in treating Alzheimer’s disease. According to the two-part National Coverage Determination (NCD), Medicare will cover monoclonal antibodies that target amyloid (or plaque) for the treatment of Alzheimer’s disease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National Institutes of Health approved clinical trials. If CMS adopts similar coverage restrictions for other classes of FDA-approved drugs for the treatment of Alzheimer’s disease that encompass our product candidates, our ability to commercialize our product candidates, if approved, generate revenue and attain profitability could be negatively impacted. It is unclear how future CMS coverage decisions and policies will impact our business.</w:t>
      </w:r>
    </w:p>
    <w:p>
      <w:pPr>
        <w:spacing w:after="0" w:line="2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2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9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6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product candidates, if we obtain regulatory approval;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5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2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17" w:lineRule="exact"/>
        <w:rPr>
          <w:sz w:val="20"/>
          <w:szCs w:val="20"/>
          <w:color w:val="auto"/>
        </w:rPr>
      </w:pPr>
    </w:p>
    <w:p>
      <w:pPr>
        <w:jc w:val="both"/>
        <w:ind w:left="1020" w:hanging="503"/>
        <w:spacing w:after="0" w:line="243"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2" w:name="page63"/>
    <w:bookmarkEnd w:id="62"/>
    <w:p>
      <w:pPr>
        <w:jc w:val="both"/>
        <w:ind w:left="1020"/>
        <w:spacing w:after="0" w:line="244" w:lineRule="auto"/>
        <w:rPr>
          <w:sz w:val="20"/>
          <w:szCs w:val="20"/>
          <w:color w:val="auto"/>
        </w:rPr>
      </w:pPr>
      <w:r>
        <w:rPr>
          <w:rFonts w:ascii="Arial" w:cs="Arial" w:eastAsia="Arial" w:hAnsi="Arial"/>
          <w:sz w:val="18"/>
          <w:szCs w:val="18"/>
          <w:color w:val="auto"/>
        </w:rPr>
        <w:t>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69" w:lineRule="exact"/>
        <w:rPr>
          <w:sz w:val="20"/>
          <w:szCs w:val="20"/>
          <w:color w:val="auto"/>
        </w:rPr>
      </w:pPr>
    </w:p>
    <w:p>
      <w:pPr>
        <w:jc w:val="both"/>
        <w:ind w:left="1020" w:hanging="503"/>
        <w:spacing w:after="0" w:line="246"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0" w:lineRule="exact"/>
        <w:rPr>
          <w:rFonts w:ascii="Times New Roman" w:cs="Times New Roman" w:eastAsia="Times New Roman" w:hAnsi="Times New Roman"/>
          <w:sz w:val="18"/>
          <w:szCs w:val="18"/>
          <w:color w:val="auto"/>
        </w:rPr>
      </w:pPr>
    </w:p>
    <w:p>
      <w:pPr>
        <w:jc w:val="both"/>
        <w:ind w:left="1020" w:hanging="503"/>
        <w:spacing w:after="0" w:line="244"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0"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80"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18" w:lineRule="exact"/>
        <w:rPr>
          <w:sz w:val="20"/>
          <w:szCs w:val="20"/>
          <w:color w:val="auto"/>
        </w:rPr>
      </w:pPr>
    </w:p>
    <w:p>
      <w:pPr>
        <w:ind w:firstLine="509"/>
        <w:spacing w:after="0" w:line="287"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3" w:name="page64"/>
    <w:bookmarkEnd w:id="63"/>
    <w:p>
      <w:pPr>
        <w:jc w:val="both"/>
        <w:spacing w:after="0" w:line="246" w:lineRule="auto"/>
        <w:rPr>
          <w:sz w:val="20"/>
          <w:szCs w:val="20"/>
          <w:color w:val="auto"/>
        </w:rPr>
      </w:pPr>
      <w:r>
        <w:rPr>
          <w:rFonts w:ascii="Arial" w:cs="Arial" w:eastAsia="Arial" w:hAnsi="Arial"/>
          <w:sz w:val="18"/>
          <w:szCs w:val="18"/>
          <w:color w:val="auto"/>
        </w:rPr>
        <w:t>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and vendors may engage in misconduct or other improper activities, including noncompliance with regulatory standards and requirements.</w:t>
      </w:r>
    </w:p>
    <w:p>
      <w:pPr>
        <w:spacing w:after="0" w:line="20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w:t>
      </w:r>
    </w:p>
    <w:p>
      <w:pPr>
        <w:spacing w:after="0" w:line="235" w:lineRule="auto"/>
        <w:rPr>
          <w:sz w:val="20"/>
          <w:szCs w:val="20"/>
          <w:color w:val="auto"/>
        </w:rPr>
      </w:pPr>
      <w:r>
        <w:rPr>
          <w:rFonts w:ascii="Arial" w:cs="Arial" w:eastAsia="Arial" w:hAnsi="Arial"/>
          <w:sz w:val="18"/>
          <w:szCs w:val="18"/>
          <w:color w:val="auto"/>
        </w:rPr>
        <w:t>vendors may engage in misconduct or other improper activities. Misconduct by these parties could include failures to comply with FDA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regulations, provide accurate information to the FDA, comply with federal and state health care fraud and abuse laws and regulations, accurately report financial information or data or disclose unauthorized activities to us. In particular, sales, marketing and business</w:t>
      </w:r>
    </w:p>
    <w:p>
      <w:pPr>
        <w:spacing w:after="0" w:line="236" w:lineRule="auto"/>
        <w:rPr>
          <w:sz w:val="20"/>
          <w:szCs w:val="20"/>
          <w:color w:val="auto"/>
        </w:rPr>
      </w:pPr>
      <w:r>
        <w:rPr>
          <w:rFonts w:ascii="Arial" w:cs="Arial" w:eastAsia="Arial" w:hAnsi="Arial"/>
          <w:sz w:val="18"/>
          <w:szCs w:val="18"/>
          <w:color w:val="auto"/>
        </w:rPr>
        <w:t>arrangements in the health care industry are subject to extensive laws and regulations intended to prevent fraud, misconduct, kickbacks, self-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dealing and other abusive practices. These laws and regulations may restrict or prohibit a wide range of pricing, discounting, marketing and promotion, sales commission, customer incentive programs and other business arrangements. Misconduct by these parties could also</w:t>
      </w:r>
    </w:p>
    <w:p>
      <w:pPr>
        <w:spacing w:after="0" w:line="236" w:lineRule="auto"/>
        <w:rPr>
          <w:sz w:val="20"/>
          <w:szCs w:val="20"/>
          <w:color w:val="auto"/>
        </w:rPr>
      </w:pPr>
      <w:r>
        <w:rPr>
          <w:rFonts w:ascii="Arial" w:cs="Arial" w:eastAsia="Arial" w:hAnsi="Arial"/>
          <w:sz w:val="18"/>
          <w:szCs w:val="18"/>
          <w:color w:val="auto"/>
        </w:rPr>
        <w:t>involve the improper use of information obtained in the course of clinical trials, which could result in regulatory sanctions and serious harm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w:t>
      </w:r>
    </w:p>
    <w:p>
      <w:pPr>
        <w:spacing w:after="0" w:line="236" w:lineRule="auto"/>
        <w:rPr>
          <w:sz w:val="20"/>
          <w:szCs w:val="20"/>
          <w:color w:val="auto"/>
        </w:rPr>
      </w:pPr>
      <w:r>
        <w:rPr>
          <w:rFonts w:ascii="Arial" w:cs="Arial" w:eastAsia="Arial" w:hAnsi="Arial"/>
          <w:sz w:val="18"/>
          <w:szCs w:val="18"/>
          <w:color w:val="auto"/>
        </w:rPr>
        <w:t>other actions or lawsuits stemming from a failure to comply with these laws or regulations. If any such actions are instituted against us,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are not successful in defending ourselves or asserting our rights, those actions could have a significant impact on our business, including the imposition of significant penalties, including civil, criminal and administrative penalties, damages, fines, disgorgement, imprisonment,</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the handling, use, storage, treatment and disposal of hazardous materials and wastes. Our operations involve the use of hazardous and flammable materials, including chemicals and biological and radioactive materials. Our operations also produce hazardous waste products.</w:t>
      </w:r>
    </w:p>
    <w:p>
      <w:pPr>
        <w:spacing w:after="0" w:line="236"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from these materials. In the event of contamination or injury resulting from our use of hazardous materials, we could be held liable for any resulting damages, and any liability could exceed our resources. We also could incur significant costs associated with civil or criminal fines</w:t>
      </w:r>
    </w:p>
    <w:p>
      <w:pPr>
        <w:spacing w:after="0" w:line="236" w:lineRule="auto"/>
        <w:rPr>
          <w:sz w:val="20"/>
          <w:szCs w:val="20"/>
          <w:color w:val="auto"/>
        </w:rPr>
      </w:pPr>
      <w:r>
        <w:rPr>
          <w:rFonts w:ascii="Arial" w:cs="Arial" w:eastAsia="Arial" w:hAnsi="Arial"/>
          <w:sz w:val="18"/>
          <w:szCs w:val="18"/>
          <w:color w:val="auto"/>
        </w:rPr>
        <w:t>and penalties. Although we maintain workers’ compensation insurance to cover us for costs and expenses we may incur due to injuries to our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employees resulting from the use of hazardous materials, this insurance may not provide adequate coverage against potential liabilities. We do not maintain insurance for environmental liability or toxic tort claims that may be asserted against us in connection with our storage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disposal of biological, hazardous or radioactive materials.</w:t>
      </w:r>
    </w:p>
    <w:p>
      <w:pPr>
        <w:spacing w:after="0" w:line="2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authorizing, promising, offering, providing, soliciting, or receiving directly or indirectly, corrupt or improper payments or anything else of value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or from recipients in the public or private sector. Violations of trade laws can result in substantial criminal fines and civil penalties, imprisonment, the loss of trade privileges, debarment, tax reassessments, breach of contract and fraud litigation, reputational harm, and</w:t>
      </w:r>
    </w:p>
    <w:p>
      <w:pPr>
        <w:spacing w:after="0" w:line="236" w:lineRule="auto"/>
        <w:rPr>
          <w:sz w:val="20"/>
          <w:szCs w:val="20"/>
          <w:color w:val="auto"/>
        </w:rPr>
      </w:pPr>
      <w:r>
        <w:rPr>
          <w:rFonts w:ascii="Arial" w:cs="Arial" w:eastAsia="Arial" w:hAnsi="Arial"/>
          <w:sz w:val="18"/>
          <w:szCs w:val="18"/>
          <w:color w:val="auto"/>
        </w:rPr>
        <w:t>other consequences. We have direct or indirect interactions with officials and employees of government agencies or government-affiliated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hospitals, universities, and other organizations. We also expect our non-U.S. activities to increase in time. We plan to engage third parties for clinical trials and/or to obtain necessary permits, licenses, patent registrations, and other regulatory approvals and we can be held liable for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corrupt or other illegal activities of our personnel, agents, or partners, even if we do not explicitly authorize or have prior knowledge of such activities.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54"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19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1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1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1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65" w:name="page66"/>
    <w:bookmarkEnd w:id="65"/>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7" w:lineRule="exact"/>
        <w:rPr>
          <w:sz w:val="20"/>
          <w:szCs w:val="20"/>
          <w:color w:val="auto"/>
        </w:rPr>
      </w:pPr>
    </w:p>
    <w:p>
      <w:pPr>
        <w:jc w:val="both"/>
        <w:ind w:left="1020" w:hanging="503"/>
        <w:spacing w:after="0" w:line="26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5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6" w:name="page67"/>
    <w:bookmarkEnd w:id="66"/>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20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12"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2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0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1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 w:cs="Arial" w:eastAsia="Arial" w:hAnsi="Arial"/>
          <w:sz w:val="18"/>
          <w:szCs w:val="18"/>
          <w:i w:val="1"/>
          <w:iCs w:val="1"/>
          <w:color w:val="auto"/>
        </w:rPr>
        <w:t>An independent special committee of our board of directors engaged in a review of</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papers co-authored by our former chief executive officer in connection with her doctoral research at Washington State University.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w:t>
      </w:r>
    </w:p>
    <w:p>
      <w:pPr>
        <w:jc w:val="both"/>
        <w:spacing w:after="0" w:line="250" w:lineRule="auto"/>
        <w:rPr>
          <w:sz w:val="20"/>
          <w:szCs w:val="20"/>
          <w:color w:val="auto"/>
        </w:rPr>
      </w:pPr>
      <w:r>
        <w:rPr>
          <w:rFonts w:ascii="Arial" w:cs="Arial" w:eastAsia="Arial" w:hAnsi="Arial"/>
          <w:sz w:val="18"/>
          <w:szCs w:val="18"/>
          <w:i w:val="1"/>
          <w:iCs w:val="1"/>
          <w:color w:val="auto"/>
        </w:rPr>
        <w:t>investigation will be completed or what conclusions WSU will reach</w:t>
      </w:r>
      <w:r>
        <w:rPr>
          <w:rFonts w:ascii="Arial" w:cs="Arial" w:eastAsia="Arial" w:hAnsi="Arial"/>
          <w:sz w:val="18"/>
          <w:szCs w:val="18"/>
          <w:color w:val="auto"/>
        </w:rPr>
        <w:t>,” may discourage potential counterparties from entering into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with 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7" w:name="page68"/>
    <w:bookmarkEnd w:id="67"/>
    <w:p>
      <w:pPr>
        <w:jc w:val="both"/>
        <w:ind w:firstLine="509"/>
        <w:spacing w:after="0" w:line="246"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1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4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32"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55"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7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8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1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spacing w:after="0" w:line="7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254"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spacing w:after="0" w:line="7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of physician acceptance of FDA-approved Alzheimer’s therapies;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and ease of administration;</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8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4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therapies for the same indications.</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If any of our product candidates are approved but do not achieve an adequate level of acceptance by physicians, hospitals, healthcare payors and patients, we may not generate or derive sufficient revenue from such product candidates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9" w:name="page70"/>
    <w:bookmarkEnd w:id="69"/>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6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cs="Arial" w:eastAsia="Arial" w:hAnsi="Arial"/>
          <w:sz w:val="18"/>
          <w:szCs w:val="18"/>
          <w:color w:val="212529"/>
        </w:rPr>
        <w:t>which we retain</w:t>
      </w:r>
      <w:r>
        <w:rPr>
          <w:rFonts w:ascii="Arial" w:cs="Arial" w:eastAsia="Arial" w:hAnsi="Arial"/>
          <w:sz w:val="18"/>
          <w:szCs w:val="18"/>
          <w:color w:val="auto"/>
        </w:rPr>
        <w:t xml:space="preserve"> </w:t>
      </w:r>
      <w:r>
        <w:rPr>
          <w:rFonts w:ascii="Arial" w:cs="Arial" w:eastAsia="Arial" w:hAnsi="Arial"/>
          <w:sz w:val="18"/>
          <w:szCs w:val="18"/>
          <w:color w:val="212529"/>
        </w:rPr>
        <w:t>commercialization rights and marketing approval, we will have to develop our own sales, marketing and supply organization or outsource these activities to a third party.</w:t>
      </w:r>
    </w:p>
    <w:p>
      <w:pPr>
        <w:spacing w:after="0" w:line="195"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8"/>
          <w:szCs w:val="18"/>
          <w:color w:val="212529"/>
        </w:rPr>
        <w:t xml:space="preserve">Factors that may affect our ability to commercialize our product candidates, if approved, on our own include recruiting and retaining </w:t>
      </w:r>
      <w:r>
        <w:rPr>
          <w:rFonts w:ascii="Arial" w:cs="Arial" w:eastAsia="Arial" w:hAnsi="Arial"/>
          <w:sz w:val="18"/>
          <w:szCs w:val="18"/>
          <w:color w:val="000000"/>
        </w:rPr>
        <w:t>adequate numbers of effective sales and marketing personnel, developing adequate educational and marketing programs to increase public</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acceptance of our approved product candidates, ensuring regulatory compliance of our company, employees and third parties under applicable healthcare laws, and other unforeseen costs associated with creating an independent sales and marketing organization.</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Developing a sales and marketing organization will be expensive and time-consuming and could delay the launch of our product candidates upon approval. We may not be able to build an effective sales and marketing organization. If we are unable to build our own distribution and</w:t>
      </w:r>
    </w:p>
    <w:p>
      <w:pPr>
        <w:jc w:val="both"/>
        <w:spacing w:after="0" w:line="229" w:lineRule="auto"/>
        <w:rPr>
          <w:sz w:val="20"/>
          <w:szCs w:val="20"/>
          <w:color w:val="auto"/>
        </w:rPr>
      </w:pPr>
      <w:r>
        <w:rPr>
          <w:rFonts w:ascii="Arial" w:cs="Arial" w:eastAsia="Arial" w:hAnsi="Arial"/>
          <w:sz w:val="18"/>
          <w:szCs w:val="18"/>
          <w:color w:val="auto"/>
        </w:rPr>
        <w:t>marketing capabilities or to find suitable partners for the commercialization of our product candidates, we may not generate revenues from them or be able to reach or sustain profitability.</w:t>
      </w:r>
    </w:p>
    <w:p>
      <w:pPr>
        <w:spacing w:after="0" w:line="22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18"/>
          <w:szCs w:val="18"/>
          <w:color w:val="212529"/>
        </w:rPr>
        <w:t>surveys</w:t>
      </w:r>
      <w:r>
        <w:rPr>
          <w:rFonts w:ascii="Arial" w:cs="Arial" w:eastAsia="Arial" w:hAnsi="Arial"/>
          <w:sz w:val="18"/>
          <w:szCs w:val="18"/>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For example, pre-specified subgroup analysis based on topline data from our ACT-AD clinical trial identified a potential diminished effect of the combination of standard -of-care (AChEIs) and fosgonimeton. If such hypothesis is supported by additional research, patients receiving AChEIs could be excluded from the addressable patient population for fosgonimeton.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26"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18"/>
          <w:szCs w:val="18"/>
          <w:color w:val="212529"/>
        </w:rPr>
        <w:t>are</w:t>
      </w:r>
      <w:r>
        <w:rPr>
          <w:rFonts w:ascii="Arial" w:cs="Arial" w:eastAsia="Arial" w:hAnsi="Arial"/>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1"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 candidates or products that we may develop;</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time and our resources;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0" w:name="page71"/>
    <w:bookmarkEnd w:id="70"/>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clinical trial participants or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product candidate;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25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1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0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8"/>
          <w:szCs w:val="18"/>
          <w:color w:val="212529"/>
        </w:rPr>
        <w:t>product</w:t>
      </w:r>
      <w:r>
        <w:rPr>
          <w:rFonts w:ascii="Arial" w:cs="Arial" w:eastAsia="Arial" w:hAnsi="Arial"/>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2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18"/>
          <w:szCs w:val="18"/>
          <w:color w:val="212529"/>
        </w:rPr>
        <w:t>products</w:t>
      </w:r>
      <w:r>
        <w:rPr>
          <w:rFonts w:ascii="Arial" w:cs="Arial" w:eastAsia="Arial" w:hAnsi="Arial"/>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5"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1" w:name="page72"/>
    <w:bookmarkEnd w:id="71"/>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5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18"/>
          <w:szCs w:val="18"/>
          <w:color w:val="212529"/>
        </w:rPr>
        <w:t>prices</w:t>
      </w:r>
      <w:r>
        <w:rPr>
          <w:rFonts w:ascii="Arial" w:cs="Arial" w:eastAsia="Arial" w:hAnsi="Arial"/>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2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w:t>
      </w:r>
      <w:r>
        <w:rPr>
          <w:rFonts w:ascii="Arial" w:cs="Arial" w:eastAsia="Arial" w:hAnsi="Arial"/>
          <w:sz w:val="18"/>
          <w:szCs w:val="18"/>
          <w:color w:val="212529"/>
        </w:rPr>
        <w:t>results, our ability to</w:t>
      </w:r>
      <w:r>
        <w:rPr>
          <w:rFonts w:ascii="Arial" w:cs="Arial" w:eastAsia="Arial" w:hAnsi="Arial"/>
          <w:sz w:val="18"/>
          <w:szCs w:val="18"/>
          <w:color w:val="auto"/>
        </w:rPr>
        <w:t xml:space="preserve"> </w:t>
      </w:r>
      <w:r>
        <w:rPr>
          <w:rFonts w:ascii="Arial" w:cs="Arial" w:eastAsia="Arial" w:hAnsi="Arial"/>
          <w:sz w:val="18"/>
          <w:szCs w:val="18"/>
          <w:color w:val="212529"/>
        </w:rPr>
        <w:t>raise capital needed to commercialize product candidates, and our overall financial condition.</w:t>
      </w:r>
    </w:p>
    <w:p>
      <w:pPr>
        <w:spacing w:after="0" w:line="218"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1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8"/>
          <w:szCs w:val="18"/>
          <w:color w:val="000000"/>
        </w:rPr>
        <w:t>product candidate that</w:t>
      </w:r>
      <w:r>
        <w:rPr>
          <w:rFonts w:ascii="Arial" w:cs="Arial" w:eastAsia="Arial" w:hAnsi="Arial"/>
          <w:sz w:val="18"/>
          <w:szCs w:val="18"/>
          <w:color w:val="212529"/>
        </w:rPr>
        <w:t xml:space="preserve"> </w:t>
      </w:r>
      <w:r>
        <w:rPr>
          <w:rFonts w:ascii="Arial" w:cs="Arial" w:eastAsia="Arial" w:hAnsi="Arial"/>
          <w:sz w:val="18"/>
          <w:szCs w:val="18"/>
          <w:color w:val="000000"/>
        </w:rPr>
        <w:t>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2" w:name="page73"/>
    <w:bookmarkEnd w:id="72"/>
    <w:p>
      <w:pPr>
        <w:ind w:firstLine="509"/>
        <w:spacing w:after="0" w:line="278"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80" w:lineRule="exact"/>
        <w:rPr>
          <w:sz w:val="20"/>
          <w:szCs w:val="20"/>
          <w:color w:val="auto"/>
        </w:rPr>
      </w:pPr>
    </w:p>
    <w:p>
      <w:pPr>
        <w:ind w:right="20" w:firstLine="509"/>
        <w:spacing w:after="0" w:line="287" w:lineRule="auto"/>
        <w:rPr>
          <w:sz w:val="20"/>
          <w:szCs w:val="20"/>
          <w:color w:val="auto"/>
        </w:rPr>
      </w:pPr>
      <w:r>
        <w:rPr>
          <w:rFonts w:ascii="Arial" w:cs="Arial" w:eastAsia="Arial" w:hAnsi="Arial"/>
          <w:sz w:val="18"/>
          <w:szCs w:val="18"/>
          <w:color w:val="auto"/>
        </w:rPr>
        <w:t xml:space="preserve">We plan to eventually seek regulatory approval of our product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31" w:lineRule="exact"/>
        <w:rPr>
          <w:sz w:val="20"/>
          <w:szCs w:val="20"/>
          <w:color w:val="auto"/>
        </w:rPr>
      </w:pPr>
    </w:p>
    <w:p>
      <w:pPr>
        <w:ind w:left="1020" w:right="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5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5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5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profitable</w:t>
      </w:r>
      <w:r>
        <w:rPr>
          <w:rFonts w:ascii="Arial" w:cs="Arial" w:eastAsia="Arial" w:hAnsi="Arial"/>
          <w:sz w:val="18"/>
          <w:szCs w:val="18"/>
          <w:color w:val="auto"/>
        </w:rPr>
        <w:t xml:space="preserve"> operations.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5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3" w:name="page74"/>
    <w:bookmarkEnd w:id="73"/>
    <w:p>
      <w:pPr>
        <w:ind w:left="520"/>
        <w:spacing w:after="0"/>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w:t>
      </w:r>
    </w:p>
    <w:p>
      <w:pPr>
        <w:spacing w:after="0" w:line="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issued patents will afford sufficient protection against competitors with similar technology, nor can there be any assurance that the patents issued will not be infringed, designed around, found unenforceable or invalidated by third parties.</w:t>
      </w:r>
    </w:p>
    <w:p>
      <w:pPr>
        <w:spacing w:after="0" w:line="17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our patent portfolio includes one issued U.S. patent, ten pending U.S. patent applications, two issued</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patents in jurisdictions outside of the U.S., nine pending patent applications in jurisdictions outside of the U.S., and four pending international patent applications filed under the Patent Cooperation Treaty. Our owned patent and patent applications have claims directed to our product</w:t>
      </w:r>
    </w:p>
    <w:p>
      <w:pPr>
        <w:spacing w:after="0" w:line="236" w:lineRule="auto"/>
        <w:rPr>
          <w:sz w:val="20"/>
          <w:szCs w:val="20"/>
          <w:color w:val="auto"/>
        </w:rPr>
      </w:pPr>
      <w:r>
        <w:rPr>
          <w:rFonts w:ascii="Arial" w:cs="Arial" w:eastAsia="Arial" w:hAnsi="Arial"/>
          <w:sz w:val="18"/>
          <w:szCs w:val="18"/>
          <w:color w:val="auto"/>
        </w:rPr>
        <w:t>candidate fosgonimeton as composition of matter and methods of treatment with fosgonimeton, as well as other small molecule therapeutics.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U.S. patent will expire in June 2037, absent any patent term extensions for regulatory delay. Dr. Kawas is an inventor on these company-owned patents. Our patent portfolio also includes eight issued U.S. patents and approximately 13 patents issued and one patent application</w:t>
      </w:r>
    </w:p>
    <w:p>
      <w:pPr>
        <w:spacing w:after="0" w:line="235" w:lineRule="auto"/>
        <w:rPr>
          <w:sz w:val="20"/>
          <w:szCs w:val="20"/>
          <w:color w:val="auto"/>
        </w:rPr>
      </w:pPr>
      <w:r>
        <w:rPr>
          <w:rFonts w:ascii="Arial" w:cs="Arial" w:eastAsia="Arial" w:hAnsi="Arial"/>
          <w:sz w:val="18"/>
          <w:szCs w:val="18"/>
          <w:color w:val="auto"/>
        </w:rPr>
        <w:t>pending in jurisdictions outside of the U.S. that are exclusively licensed to us by WSU. The in-licensed patent portfolio includes issued U.S.</w:t>
      </w:r>
    </w:p>
    <w:p>
      <w:pPr>
        <w:jc w:val="both"/>
        <w:spacing w:after="0" w:line="226" w:lineRule="auto"/>
        <w:rPr>
          <w:sz w:val="20"/>
          <w:szCs w:val="20"/>
          <w:color w:val="auto"/>
        </w:rPr>
      </w:pPr>
      <w:r>
        <w:rPr>
          <w:rFonts w:ascii="Arial" w:cs="Arial" w:eastAsia="Arial" w:hAnsi="Arial"/>
          <w:sz w:val="18"/>
          <w:szCs w:val="18"/>
          <w:color w:val="auto"/>
        </w:rPr>
        <w:t>patents that do not directly cover fosgonimeton as a composition of matter or pharmaceutical formulation, but instead cover the active metabolite of fosgonimeton, which is hexanoic-tyrosine-isoleucine-(6)-amino-hexanoic amide (dihexa), and uses of dihexa. Dr. Kawas is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inventor on five of the in-licensed issued U.S. patents.</w:t>
      </w:r>
    </w:p>
    <w:p>
      <w:pPr>
        <w:spacing w:after="0" w:line="22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w:t>
      </w:r>
    </w:p>
    <w:p>
      <w:pPr>
        <w:spacing w:after="0" w:line="1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potential future collaborators will be successful in protecting our product candidates by obtaining and defending patents. These risks and uncertainties include the following:</w:t>
      </w:r>
    </w:p>
    <w:p>
      <w:pPr>
        <w:spacing w:after="0" w:line="73" w:lineRule="exact"/>
        <w:rPr>
          <w:sz w:val="20"/>
          <w:szCs w:val="20"/>
          <w:color w:val="auto"/>
        </w:rPr>
      </w:pPr>
    </w:p>
    <w:p>
      <w:pPr>
        <w:jc w:val="both"/>
        <w:ind w:left="1020" w:right="20" w:hanging="503"/>
        <w:spacing w:after="0" w:line="244"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102"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patents and patent applications may be challenged, invalidated, modified, revoked, circumvented, found to be unenforceable or otherwise may not provide any competitive advantage;</w:t>
      </w:r>
    </w:p>
    <w:p>
      <w:pPr>
        <w:spacing w:after="0" w:line="5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patent laws in the United States or in other countries may limit the ability to obtain, defend or enforce patents, or may apply retroactively to affect the terms and/or scope of patents;</w:t>
      </w:r>
    </w:p>
    <w:p>
      <w:pPr>
        <w:spacing w:after="0" w:line="3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4"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20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protection may be commercially advantageous. It is also possible that we or any current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74" w:name="page75"/>
    <w:bookmarkEnd w:id="74"/>
    <w:p>
      <w:pPr>
        <w:jc w:val="both"/>
        <w:spacing w:after="0" w:line="271" w:lineRule="auto"/>
        <w:rPr>
          <w:sz w:val="20"/>
          <w:szCs w:val="20"/>
          <w:color w:val="auto"/>
        </w:rPr>
      </w:pPr>
      <w:r>
        <w:rPr>
          <w:rFonts w:ascii="Arial" w:cs="Arial" w:eastAsia="Arial" w:hAnsi="Arial"/>
          <w:sz w:val="18"/>
          <w:szCs w:val="18"/>
          <w:color w:val="auto"/>
        </w:rPr>
        <w:t>or future licensors will fail to identify patentable aspects of our research and development output before it is too late to obtain patent protection.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our research and development output, such as our employees, outside scientific collaborators, CROs, third-party manufacturers, consultants, advisors and other third parties, any of these parties may breach such agreements and disclose such output before a patent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application is filed, thereby jeopardizing our ability to seek patent protection.</w:t>
      </w:r>
    </w:p>
    <w:p>
      <w:pPr>
        <w:spacing w:after="0" w:line="2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1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8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which effectively prevent others from commercializing competitive product candidates.</w:t>
      </w:r>
    </w:p>
    <w:p>
      <w:pPr>
        <w:spacing w:after="0" w:line="21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22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p>
    <w:p>
      <w:pPr>
        <w:spacing w:after="0" w:line="21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our patents or the patents of any current or future licensors may become subject to post-grant challenge proceedings, such as oppositions in a foreign patent office, that challenge our claim of priority of invention or other features of patentability with respect to our patents and patent applications and those of any current or future licensors.</w:t>
      </w:r>
    </w:p>
    <w:p>
      <w:pPr>
        <w:spacing w:after="0" w:line="209"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For example, in view of the lawsuits disclosed elsewhere in this report including in this “Risk Factors” section under the heading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and certain of our directors and executive officers have been named as defendants in lawsuits that could result in substantial costs and divert management’s attention</w:t>
      </w:r>
      <w:r>
        <w:rPr>
          <w:rFonts w:ascii="Arial" w:cs="Arial" w:eastAsia="Arial" w:hAnsi="Arial"/>
          <w:sz w:val="18"/>
          <w:szCs w:val="18"/>
          <w:color w:val="auto"/>
        </w:rPr>
        <w:t>,” and in “Part II, Item 1—Legal Proceedings,”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8"/>
          <w:szCs w:val="18"/>
          <w:color w:val="auto"/>
        </w:rPr>
        <w:t>from collaborating with us to license, develop, or commercialize current or future product candidates. Further, these proceedings could have a material adverse effect on our business, results of operations and financial condition.</w:t>
      </w:r>
    </w:p>
    <w:p>
      <w:pPr>
        <w:spacing w:after="0" w:line="19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Even though we own patents and patent applications covering fosgonimeton,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spacing w:after="0" w:line="21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and/or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5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9" w:lineRule="exact"/>
        <w:rPr>
          <w:sz w:val="20"/>
          <w:szCs w:val="20"/>
          <w:color w:val="auto"/>
        </w:rPr>
      </w:pPr>
    </w:p>
    <w:p>
      <w:pPr>
        <w:ind w:left="1020" w:right="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current or future licensors or collaborators might not have been the first to make the inventions covered by the issued patents or patent application that we own or license;</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current or future licensors or collaborators might not have been the first to file patent applications covering certain of our inventions;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 and</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both"/>
        <w:ind w:firstLine="509"/>
        <w:spacing w:after="0" w:line="264"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9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2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7"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8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7" w:name="page78"/>
    <w:bookmarkEnd w:id="77"/>
    <w:p>
      <w:pPr>
        <w:jc w:val="both"/>
        <w:spacing w:after="0" w:line="271" w:lineRule="auto"/>
        <w:rPr>
          <w:sz w:val="20"/>
          <w:szCs w:val="20"/>
          <w:color w:val="auto"/>
        </w:rPr>
      </w:pPr>
      <w:r>
        <w:rPr>
          <w:rFonts w:ascii="Arial" w:cs="Arial" w:eastAsia="Arial" w:hAnsi="Arial"/>
          <w:sz w:val="18"/>
          <w:szCs w:val="18"/>
          <w:color w:val="auto"/>
        </w:rPr>
        <w:t>results. In addition, intellectual property litigation, regardless of its outcome, may cause negative publicity and could prohibit us from marketing or otherwise commercializing our product candidates and technology.</w:t>
      </w:r>
    </w:p>
    <w:p>
      <w:pPr>
        <w:spacing w:after="0" w:line="19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17"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1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4"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19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current or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misrepresented or fraudulently withheld relevant information from the USPTO or made a misleading statement during prosecution.</w:t>
      </w:r>
    </w:p>
    <w:p>
      <w:pPr>
        <w:spacing w:after="0" w:line="21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2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8"/>
          <w:szCs w:val="18"/>
          <w:color w:val="auto"/>
        </w:rPr>
        <w:t>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spacing w:after="0" w:line="2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1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2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82"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or legal proceedings may lead to unfavorable publicity that harms our reputation and causes the market price of our common shares to decline.</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6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current or future licensors. An unfavorable outcome</w:t>
      </w:r>
    </w:p>
    <w:p>
      <w:pPr>
        <w:jc w:val="both"/>
        <w:spacing w:after="0" w:line="226" w:lineRule="auto"/>
        <w:rPr>
          <w:sz w:val="20"/>
          <w:szCs w:val="20"/>
          <w:color w:val="auto"/>
        </w:rPr>
      </w:pPr>
      <w:r>
        <w:rPr>
          <w:rFonts w:ascii="Arial" w:cs="Arial" w:eastAsia="Arial" w:hAnsi="Arial"/>
          <w:sz w:val="18"/>
          <w:szCs w:val="18"/>
          <w:color w:val="auto"/>
        </w:rPr>
        <w:t>could require us to cease using the related technology or to attempt to license rights to it from the prevailing party. Our business could be harmed if the prevailing party does not offer us a license on commercially reasonable terms. Our defense of derivation proceedings may fail</w:t>
      </w:r>
    </w:p>
    <w:p>
      <w:pPr>
        <w:spacing w:after="0" w:line="236" w:lineRule="auto"/>
        <w:rPr>
          <w:sz w:val="20"/>
          <w:szCs w:val="20"/>
          <w:color w:val="auto"/>
        </w:rPr>
      </w:pPr>
      <w:r>
        <w:rPr>
          <w:rFonts w:ascii="Arial" w:cs="Arial" w:eastAsia="Arial" w:hAnsi="Arial"/>
          <w:sz w:val="18"/>
          <w:szCs w:val="18"/>
          <w:color w:val="auto"/>
        </w:rPr>
        <w:t>and, even if successful, may result in substantial costs and distract our management and other employees. In addition, the uncertainties</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associated with such proceedings could have a material adverse effect on our ability to raise the funds necessary to continue our clinical trials, continue our research programs, license necessary technology from third parties or enter into development or manufacturing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partnerships that would help us bring our product candidates to market.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or those of any current or future licensors and the enforcement or defense of our issued patents or those of any current or future licensors.</w:t>
      </w:r>
    </w:p>
    <w:p>
      <w:pPr>
        <w:spacing w:after="0" w:line="20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w:t>
      </w:r>
    </w:p>
    <w:p>
      <w:pPr>
        <w:spacing w:after="0" w:line="235" w:lineRule="auto"/>
        <w:rPr>
          <w:sz w:val="20"/>
          <w:szCs w:val="20"/>
          <w:color w:val="auto"/>
        </w:rPr>
      </w:pPr>
      <w:r>
        <w:rPr>
          <w:rFonts w:ascii="Arial" w:cs="Arial" w:eastAsia="Arial" w:hAnsi="Arial"/>
          <w:sz w:val="18"/>
          <w:szCs w:val="18"/>
          <w:color w:val="auto"/>
        </w:rPr>
        <w:t>prosecuted and may also affect patent litigation. In particular, under the Leahy-Smith Act, the United States transitioned in March 2013 to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application in the USPTO after March 2013 but before us could therefore be awarded a patent covering an invention of ours even if we had made the invention before it was made by such third party. This will require us to be cognizant going forward of the time from invention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filing of a patent application. Furthermore, our ability to obtain and maintain valid and enforceable patents depends on whether the differences between our technology and the prior art allow our technology to be patentable over the prior art. Since patent applications in the</w:t>
      </w:r>
    </w:p>
    <w:p>
      <w:pPr>
        <w:spacing w:after="0" w:line="236" w:lineRule="auto"/>
        <w:rPr>
          <w:sz w:val="20"/>
          <w:szCs w:val="20"/>
          <w:color w:val="auto"/>
        </w:rPr>
      </w:pPr>
      <w:r>
        <w:rPr>
          <w:rFonts w:ascii="Arial" w:cs="Arial" w:eastAsia="Arial" w:hAnsi="Arial"/>
          <w:sz w:val="18"/>
          <w:szCs w:val="18"/>
          <w:color w:val="auto"/>
        </w:rPr>
        <w:t>United States and most other countries are confidential for a period of time after filing or until issuance, we may not be certain that we or any</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current or future licensors are the first to either (1) file any patent application related to our product candidates or (2) invent any of the inventions claimed in the patents or patent applications.</w:t>
      </w:r>
    </w:p>
    <w:p>
      <w:pPr>
        <w:spacing w:after="0" w:line="22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are prosecuted and also may affect patent litigation. These include allowing third-party submission of printed publications to the USPTO during patent prosecution and</w:t>
      </w:r>
    </w:p>
    <w:p>
      <w:pPr>
        <w:spacing w:after="0" w:line="235" w:lineRule="auto"/>
        <w:rPr>
          <w:sz w:val="20"/>
          <w:szCs w:val="20"/>
          <w:color w:val="auto"/>
        </w:rPr>
      </w:pPr>
      <w:r>
        <w:rPr>
          <w:rFonts w:ascii="Arial" w:cs="Arial" w:eastAsia="Arial" w:hAnsi="Arial"/>
          <w:sz w:val="18"/>
          <w:szCs w:val="18"/>
          <w:color w:val="auto"/>
        </w:rPr>
        <w:t>additional procedures to attack the validity or enforceability of a patent by USPTO-administered post-grant proceedings, including PGR, IPR,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and derivation proceedings. An adverse determination in any such submission or proceeding could reduce the scope or enforceability of, or invalidate, our patent rights, which could adversely affect our competitive position.</w:t>
      </w:r>
    </w:p>
    <w:p>
      <w:pPr>
        <w:spacing w:after="0" w:line="22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w:t>
      </w:r>
    </w:p>
    <w:p>
      <w:pPr>
        <w:spacing w:after="0" w:line="235" w:lineRule="auto"/>
        <w:rPr>
          <w:sz w:val="20"/>
          <w:szCs w:val="20"/>
          <w:color w:val="auto"/>
        </w:rPr>
      </w:pPr>
      <w:r>
        <w:rPr>
          <w:rFonts w:ascii="Arial" w:cs="Arial" w:eastAsia="Arial" w:hAnsi="Arial"/>
          <w:sz w:val="18"/>
          <w:szCs w:val="18"/>
          <w:color w:val="auto"/>
        </w:rPr>
        <w:t>hold a claim invalid even though the same evidence would be insufficient to invalidate the claim if first presented in a district court action.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 Thus, the Leahy-Smith Act and its implementation could increase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spacing w:after="0" w:line="20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Obtaining and enforcing patents in the biopharmaceutical industry involve a high degree of technological and legal complexity. Therefore, obtaining and enforcing biopharmaceutical patents is costly, time consuming and inherently uncertain. Changes in either the patent laws or in</w:t>
      </w:r>
    </w:p>
    <w:p>
      <w:pPr>
        <w:spacing w:after="0" w:line="236" w:lineRule="auto"/>
        <w:rPr>
          <w:sz w:val="20"/>
          <w:szCs w:val="20"/>
          <w:color w:val="auto"/>
        </w:rPr>
      </w:pPr>
      <w:r>
        <w:rPr>
          <w:rFonts w:ascii="Arial" w:cs="Arial" w:eastAsia="Arial" w:hAnsi="Arial"/>
          <w:sz w:val="18"/>
          <w:szCs w:val="18"/>
          <w:color w:val="auto"/>
        </w:rPr>
        <w:t>the interpretations of patent laws in the United States and other countries may diminish the value of our intellectual property and may</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increase the uncertainties and costs surrounding the prosecution of patent applications and the enforcement or defense of issued patents. We cannot predict the breadth of claims that may be allowed or enforced in our patents or in third-party patents. In addition, Congress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foreign legislative bodies may pass patent reform legislation that is unfavorable to us.</w:t>
      </w:r>
    </w:p>
    <w:p>
      <w:pPr>
        <w:spacing w:after="0" w:line="23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0" w:name="page81"/>
    <w:bookmarkEnd w:id="80"/>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5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23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5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5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own and in-license patents issued and patent applications pending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spacing w:after="0" w:line="21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1" w:name="page82"/>
    <w:bookmarkEnd w:id="81"/>
    <w:p>
      <w:pPr>
        <w:jc w:val="both"/>
        <w:spacing w:after="0" w:line="246" w:lineRule="auto"/>
        <w:rPr>
          <w:sz w:val="20"/>
          <w:szCs w:val="20"/>
          <w:color w:val="auto"/>
        </w:rPr>
      </w:pPr>
      <w:r>
        <w:rPr>
          <w:rFonts w:ascii="Arial" w:cs="Arial" w:eastAsia="Arial" w:hAnsi="Arial"/>
          <w:sz w:val="18"/>
          <w:szCs w:val="18"/>
          <w:color w:val="auto"/>
        </w:rPr>
        <w:t>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1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w:t>
      </w:r>
    </w:p>
    <w:p>
      <w:pPr>
        <w:jc w:val="both"/>
        <w:spacing w:after="0" w:line="234" w:lineRule="auto"/>
        <w:rPr>
          <w:sz w:val="20"/>
          <w:szCs w:val="20"/>
          <w:color w:val="auto"/>
        </w:rPr>
      </w:pPr>
      <w:r>
        <w:rPr>
          <w:rFonts w:ascii="Arial" w:cs="Arial" w:eastAsia="Arial" w:hAnsi="Arial"/>
          <w:sz w:val="18"/>
          <w:szCs w:val="18"/>
          <w:b w:val="1"/>
          <w:bCs w:val="1"/>
          <w:i w:val="1"/>
          <w:iCs w:val="1"/>
          <w:color w:val="auto"/>
        </w:rPr>
        <w:t>payment, and other requirements imposed by regulations and governmental patent agencies, and our patent protection could be reduced or eliminated for non-compliance with these requirements.</w:t>
      </w:r>
    </w:p>
    <w:p>
      <w:pPr>
        <w:spacing w:after="0" w:line="199" w:lineRule="exact"/>
        <w:rPr>
          <w:sz w:val="20"/>
          <w:szCs w:val="20"/>
          <w:color w:val="auto"/>
        </w:rPr>
      </w:pPr>
    </w:p>
    <w:p>
      <w:pPr>
        <w:jc w:val="both"/>
        <w:ind w:firstLine="515"/>
        <w:spacing w:after="0" w:line="22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current</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or future licensors. We have systems in place to remind us to pay these fees, and we rely on our outside patent annuity service to pay these fees when due. Additionally, the USPTO and various foreign patent offices require compliance with a number of procedural, documentary, fee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w:t>
      </w:r>
    </w:p>
    <w:p>
      <w:pPr>
        <w:jc w:val="both"/>
        <w:spacing w:after="0" w:line="229" w:lineRule="auto"/>
        <w:rPr>
          <w:sz w:val="20"/>
          <w:szCs w:val="20"/>
          <w:color w:val="auto"/>
        </w:rPr>
      </w:pPr>
      <w:r>
        <w:rPr>
          <w:rFonts w:ascii="Arial" w:cs="Arial" w:eastAsia="Arial" w:hAnsi="Arial"/>
          <w:sz w:val="18"/>
          <w:szCs w:val="18"/>
          <w:color w:val="auto"/>
        </w:rPr>
        <w:t>patent or patent application, resulting in partial or complete loss of patent rights in the relevant jurisdiction. If such an event were to occur, it could have a material adverse effect on our business.</w:t>
      </w:r>
    </w:p>
    <w:p>
      <w:pPr>
        <w:spacing w:after="0" w:line="210" w:lineRule="exact"/>
        <w:rPr>
          <w:sz w:val="20"/>
          <w:szCs w:val="20"/>
          <w:color w:val="auto"/>
        </w:rPr>
      </w:pPr>
    </w:p>
    <w:p>
      <w:pPr>
        <w:jc w:val="both"/>
        <w:ind w:firstLine="515"/>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and/or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both"/>
        <w:spacing w:after="0" w:line="271" w:lineRule="auto"/>
        <w:rPr>
          <w:sz w:val="20"/>
          <w:szCs w:val="20"/>
          <w:color w:val="auto"/>
        </w:rPr>
      </w:pPr>
      <w:r>
        <w:rPr>
          <w:rFonts w:ascii="Arial" w:cs="Arial" w:eastAsia="Arial" w:hAnsi="Arial"/>
          <w:sz w:val="18"/>
          <w:szCs w:val="18"/>
          <w:color w:val="auto"/>
        </w:rPr>
        <w:t>names, copyrights or other intellectual property may be ineffective and could result in substantial costs and diversion of resources and could adversely affect our financial condition or results of operations.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5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2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1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1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1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8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8"/>
          <w:szCs w:val="18"/>
          <w:color w:val="auto"/>
        </w:rPr>
        <w:t>rights or personnel, which could adversely affect our business. Even if we are successful in defending against these claims, litigation could result in substantial costs and be a distraction to our management team and other employees.</w:t>
      </w:r>
    </w:p>
    <w:p>
      <w:pPr>
        <w:spacing w:after="0" w:line="196"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may be subject, in part, to the terms and conditions of licenses granted to us by others.</w:t>
      </w:r>
    </w:p>
    <w:p>
      <w:pPr>
        <w:spacing w:after="0" w:line="16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w:t>
      </w:r>
    </w:p>
    <w:p>
      <w:pPr>
        <w:spacing w:after="0" w:line="21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spacing w:after="0" w:line="21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products similar or identical to our product candidates. This could have a material adverse effect on our competitive position, business, financial conditions, results of operations, and prospects.</w:t>
      </w:r>
    </w:p>
    <w:p>
      <w:pPr>
        <w:spacing w:after="0" w:line="21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spacing w:after="0" w:line="222"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1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Disputes may arise between us and our current or future licensors regarding intellectual property and other rights subject to a license agreement, including:</w:t>
      </w:r>
    </w:p>
    <w:p>
      <w:pPr>
        <w:spacing w:after="0" w:line="4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product candidates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to third parties;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both"/>
        <w:ind w:firstLine="509"/>
        <w:spacing w:after="0" w:line="244" w:lineRule="auto"/>
        <w:rPr>
          <w:sz w:val="20"/>
          <w:szCs w:val="20"/>
          <w:color w:val="auto"/>
        </w:rPr>
      </w:pPr>
      <w:r>
        <w:rPr>
          <w:rFonts w:ascii="Arial" w:cs="Arial" w:eastAsia="Arial" w:hAnsi="Arial"/>
          <w:sz w:val="18"/>
          <w:szCs w:val="18"/>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2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25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 applications and patents relating to our product candidates,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20" w:lineRule="exact"/>
        <w:rPr>
          <w:sz w:val="20"/>
          <w:szCs w:val="20"/>
          <w:color w:val="auto"/>
        </w:rPr>
      </w:pPr>
    </w:p>
    <w:p>
      <w:pPr>
        <w:jc w:val="both"/>
        <w:ind w:right="20" w:firstLine="509"/>
        <w:spacing w:after="0" w:line="264"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9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both"/>
        <w:spacing w:after="0" w:line="271" w:lineRule="auto"/>
        <w:rPr>
          <w:sz w:val="20"/>
          <w:szCs w:val="20"/>
          <w:color w:val="auto"/>
        </w:rPr>
      </w:pPr>
      <w:r>
        <w:rPr>
          <w:rFonts w:ascii="Arial" w:cs="Arial" w:eastAsia="Arial" w:hAnsi="Arial"/>
          <w:sz w:val="18"/>
          <w:szCs w:val="18"/>
          <w:color w:val="auto"/>
        </w:rPr>
        <w:t>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Cybersecurity</w:t>
      </w:r>
    </w:p>
    <w:p>
      <w:pPr>
        <w:spacing w:after="0" w:line="25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20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use or deployment of harmful malware, denial-of-service, social engineering, phishing and other means to misappropriate trade secrets and otherwise misuse or obtain unauthorized access to personal, sensitive, confidential or proprietary information or company resources, affect service reliability, and threaten data confidentiality, integrity and availability.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Cybersecurity researchers also have warned of increased cyberattack activity in connection with Russia’s invasion of Ukraine, 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and/or result in increased costs or loss of revenue or company resources. Moreover, the prevalent use of mobile devices that access confidential information increases the risk of security breaches and incidents.</w:t>
      </w:r>
    </w:p>
    <w:p>
      <w:pPr>
        <w:spacing w:after="0" w:line="23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Despite significant efforts to create security barriers to the above described threats, it is impossible for us to entirely mitigate these risks. To date, we have not experienced any material impact to our business, financial position or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or incident were to result in a loss of, or damage to, our data or systems, or inappropriate use, disclosure or modification of personal, sensitive,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and/or result in the loss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1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 complexity of transferring personal data across borders and may require us to review and amend our mechanisms relating to cross-border data transfer.</w:t>
      </w:r>
    </w:p>
    <w:p>
      <w:pPr>
        <w:spacing w:after="0" w:line="21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the exit of the United Kingdom, or UK, from the EU, referred to as Brexit, has created uncertainty with regard to data protection regulation in the UK. The UK has exited the EU and has implemented legislation similar to the GDPR, referred to as the UK GDPR, which provides for fines of up to the greater of up to the greater of £17.5 million or 4% of global turnover. The GDPR increased our responsibility and liability in relation to personal data that we process where such processing is subject to the GDPR, and we may be required to put in place or modify policies and measures to ensure compliance with the GDPR, including as implemented by individual countries, and the UK GDPR,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Europe and the UK.</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California has enacted the California Consumer Privacy Act, or CCPA, which creates new individual privacy rights for</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California consumers (as defined in the law) and places increased privacy and security obligations on entities handling personal data of consumers or households. The CCPA requires covered companies to provide new disclosure to consumers about such companies’ data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collection, use and sharing practices, provide such consumers new ways to opt-out of certain sales or transfers of personal information, and provide consumers with additional causes of action. The CCPA went into effect on January 1, 2020, and the California Attorney General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commenced enforcement actions for violations on July 1, 2020. In November 2020, California passed the California Privacy Rights Act (CPRA), which amends and expands the CCPA. While most of the substantive provisions in CPRA will not take effect until 2023 and</w:t>
      </w:r>
    </w:p>
    <w:p>
      <w:pPr>
        <w:spacing w:after="0" w:line="236" w:lineRule="auto"/>
        <w:rPr>
          <w:sz w:val="20"/>
          <w:szCs w:val="20"/>
          <w:color w:val="auto"/>
        </w:rPr>
      </w:pPr>
      <w:r>
        <w:rPr>
          <w:rFonts w:ascii="Arial" w:cs="Arial" w:eastAsia="Arial" w:hAnsi="Arial"/>
          <w:sz w:val="18"/>
          <w:szCs w:val="18"/>
          <w:color w:val="auto"/>
        </w:rPr>
        <w:t>although the CCPA includes exemptions for certain clinical trial data, the law may increase our compliance costs and potential liability with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respect to other personal information we may collect about California consumers. Additionally, other states have proposed or enacted laws addressing privacy and security that impose obligations similar to those of the CCPA. In March 2021, Virginia enacted the Virginia Consumer</w:t>
      </w:r>
    </w:p>
    <w:p>
      <w:pPr>
        <w:spacing w:after="0" w:line="236" w:lineRule="auto"/>
        <w:rPr>
          <w:sz w:val="20"/>
          <w:szCs w:val="20"/>
          <w:color w:val="auto"/>
        </w:rPr>
      </w:pPr>
      <w:r>
        <w:rPr>
          <w:rFonts w:ascii="Arial" w:cs="Arial" w:eastAsia="Arial" w:hAnsi="Arial"/>
          <w:sz w:val="18"/>
          <w:szCs w:val="18"/>
          <w:color w:val="auto"/>
        </w:rPr>
        <w:t>Data Protection Act, or CDPA, which becomes effective on January 1, 2023; on June 8, 2021, Colorado enacted the Colorado Privacy Act,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CPA, which takes effect on July 1, 2023; in March 2022, Utah enacted the Utah Consumer Privacy Act, or UCPA, which takes effect on December 31, 2023, and in May 2022, Connecticut enacted an Act Concerning Personal Data Privacy and Online Monitoring, or CTDPA,</w:t>
      </w:r>
    </w:p>
    <w:p>
      <w:pPr>
        <w:spacing w:after="0" w:line="236" w:lineRule="auto"/>
        <w:rPr>
          <w:sz w:val="20"/>
          <w:szCs w:val="20"/>
          <w:color w:val="auto"/>
        </w:rPr>
      </w:pPr>
      <w:r>
        <w:rPr>
          <w:rFonts w:ascii="Arial" w:cs="Arial" w:eastAsia="Arial" w:hAnsi="Arial"/>
          <w:sz w:val="18"/>
          <w:szCs w:val="18"/>
          <w:color w:val="auto"/>
        </w:rPr>
        <w:t>which takes effect on July 1, 2023. The CDPA, CPA, UCPA, and CTDPA share similarities with the CCPA, the CPRA, and legislation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proposed in other states. The CCPA, CPRA, and other evolving state privacy legislation may impact our business activities and exemplifies the vulnerability of our business to the evolving regulatory environment related to personal data and protected health information.</w:t>
      </w:r>
    </w:p>
    <w:p>
      <w:pPr>
        <w:spacing w:after="0" w:line="22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w:t>
      </w:r>
    </w:p>
    <w:p>
      <w:pPr>
        <w:spacing w:after="0" w:line="235" w:lineRule="auto"/>
        <w:rPr>
          <w:sz w:val="20"/>
          <w:szCs w:val="20"/>
          <w:color w:val="auto"/>
        </w:rPr>
      </w:pPr>
      <w:r>
        <w:rPr>
          <w:rFonts w:ascii="Arial" w:cs="Arial" w:eastAsia="Arial" w:hAnsi="Arial"/>
          <w:sz w:val="18"/>
          <w:szCs w:val="18"/>
          <w:color w:val="auto"/>
        </w:rPr>
        <w:t>actual or alleged failure to comply with U.S. or international laws and regulations relating to privacy, data protection, and data security could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about whom we or our potential collaborators obtain information, as well as the providers who share this information with us, may contractually limit our ability to use and disclose the information or impose other obligations or restrictions in connection with our use, retention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and other processing of information, and we may otherwise face contractual restrictions applicable to our use, retention, and other</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processing of information. Claims that we have violated individuals’ privacy rights, failed to comply with data protection laws, or breached our contractual obligations, even if we are not found liable, could be expensive and time consuming to defend and could result in adverse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publicity that could harm our business.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5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b w:val="1"/>
          <w:bCs w:val="1"/>
          <w:i w:val="1"/>
          <w:iCs w:val="1"/>
          <w:color w:val="auto"/>
        </w:rPr>
        <w:t>We and certain of our directors and executive officers have been named as defendants in lawsuits that could result in substantial costs and divert management’s attention.</w:t>
      </w:r>
    </w:p>
    <w:p>
      <w:pPr>
        <w:spacing w:after="0" w:line="19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described elsewhere in this report in “Part II, Item 1—Legal Proceedings,” we and certain of our executive officers and directors have been named as defendants in class action lawsuits that generally allege that we and certain of our officers and directors violated</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Sections 10(b) and/or 20(a) of the Exchange Act and Rule 10b-5 promulgated thereunder by making allegedly false and/or misleading statements and omitted material adverse facts regarding the Company’s business. These complaints seek unspecified compensatory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punitive damages, and reasonable costs and expenses, including attorneys’ fees. As of the date of this report, we are unable to predict the outcome of these matters. Although we have insurance, it provides for a substantial retention of liability and is subject to limitations and may</w:t>
      </w:r>
    </w:p>
    <w:p>
      <w:pPr>
        <w:spacing w:after="0" w:line="236" w:lineRule="auto"/>
        <w:rPr>
          <w:sz w:val="20"/>
          <w:szCs w:val="20"/>
          <w:color w:val="auto"/>
        </w:rPr>
      </w:pPr>
      <w:r>
        <w:rPr>
          <w:rFonts w:ascii="Arial" w:cs="Arial" w:eastAsia="Arial" w:hAnsi="Arial"/>
          <w:sz w:val="18"/>
          <w:szCs w:val="18"/>
          <w:color w:val="auto"/>
        </w:rPr>
        <w:t>not cover a significant portion, or any, of the expenses or liabilities we may incur or be subject to in connection with class action lawsuit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w:t>
      </w:r>
    </w:p>
    <w:p>
      <w:pPr>
        <w:spacing w:after="0" w:line="235" w:lineRule="auto"/>
        <w:rPr>
          <w:sz w:val="20"/>
          <w:szCs w:val="20"/>
          <w:color w:val="auto"/>
        </w:rPr>
      </w:pPr>
      <w:r>
        <w:rPr>
          <w:rFonts w:ascii="Arial" w:cs="Arial" w:eastAsia="Arial" w:hAnsi="Arial"/>
          <w:sz w:val="18"/>
          <w:szCs w:val="18"/>
          <w:color w:val="auto"/>
        </w:rPr>
        <w:t>and business. In addition, the litigation has caused and will continue to cause our management and board of directors to divert time and</w:t>
      </w:r>
    </w:p>
    <w:p>
      <w:pPr>
        <w:spacing w:after="0" w:line="226" w:lineRule="auto"/>
        <w:rPr>
          <w:sz w:val="20"/>
          <w:szCs w:val="20"/>
          <w:color w:val="auto"/>
        </w:rPr>
      </w:pPr>
      <w:r>
        <w:rPr>
          <w:rFonts w:ascii="Arial" w:cs="Arial" w:eastAsia="Arial" w:hAnsi="Arial"/>
          <w:sz w:val="18"/>
          <w:szCs w:val="18"/>
          <w:color w:val="auto"/>
        </w:rPr>
        <w:t>attention to the litigation and could adversely impact our reputation and further divert management and our board of directors’ attention and resources from other priorities, including the execution of our business plan and strategies that are important to our ability to grow our</w:t>
      </w:r>
    </w:p>
    <w:p>
      <w:pPr>
        <w:spacing w:after="0" w:line="236" w:lineRule="auto"/>
        <w:rPr>
          <w:sz w:val="20"/>
          <w:szCs w:val="20"/>
          <w:color w:val="auto"/>
        </w:rPr>
      </w:pPr>
      <w:r>
        <w:rPr>
          <w:rFonts w:ascii="Arial" w:cs="Arial" w:eastAsia="Arial" w:hAnsi="Arial"/>
          <w:sz w:val="18"/>
          <w:szCs w:val="18"/>
          <w:color w:val="auto"/>
        </w:rPr>
        <w:t>business and advance our product candidates, any of which could have a material adverse effect on our business. In addition, additional</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23"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b w:val="1"/>
          <w:bCs w:val="1"/>
          <w:i w:val="1"/>
          <w:iCs w:val="1"/>
          <w:color w:val="auto"/>
        </w:rPr>
        <w:t>Actions by activist stockholders have in the past been, and may in the future be, disruptive and could cause uncertainty about the strategic direction of our business.</w:t>
      </w:r>
    </w:p>
    <w:p>
      <w:pPr>
        <w:spacing w:after="0" w:line="19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and one other candidate for election to our board of directors at our 2022 annual meeting of stockholders. While this proxy contest was unsuccessful, stockholder activism could recur and have an adverse effect on our business, results of operations, and financial condition. For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example, as of the date of this report, our market capitalization was less than the aggregate value of our cash, cash equivalents and investments. Other similarly situated biotechnology companies have received proposals from shareholder activists to liquidate and return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capital to investors.</w:t>
      </w:r>
    </w:p>
    <w:p>
      <w:pPr>
        <w:spacing w:after="0" w:line="2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We strive to maintain constructive communications with our stockholders and welcome their views and opinions with the goal of enhancing value for all stockholders. However, a proxy contest or other activist behaviors could have an adverse effect on us because:</w:t>
      </w:r>
    </w:p>
    <w:p>
      <w:pPr>
        <w:spacing w:after="0" w:line="59" w:lineRule="exact"/>
        <w:rPr>
          <w:sz w:val="20"/>
          <w:szCs w:val="20"/>
          <w:color w:val="auto"/>
        </w:rPr>
      </w:pPr>
    </w:p>
    <w:p>
      <w:pPr>
        <w:jc w:val="both"/>
        <w:ind w:left="1020" w:hanging="503"/>
        <w:spacing w:after="0" w:line="252"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activist stockholders may interfere with any efforts that we undertake in the future to raise capital;</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activist stockholders could cause significant fluctuations in our stock price based on temporary or speculative market perceptions or other factors that do not necessarily reflect the underlying fundamentals and prospects of our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88" w:name="page89"/>
    <w:bookmarkEnd w:id="88"/>
    <w:p>
      <w:pPr>
        <w:ind w:left="1020" w:hanging="503"/>
        <w:spacing w:after="0" w:line="286"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16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negative impacts.</w:t>
      </w:r>
    </w:p>
    <w:p>
      <w:pPr>
        <w:spacing w:after="0" w:line="223" w:lineRule="exact"/>
        <w:rPr>
          <w:sz w:val="20"/>
          <w:szCs w:val="20"/>
          <w:color w:val="auto"/>
        </w:rPr>
      </w:pPr>
    </w:p>
    <w:p>
      <w:pPr>
        <w:ind w:firstLine="509"/>
        <w:spacing w:after="0" w:line="278" w:lineRule="auto"/>
        <w:rPr>
          <w:sz w:val="20"/>
          <w:szCs w:val="20"/>
          <w:color w:val="auto"/>
        </w:rPr>
      </w:pPr>
      <w:r>
        <w:rPr>
          <w:rFonts w:ascii="Arial" w:cs="Arial" w:eastAsia="Arial" w:hAnsi="Arial"/>
          <w:sz w:val="18"/>
          <w:szCs w:val="18"/>
          <w:b w:val="1"/>
          <w:bCs w:val="1"/>
          <w:i w:val="1"/>
          <w:iCs w:val="1"/>
          <w:color w:val="auto"/>
        </w:rPr>
        <w:t>We do not know whether an active market for our common stock will be sustained, and, as a result, it may be difficult for you to sell your shares of our common stock.</w:t>
      </w:r>
    </w:p>
    <w:p>
      <w:pPr>
        <w:spacing w:after="0" w:line="166"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w:t>
      </w:r>
    </w:p>
    <w:p>
      <w:pPr>
        <w:spacing w:after="0" w:line="237" w:lineRule="auto"/>
        <w:rPr>
          <w:sz w:val="20"/>
          <w:szCs w:val="20"/>
          <w:color w:val="auto"/>
        </w:rPr>
      </w:pPr>
      <w:r>
        <w:rPr>
          <w:rFonts w:ascii="Arial" w:cs="Arial" w:eastAsia="Arial" w:hAnsi="Arial"/>
          <w:sz w:val="18"/>
          <w:szCs w:val="18"/>
          <w:color w:val="auto"/>
        </w:rPr>
        <w:t>our results of operations and progression of our product pipeline may not meet the expectations of public market analysts and investors, and, as a result of these and other factors, the price of our common stock may fall.</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25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4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and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impact of the COVID-19 pandemic on our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products or technologies;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negative press coverage;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status of ongoing litigation and potential commencement of additional litigation;</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the investigation by the independent special committee of the board of directors and the separate ongoing investigation by WSU;</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9" w:name="page90"/>
    <w:bookmarkEnd w:id="89"/>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direct or indirect impacts on our business, our suppliers and other third parties and our clinical sites as a result of geopolitical events, including the Russia-Ukraine war;</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“Part II, Item 1A—Risk Factors” section.</w:t>
      </w:r>
    </w:p>
    <w:p>
      <w:pPr>
        <w:spacing w:after="0" w:line="25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1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1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1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Moreover, as of September 30, 2022, the holders of approximately 5.1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19"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8"/>
          <w:szCs w:val="18"/>
          <w:b w:val="1"/>
          <w:bCs w:val="1"/>
          <w:i w:val="1"/>
          <w:iCs w:val="1"/>
          <w:color w:val="auto"/>
        </w:rPr>
        <w:t>Our directors, executive officers and significant stockholders own a substantial percentage of our common stock, which could limit your ability to affect the outcome of key transactions, including a change of control.</w:t>
      </w:r>
    </w:p>
    <w:p>
      <w:pPr>
        <w:spacing w:after="0" w:line="16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directors, executive officers, significant holders of our outstanding common stock and their respective affiliates beneficially own a substantial amount of our outstanding common stock as of September 30, 2022.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1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90" w:name="page91"/>
    <w:bookmarkEnd w:id="90"/>
    <w:p>
      <w:pPr>
        <w:jc w:val="both"/>
        <w:spacing w:after="0" w:line="246" w:lineRule="auto"/>
        <w:rPr>
          <w:sz w:val="20"/>
          <w:szCs w:val="20"/>
          <w:color w:val="auto"/>
        </w:rPr>
      </w:pPr>
      <w:r>
        <w:rPr>
          <w:rFonts w:ascii="Arial" w:cs="Arial" w:eastAsia="Arial" w:hAnsi="Arial"/>
          <w:sz w:val="18"/>
          <w:szCs w:val="18"/>
          <w:color w:val="auto"/>
        </w:rPr>
        <w:t>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1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22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process of building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1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18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62" w:lineRule="exact"/>
        <w:rPr>
          <w:sz w:val="20"/>
          <w:szCs w:val="20"/>
          <w:color w:val="auto"/>
        </w:rPr>
      </w:pPr>
    </w:p>
    <w:p>
      <w:pPr>
        <w:ind w:left="1020" w:right="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divide the board of directors into three classes;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ind w:left="1020" w:hanging="503"/>
        <w:spacing w:after="0" w:line="286"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32"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55"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20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1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1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1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92" w:name="page93"/>
    <w:bookmarkEnd w:id="92"/>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25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26"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16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19"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18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2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p>
    <w:p>
      <w:pPr>
        <w:spacing w:after="0" w:line="2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offer and sale of all of the shares of our common stock in our IPO were registered under the Securities Act pursuant to a registration statement on Form S-1 (File No. 333-248428), which was declared effective by the SEC on September 17, 2020.</w:t>
      </w:r>
    </w:p>
    <w:p>
      <w:pPr>
        <w:spacing w:after="0" w:line="1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pursuant to Rule 424(b)(4) under the Securities Act with the SEC on September 18, 2020</w:t>
      </w:r>
      <w:r>
        <w:rPr>
          <w:rFonts w:ascii="Arial" w:cs="Arial" w:eastAsia="Arial" w:hAnsi="Arial"/>
          <w:sz w:val="18"/>
          <w:szCs w:val="18"/>
          <w:color w:val="231F20"/>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9040"/>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60" w:type="dxa"/>
            <w:vAlign w:val="bottom"/>
            <w:gridSpan w:val="11"/>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9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 No.</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1"/>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60" w:type="dxa"/>
            <w:vAlign w:val="bottom"/>
          </w:tcPr>
          <w:p>
            <w:pPr>
              <w:ind w:lef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15"/>
          </w:tcPr>
          <w:p>
            <w:pPr>
              <w:spacing w:after="0"/>
              <w:rPr>
                <w:rFonts w:ascii="Arial" w:cs="Arial" w:eastAsia="Arial" w:hAnsi="Arial"/>
                <w:sz w:val="18"/>
                <w:szCs w:val="18"/>
                <w:color w:val="0000FF"/>
              </w:rPr>
            </w:pPr>
            <w:hyperlink r:id="rId271">
              <w:r>
                <w:rPr>
                  <w:rFonts w:ascii="Arial" w:cs="Arial" w:eastAsia="Arial" w:hAnsi="Arial"/>
                  <w:sz w:val="18"/>
                  <w:szCs w:val="18"/>
                  <w:color w:val="0000FF"/>
                </w:rPr>
                <w:t>Amended and Restated Certificate of Incorporation of the Company</w:t>
              </w:r>
            </w:hyperlink>
          </w:p>
        </w:tc>
        <w:tc>
          <w:tcPr>
            <w:tcW w:w="920" w:type="dxa"/>
            <w:vAlign w:val="bottom"/>
          </w:tcPr>
          <w:p>
            <w:pPr>
              <w:ind w:left="320"/>
              <w:spacing w:after="0"/>
              <w:rPr>
                <w:sz w:val="20"/>
                <w:szCs w:val="20"/>
                <w:color w:val="auto"/>
              </w:rPr>
            </w:pPr>
            <w:r>
              <w:rPr>
                <w:rFonts w:ascii="Arial" w:cs="Arial" w:eastAsia="Arial" w:hAnsi="Arial"/>
                <w:sz w:val="18"/>
                <w:szCs w:val="18"/>
                <w:color w:val="auto"/>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60" w:type="dxa"/>
            <w:vAlign w:val="bottom"/>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50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12, 2020</w:t>
            </w:r>
          </w:p>
        </w:tc>
        <w:tc>
          <w:tcPr>
            <w:tcW w:w="0" w:type="dxa"/>
            <w:vAlign w:val="bottom"/>
          </w:tcPr>
          <w:p>
            <w:pPr>
              <w:spacing w:after="0"/>
              <w:rPr>
                <w:sz w:val="1"/>
                <w:szCs w:val="1"/>
                <w:color w:val="auto"/>
              </w:rPr>
            </w:pPr>
          </w:p>
        </w:tc>
      </w:tr>
      <w:tr>
        <w:trPr>
          <w:trHeight w:val="234"/>
        </w:trPr>
        <w:tc>
          <w:tcPr>
            <w:tcW w:w="960" w:type="dxa"/>
            <w:vAlign w:val="bottom"/>
          </w:tcPr>
          <w:p>
            <w:pPr>
              <w:ind w:lef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15"/>
          </w:tcPr>
          <w:p>
            <w:pPr>
              <w:spacing w:after="0"/>
              <w:rPr>
                <w:rFonts w:ascii="Arial" w:cs="Arial" w:eastAsia="Arial" w:hAnsi="Arial"/>
                <w:sz w:val="18"/>
                <w:szCs w:val="18"/>
                <w:color w:val="0000FF"/>
              </w:rPr>
            </w:pPr>
            <w:hyperlink r:id="rId272">
              <w:r>
                <w:rPr>
                  <w:rFonts w:ascii="Arial" w:cs="Arial" w:eastAsia="Arial" w:hAnsi="Arial"/>
                  <w:sz w:val="18"/>
                  <w:szCs w:val="18"/>
                  <w:color w:val="0000FF"/>
                </w:rPr>
                <w:t>Amended and Restated Bylaws of the Company</w:t>
              </w:r>
            </w:hyperlink>
          </w:p>
        </w:tc>
        <w:tc>
          <w:tcPr>
            <w:tcW w:w="920" w:type="dxa"/>
            <w:vAlign w:val="bottom"/>
          </w:tcPr>
          <w:p>
            <w:pPr>
              <w:ind w:left="320"/>
              <w:spacing w:after="0"/>
              <w:rPr>
                <w:sz w:val="20"/>
                <w:szCs w:val="20"/>
                <w:color w:val="auto"/>
              </w:rPr>
            </w:pPr>
            <w:r>
              <w:rPr>
                <w:rFonts w:ascii="Arial" w:cs="Arial" w:eastAsia="Arial" w:hAnsi="Arial"/>
                <w:sz w:val="18"/>
                <w:szCs w:val="18"/>
                <w:color w:val="auto"/>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60" w:type="dxa"/>
            <w:vAlign w:val="bottom"/>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12, 2020</w:t>
            </w:r>
          </w:p>
        </w:tc>
        <w:tc>
          <w:tcPr>
            <w:tcW w:w="0" w:type="dxa"/>
            <w:vAlign w:val="bottom"/>
          </w:tcPr>
          <w:p>
            <w:pPr>
              <w:spacing w:after="0" w:line="20" w:lineRule="exact"/>
              <w:rPr>
                <w:sz w:val="1"/>
                <w:szCs w:val="1"/>
                <w:color w:val="auto"/>
              </w:rPr>
            </w:pPr>
          </w:p>
        </w:tc>
      </w:tr>
      <w:tr>
        <w:trPr>
          <w:trHeight w:val="212"/>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15"/>
            <w:vMerge w:val="restart"/>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w:t>
            </w: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80" w:type="dxa"/>
            <w:vAlign w:val="bottom"/>
            <w:gridSpan w:val="15"/>
            <w:vMerge w:val="continue"/>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rPr>
              <w:t>15d-14(a) under the Securities Exchange Act of 1934, as Adopted</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Pursuant to Section 302 of the Sarbanes-Oxley Act of 2002.</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1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0000FF"/>
              </w:rPr>
              <w:t>Certification of Principal Accounting and Financial Officer Pursuant to</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rPr>
              <w:t>Rules 13a-14(a) and 15d-14(a) under the Securities Exchange Act of</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w:t>
            </w:r>
          </w:p>
        </w:tc>
        <w:tc>
          <w:tcPr>
            <w:tcW w:w="460" w:type="dxa"/>
            <w:vAlign w:val="bottom"/>
            <w:gridSpan w:val="5"/>
          </w:tcPr>
          <w:p>
            <w:pPr>
              <w:ind w:left="60"/>
              <w:spacing w:after="0" w:line="169" w:lineRule="exact"/>
              <w:rPr>
                <w:sz w:val="20"/>
                <w:szCs w:val="20"/>
                <w:color w:val="auto"/>
              </w:rPr>
            </w:pPr>
            <w:r>
              <w:rPr>
                <w:rFonts w:ascii="Arial" w:cs="Arial" w:eastAsia="Arial" w:hAnsi="Arial"/>
                <w:sz w:val="18"/>
                <w:szCs w:val="18"/>
                <w:color w:val="0000FF"/>
              </w:rPr>
              <w:t>of</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3"/>
              </w:rPr>
              <w:t>2002.</w:t>
            </w:r>
          </w:p>
        </w:tc>
        <w:tc>
          <w:tcPr>
            <w:tcW w:w="20" w:type="dxa"/>
            <w:vAlign w:val="bottom"/>
            <w:tcBorders>
              <w:top w:val="single" w:sz="8" w:color="0000FF"/>
              <w:bottom w:val="single" w:sz="8" w:color="0000EE"/>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0000FF"/>
              </w:rPr>
              <w:t>Certification of Principal Executive Officer Pursuant to 18 U.S.C. Section</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80" w:type="dxa"/>
            <w:vAlign w:val="bottom"/>
            <w:tcBorders>
              <w:top w:val="single" w:sz="8" w:color="0000FF"/>
              <w:bottom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1350, as Adopted Pursuant to Section 906 of the Sarbanes-Oxley Act of</w:t>
            </w: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4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93"/>
              </w:rPr>
              <w:t>2002.</w:t>
            </w:r>
          </w:p>
        </w:tc>
        <w:tc>
          <w:tcPr>
            <w:tcW w:w="20" w:type="dxa"/>
            <w:vAlign w:val="bottom"/>
            <w:tcBorders>
              <w:bottom w:val="single" w:sz="8" w:color="0000EE"/>
            </w:tcBorders>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1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0000FF"/>
              </w:rPr>
              <w:t>Certification of Principal Accounting and Financial Officer Pursuant to 18</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U.S.C. Section 1350, as Adopted Pursuant to Section 906 of the</w:t>
            </w: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840" w:type="dxa"/>
            <w:vAlign w:val="bottom"/>
            <w:tcBorders>
              <w:top w:val="single" w:sz="8" w:color="0000FF"/>
            </w:tcBorders>
            <w:gridSpan w:val="3"/>
          </w:tcPr>
          <w:p>
            <w:pPr>
              <w:spacing w:after="0"/>
              <w:rPr>
                <w:sz w:val="14"/>
                <w:szCs w:val="14"/>
                <w:color w:val="auto"/>
              </w:rPr>
            </w:pPr>
          </w:p>
        </w:tc>
        <w:tc>
          <w:tcPr>
            <w:tcW w:w="820" w:type="dxa"/>
            <w:vAlign w:val="bottom"/>
            <w:gridSpan w:val="8"/>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100" w:right="4220" w:hanging="1088"/>
        <w:spacing w:after="0" w:line="256" w:lineRule="auto"/>
        <w:tabs>
          <w:tab w:leader="none" w:pos="11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229" w:lineRule="exact"/>
        <w:rPr>
          <w:rFonts w:ascii="Arial" w:cs="Arial" w:eastAsia="Arial" w:hAnsi="Arial"/>
          <w:sz w:val="18"/>
          <w:szCs w:val="18"/>
          <w:color w:val="auto"/>
        </w:rPr>
      </w:pPr>
    </w:p>
    <w:p>
      <w:pPr>
        <w:jc w:val="both"/>
        <w:spacing w:after="0" w:line="273" w:lineRule="auto"/>
        <w:rPr>
          <w:rFonts w:ascii="Arial" w:cs="Arial" w:eastAsia="Arial" w:hAnsi="Arial"/>
          <w:sz w:val="18"/>
          <w:szCs w:val="18"/>
          <w:color w:val="auto"/>
        </w:rPr>
      </w:pPr>
      <w:r>
        <w:rPr>
          <w:rFonts w:ascii="Arial" w:cs="Arial" w:eastAsia="Arial" w:hAnsi="Arial"/>
          <w:sz w:val="14"/>
          <w:szCs w:val="14"/>
          <w:color w:val="auto"/>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9512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509"/>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Athira Pharma, Inc.</w:t>
      </w:r>
    </w:p>
    <w:p>
      <w:pPr>
        <w:spacing w:after="0" w:line="198" w:lineRule="exact"/>
        <w:rPr>
          <w:sz w:val="20"/>
          <w:szCs w:val="20"/>
          <w:color w:val="auto"/>
        </w:rPr>
      </w:pPr>
    </w:p>
    <w:p>
      <w:pPr>
        <w:ind w:left="5700" w:right="4040" w:hanging="6020"/>
        <w:spacing w:after="0" w:line="253" w:lineRule="auto"/>
        <w:tabs>
          <w:tab w:leader="none" w:pos="56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 /s/ Mark Litton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194" w:lineRule="exact"/>
        <w:rPr>
          <w:sz w:val="20"/>
          <w:szCs w:val="20"/>
          <w:color w:val="auto"/>
        </w:rPr>
      </w:pPr>
    </w:p>
    <w:p>
      <w:pPr>
        <w:ind w:left="5700" w:right="3680" w:hanging="6020"/>
        <w:spacing w:after="0" w:line="253" w:lineRule="auto"/>
        <w:tabs>
          <w:tab w:leader="none" w:pos="56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 /s/ Glenna Mileson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6040"/>
        <w:spacing w:after="0" w:line="219" w:lineRule="auto"/>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 Accounting</w:t>
      </w:r>
    </w:p>
    <w:p>
      <w:pPr>
        <w:ind w:left="60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96" w:name="page97"/>
    <w:bookmarkEnd w:id="9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CERTIFICATION OF THE PRINCIPAL EXECUTIVE OFFICER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Litton, certify that:</w:t>
      </w:r>
    </w:p>
    <w:p>
      <w:pPr>
        <w:spacing w:after="0" w:line="225" w:lineRule="exact"/>
        <w:rPr>
          <w:sz w:val="20"/>
          <w:szCs w:val="20"/>
          <w:color w:val="auto"/>
        </w:rPr>
      </w:pPr>
    </w:p>
    <w:p>
      <w:pPr>
        <w:ind w:left="760" w:hanging="752"/>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Athira Pharma,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0" w:hanging="752"/>
        <w:spacing w:after="0" w:line="276" w:lineRule="auto"/>
        <w:tabs>
          <w:tab w:leader="none" w:pos="7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743"/>
        <w:spacing w:after="0" w:line="258"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8"/>
          <w:szCs w:val="18"/>
          <w:color w:val="auto"/>
        </w:rPr>
      </w:pPr>
    </w:p>
    <w:p>
      <w:pPr>
        <w:ind w:left="1500" w:right="200" w:hanging="743"/>
        <w:spacing w:after="0" w:line="258"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hanging="743"/>
        <w:spacing w:after="0" w:line="258"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743"/>
        <w:spacing w:after="0" w:line="266"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540" w:hanging="743"/>
        <w:spacing w:after="0" w:line="282"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5114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 Litton</w:t>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607695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CERTIFICATION OF THE PRINCIPAL FINANCIAL OFFICER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Glenna Mileson, certify that:</w:t>
      </w:r>
    </w:p>
    <w:p>
      <w:pPr>
        <w:spacing w:after="0" w:line="225" w:lineRule="exact"/>
        <w:rPr>
          <w:sz w:val="20"/>
          <w:szCs w:val="20"/>
          <w:color w:val="auto"/>
        </w:rPr>
      </w:pPr>
    </w:p>
    <w:p>
      <w:pPr>
        <w:ind w:left="760" w:hanging="752"/>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Athira Pharma,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0" w:hanging="752"/>
        <w:spacing w:after="0" w:line="276" w:lineRule="auto"/>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743"/>
        <w:spacing w:after="0" w:line="258"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40" w:hanging="743"/>
        <w:spacing w:after="0" w:line="282"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946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Glenna Mileson</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607695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20"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Athira Pharma, Inc. (the “Company”) for the quarter ended September 30, 2022, as filed with the Securities and Exchange Commission on the date hereof (the “Report”), I, Mark Litton, President and Chief Executive Officer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Officer) </w:t>
      </w:r>
      <w:r>
        <w:rPr>
          <w:rFonts w:ascii="Times New Roman" w:cs="Times New Roman" w:eastAsia="Times New Roman" w:hAnsi="Times New Roman"/>
          <w:sz w:val="18"/>
          <w:szCs w:val="18"/>
          <w:color w:val="auto"/>
        </w:rPr>
        <w:t>of the Company, certify, pursuant to 18 U.S.C. Section 1350, as adopted pursuant to Section 906 of the Sarbanes-Oxley Act of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to my knowledge:</w:t>
      </w:r>
    </w:p>
    <w:p>
      <w:pPr>
        <w:spacing w:after="0" w:line="187" w:lineRule="exact"/>
        <w:rPr>
          <w:sz w:val="20"/>
          <w:szCs w:val="20"/>
          <w:color w:val="auto"/>
        </w:rPr>
      </w:pPr>
    </w:p>
    <w:p>
      <w:pPr>
        <w:ind w:left="1140" w:hanging="758"/>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hanging="758"/>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5114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 Litton</w:t>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1"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20"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Athira Pharma, Inc. (the “Company”) for the quarter ended September 30, 2022, as filed with the Securities and Exchange Commission on the date hereof (the “Report”), I, Glenna Mileson, Chief Financial Officer </w:t>
      </w:r>
      <w:r>
        <w:rPr>
          <w:rFonts w:ascii="Times New Roman" w:cs="Times New Roman" w:eastAsia="Times New Roman" w:hAnsi="Times New Roman"/>
          <w:sz w:val="18"/>
          <w:szCs w:val="18"/>
          <w:i w:val="1"/>
          <w:iCs w:val="1"/>
          <w:color w:val="auto"/>
        </w:rPr>
        <w:t>(Principal Financial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Officer) </w:t>
      </w:r>
      <w:r>
        <w:rPr>
          <w:rFonts w:ascii="Times New Roman" w:cs="Times New Roman" w:eastAsia="Times New Roman" w:hAnsi="Times New Roman"/>
          <w:sz w:val="18"/>
          <w:szCs w:val="18"/>
          <w:color w:val="auto"/>
        </w:rPr>
        <w:t>of the Company, certify, pursuant to 18 U.S.C. Section 1350, as adopted pursuant to Section 906 of the Sarbanes-Oxley Act of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to my knowledge:</w:t>
      </w:r>
    </w:p>
    <w:p>
      <w:pPr>
        <w:spacing w:after="0" w:line="79" w:lineRule="exact"/>
        <w:rPr>
          <w:sz w:val="20"/>
          <w:szCs w:val="20"/>
          <w:color w:val="auto"/>
        </w:rPr>
      </w:pPr>
    </w:p>
    <w:p>
      <w:pPr>
        <w:ind w:left="1140" w:hanging="758"/>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440" w:hanging="758"/>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460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Glenna Mileson</w:t>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41"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2"/>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lvl w:ilvl="1">
      <w:lvlJc w:val="left"/>
      <w:lvlText w:val="%2"/>
      <w:numFmt w:val="decimal"/>
      <w:start w:val="104"/>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71" Type="http://schemas.openxmlformats.org/officeDocument/2006/relationships/hyperlink" Target="https://www.sec.gov/Archives/edgar/data/0001620463/000156459020053574/atha-ex31_153.htm" TargetMode="External"/><Relationship Id="rId272" Type="http://schemas.openxmlformats.org/officeDocument/2006/relationships/hyperlink" Target="https://www.sec.gov/Archives/edgar/data/0001620463/000156459020053574/atha-ex32_1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2022-11-10T17:24:06Z</dcterms:created>
  <dcterms:modified xsi:type="dcterms:W3CDTF">2022-11-10T17:24:06Z</dcterms:modified>
</cp:coreProperties>
</file>